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EB458" w14:textId="3B05EFD9" w:rsidR="00B450FE" w:rsidRPr="004C7F84" w:rsidRDefault="00376D7E" w:rsidP="0004531C">
      <w:pPr>
        <w:spacing w:line="240" w:lineRule="auto"/>
        <w:rPr>
          <w:sz w:val="2"/>
        </w:rPr>
      </w:pPr>
      <w:r w:rsidRPr="004C7F84">
        <w:rPr>
          <w:rStyle w:val="CommentReference"/>
        </w:rPr>
        <w:commentReference w:id="0"/>
      </w:r>
      <w:bookmarkStart w:id="1" w:name="_GoBack"/>
      <w:bookmarkEnd w:id="1"/>
    </w:p>
    <w:p w14:paraId="6DCF2D9F" w14:textId="77777777" w:rsidR="00376D7E" w:rsidRPr="004C7F84" w:rsidRDefault="00376D7E" w:rsidP="00376D7E">
      <w:pPr>
        <w:spacing w:line="20" w:lineRule="exact"/>
        <w:rPr>
          <w:sz w:val="2"/>
        </w:rPr>
        <w:sectPr w:rsidR="00376D7E" w:rsidRPr="004C7F84" w:rsidSect="0004531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p>
    <w:p w14:paraId="3AE2ABA1" w14:textId="3EAF5FD3" w:rsidR="0004531C" w:rsidRPr="004C7F84" w:rsidRDefault="001D4C12" w:rsidP="00DE308C">
      <w:pPr>
        <w:pStyle w:val="TitleH1"/>
        <w:tabs>
          <w:tab w:val="right" w:pos="1022"/>
          <w:tab w:val="left" w:pos="1267"/>
          <w:tab w:val="left" w:pos="2218"/>
          <w:tab w:val="left" w:pos="2693"/>
          <w:tab w:val="left" w:pos="3182"/>
          <w:tab w:val="left" w:pos="3658"/>
          <w:tab w:val="left" w:pos="4133"/>
          <w:tab w:val="left" w:pos="4622"/>
          <w:tab w:val="left" w:pos="5098"/>
          <w:tab w:val="left" w:pos="5573"/>
          <w:tab w:val="left" w:pos="6048"/>
        </w:tabs>
        <w:ind w:left="0" w:right="4080" w:firstLine="0"/>
      </w:pPr>
      <w:r w:rsidRPr="004C7F84">
        <w:lastRenderedPageBreak/>
        <w:t>Comité pour l</w:t>
      </w:r>
      <w:r w:rsidR="00773F5D" w:rsidRPr="004C7F84">
        <w:t>’</w:t>
      </w:r>
      <w:r w:rsidRPr="004C7F84">
        <w:t>élimination de la discrimination à</w:t>
      </w:r>
      <w:r w:rsidR="00773F5D" w:rsidRPr="004C7F84">
        <w:t> </w:t>
      </w:r>
      <w:r w:rsidRPr="004C7F84">
        <w:t>l</w:t>
      </w:r>
      <w:r w:rsidR="00773F5D" w:rsidRPr="004C7F84">
        <w:t>’</w:t>
      </w:r>
      <w:r w:rsidRPr="004C7F84">
        <w:t>égard des femmes</w:t>
      </w:r>
    </w:p>
    <w:p w14:paraId="777F471B" w14:textId="29832529" w:rsidR="0004531C" w:rsidRPr="004C7F84" w:rsidRDefault="0004531C" w:rsidP="0004531C">
      <w:pPr>
        <w:pStyle w:val="SingleTxt"/>
        <w:spacing w:after="0" w:line="120" w:lineRule="exact"/>
        <w:rPr>
          <w:sz w:val="10"/>
        </w:rPr>
      </w:pPr>
    </w:p>
    <w:p w14:paraId="27355BCE" w14:textId="450FB35F" w:rsidR="0004531C" w:rsidRPr="004C7F84" w:rsidRDefault="0004531C" w:rsidP="0004531C">
      <w:pPr>
        <w:pStyle w:val="SingleTxt"/>
        <w:spacing w:after="0" w:line="120" w:lineRule="exact"/>
        <w:rPr>
          <w:sz w:val="10"/>
        </w:rPr>
      </w:pPr>
    </w:p>
    <w:p w14:paraId="06610C92" w14:textId="542BF456" w:rsidR="0004531C" w:rsidRPr="004C7F84" w:rsidRDefault="0004531C" w:rsidP="0004531C">
      <w:pPr>
        <w:pStyle w:val="SingleTxt"/>
        <w:spacing w:after="0" w:line="120" w:lineRule="exact"/>
        <w:rPr>
          <w:sz w:val="10"/>
        </w:rPr>
      </w:pPr>
    </w:p>
    <w:p w14:paraId="6B785C69" w14:textId="6F5E5730" w:rsidR="0004531C" w:rsidRPr="004C7F84" w:rsidRDefault="0004531C" w:rsidP="0004531C">
      <w:pPr>
        <w:framePr w:w="9792" w:h="432" w:hSpace="180" w:wrap="notBeside" w:hAnchor="page" w:x="1210" w:yAlign="bottom"/>
        <w:spacing w:line="240" w:lineRule="auto"/>
        <w:rPr>
          <w:sz w:val="2"/>
        </w:rPr>
      </w:pPr>
    </w:p>
    <w:p w14:paraId="522DA440" w14:textId="243A2EFA" w:rsidR="0004531C" w:rsidRPr="004C7F84" w:rsidRDefault="0004531C" w:rsidP="00F1172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288"/>
        <w:rPr>
          <w:spacing w:val="5"/>
          <w:w w:val="104"/>
          <w:sz w:val="17"/>
        </w:rPr>
      </w:pPr>
      <w:r w:rsidRPr="004C7F84">
        <w:rPr>
          <w:i/>
          <w:iCs/>
          <w:spacing w:val="5"/>
          <w:w w:val="104"/>
          <w:sz w:val="17"/>
        </w:rPr>
        <w:t>Note</w:t>
      </w:r>
      <w:r w:rsidR="00773F5D" w:rsidRPr="004C7F84">
        <w:rPr>
          <w:i/>
          <w:iCs/>
          <w:spacing w:val="5"/>
          <w:w w:val="104"/>
          <w:sz w:val="17"/>
        </w:rPr>
        <w:t> :</w:t>
      </w:r>
      <w:r w:rsidRPr="004C7F84">
        <w:rPr>
          <w:spacing w:val="5"/>
          <w:w w:val="104"/>
          <w:sz w:val="17"/>
        </w:rPr>
        <w:t xml:space="preserve"> </w:t>
      </w:r>
      <w:r w:rsidR="001D4C12" w:rsidRPr="004C7F84">
        <w:rPr>
          <w:spacing w:val="5"/>
          <w:w w:val="104"/>
          <w:sz w:val="17"/>
        </w:rPr>
        <w:t>Le présent document est distribué uniquement en anglais, en espagnol et en français.</w:t>
      </w:r>
    </w:p>
    <w:p w14:paraId="4D6D9FE3" w14:textId="28EAEF68" w:rsidR="00773F5D" w:rsidRPr="004C7F84" w:rsidRDefault="00773F5D" w:rsidP="00773F5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288"/>
        <w:rPr>
          <w:spacing w:val="5"/>
          <w:w w:val="104"/>
          <w:sz w:val="10"/>
        </w:rPr>
      </w:pPr>
    </w:p>
    <w:p w14:paraId="18442053" w14:textId="7DCA0E88" w:rsidR="0004531C" w:rsidRPr="004C7F84" w:rsidRDefault="0004531C" w:rsidP="0004531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4C7F84">
        <w:rPr>
          <w:spacing w:val="5"/>
          <w:w w:val="104"/>
          <w:sz w:val="17"/>
        </w:rPr>
        <w:tab/>
        <w:t>*</w:t>
      </w:r>
      <w:r w:rsidRPr="004C7F84">
        <w:rPr>
          <w:spacing w:val="5"/>
          <w:w w:val="104"/>
          <w:sz w:val="17"/>
        </w:rPr>
        <w:tab/>
      </w:r>
      <w:r w:rsidR="001D4C12" w:rsidRPr="004C7F84">
        <w:rPr>
          <w:spacing w:val="5"/>
          <w:w w:val="104"/>
          <w:sz w:val="17"/>
        </w:rPr>
        <w:t>La version originale du présent document n</w:t>
      </w:r>
      <w:r w:rsidR="00773F5D" w:rsidRPr="004C7F84">
        <w:rPr>
          <w:spacing w:val="5"/>
          <w:w w:val="104"/>
          <w:sz w:val="17"/>
        </w:rPr>
        <w:t>’</w:t>
      </w:r>
      <w:r w:rsidR="001D4C12" w:rsidRPr="004C7F84">
        <w:rPr>
          <w:spacing w:val="5"/>
          <w:w w:val="104"/>
          <w:sz w:val="17"/>
        </w:rPr>
        <w:t>a pas été revue par les services d</w:t>
      </w:r>
      <w:r w:rsidR="00773F5D" w:rsidRPr="004C7F84">
        <w:rPr>
          <w:spacing w:val="5"/>
          <w:w w:val="104"/>
          <w:sz w:val="17"/>
        </w:rPr>
        <w:t>’</w:t>
      </w:r>
      <w:r w:rsidR="001D4C12" w:rsidRPr="004C7F84">
        <w:rPr>
          <w:spacing w:val="5"/>
          <w:w w:val="104"/>
          <w:sz w:val="17"/>
        </w:rPr>
        <w:t>édition.</w:t>
      </w:r>
    </w:p>
    <w:p w14:paraId="24DF217F" w14:textId="4D12A881" w:rsidR="0004531C" w:rsidRPr="004C7F84" w:rsidRDefault="0004531C" w:rsidP="00DE308C">
      <w:pPr>
        <w:pStyle w:val="TitleHCH"/>
        <w:ind w:left="1267" w:right="1260" w:hanging="1267"/>
        <w:rPr>
          <w:bCs/>
          <w:sz w:val="20"/>
        </w:rPr>
      </w:pPr>
      <w:r w:rsidRPr="004C7F84">
        <w:tab/>
      </w:r>
      <w:r w:rsidRPr="004C7F84">
        <w:tab/>
      </w:r>
      <w:r w:rsidR="001D4C12" w:rsidRPr="004C7F84">
        <w:t>Rapport unique valant quatrième</w:t>
      </w:r>
      <w:r w:rsidR="00D42D35" w:rsidRPr="004C7F84">
        <w:t xml:space="preserve"> à</w:t>
      </w:r>
      <w:r w:rsidR="001D4C12" w:rsidRPr="004C7F84">
        <w:t xml:space="preserve"> septième rapports périodiques, présenté par Antigua-et-Barbuda en</w:t>
      </w:r>
      <w:r w:rsidR="00773F5D" w:rsidRPr="004C7F84">
        <w:t> </w:t>
      </w:r>
      <w:r w:rsidR="001D4C12" w:rsidRPr="004C7F84">
        <w:t>application de l</w:t>
      </w:r>
      <w:r w:rsidR="00773F5D" w:rsidRPr="004C7F84">
        <w:t>’</w:t>
      </w:r>
      <w:r w:rsidR="001D4C12" w:rsidRPr="004C7F84">
        <w:t>article 18 de la Convention, attendu en</w:t>
      </w:r>
      <w:r w:rsidR="00773F5D" w:rsidRPr="004C7F84">
        <w:t> </w:t>
      </w:r>
      <w:r w:rsidR="001D4C12" w:rsidRPr="004C7F84">
        <w:t>2014</w:t>
      </w:r>
      <w:r w:rsidRPr="004C7F84">
        <w:rPr>
          <w:b w:val="0"/>
          <w:sz w:val="20"/>
        </w:rPr>
        <w:t>*</w:t>
      </w:r>
    </w:p>
    <w:p w14:paraId="2AE31750" w14:textId="65022F21" w:rsidR="0004531C" w:rsidRPr="004C7F84" w:rsidRDefault="0004531C" w:rsidP="0004531C">
      <w:pPr>
        <w:pStyle w:val="SingleTxt"/>
        <w:spacing w:after="0" w:line="120" w:lineRule="exact"/>
        <w:rPr>
          <w:b/>
          <w:spacing w:val="-2"/>
          <w:sz w:val="10"/>
        </w:rPr>
      </w:pPr>
    </w:p>
    <w:p w14:paraId="1FD6E161" w14:textId="1190F84B" w:rsidR="0004531C" w:rsidRPr="004C7F84" w:rsidRDefault="0004531C" w:rsidP="0004531C">
      <w:pPr>
        <w:pStyle w:val="SingleTxt"/>
        <w:spacing w:after="0" w:line="120" w:lineRule="exact"/>
        <w:rPr>
          <w:sz w:val="10"/>
        </w:rPr>
      </w:pPr>
    </w:p>
    <w:p w14:paraId="0B7416C1" w14:textId="294AF197" w:rsidR="00B450FE" w:rsidRPr="004C7F84" w:rsidRDefault="0004531C" w:rsidP="0004531C">
      <w:pPr>
        <w:pStyle w:val="SingleTxt"/>
        <w:jc w:val="right"/>
      </w:pPr>
      <w:r w:rsidRPr="004C7F84">
        <w:t>[</w:t>
      </w:r>
      <w:r w:rsidR="001D4C12" w:rsidRPr="004C7F84">
        <w:t>Date de réception</w:t>
      </w:r>
      <w:r w:rsidR="00773F5D" w:rsidRPr="004C7F84">
        <w:t> :</w:t>
      </w:r>
      <w:r w:rsidRPr="004C7F84">
        <w:t xml:space="preserve"> 6 </w:t>
      </w:r>
      <w:r w:rsidR="001D4C12" w:rsidRPr="004C7F84">
        <w:t>décembre</w:t>
      </w:r>
      <w:r w:rsidRPr="004C7F84">
        <w:t xml:space="preserve"> 2017]</w:t>
      </w:r>
    </w:p>
    <w:p w14:paraId="2A18BFB0" w14:textId="1143C633" w:rsidR="00BF5BEB" w:rsidRPr="004C7F84" w:rsidRDefault="004302B0">
      <w:pPr>
        <w:suppressAutoHyphens w:val="0"/>
        <w:spacing w:after="200" w:line="276" w:lineRule="auto"/>
      </w:pPr>
      <w:r w:rsidRPr="004C7F84">
        <w:rPr>
          <w:noProof/>
          <w:w w:val="100"/>
          <w:sz w:val="2"/>
          <w:lang w:val="en-GB" w:eastAsia="en-GB"/>
        </w:rPr>
        <mc:AlternateContent>
          <mc:Choice Requires="wps">
            <w:drawing>
              <wp:anchor distT="0" distB="0" distL="114300" distR="114300" simplePos="0" relativeHeight="251659264" behindDoc="0" locked="0" layoutInCell="1" allowOverlap="1" wp14:anchorId="44719497" wp14:editId="5269B271">
                <wp:simplePos x="0" y="0"/>
                <wp:positionH relativeFrom="page">
                  <wp:posOffset>1364434</wp:posOffset>
                </wp:positionH>
                <wp:positionV relativeFrom="paragraph">
                  <wp:posOffset>4137783</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A771F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7.45pt,325.8pt" to="179.45pt,3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" strokecolor="#010000" strokeweight=".25pt">
                <w10:wrap anchorx="page"/>
              </v:line>
            </w:pict>
          </mc:Fallback>
        </mc:AlternateContent>
      </w:r>
      <w:r w:rsidR="00BF5BEB" w:rsidRPr="004C7F84">
        <w:br w:type="page"/>
      </w:r>
    </w:p>
    <w:p w14:paraId="7A15B950" w14:textId="30DE65AF" w:rsidR="00BF5BEB" w:rsidRPr="004C7F84" w:rsidRDefault="00BF5BEB" w:rsidP="00BF5BEB">
      <w:pPr>
        <w:pStyle w:val="HCh"/>
        <w:ind w:left="1267" w:right="1260" w:hanging="1267"/>
      </w:pPr>
      <w:r w:rsidRPr="004C7F84">
        <w:lastRenderedPageBreak/>
        <w:tab/>
      </w:r>
      <w:r w:rsidRPr="004C7F84">
        <w:tab/>
      </w:r>
      <w:r w:rsidR="001D4C12" w:rsidRPr="004C7F84">
        <w:t>Remerciements</w:t>
      </w:r>
    </w:p>
    <w:p w14:paraId="082B6988" w14:textId="67508105" w:rsidR="00BF5BEB" w:rsidRPr="004C7F84" w:rsidRDefault="00BF5BEB" w:rsidP="00BF5BEB">
      <w:pPr>
        <w:pStyle w:val="SingleTxt"/>
        <w:spacing w:after="0" w:line="120" w:lineRule="exact"/>
        <w:rPr>
          <w:sz w:val="10"/>
        </w:rPr>
      </w:pPr>
    </w:p>
    <w:p w14:paraId="16729035" w14:textId="239F3BA6" w:rsidR="00BF5BEB" w:rsidRPr="004C7F84" w:rsidRDefault="00BF5BEB" w:rsidP="00BF5BEB">
      <w:pPr>
        <w:pStyle w:val="SingleTxt"/>
        <w:spacing w:after="0" w:line="120" w:lineRule="exact"/>
        <w:rPr>
          <w:sz w:val="10"/>
        </w:rPr>
      </w:pPr>
    </w:p>
    <w:p w14:paraId="2E732095" w14:textId="461F750C" w:rsidR="00BF5BEB" w:rsidRPr="004C7F84" w:rsidRDefault="00BF5BEB" w:rsidP="001D4C12">
      <w:pPr>
        <w:pStyle w:val="SingleTxt"/>
      </w:pPr>
      <w:r w:rsidRPr="004C7F84">
        <w:tab/>
      </w:r>
      <w:r w:rsidR="001D4C12" w:rsidRPr="004C7F84">
        <w:t>Le Gouvernement d</w:t>
      </w:r>
      <w:r w:rsidR="00773F5D" w:rsidRPr="004C7F84">
        <w:t>’</w:t>
      </w:r>
      <w:r w:rsidR="001D4C12" w:rsidRPr="004C7F84">
        <w:t>Antigua-e</w:t>
      </w:r>
      <w:r w:rsidR="00E54D5A" w:rsidRPr="004C7F84">
        <w:t xml:space="preserve">t-Barbuda tient à remercier les </w:t>
      </w:r>
      <w:r w:rsidR="001D4C12" w:rsidRPr="004C7F84">
        <w:t>organismes e</w:t>
      </w:r>
      <w:r w:rsidR="00E54D5A" w:rsidRPr="004C7F84">
        <w:t xml:space="preserve">t personnes qui ont apporté une </w:t>
      </w:r>
      <w:r w:rsidR="001D4C12" w:rsidRPr="004C7F84">
        <w:t>contribution importante à l</w:t>
      </w:r>
      <w:r w:rsidR="00773F5D" w:rsidRPr="004C7F84">
        <w:t>’</w:t>
      </w:r>
      <w:r w:rsidR="001D4C12" w:rsidRPr="004C7F84">
        <w:t>élaboration du présent rapport. Ce sont notamment</w:t>
      </w:r>
      <w:r w:rsidR="00773F5D" w:rsidRPr="004C7F84">
        <w:t> :</w:t>
      </w:r>
    </w:p>
    <w:p w14:paraId="1263FDE9" w14:textId="40178C6F" w:rsidR="001D4C12" w:rsidRPr="004C7F84" w:rsidRDefault="00E54D5A" w:rsidP="001D4C12">
      <w:pPr>
        <w:pStyle w:val="SingleTxt"/>
      </w:pPr>
      <w:r w:rsidRPr="004C7F84">
        <w:tab/>
        <w:t>L</w:t>
      </w:r>
      <w:r w:rsidR="001D4C12" w:rsidRPr="004C7F84">
        <w:t>e Ministère de l</w:t>
      </w:r>
      <w:r w:rsidR="00773F5D" w:rsidRPr="004C7F84">
        <w:t>’</w:t>
      </w:r>
      <w:r w:rsidR="001D4C12" w:rsidRPr="004C7F84">
        <w:t>agriculture</w:t>
      </w:r>
    </w:p>
    <w:p w14:paraId="21108DA4" w14:textId="49D47436" w:rsidR="001D4C12" w:rsidRPr="004C7F84" w:rsidRDefault="00E54D5A" w:rsidP="001D4C12">
      <w:pPr>
        <w:pStyle w:val="SingleTxt"/>
      </w:pPr>
      <w:r w:rsidRPr="004C7F84">
        <w:tab/>
        <w:t>L</w:t>
      </w:r>
      <w:r w:rsidR="001D4C12" w:rsidRPr="004C7F84">
        <w:t>e Ministère des affaires juridiques</w:t>
      </w:r>
    </w:p>
    <w:p w14:paraId="131696AF" w14:textId="6A800059" w:rsidR="001D4C12" w:rsidRPr="004C7F84" w:rsidRDefault="00E54D5A" w:rsidP="001D4C12">
      <w:pPr>
        <w:pStyle w:val="SingleTxt"/>
      </w:pPr>
      <w:r w:rsidRPr="004C7F84">
        <w:tab/>
        <w:t xml:space="preserve">Le Service </w:t>
      </w:r>
      <w:r w:rsidR="001D4C12" w:rsidRPr="004C7F84">
        <w:t>du cadastre</w:t>
      </w:r>
    </w:p>
    <w:p w14:paraId="649F83B3" w14:textId="003A9BB7" w:rsidR="001D4C12" w:rsidRPr="004C7F84" w:rsidRDefault="00E54D5A" w:rsidP="001D4C12">
      <w:pPr>
        <w:pStyle w:val="SingleTxt"/>
      </w:pPr>
      <w:r w:rsidRPr="004C7F84">
        <w:tab/>
        <w:t>L</w:t>
      </w:r>
      <w:r w:rsidR="001D4C12" w:rsidRPr="004C7F84">
        <w:t>a Police royale d</w:t>
      </w:r>
      <w:r w:rsidR="00773F5D" w:rsidRPr="004C7F84">
        <w:t>’</w:t>
      </w:r>
      <w:r w:rsidR="001D4C12" w:rsidRPr="004C7F84">
        <w:t>Antigua-et-Barbuda</w:t>
      </w:r>
    </w:p>
    <w:p w14:paraId="568C58D8" w14:textId="76E04683" w:rsidR="001D4C12" w:rsidRPr="004C7F84" w:rsidRDefault="001D4C12" w:rsidP="001D4C12">
      <w:pPr>
        <w:pStyle w:val="SingleTxt"/>
      </w:pPr>
      <w:r w:rsidRPr="004C7F84">
        <w:tab/>
        <w:t>Mount St. John Medical Centre</w:t>
      </w:r>
    </w:p>
    <w:p w14:paraId="6139491B" w14:textId="14FE133E" w:rsidR="001D4C12" w:rsidRPr="004C7F84" w:rsidRDefault="001D4C12" w:rsidP="001D4C12">
      <w:pPr>
        <w:pStyle w:val="SingleTxt"/>
      </w:pPr>
      <w:r w:rsidRPr="004C7F84">
        <w:tab/>
        <w:t>Koren Norton, conseillère des services sociaux</w:t>
      </w:r>
    </w:p>
    <w:p w14:paraId="6DB68D90" w14:textId="050DDBF7" w:rsidR="001D4C12" w:rsidRPr="004C7F84" w:rsidRDefault="00E54D5A" w:rsidP="001D4C12">
      <w:pPr>
        <w:pStyle w:val="SingleTxt"/>
      </w:pPr>
      <w:r w:rsidRPr="004C7F84">
        <w:tab/>
        <w:t>L</w:t>
      </w:r>
      <w:r w:rsidR="001D4C12" w:rsidRPr="004C7F84">
        <w:t>e Ministère de l</w:t>
      </w:r>
      <w:r w:rsidR="00773F5D" w:rsidRPr="004C7F84">
        <w:t>’</w:t>
      </w:r>
      <w:r w:rsidR="001D4C12" w:rsidRPr="004C7F84">
        <w:t>éducation</w:t>
      </w:r>
    </w:p>
    <w:p w14:paraId="0F61B7B7" w14:textId="49C7F5C8" w:rsidR="001D4C12" w:rsidRPr="004C7F84" w:rsidRDefault="00E54D5A" w:rsidP="001D4C12">
      <w:pPr>
        <w:pStyle w:val="SingleTxt"/>
      </w:pPr>
      <w:r w:rsidRPr="004C7F84">
        <w:tab/>
        <w:t>L</w:t>
      </w:r>
      <w:r w:rsidR="001D4C12" w:rsidRPr="004C7F84">
        <w:t>a Division du bien-être de la population</w:t>
      </w:r>
    </w:p>
    <w:p w14:paraId="32D19843" w14:textId="302764E0" w:rsidR="001D4C12" w:rsidRPr="004C7F84" w:rsidRDefault="00E54D5A" w:rsidP="001D4C12">
      <w:pPr>
        <w:pStyle w:val="SingleTxt"/>
      </w:pPr>
      <w:r w:rsidRPr="004C7F84">
        <w:tab/>
        <w:t>L</w:t>
      </w:r>
      <w:r w:rsidR="001D4C12" w:rsidRPr="004C7F84">
        <w:t>e Département des ressources humaines de la fonction publique</w:t>
      </w:r>
    </w:p>
    <w:p w14:paraId="2DCAFF55" w14:textId="757C49CF" w:rsidR="001D4C12" w:rsidRPr="004C7F84" w:rsidRDefault="001D4C12" w:rsidP="001D4C12">
      <w:pPr>
        <w:pStyle w:val="SingleTxt"/>
      </w:pPr>
      <w:r w:rsidRPr="004C7F84">
        <w:tab/>
      </w:r>
      <w:r w:rsidR="00E54D5A" w:rsidRPr="004C7F84">
        <w:t>L</w:t>
      </w:r>
      <w:r w:rsidRPr="004C7F84">
        <w:t>e Groupe de l</w:t>
      </w:r>
      <w:r w:rsidR="00773F5D" w:rsidRPr="004C7F84">
        <w:t>’</w:t>
      </w:r>
      <w:r w:rsidRPr="004C7F84">
        <w:t>information sanitaire</w:t>
      </w:r>
    </w:p>
    <w:p w14:paraId="5FB2342C" w14:textId="441ACA16" w:rsidR="001D4C12" w:rsidRPr="004C7F84" w:rsidRDefault="00E54D5A" w:rsidP="001D4C12">
      <w:pPr>
        <w:pStyle w:val="SingleTxt"/>
      </w:pPr>
      <w:r w:rsidRPr="004C7F84">
        <w:tab/>
        <w:t>L</w:t>
      </w:r>
      <w:r w:rsidR="001D4C12" w:rsidRPr="004C7F84">
        <w:t>e Ministère du travail</w:t>
      </w:r>
    </w:p>
    <w:p w14:paraId="52886316" w14:textId="49880103" w:rsidR="001D4C12" w:rsidRPr="004C7F84" w:rsidRDefault="00E54D5A" w:rsidP="001D4C12">
      <w:pPr>
        <w:pStyle w:val="SingleTxt"/>
      </w:pPr>
      <w:r w:rsidRPr="004C7F84">
        <w:tab/>
        <w:t>L</w:t>
      </w:r>
      <w:r w:rsidR="001D4C12" w:rsidRPr="004C7F84">
        <w:t>e Secrétariat à la lutte contre le sida</w:t>
      </w:r>
    </w:p>
    <w:p w14:paraId="554E1A6F" w14:textId="4A37D3A0" w:rsidR="001D4C12" w:rsidRPr="004C7F84" w:rsidRDefault="001D4C12" w:rsidP="001D4C12">
      <w:pPr>
        <w:pStyle w:val="SingleTxt"/>
      </w:pPr>
      <w:r w:rsidRPr="004C7F84">
        <w:tab/>
      </w:r>
      <w:r w:rsidR="00E54D5A" w:rsidRPr="004C7F84">
        <w:t>L</w:t>
      </w:r>
      <w:r w:rsidRPr="004C7F84">
        <w:t>e Conseil de Barbuda</w:t>
      </w:r>
    </w:p>
    <w:p w14:paraId="3058ED31" w14:textId="5A82BBB7" w:rsidR="001D4C12" w:rsidRPr="004C7F84" w:rsidRDefault="001D4C12" w:rsidP="001D4C12">
      <w:pPr>
        <w:pStyle w:val="SingleTxt"/>
      </w:pPr>
      <w:r w:rsidRPr="004C7F84">
        <w:tab/>
        <w:t>Antigua and Barbuda Planned Parenthood</w:t>
      </w:r>
    </w:p>
    <w:p w14:paraId="33B9A03D" w14:textId="30D38D8B" w:rsidR="00BF5BEB" w:rsidRPr="004C7F84" w:rsidRDefault="00BF5BEB" w:rsidP="00BF5BEB">
      <w:pPr>
        <w:pStyle w:val="SingleTxt"/>
      </w:pPr>
      <w:r w:rsidRPr="004C7F84">
        <w:tab/>
      </w:r>
      <w:r w:rsidR="001D4C12" w:rsidRPr="004C7F84">
        <w:t>De nombreuses organisations non gouvernementales ont participé aux consultations et apporté des informations particulièrement utiles</w:t>
      </w:r>
      <w:r w:rsidR="00773F5D" w:rsidRPr="004C7F84">
        <w:t> ;</w:t>
      </w:r>
      <w:r w:rsidR="001D4C12" w:rsidRPr="004C7F84">
        <w:t xml:space="preserve"> ce sont notamment</w:t>
      </w:r>
      <w:r w:rsidR="00773F5D" w:rsidRPr="004C7F84">
        <w:t> :</w:t>
      </w:r>
    </w:p>
    <w:p w14:paraId="77BE7240" w14:textId="7ACB1DBB" w:rsidR="001D4C12" w:rsidRPr="004C7F84" w:rsidRDefault="001D4C12" w:rsidP="001D4C12">
      <w:pPr>
        <w:pStyle w:val="SingleTxt"/>
        <w:rPr>
          <w:b/>
        </w:rPr>
      </w:pPr>
      <w:r w:rsidRPr="004C7F84">
        <w:tab/>
        <w:t>Barreau d</w:t>
      </w:r>
      <w:r w:rsidR="00773F5D" w:rsidRPr="004C7F84">
        <w:t>’</w:t>
      </w:r>
      <w:r w:rsidRPr="004C7F84">
        <w:t>Antigua-et-Barbuda</w:t>
      </w:r>
    </w:p>
    <w:p w14:paraId="6031F0F7" w14:textId="2284AF62" w:rsidR="001D4C12" w:rsidRPr="004C7F84" w:rsidRDefault="001D4C12" w:rsidP="001D4C12">
      <w:pPr>
        <w:pStyle w:val="SingleTxt"/>
      </w:pPr>
      <w:r w:rsidRPr="004C7F84">
        <w:tab/>
        <w:t>Antigua Commercial Bank</w:t>
      </w:r>
    </w:p>
    <w:p w14:paraId="76F62D56" w14:textId="2964FD47" w:rsidR="001D4C12" w:rsidRPr="004C7F84" w:rsidRDefault="00E54D5A" w:rsidP="001D4C12">
      <w:pPr>
        <w:pStyle w:val="SingleTxt"/>
      </w:pPr>
      <w:r w:rsidRPr="004C7F84">
        <w:tab/>
        <w:t>L</w:t>
      </w:r>
      <w:r w:rsidR="001D4C12" w:rsidRPr="004C7F84">
        <w:t>es associations féminines</w:t>
      </w:r>
    </w:p>
    <w:p w14:paraId="5D3634E0" w14:textId="3FCDF7DA" w:rsidR="001D4C12" w:rsidRPr="004C7F84" w:rsidRDefault="001D4C12" w:rsidP="001D4C12">
      <w:pPr>
        <w:pStyle w:val="SingleTxt"/>
      </w:pPr>
      <w:r w:rsidRPr="004C7F84">
        <w:tab/>
      </w:r>
      <w:r w:rsidR="00E54D5A" w:rsidRPr="004C7F84">
        <w:t>L</w:t>
      </w:r>
      <w:r w:rsidRPr="004C7F84">
        <w:t>es groupes de la société civile</w:t>
      </w:r>
    </w:p>
    <w:p w14:paraId="03976027" w14:textId="5BAA4EB8" w:rsidR="001D4C12" w:rsidRPr="004C7F84" w:rsidRDefault="00E54D5A" w:rsidP="001D4C12">
      <w:pPr>
        <w:pStyle w:val="SingleTxt"/>
      </w:pPr>
      <w:r w:rsidRPr="004C7F84">
        <w:tab/>
        <w:t>L</w:t>
      </w:r>
      <w:r w:rsidR="001D4C12" w:rsidRPr="004C7F84">
        <w:t>es organisations confessionnelles</w:t>
      </w:r>
    </w:p>
    <w:p w14:paraId="2D680721" w14:textId="70E46B41" w:rsidR="001D4C12" w:rsidRPr="004C7F84" w:rsidRDefault="00BF5BEB" w:rsidP="00617CB2">
      <w:pPr>
        <w:pStyle w:val="SingleTxt"/>
      </w:pPr>
      <w:r w:rsidRPr="004C7F84">
        <w:tab/>
      </w:r>
      <w:r w:rsidR="001D4C12" w:rsidRPr="004C7F84">
        <w:t>Les activités de certaines de ces organisat</w:t>
      </w:r>
      <w:r w:rsidR="00617CB2" w:rsidRPr="004C7F84">
        <w:t>ions sont mentionnées ci-après.</w:t>
      </w:r>
    </w:p>
    <w:p w14:paraId="0AE64E97" w14:textId="74F18BCC" w:rsidR="001D4C12" w:rsidRPr="004C7F84" w:rsidRDefault="00617CB2" w:rsidP="00617CB2">
      <w:pPr>
        <w:pStyle w:val="SingleTxt"/>
      </w:pPr>
      <w:r w:rsidRPr="004C7F84">
        <w:tab/>
      </w:r>
      <w:r w:rsidR="001D4C12" w:rsidRPr="004C7F84">
        <w:t>Le Gouvernement d</w:t>
      </w:r>
      <w:r w:rsidR="00773F5D" w:rsidRPr="004C7F84">
        <w:t>’</w:t>
      </w:r>
      <w:r w:rsidR="001D4C12" w:rsidRPr="004C7F84">
        <w:t>Antigua-et-Barbuda souhaite remercier ég</w:t>
      </w:r>
      <w:r w:rsidRPr="004C7F84">
        <w:t xml:space="preserve">alement le Directeur exécutif </w:t>
      </w:r>
      <w:r w:rsidR="001D4C12" w:rsidRPr="004C7F84">
        <w:t>par intérim et le personnel de la Direction de la problématique hommes-femmes, qui ont joué un rôle prépondérant tout au long de l</w:t>
      </w:r>
      <w:r w:rsidR="00773F5D" w:rsidRPr="004C7F84">
        <w:t>’</w:t>
      </w:r>
      <w:r w:rsidR="001D4C12" w:rsidRPr="004C7F84">
        <w:t xml:space="preserve">élaboration du présent rapport. </w:t>
      </w:r>
    </w:p>
    <w:p w14:paraId="70EFBD12" w14:textId="2F9AD198" w:rsidR="00BF5BEB" w:rsidRPr="004C7F84" w:rsidRDefault="00BF5BEB" w:rsidP="001D4C12">
      <w:pPr>
        <w:pStyle w:val="SingleTxt"/>
      </w:pPr>
    </w:p>
    <w:p w14:paraId="7545B0D5" w14:textId="77777777" w:rsidR="00617CB2" w:rsidRPr="004C7F84" w:rsidRDefault="00617CB2">
      <w:pPr>
        <w:suppressAutoHyphens w:val="0"/>
        <w:spacing w:after="200" w:line="276" w:lineRule="auto"/>
      </w:pPr>
      <w:r w:rsidRPr="004C7F84">
        <w:rPr>
          <w:b/>
        </w:rPr>
        <w:br w:type="page"/>
      </w:r>
    </w:p>
    <w:p w14:paraId="71C29D21" w14:textId="07307B6D" w:rsidR="00BF5BEB" w:rsidRPr="004C7F84" w:rsidRDefault="00BF5BEB" w:rsidP="00BF5BEB">
      <w:pPr>
        <w:pStyle w:val="HCh"/>
        <w:ind w:left="1267" w:right="1260" w:hanging="1267"/>
      </w:pPr>
      <w:r w:rsidRPr="004C7F84">
        <w:lastRenderedPageBreak/>
        <w:tab/>
      </w:r>
      <w:r w:rsidRPr="004C7F84">
        <w:tab/>
      </w:r>
      <w:r w:rsidR="00617CB2" w:rsidRPr="004C7F84">
        <w:t>Abréviations et sigles</w:t>
      </w:r>
    </w:p>
    <w:p w14:paraId="0EF52622" w14:textId="58DF56B7" w:rsidR="00BF5BEB" w:rsidRPr="004C7F84" w:rsidRDefault="00BF5BEB" w:rsidP="00BF5BEB">
      <w:pPr>
        <w:pStyle w:val="SingleTxt"/>
        <w:spacing w:after="0" w:line="120" w:lineRule="exact"/>
        <w:rPr>
          <w:sz w:val="10"/>
        </w:rPr>
      </w:pPr>
    </w:p>
    <w:p w14:paraId="0B0E854D" w14:textId="75FEE09C" w:rsidR="00BF5BEB" w:rsidRPr="004C7F84" w:rsidRDefault="00BF5BEB" w:rsidP="00BF5BEB">
      <w:pPr>
        <w:pStyle w:val="SingleTxt"/>
        <w:spacing w:after="0" w:line="120" w:lineRule="exact"/>
        <w:rPr>
          <w:sz w:val="10"/>
        </w:rPr>
      </w:pPr>
    </w:p>
    <w:p w14:paraId="7F3F4A1F" w14:textId="77777777" w:rsidR="00617CB2" w:rsidRPr="004C7F84" w:rsidRDefault="00617CB2" w:rsidP="00617CB2">
      <w:pPr>
        <w:pStyle w:val="SingleTxt"/>
      </w:pPr>
      <w:r w:rsidRPr="004C7F84">
        <w:t>CARICOM</w:t>
      </w:r>
      <w:r w:rsidRPr="004C7F84">
        <w:tab/>
        <w:t xml:space="preserve">Communauté des Caraïbes </w:t>
      </w:r>
    </w:p>
    <w:p w14:paraId="3A0B8059" w14:textId="207D1779" w:rsidR="00617CB2" w:rsidRPr="004C7F84" w:rsidRDefault="00617CB2" w:rsidP="00617CB2">
      <w:pPr>
        <w:pStyle w:val="SingleTxt"/>
      </w:pPr>
      <w:r w:rsidRPr="004C7F84">
        <w:t>CDB</w:t>
      </w:r>
      <w:r w:rsidRPr="004C7F84">
        <w:tab/>
      </w:r>
      <w:r w:rsidRPr="004C7F84">
        <w:tab/>
      </w:r>
      <w:r w:rsidRPr="004C7F84">
        <w:tab/>
        <w:t xml:space="preserve">Banque de développement des Caraïbes </w:t>
      </w:r>
    </w:p>
    <w:p w14:paraId="66479E30" w14:textId="77777777" w:rsidR="00617CB2" w:rsidRPr="004C7F84" w:rsidRDefault="00617CB2" w:rsidP="00617CB2">
      <w:pPr>
        <w:pStyle w:val="SingleTxt"/>
      </w:pPr>
      <w:r w:rsidRPr="004C7F84">
        <w:t>CIPD</w:t>
      </w:r>
      <w:r w:rsidRPr="004C7F84">
        <w:tab/>
      </w:r>
      <w:r w:rsidRPr="004C7F84">
        <w:tab/>
        <w:t xml:space="preserve">Conférence internationale sur la population et le développement </w:t>
      </w:r>
    </w:p>
    <w:p w14:paraId="648C78B1" w14:textId="77777777" w:rsidR="00617CB2" w:rsidRPr="004C7F84" w:rsidRDefault="00617CB2" w:rsidP="00617CB2">
      <w:pPr>
        <w:pStyle w:val="SingleTxt"/>
      </w:pPr>
      <w:r w:rsidRPr="004C7F84">
        <w:t>OECO</w:t>
      </w:r>
      <w:r w:rsidRPr="004C7F84">
        <w:tab/>
      </w:r>
      <w:r w:rsidRPr="004C7F84">
        <w:tab/>
        <w:t xml:space="preserve">Organisation des États des Caraïbes orientales </w:t>
      </w:r>
    </w:p>
    <w:p w14:paraId="7BFF15A9" w14:textId="79FA409D" w:rsidR="00617CB2" w:rsidRPr="004C7F84" w:rsidRDefault="00617CB2" w:rsidP="00617CB2">
      <w:pPr>
        <w:pStyle w:val="SingleTxt"/>
      </w:pPr>
      <w:r w:rsidRPr="004C7F84">
        <w:t>ONG</w:t>
      </w:r>
      <w:r w:rsidRPr="004C7F84">
        <w:tab/>
      </w:r>
      <w:r w:rsidRPr="004C7F84">
        <w:tab/>
      </w:r>
      <w:r w:rsidRPr="004C7F84">
        <w:tab/>
        <w:t>Organisation non gouvernementale</w:t>
      </w:r>
    </w:p>
    <w:p w14:paraId="03EEDBCD" w14:textId="108DC811" w:rsidR="00617CB2" w:rsidRPr="004C7F84" w:rsidRDefault="00617CB2" w:rsidP="00617CB2">
      <w:pPr>
        <w:pStyle w:val="SingleTxt"/>
      </w:pPr>
      <w:r w:rsidRPr="004C7F84">
        <w:t>PME</w:t>
      </w:r>
      <w:r w:rsidRPr="004C7F84">
        <w:tab/>
      </w:r>
      <w:r w:rsidRPr="004C7F84">
        <w:tab/>
      </w:r>
      <w:r w:rsidRPr="004C7F84">
        <w:tab/>
        <w:t>Petites et moyennes entreprises</w:t>
      </w:r>
    </w:p>
    <w:p w14:paraId="7D72EE0F" w14:textId="4A206FC8" w:rsidR="00617CB2" w:rsidRPr="004C7F84" w:rsidRDefault="00617CB2" w:rsidP="00E54D5A">
      <w:pPr>
        <w:pStyle w:val="SingleTxt"/>
        <w:ind w:left="2693" w:hanging="1426"/>
        <w:jc w:val="left"/>
      </w:pPr>
      <w:r w:rsidRPr="004C7F84">
        <w:t>UNESCO</w:t>
      </w:r>
      <w:r w:rsidRPr="004C7F84">
        <w:tab/>
      </w:r>
      <w:r w:rsidRPr="004C7F84">
        <w:tab/>
        <w:t>Organisation des Nations Unies pour l</w:t>
      </w:r>
      <w:r w:rsidR="00773F5D" w:rsidRPr="004C7F84">
        <w:t>’</w:t>
      </w:r>
      <w:r w:rsidRPr="004C7F84">
        <w:t>éducation, la science et la culture</w:t>
      </w:r>
    </w:p>
    <w:p w14:paraId="3D23A432" w14:textId="4933629B" w:rsidR="00617CB2" w:rsidRPr="004C7F84" w:rsidRDefault="00617CB2" w:rsidP="00617CB2">
      <w:pPr>
        <w:pStyle w:val="SingleTxt"/>
      </w:pPr>
      <w:r w:rsidRPr="004C7F84">
        <w:t>UNICEF</w:t>
      </w:r>
      <w:r w:rsidRPr="004C7F84">
        <w:tab/>
      </w:r>
      <w:r w:rsidRPr="004C7F84">
        <w:tab/>
        <w:t>Fonds des Nations Unies pour l</w:t>
      </w:r>
      <w:r w:rsidR="00773F5D" w:rsidRPr="004C7F84">
        <w:t>’</w:t>
      </w:r>
      <w:r w:rsidRPr="004C7F84">
        <w:t>enfance</w:t>
      </w:r>
    </w:p>
    <w:p w14:paraId="1B5ED77A" w14:textId="00C2D8CC" w:rsidR="00617CB2" w:rsidRPr="004C7F84" w:rsidRDefault="00617CB2" w:rsidP="00617CB2">
      <w:pPr>
        <w:pStyle w:val="SingleTxt"/>
        <w:ind w:left="2693" w:hanging="1426"/>
        <w:jc w:val="left"/>
      </w:pPr>
      <w:r w:rsidRPr="004C7F84">
        <w:t xml:space="preserve">VIH/sida </w:t>
      </w:r>
      <w:r w:rsidRPr="004C7F84">
        <w:tab/>
      </w:r>
      <w:r w:rsidRPr="004C7F84">
        <w:tab/>
        <w:t>Virus de l</w:t>
      </w:r>
      <w:r w:rsidR="00773F5D" w:rsidRPr="004C7F84">
        <w:t>’</w:t>
      </w:r>
      <w:r w:rsidRPr="004C7F84">
        <w:t>immunodéficience humaine /syndrome d</w:t>
      </w:r>
      <w:r w:rsidR="00773F5D" w:rsidRPr="004C7F84">
        <w:t>’</w:t>
      </w:r>
      <w:r w:rsidRPr="004C7F84">
        <w:t xml:space="preserve">immunodéficience acquise </w:t>
      </w:r>
    </w:p>
    <w:p w14:paraId="36A8A7EF" w14:textId="77777777" w:rsidR="00617CB2" w:rsidRPr="004C7F84" w:rsidRDefault="00617CB2" w:rsidP="00617CB2">
      <w:pPr>
        <w:pStyle w:val="SingleTxt"/>
      </w:pPr>
    </w:p>
    <w:p w14:paraId="3C6354A6" w14:textId="1117DC03" w:rsidR="00BF5BEB" w:rsidRPr="004C7F84" w:rsidRDefault="00BF5BEB">
      <w:pPr>
        <w:suppressAutoHyphens w:val="0"/>
        <w:spacing w:after="200" w:line="276" w:lineRule="auto"/>
      </w:pPr>
      <w:r w:rsidRPr="004C7F84">
        <w:br w:type="page"/>
      </w:r>
    </w:p>
    <w:p w14:paraId="49B32CFC" w14:textId="428B39E2" w:rsidR="00BF5BEB" w:rsidRPr="004C7F84" w:rsidRDefault="00BF5BEB" w:rsidP="007F5496">
      <w:pPr>
        <w:pStyle w:val="HCh"/>
        <w:ind w:left="1267" w:right="1260" w:hanging="1267"/>
      </w:pPr>
      <w:r w:rsidRPr="004C7F84">
        <w:lastRenderedPageBreak/>
        <w:tab/>
      </w:r>
      <w:r w:rsidRPr="004C7F84">
        <w:tab/>
        <w:t>Introduction</w:t>
      </w:r>
    </w:p>
    <w:p w14:paraId="72386BAB" w14:textId="6B61C027" w:rsidR="00BF5BEB" w:rsidRPr="004C7F84" w:rsidRDefault="00BF5BEB" w:rsidP="00BF5BEB">
      <w:pPr>
        <w:pStyle w:val="SingleTxt"/>
        <w:spacing w:after="0" w:line="120" w:lineRule="exact"/>
      </w:pPr>
    </w:p>
    <w:p w14:paraId="201596A6" w14:textId="6DAF096E" w:rsidR="00BF5BEB" w:rsidRPr="004C7F84" w:rsidRDefault="00BF5BEB" w:rsidP="00BF5BEB">
      <w:pPr>
        <w:pStyle w:val="SingleTxt"/>
        <w:spacing w:after="0" w:line="120" w:lineRule="exact"/>
      </w:pPr>
    </w:p>
    <w:p w14:paraId="394BADAD" w14:textId="5AA115CD" w:rsidR="00617CB2" w:rsidRPr="004C7F84" w:rsidRDefault="00617CB2" w:rsidP="00514306">
      <w:pPr>
        <w:pStyle w:val="SingleTxt"/>
        <w:numPr>
          <w:ilvl w:val="0"/>
          <w:numId w:val="5"/>
        </w:numPr>
        <w:spacing w:line="240" w:lineRule="exact"/>
        <w:ind w:left="1267" w:firstLine="0"/>
      </w:pPr>
      <w:r w:rsidRPr="004C7F84">
        <w:t>Antigua-et-Barbuda a ratifié la Convention sur l</w:t>
      </w:r>
      <w:r w:rsidR="00773F5D" w:rsidRPr="004C7F84">
        <w:t>’</w:t>
      </w:r>
      <w:r w:rsidRPr="004C7F84">
        <w:t>élimination de toutes les formes de discrimination à l</w:t>
      </w:r>
      <w:r w:rsidR="00773F5D" w:rsidRPr="004C7F84">
        <w:t>’</w:t>
      </w:r>
      <w:r w:rsidRPr="004C7F84">
        <w:t>égard des femmes le 3</w:t>
      </w:r>
      <w:r w:rsidR="00E54D5A" w:rsidRPr="004C7F84">
        <w:t> </w:t>
      </w:r>
      <w:r w:rsidRPr="004C7F84">
        <w:t>mai 1989. Elle a élaboré en 1995 un rapport unique (valant rapport initial, deuxième et troisième rapports périodiques) qui a été présenté à la dix-septième session de l</w:t>
      </w:r>
      <w:r w:rsidR="00773F5D" w:rsidRPr="004C7F84">
        <w:t>’</w:t>
      </w:r>
      <w:r w:rsidRPr="004C7F84">
        <w:t>Assemblée générale des Nations Unies, en 1997. En avril 2006, le Gouvernement d</w:t>
      </w:r>
      <w:r w:rsidR="00773F5D" w:rsidRPr="004C7F84">
        <w:t>’</w:t>
      </w:r>
      <w:r w:rsidRPr="004C7F84">
        <w:t>Antigua-et-Barbuda a signé le Protocole facultatif sans réserve.</w:t>
      </w:r>
    </w:p>
    <w:p w14:paraId="2752A83B" w14:textId="127B369D" w:rsidR="00617CB2" w:rsidRPr="004C7F84" w:rsidRDefault="00617CB2" w:rsidP="00514306">
      <w:pPr>
        <w:pStyle w:val="SingleTxt"/>
        <w:numPr>
          <w:ilvl w:val="0"/>
          <w:numId w:val="5"/>
        </w:numPr>
        <w:spacing w:line="240" w:lineRule="exact"/>
        <w:ind w:left="1267" w:firstLine="0"/>
      </w:pPr>
      <w:r w:rsidRPr="004C7F84">
        <w:t>Le présent rapport unique (valant quatrième, cinquième, sixième et septième rapports périodiques) ne reproduira pas les informations générales sur les structures politiques, économiques et sociales d</w:t>
      </w:r>
      <w:r w:rsidR="00773F5D" w:rsidRPr="004C7F84">
        <w:t>’</w:t>
      </w:r>
      <w:r w:rsidRPr="004C7F84">
        <w:t>Antigua-et-Barbuda, qui figurent déjà dans le rapport précédent. Par contre, il appellera l</w:t>
      </w:r>
      <w:r w:rsidR="00773F5D" w:rsidRPr="004C7F84">
        <w:t>’</w:t>
      </w:r>
      <w:r w:rsidRPr="004C7F84">
        <w:t xml:space="preserve">attention </w:t>
      </w:r>
      <w:r w:rsidR="00E54D5A" w:rsidRPr="004C7F84">
        <w:t xml:space="preserve">sur les faits nouveaux survenus </w:t>
      </w:r>
      <w:r w:rsidRPr="004C7F84">
        <w:t>au cours des 20</w:t>
      </w:r>
      <w:r w:rsidR="00E54D5A" w:rsidRPr="004C7F84">
        <w:t> </w:t>
      </w:r>
      <w:r w:rsidRPr="004C7F84">
        <w:t>années suivantes, à savoir la période allant de 1995 à 2015. Seront prises en considération dans le présent rapport les observations et recommandations qu</w:t>
      </w:r>
      <w:r w:rsidR="00773F5D" w:rsidRPr="004C7F84">
        <w:t>’</w:t>
      </w:r>
      <w:r w:rsidRPr="004C7F84">
        <w:t>a formulées le Comité (</w:t>
      </w:r>
      <w:r w:rsidR="00B819CF" w:rsidRPr="004C7F84">
        <w:t xml:space="preserve">veuillez </w:t>
      </w:r>
      <w:r w:rsidRPr="004C7F84">
        <w:t xml:space="preserve">vous reporter au document </w:t>
      </w:r>
      <w:hyperlink r:id="rId15" w:history="1">
        <w:r w:rsidRPr="004C7F84">
          <w:rPr>
            <w:rStyle w:val="Hyperlink"/>
          </w:rPr>
          <w:t>A/52/38/Rev.1</w:t>
        </w:r>
      </w:hyperlink>
      <w:r w:rsidRPr="004C7F84">
        <w:t>).</w:t>
      </w:r>
    </w:p>
    <w:p w14:paraId="7EF8AA88" w14:textId="695B8ED7" w:rsidR="00617CB2" w:rsidRPr="004C7F84" w:rsidRDefault="00617CB2" w:rsidP="00514306">
      <w:pPr>
        <w:pStyle w:val="SingleTxt"/>
        <w:numPr>
          <w:ilvl w:val="0"/>
          <w:numId w:val="5"/>
        </w:numPr>
        <w:spacing w:line="240" w:lineRule="exact"/>
        <w:ind w:left="1267" w:firstLine="0"/>
      </w:pPr>
      <w:r w:rsidRPr="004C7F84">
        <w:t>Depuis la présentation du rapport précédent en1995, l</w:t>
      </w:r>
      <w:r w:rsidR="00773F5D" w:rsidRPr="004C7F84">
        <w:t>’</w:t>
      </w:r>
      <w:r w:rsidRPr="004C7F84">
        <w:t>État partie a adopté de nouvelles lois, politiques et mesures qui portent spécifiquement sur les relations entre les sexes ou prennent en compte la problématique hommes-femmes. Par ailleurs, plusieurs organisations de la société civile ont été cré</w:t>
      </w:r>
      <w:r w:rsidR="00E54D5A" w:rsidRPr="004C7F84">
        <w:t xml:space="preserve">ées pour apporter des solutions </w:t>
      </w:r>
      <w:r w:rsidRPr="004C7F84">
        <w:t>aux questions touchan</w:t>
      </w:r>
      <w:r w:rsidR="00E54D5A" w:rsidRPr="004C7F84">
        <w:t xml:space="preserve">t </w:t>
      </w:r>
      <w:r w:rsidRPr="004C7F84">
        <w:t>les femmes. Ces changements ont contribué à améliorer sensiblement la condition de la femme et à éliminer certaines formes de discrimination à leur égard. Les faits nouveaux les plus importants seront examinés dans les parties pertinentes du présent rapport, mais on trouvera déjà dans l</w:t>
      </w:r>
      <w:r w:rsidR="00773F5D" w:rsidRPr="004C7F84">
        <w:t>’</w:t>
      </w:r>
      <w:r w:rsidRPr="004C7F84">
        <w:t>introduction la liste de la plupart des lois, mesures et organisations mentionnées plus haut.</w:t>
      </w:r>
      <w:r w:rsidR="00773F5D" w:rsidRPr="004C7F84">
        <w:t xml:space="preserve"> </w:t>
      </w:r>
    </w:p>
    <w:p w14:paraId="601E9639" w14:textId="2C68766B" w:rsidR="00617CB2" w:rsidRPr="004C7F84" w:rsidRDefault="007F5496" w:rsidP="00514306">
      <w:pPr>
        <w:pStyle w:val="SingleTxt"/>
        <w:numPr>
          <w:ilvl w:val="0"/>
          <w:numId w:val="5"/>
        </w:numPr>
        <w:spacing w:line="240" w:lineRule="exact"/>
        <w:ind w:left="1267" w:firstLine="0"/>
      </w:pPr>
      <w:r w:rsidRPr="004C7F84">
        <w:t>Lois, politiques et rapports</w:t>
      </w:r>
      <w:r w:rsidR="00773F5D" w:rsidRPr="004C7F84">
        <w:t> :</w:t>
      </w:r>
    </w:p>
    <w:p w14:paraId="1075F129" w14:textId="6CA5DD71" w:rsidR="00617CB2" w:rsidRPr="004C7F84" w:rsidRDefault="00E54D5A" w:rsidP="00514306">
      <w:pPr>
        <w:pStyle w:val="SingleTxt"/>
        <w:numPr>
          <w:ilvl w:val="0"/>
          <w:numId w:val="6"/>
        </w:numPr>
      </w:pPr>
      <w:r w:rsidRPr="004C7F84">
        <w:tab/>
        <w:t>L</w:t>
      </w:r>
      <w:r w:rsidR="00617CB2" w:rsidRPr="004C7F84">
        <w:t xml:space="preserve">oi de </w:t>
      </w:r>
      <w:r w:rsidR="00B819CF" w:rsidRPr="004C7F84">
        <w:t xml:space="preserve">1995 </w:t>
      </w:r>
      <w:r w:rsidR="00617CB2" w:rsidRPr="004C7F84">
        <w:t>sur les infractions sexuelles</w:t>
      </w:r>
      <w:r w:rsidR="00773F5D" w:rsidRPr="004C7F84">
        <w:t> ;</w:t>
      </w:r>
    </w:p>
    <w:p w14:paraId="09EACE30" w14:textId="0AD13301" w:rsidR="00617CB2" w:rsidRPr="004C7F84" w:rsidRDefault="00617CB2" w:rsidP="00514306">
      <w:pPr>
        <w:pStyle w:val="SingleTxt"/>
        <w:numPr>
          <w:ilvl w:val="0"/>
          <w:numId w:val="6"/>
        </w:numPr>
      </w:pPr>
      <w:r w:rsidRPr="004C7F84">
        <w:tab/>
        <w:t>Loi de 1999 sur la violence familiale (procédure en référé) et loi de 2015 sur la violence familiale</w:t>
      </w:r>
      <w:r w:rsidR="00773F5D" w:rsidRPr="004C7F84">
        <w:t> ;</w:t>
      </w:r>
    </w:p>
    <w:p w14:paraId="2FDB8E24" w14:textId="54075483" w:rsidR="00617CB2" w:rsidRPr="004C7F84" w:rsidRDefault="00E54D5A" w:rsidP="00514306">
      <w:pPr>
        <w:pStyle w:val="SingleTxt"/>
        <w:numPr>
          <w:ilvl w:val="0"/>
          <w:numId w:val="6"/>
        </w:numPr>
      </w:pPr>
      <w:r w:rsidRPr="004C7F84">
        <w:tab/>
        <w:t xml:space="preserve">Initiative lancée </w:t>
      </w:r>
      <w:r w:rsidR="00617CB2" w:rsidRPr="004C7F84">
        <w:t>en 2001 par l</w:t>
      </w:r>
      <w:r w:rsidR="00773F5D" w:rsidRPr="004C7F84">
        <w:t>’</w:t>
      </w:r>
      <w:r w:rsidR="00617CB2" w:rsidRPr="004C7F84">
        <w:t>Organisation des États des Caraïbes orientales (OECO) pour réformer le droit de l</w:t>
      </w:r>
      <w:r w:rsidRPr="004C7F84">
        <w:t xml:space="preserve">a famille et la législation sur </w:t>
      </w:r>
      <w:r w:rsidR="00617CB2" w:rsidRPr="004C7F84">
        <w:t>la violence familiale</w:t>
      </w:r>
      <w:r w:rsidR="00773F5D" w:rsidRPr="004C7F84">
        <w:t> ;</w:t>
      </w:r>
    </w:p>
    <w:p w14:paraId="48048DFD" w14:textId="566416F8" w:rsidR="00617CB2" w:rsidRPr="004C7F84" w:rsidRDefault="00617CB2" w:rsidP="00514306">
      <w:pPr>
        <w:pStyle w:val="SingleTxt"/>
        <w:numPr>
          <w:ilvl w:val="0"/>
          <w:numId w:val="6"/>
        </w:numPr>
      </w:pPr>
      <w:r w:rsidRPr="004C7F84">
        <w:tab/>
        <w:t>Loi de 2003 sur la protection de l</w:t>
      </w:r>
      <w:r w:rsidR="00773F5D" w:rsidRPr="004C7F84">
        <w:t>’</w:t>
      </w:r>
      <w:r w:rsidRPr="004C7F84">
        <w:t>enfance</w:t>
      </w:r>
      <w:r w:rsidR="00773F5D" w:rsidRPr="004C7F84">
        <w:t> ;</w:t>
      </w:r>
    </w:p>
    <w:p w14:paraId="55CD4B73" w14:textId="0D13CED1" w:rsidR="00617CB2" w:rsidRPr="004C7F84" w:rsidRDefault="00E54D5A" w:rsidP="00514306">
      <w:pPr>
        <w:pStyle w:val="SingleTxt"/>
        <w:numPr>
          <w:ilvl w:val="0"/>
          <w:numId w:val="6"/>
        </w:numPr>
      </w:pPr>
      <w:r w:rsidRPr="004C7F84">
        <w:tab/>
        <w:t>Loi de 2008 sur l</w:t>
      </w:r>
      <w:r w:rsidR="00773F5D" w:rsidRPr="004C7F84">
        <w:t>’</w:t>
      </w:r>
      <w:r w:rsidRPr="004C7F84">
        <w:t>enseignement</w:t>
      </w:r>
      <w:r w:rsidR="00773F5D" w:rsidRPr="004C7F84">
        <w:t> ;</w:t>
      </w:r>
    </w:p>
    <w:p w14:paraId="47AC3199" w14:textId="193B676D" w:rsidR="00617CB2" w:rsidRPr="004C7F84" w:rsidRDefault="00617CB2" w:rsidP="00514306">
      <w:pPr>
        <w:pStyle w:val="SingleTxt"/>
        <w:numPr>
          <w:ilvl w:val="0"/>
          <w:numId w:val="6"/>
        </w:numPr>
      </w:pPr>
      <w:r w:rsidRPr="004C7F84">
        <w:tab/>
        <w:t>Loi amendée de 2015 sur la violence familiale</w:t>
      </w:r>
      <w:r w:rsidR="00773F5D" w:rsidRPr="004C7F84">
        <w:t> ;</w:t>
      </w:r>
    </w:p>
    <w:p w14:paraId="30A9A1F6" w14:textId="4C2CFA32" w:rsidR="00617CB2" w:rsidRPr="004C7F84" w:rsidRDefault="00617CB2" w:rsidP="00514306">
      <w:pPr>
        <w:pStyle w:val="SingleTxt"/>
        <w:numPr>
          <w:ilvl w:val="0"/>
          <w:numId w:val="6"/>
        </w:numPr>
      </w:pPr>
      <w:r w:rsidRPr="004C7F84">
        <w:tab/>
        <w:t>Loi de 2008 sur la pension alimentaire destinée à l</w:t>
      </w:r>
      <w:r w:rsidR="00773F5D" w:rsidRPr="004C7F84">
        <w:t>’</w:t>
      </w:r>
      <w:r w:rsidRPr="004C7F84">
        <w:t>entretien des enfants et sur le droit de visite</w:t>
      </w:r>
      <w:r w:rsidR="00773F5D" w:rsidRPr="004C7F84">
        <w:t> ;</w:t>
      </w:r>
      <w:r w:rsidRPr="004C7F84">
        <w:t xml:space="preserve"> </w:t>
      </w:r>
    </w:p>
    <w:p w14:paraId="78EAFF1F" w14:textId="03293A18" w:rsidR="00617CB2" w:rsidRPr="004C7F84" w:rsidRDefault="00617CB2" w:rsidP="00514306">
      <w:pPr>
        <w:pStyle w:val="SingleTxt"/>
        <w:numPr>
          <w:ilvl w:val="0"/>
          <w:numId w:val="6"/>
        </w:numPr>
      </w:pPr>
      <w:r w:rsidRPr="004C7F84">
        <w:tab/>
        <w:t>Loi de 2010 sur la prévention de la traite des personnes</w:t>
      </w:r>
      <w:r w:rsidR="00773F5D" w:rsidRPr="004C7F84">
        <w:t> ;</w:t>
      </w:r>
      <w:r w:rsidRPr="004C7F84">
        <w:t xml:space="preserve"> </w:t>
      </w:r>
    </w:p>
    <w:p w14:paraId="1CA8F4D5" w14:textId="0F191794" w:rsidR="00617CB2" w:rsidRPr="004C7F84" w:rsidRDefault="00617CB2" w:rsidP="00514306">
      <w:pPr>
        <w:pStyle w:val="SingleTxt"/>
        <w:numPr>
          <w:ilvl w:val="0"/>
          <w:numId w:val="6"/>
        </w:numPr>
      </w:pPr>
      <w:r w:rsidRPr="004C7F84">
        <w:tab/>
        <w:t>Politique nationale d</w:t>
      </w:r>
      <w:r w:rsidR="00773F5D" w:rsidRPr="004C7F84">
        <w:t>’</w:t>
      </w:r>
      <w:r w:rsidRPr="004C7F84">
        <w:t>éducation à la santé et à la vie de famille (2010)</w:t>
      </w:r>
      <w:r w:rsidR="00773F5D" w:rsidRPr="004C7F84">
        <w:t> ;</w:t>
      </w:r>
    </w:p>
    <w:p w14:paraId="24214974" w14:textId="437D6D00" w:rsidR="00617CB2" w:rsidRPr="004C7F84" w:rsidRDefault="00617CB2" w:rsidP="00514306">
      <w:pPr>
        <w:pStyle w:val="SingleTxt"/>
        <w:numPr>
          <w:ilvl w:val="0"/>
          <w:numId w:val="6"/>
        </w:numPr>
      </w:pPr>
      <w:r w:rsidRPr="004C7F84">
        <w:tab/>
        <w:t>National Report of Antigua and Barbuda</w:t>
      </w:r>
      <w:r w:rsidR="00773F5D" w:rsidRPr="004C7F84">
        <w:t> :</w:t>
      </w:r>
      <w:r w:rsidRPr="004C7F84">
        <w:t xml:space="preserve"> Situational Analysis of Sexuality Education, 2010 (Rapport d</w:t>
      </w:r>
      <w:r w:rsidR="00773F5D" w:rsidRPr="004C7F84">
        <w:t>’</w:t>
      </w:r>
      <w:r w:rsidRPr="004C7F84">
        <w:t>Antigua-et-Barbuda: Analyse de l</w:t>
      </w:r>
      <w:r w:rsidR="00773F5D" w:rsidRPr="004C7F84">
        <w:t>’</w:t>
      </w:r>
      <w:r w:rsidRPr="004C7F84">
        <w:t>éducation sexuelle)</w:t>
      </w:r>
      <w:r w:rsidR="00773F5D" w:rsidRPr="004C7F84">
        <w:t> ;</w:t>
      </w:r>
    </w:p>
    <w:p w14:paraId="5D6C7774" w14:textId="3EBCCDE7" w:rsidR="00617CB2" w:rsidRPr="004C7F84" w:rsidRDefault="00617CB2" w:rsidP="00514306">
      <w:pPr>
        <w:pStyle w:val="SingleTxt"/>
        <w:keepNext/>
        <w:keepLines/>
        <w:numPr>
          <w:ilvl w:val="0"/>
          <w:numId w:val="6"/>
        </w:numPr>
        <w:jc w:val="left"/>
      </w:pPr>
      <w:r w:rsidRPr="004C7F84">
        <w:lastRenderedPageBreak/>
        <w:tab/>
        <w:t xml:space="preserve">CDB Country Gender Assessment </w:t>
      </w:r>
      <w:r w:rsidR="00E54D5A" w:rsidRPr="004C7F84">
        <w:t>–</w:t>
      </w:r>
      <w:r w:rsidRPr="004C7F84">
        <w:t xml:space="preserve"> Antigua and Barbuda (2014) (Évaluation de l</w:t>
      </w:r>
      <w:r w:rsidR="00773F5D" w:rsidRPr="004C7F84">
        <w:t>’</w:t>
      </w:r>
      <w:r w:rsidRPr="004C7F84">
        <w:t>égalité des sexes dans les pays des Caraïbes, effectuée à la demande de la Banque de développement des Caraïbes en 2014</w:t>
      </w:r>
      <w:r w:rsidR="00773F5D" w:rsidRPr="004C7F84">
        <w:t> :</w:t>
      </w:r>
      <w:r w:rsidRPr="004C7F84">
        <w:t xml:space="preserve"> Antigua-et-Barbuda)</w:t>
      </w:r>
      <w:r w:rsidR="00773F5D" w:rsidRPr="004C7F84">
        <w:t> ;</w:t>
      </w:r>
    </w:p>
    <w:p w14:paraId="0039D997" w14:textId="139DA1F2" w:rsidR="00617CB2" w:rsidRPr="004C7F84" w:rsidRDefault="00617CB2" w:rsidP="00514306">
      <w:pPr>
        <w:pStyle w:val="SingleTxt"/>
        <w:numPr>
          <w:ilvl w:val="0"/>
          <w:numId w:val="6"/>
        </w:numPr>
        <w:jc w:val="left"/>
      </w:pPr>
      <w:r w:rsidRPr="004C7F84">
        <w:tab/>
        <w:t>Examen après 20 ans de la mise en œuvre de la Déclaration et du Programme d</w:t>
      </w:r>
      <w:r w:rsidR="00773F5D" w:rsidRPr="004C7F84">
        <w:t>’</w:t>
      </w:r>
      <w:r w:rsidRPr="004C7F84">
        <w:rPr>
          <w:iCs/>
        </w:rPr>
        <w:t>action</w:t>
      </w:r>
      <w:r w:rsidRPr="004C7F84">
        <w:t xml:space="preserve"> de </w:t>
      </w:r>
      <w:r w:rsidRPr="004C7F84">
        <w:rPr>
          <w:iCs/>
        </w:rPr>
        <w:t>Beijing, effectué en 2015 par Antigua-et-Barbuda</w:t>
      </w:r>
      <w:r w:rsidR="00773F5D" w:rsidRPr="004C7F84">
        <w:rPr>
          <w:iCs/>
        </w:rPr>
        <w:t> ;</w:t>
      </w:r>
    </w:p>
    <w:p w14:paraId="26825BE8" w14:textId="2532FD62" w:rsidR="00617CB2" w:rsidRPr="004C7F84" w:rsidRDefault="00617CB2" w:rsidP="00514306">
      <w:pPr>
        <w:pStyle w:val="SingleTxt"/>
        <w:numPr>
          <w:ilvl w:val="0"/>
          <w:numId w:val="6"/>
        </w:numPr>
        <w:jc w:val="left"/>
      </w:pPr>
      <w:r w:rsidRPr="004C7F84">
        <w:tab/>
        <w:t>Plan d</w:t>
      </w:r>
      <w:r w:rsidR="00773F5D" w:rsidRPr="004C7F84">
        <w:t>’</w:t>
      </w:r>
      <w:r w:rsidRPr="004C7F84">
        <w:t xml:space="preserve">action national visant à mettre un terme à la </w:t>
      </w:r>
      <w:r w:rsidRPr="004C7F84">
        <w:rPr>
          <w:iCs/>
        </w:rPr>
        <w:t>violence</w:t>
      </w:r>
      <w:r w:rsidRPr="004C7F84">
        <w:t xml:space="preserve"> sexiste (2013</w:t>
      </w:r>
      <w:r w:rsidR="00E54D5A" w:rsidRPr="004C7F84">
        <w:t>­</w:t>
      </w:r>
      <w:r w:rsidRPr="004C7F84">
        <w:t>2018)</w:t>
      </w:r>
      <w:r w:rsidR="00773F5D" w:rsidRPr="004C7F84">
        <w:t> ;</w:t>
      </w:r>
    </w:p>
    <w:p w14:paraId="77927F0D" w14:textId="55A02310" w:rsidR="00617CB2" w:rsidRPr="004C7F84" w:rsidRDefault="00617CB2" w:rsidP="00514306">
      <w:pPr>
        <w:pStyle w:val="SingleTxt"/>
        <w:numPr>
          <w:ilvl w:val="0"/>
          <w:numId w:val="6"/>
        </w:numPr>
        <w:jc w:val="left"/>
      </w:pPr>
      <w:r w:rsidRPr="004C7F84">
        <w:tab/>
        <w:t>Examen de la législation et des politiques sur la violence sexuelle et</w:t>
      </w:r>
      <w:r w:rsidR="00E54D5A" w:rsidRPr="004C7F84">
        <w:t> </w:t>
      </w:r>
      <w:r w:rsidRPr="004C7F84">
        <w:t>sexiste</w:t>
      </w:r>
      <w:r w:rsidR="00773F5D" w:rsidRPr="004C7F84">
        <w:t> :</w:t>
      </w:r>
      <w:r w:rsidRPr="004C7F84">
        <w:t xml:space="preserve"> Antigua-et-Barbuda (2015)</w:t>
      </w:r>
      <w:r w:rsidR="006E7D5E" w:rsidRPr="004C7F84">
        <w:t>.</w:t>
      </w:r>
    </w:p>
    <w:p w14:paraId="0BAF9371" w14:textId="69B8198F" w:rsidR="000036EF" w:rsidRPr="004C7F84" w:rsidRDefault="000036EF" w:rsidP="000036EF">
      <w:pPr>
        <w:pStyle w:val="SingleTxt"/>
        <w:spacing w:after="0" w:line="120" w:lineRule="exact"/>
        <w:rPr>
          <w:sz w:val="10"/>
        </w:rPr>
      </w:pPr>
    </w:p>
    <w:p w14:paraId="56B9760A" w14:textId="23F23779" w:rsidR="000036EF" w:rsidRPr="004C7F84" w:rsidRDefault="000036EF" w:rsidP="000036EF">
      <w:pPr>
        <w:pStyle w:val="SingleTxt"/>
        <w:spacing w:after="0" w:line="120" w:lineRule="exact"/>
        <w:rPr>
          <w:sz w:val="10"/>
        </w:rPr>
      </w:pPr>
    </w:p>
    <w:tbl>
      <w:tblPr>
        <w:tblStyle w:val="TableGrid"/>
        <w:tblW w:w="8613"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3"/>
        <w:gridCol w:w="4580"/>
        <w:gridCol w:w="450"/>
        <w:gridCol w:w="3310"/>
      </w:tblGrid>
      <w:tr w:rsidR="003A5332" w:rsidRPr="004C7F84" w14:paraId="0E0C70F9" w14:textId="77777777" w:rsidTr="004624E1">
        <w:trPr>
          <w:tblHeader/>
        </w:trPr>
        <w:tc>
          <w:tcPr>
            <w:tcW w:w="273" w:type="dxa"/>
            <w:tcBorders>
              <w:top w:val="single" w:sz="4" w:space="0" w:color="auto"/>
              <w:bottom w:val="single" w:sz="12" w:space="0" w:color="auto"/>
            </w:tcBorders>
            <w:shd w:val="clear" w:color="auto" w:fill="auto"/>
            <w:vAlign w:val="bottom"/>
          </w:tcPr>
          <w:p w14:paraId="10A3B037" w14:textId="45A25709" w:rsidR="00F103D9" w:rsidRPr="004C7F84" w:rsidRDefault="00F103D9"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4580" w:type="dxa"/>
            <w:tcBorders>
              <w:top w:val="single" w:sz="4" w:space="0" w:color="auto"/>
              <w:bottom w:val="single" w:sz="12" w:space="0" w:color="auto"/>
            </w:tcBorders>
            <w:shd w:val="clear" w:color="auto" w:fill="auto"/>
            <w:vAlign w:val="bottom"/>
          </w:tcPr>
          <w:p w14:paraId="72ABE3B4" w14:textId="58902A76" w:rsidR="00F103D9" w:rsidRPr="004C7F84" w:rsidRDefault="00617CB2"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4C7F84">
              <w:rPr>
                <w:i/>
                <w:sz w:val="14"/>
              </w:rPr>
              <w:t>Nouveaux programmes</w:t>
            </w:r>
          </w:p>
        </w:tc>
        <w:tc>
          <w:tcPr>
            <w:tcW w:w="450" w:type="dxa"/>
            <w:tcBorders>
              <w:top w:val="single" w:sz="4" w:space="0" w:color="auto"/>
              <w:bottom w:val="single" w:sz="12" w:space="0" w:color="auto"/>
            </w:tcBorders>
            <w:shd w:val="clear" w:color="auto" w:fill="auto"/>
            <w:vAlign w:val="bottom"/>
          </w:tcPr>
          <w:p w14:paraId="474B534C" w14:textId="77777777" w:rsidR="00F103D9" w:rsidRPr="004C7F84" w:rsidRDefault="00F103D9"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c>
          <w:tcPr>
            <w:tcW w:w="3310" w:type="dxa"/>
            <w:tcBorders>
              <w:top w:val="single" w:sz="4" w:space="0" w:color="auto"/>
              <w:bottom w:val="single" w:sz="12" w:space="0" w:color="auto"/>
            </w:tcBorders>
            <w:shd w:val="clear" w:color="auto" w:fill="auto"/>
            <w:vAlign w:val="bottom"/>
          </w:tcPr>
          <w:p w14:paraId="2FC75B75" w14:textId="4D4BC049" w:rsidR="00F103D9" w:rsidRPr="004C7F84" w:rsidRDefault="00617CB2"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4C7F84">
              <w:rPr>
                <w:i/>
                <w:sz w:val="14"/>
              </w:rPr>
              <w:t>Nouvelles organisations</w:t>
            </w:r>
          </w:p>
        </w:tc>
      </w:tr>
      <w:tr w:rsidR="00F103D9" w:rsidRPr="004C7F84" w14:paraId="586EA0DA" w14:textId="77777777" w:rsidTr="004624E1">
        <w:trPr>
          <w:trHeight w:hRule="exact" w:val="115"/>
          <w:tblHeader/>
        </w:trPr>
        <w:tc>
          <w:tcPr>
            <w:tcW w:w="273" w:type="dxa"/>
            <w:tcBorders>
              <w:top w:val="single" w:sz="12" w:space="0" w:color="auto"/>
            </w:tcBorders>
            <w:shd w:val="clear" w:color="auto" w:fill="auto"/>
            <w:vAlign w:val="bottom"/>
          </w:tcPr>
          <w:p w14:paraId="74E60084" w14:textId="77777777" w:rsidR="00F103D9" w:rsidRPr="004C7F84" w:rsidRDefault="00F103D9"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pPr>
          </w:p>
        </w:tc>
        <w:tc>
          <w:tcPr>
            <w:tcW w:w="4580" w:type="dxa"/>
            <w:tcBorders>
              <w:top w:val="single" w:sz="12" w:space="0" w:color="auto"/>
            </w:tcBorders>
            <w:shd w:val="clear" w:color="auto" w:fill="auto"/>
            <w:vAlign w:val="bottom"/>
          </w:tcPr>
          <w:p w14:paraId="36AEB75F" w14:textId="77777777" w:rsidR="00F103D9" w:rsidRPr="004C7F84" w:rsidRDefault="00F103D9"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c>
          <w:tcPr>
            <w:tcW w:w="450" w:type="dxa"/>
            <w:tcBorders>
              <w:top w:val="single" w:sz="12" w:space="0" w:color="auto"/>
            </w:tcBorders>
            <w:shd w:val="clear" w:color="auto" w:fill="auto"/>
            <w:vAlign w:val="bottom"/>
          </w:tcPr>
          <w:p w14:paraId="67BD953F" w14:textId="77777777" w:rsidR="00F103D9" w:rsidRPr="004C7F84" w:rsidRDefault="00F103D9"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c>
          <w:tcPr>
            <w:tcW w:w="3310" w:type="dxa"/>
            <w:tcBorders>
              <w:top w:val="single" w:sz="12" w:space="0" w:color="auto"/>
            </w:tcBorders>
            <w:shd w:val="clear" w:color="auto" w:fill="auto"/>
            <w:vAlign w:val="bottom"/>
          </w:tcPr>
          <w:p w14:paraId="6F1374A4" w14:textId="77777777" w:rsidR="00F103D9" w:rsidRPr="004C7F84" w:rsidRDefault="00F103D9"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CF7DEC" w:rsidRPr="007E489D" w14:paraId="79EE34F0" w14:textId="77777777" w:rsidTr="004624E1">
        <w:tc>
          <w:tcPr>
            <w:tcW w:w="273" w:type="dxa"/>
            <w:shd w:val="clear" w:color="auto" w:fill="auto"/>
          </w:tcPr>
          <w:p w14:paraId="0E56AF4A"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C7F84">
              <w:t>1</w:t>
            </w:r>
          </w:p>
        </w:tc>
        <w:tc>
          <w:tcPr>
            <w:tcW w:w="4580" w:type="dxa"/>
            <w:shd w:val="clear" w:color="auto" w:fill="auto"/>
          </w:tcPr>
          <w:p w14:paraId="2E8F7184" w14:textId="7F821EAF" w:rsidR="00CF7DEC" w:rsidRPr="004C7F84" w:rsidRDefault="00CF7DEC" w:rsidP="009066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15" w:right="43" w:hanging="29"/>
              <w:jc w:val="left"/>
            </w:pPr>
            <w:r w:rsidRPr="004C7F84">
              <w:t>Participation des femmes dans la sphère politique</w:t>
            </w:r>
            <w:r w:rsidR="00773F5D" w:rsidRPr="004C7F84">
              <w:t> :</w:t>
            </w:r>
            <w:r w:rsidRPr="004C7F84">
              <w:t xml:space="preserve"> formation dans les domaines de la gouvernance et de la démocratie (2002)</w:t>
            </w:r>
          </w:p>
        </w:tc>
        <w:tc>
          <w:tcPr>
            <w:tcW w:w="450" w:type="dxa"/>
            <w:shd w:val="clear" w:color="auto" w:fill="auto"/>
          </w:tcPr>
          <w:p w14:paraId="5002A14E"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1</w:t>
            </w:r>
          </w:p>
        </w:tc>
        <w:tc>
          <w:tcPr>
            <w:tcW w:w="3310" w:type="dxa"/>
            <w:shd w:val="clear" w:color="auto" w:fill="auto"/>
          </w:tcPr>
          <w:p w14:paraId="0FF30AB3" w14:textId="78640B57" w:rsidR="00CF7DEC" w:rsidRPr="00F05573"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US"/>
              </w:rPr>
            </w:pPr>
            <w:r w:rsidRPr="00F05573">
              <w:rPr>
                <w:lang w:val="en-US"/>
              </w:rPr>
              <w:t xml:space="preserve">Professional Organization of Women in Antigua (POWA) (1997) </w:t>
            </w:r>
          </w:p>
        </w:tc>
      </w:tr>
      <w:tr w:rsidR="00CF7DEC" w:rsidRPr="007E489D" w14:paraId="5F9392E6" w14:textId="77777777" w:rsidTr="004624E1">
        <w:tc>
          <w:tcPr>
            <w:tcW w:w="273" w:type="dxa"/>
            <w:shd w:val="clear" w:color="auto" w:fill="auto"/>
          </w:tcPr>
          <w:p w14:paraId="4271D911"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C7F84">
              <w:t>2</w:t>
            </w:r>
          </w:p>
        </w:tc>
        <w:tc>
          <w:tcPr>
            <w:tcW w:w="4580" w:type="dxa"/>
            <w:shd w:val="clear" w:color="auto" w:fill="auto"/>
          </w:tcPr>
          <w:p w14:paraId="24A14103" w14:textId="777A5FF5" w:rsidR="00CF7DEC" w:rsidRPr="004C7F84" w:rsidRDefault="00CF7DEC" w:rsidP="009066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15" w:right="43" w:hanging="29"/>
              <w:jc w:val="left"/>
            </w:pPr>
            <w:r w:rsidRPr="004C7F84">
              <w:t xml:space="preserve">Programme de subvention des uniformes scolaires (2004) </w:t>
            </w:r>
          </w:p>
        </w:tc>
        <w:tc>
          <w:tcPr>
            <w:tcW w:w="450" w:type="dxa"/>
            <w:shd w:val="clear" w:color="auto" w:fill="auto"/>
          </w:tcPr>
          <w:p w14:paraId="5947CFC7"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2</w:t>
            </w:r>
          </w:p>
        </w:tc>
        <w:tc>
          <w:tcPr>
            <w:tcW w:w="3310" w:type="dxa"/>
            <w:shd w:val="clear" w:color="auto" w:fill="auto"/>
          </w:tcPr>
          <w:p w14:paraId="32FAEE45" w14:textId="6912D9D3" w:rsidR="00CF7DEC" w:rsidRPr="00F05573"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US"/>
              </w:rPr>
            </w:pPr>
            <w:r w:rsidRPr="00F05573">
              <w:rPr>
                <w:lang w:val="en-US"/>
              </w:rPr>
              <w:t xml:space="preserve">Health, Hope and HIV Network (1999) </w:t>
            </w:r>
          </w:p>
        </w:tc>
      </w:tr>
      <w:tr w:rsidR="00CF7DEC" w:rsidRPr="004C7F84" w14:paraId="1EAAF1A4" w14:textId="77777777" w:rsidTr="004624E1">
        <w:tc>
          <w:tcPr>
            <w:tcW w:w="273" w:type="dxa"/>
            <w:shd w:val="clear" w:color="auto" w:fill="auto"/>
          </w:tcPr>
          <w:p w14:paraId="3B77667C"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C7F84">
              <w:t>3</w:t>
            </w:r>
          </w:p>
        </w:tc>
        <w:tc>
          <w:tcPr>
            <w:tcW w:w="4580" w:type="dxa"/>
            <w:shd w:val="clear" w:color="auto" w:fill="auto"/>
          </w:tcPr>
          <w:p w14:paraId="6EA37038" w14:textId="62471A4D" w:rsidR="00CF7DEC" w:rsidRPr="004C7F84" w:rsidRDefault="00CF7DEC" w:rsidP="009066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15" w:right="43" w:hanging="29"/>
              <w:jc w:val="left"/>
            </w:pPr>
            <w:r w:rsidRPr="004C7F84">
              <w:t>Programme national de repas scolaires (2008)</w:t>
            </w:r>
          </w:p>
        </w:tc>
        <w:tc>
          <w:tcPr>
            <w:tcW w:w="450" w:type="dxa"/>
            <w:shd w:val="clear" w:color="auto" w:fill="auto"/>
          </w:tcPr>
          <w:p w14:paraId="0F1517FF"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3</w:t>
            </w:r>
          </w:p>
        </w:tc>
        <w:tc>
          <w:tcPr>
            <w:tcW w:w="3310" w:type="dxa"/>
            <w:shd w:val="clear" w:color="auto" w:fill="auto"/>
          </w:tcPr>
          <w:p w14:paraId="37464AA8" w14:textId="69B0578C"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Women Against Rape (WAR) (2006)</w:t>
            </w:r>
          </w:p>
        </w:tc>
      </w:tr>
      <w:tr w:rsidR="00CF7DEC" w:rsidRPr="007E489D" w14:paraId="41E7E382" w14:textId="77777777" w:rsidTr="004624E1">
        <w:tc>
          <w:tcPr>
            <w:tcW w:w="273" w:type="dxa"/>
            <w:shd w:val="clear" w:color="auto" w:fill="auto"/>
          </w:tcPr>
          <w:p w14:paraId="1F04D58E"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C7F84">
              <w:t>4</w:t>
            </w:r>
          </w:p>
        </w:tc>
        <w:tc>
          <w:tcPr>
            <w:tcW w:w="4580" w:type="dxa"/>
            <w:shd w:val="clear" w:color="auto" w:fill="auto"/>
          </w:tcPr>
          <w:p w14:paraId="17816C2D" w14:textId="0AA3E95B" w:rsidR="00CF7DEC" w:rsidRPr="004C7F84" w:rsidRDefault="00CF7DEC" w:rsidP="009066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15" w:right="43" w:hanging="29"/>
              <w:jc w:val="left"/>
            </w:pPr>
            <w:r w:rsidRPr="004C7F84">
              <w:t>Subvention accordée aux personnes âgées pour le paiement des factures d</w:t>
            </w:r>
            <w:r w:rsidR="00773F5D" w:rsidRPr="004C7F84">
              <w:t>’</w:t>
            </w:r>
            <w:r w:rsidRPr="004C7F84">
              <w:t>eau et d</w:t>
            </w:r>
            <w:r w:rsidR="00773F5D" w:rsidRPr="004C7F84">
              <w:t>’</w:t>
            </w:r>
            <w:r w:rsidRPr="004C7F84">
              <w:t>électricité (2008)</w:t>
            </w:r>
          </w:p>
        </w:tc>
        <w:tc>
          <w:tcPr>
            <w:tcW w:w="450" w:type="dxa"/>
            <w:shd w:val="clear" w:color="auto" w:fill="auto"/>
          </w:tcPr>
          <w:p w14:paraId="5B1FA7AE"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4</w:t>
            </w:r>
          </w:p>
        </w:tc>
        <w:tc>
          <w:tcPr>
            <w:tcW w:w="3310" w:type="dxa"/>
            <w:shd w:val="clear" w:color="auto" w:fill="auto"/>
          </w:tcPr>
          <w:p w14:paraId="687093ED" w14:textId="736D17C4" w:rsidR="00CF7DEC" w:rsidRPr="00F05573"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US"/>
              </w:rPr>
            </w:pPr>
            <w:r w:rsidRPr="00F05573">
              <w:rPr>
                <w:lang w:val="en-US"/>
              </w:rPr>
              <w:t>Caribbean Institute for Women in Leadership (CIWIL) (2008)</w:t>
            </w:r>
          </w:p>
        </w:tc>
      </w:tr>
      <w:tr w:rsidR="00CF7DEC" w:rsidRPr="004C7F84" w14:paraId="31EE92E9" w14:textId="77777777" w:rsidTr="004624E1">
        <w:tc>
          <w:tcPr>
            <w:tcW w:w="273" w:type="dxa"/>
            <w:shd w:val="clear" w:color="auto" w:fill="auto"/>
          </w:tcPr>
          <w:p w14:paraId="780FC817"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C7F84">
              <w:t>5</w:t>
            </w:r>
          </w:p>
        </w:tc>
        <w:tc>
          <w:tcPr>
            <w:tcW w:w="4580" w:type="dxa"/>
            <w:shd w:val="clear" w:color="auto" w:fill="auto"/>
          </w:tcPr>
          <w:p w14:paraId="107C20B5" w14:textId="1446E4C0" w:rsidR="00CF7DEC" w:rsidRPr="004C7F84" w:rsidRDefault="00CF7DEC" w:rsidP="009066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15" w:right="43" w:hanging="29"/>
              <w:jc w:val="left"/>
            </w:pPr>
            <w:r w:rsidRPr="004C7F84">
              <w:t>Programme d</w:t>
            </w:r>
            <w:r w:rsidR="00773F5D" w:rsidRPr="004C7F84">
              <w:t>’</w:t>
            </w:r>
            <w:r w:rsidRPr="004C7F84">
              <w:t>allocations versées aux personnes en</w:t>
            </w:r>
            <w:r w:rsidR="00906620" w:rsidRPr="004C7F84">
              <w:t> </w:t>
            </w:r>
            <w:r w:rsidRPr="004C7F84">
              <w:t>situation précaire (2009)</w:t>
            </w:r>
          </w:p>
        </w:tc>
        <w:tc>
          <w:tcPr>
            <w:tcW w:w="450" w:type="dxa"/>
            <w:shd w:val="clear" w:color="auto" w:fill="auto"/>
          </w:tcPr>
          <w:p w14:paraId="04FF6718"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5</w:t>
            </w:r>
          </w:p>
        </w:tc>
        <w:tc>
          <w:tcPr>
            <w:tcW w:w="3310" w:type="dxa"/>
            <w:shd w:val="clear" w:color="auto" w:fill="auto"/>
          </w:tcPr>
          <w:p w14:paraId="5522C50E" w14:textId="15AA8BA3"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Together We Must (2009)</w:t>
            </w:r>
          </w:p>
        </w:tc>
      </w:tr>
      <w:tr w:rsidR="00CF7DEC" w:rsidRPr="007E489D" w14:paraId="280868B4" w14:textId="77777777" w:rsidTr="004624E1">
        <w:tc>
          <w:tcPr>
            <w:tcW w:w="273" w:type="dxa"/>
            <w:shd w:val="clear" w:color="auto" w:fill="auto"/>
          </w:tcPr>
          <w:p w14:paraId="2886D2E8"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C7F84">
              <w:t>6</w:t>
            </w:r>
          </w:p>
        </w:tc>
        <w:tc>
          <w:tcPr>
            <w:tcW w:w="4580" w:type="dxa"/>
            <w:shd w:val="clear" w:color="auto" w:fill="auto"/>
          </w:tcPr>
          <w:p w14:paraId="5755D516" w14:textId="010DA53E" w:rsidR="00CF7DEC" w:rsidRPr="004C7F84" w:rsidRDefault="00CF7DEC" w:rsidP="009066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15" w:right="43" w:hanging="29"/>
              <w:jc w:val="left"/>
            </w:pPr>
            <w:r w:rsidRPr="004C7F84">
              <w:t>Groupe responsable de l</w:t>
            </w:r>
            <w:r w:rsidR="00773F5D" w:rsidRPr="004C7F84">
              <w:t>’</w:t>
            </w:r>
            <w:r w:rsidRPr="004C7F84">
              <w:t>examen des infractions sexuelles</w:t>
            </w:r>
            <w:r w:rsidR="00E03FA8" w:rsidRPr="004C7F84">
              <w:t xml:space="preserve"> (2008)</w:t>
            </w:r>
          </w:p>
        </w:tc>
        <w:tc>
          <w:tcPr>
            <w:tcW w:w="450" w:type="dxa"/>
            <w:shd w:val="clear" w:color="auto" w:fill="auto"/>
          </w:tcPr>
          <w:p w14:paraId="12DC9FC9"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6</w:t>
            </w:r>
          </w:p>
        </w:tc>
        <w:tc>
          <w:tcPr>
            <w:tcW w:w="3310" w:type="dxa"/>
            <w:shd w:val="clear" w:color="auto" w:fill="auto"/>
          </w:tcPr>
          <w:p w14:paraId="34EA9FFC" w14:textId="36EB24F7" w:rsidR="00CF7DEC" w:rsidRPr="00F05573"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US"/>
              </w:rPr>
            </w:pPr>
            <w:r w:rsidRPr="00F05573">
              <w:rPr>
                <w:lang w:val="en-US"/>
              </w:rPr>
              <w:t xml:space="preserve">National Child Protection Reform Committee (NCPRC) </w:t>
            </w:r>
            <w:r w:rsidR="00E03FA8" w:rsidRPr="00F05573">
              <w:rPr>
                <w:lang w:val="en-US"/>
              </w:rPr>
              <w:t>(2009)</w:t>
            </w:r>
          </w:p>
        </w:tc>
      </w:tr>
      <w:tr w:rsidR="00CF7DEC" w:rsidRPr="007E489D" w14:paraId="1E86E746" w14:textId="77777777" w:rsidTr="004624E1">
        <w:tc>
          <w:tcPr>
            <w:tcW w:w="273" w:type="dxa"/>
            <w:shd w:val="clear" w:color="auto" w:fill="auto"/>
          </w:tcPr>
          <w:p w14:paraId="65A59948"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C7F84">
              <w:t>7</w:t>
            </w:r>
          </w:p>
        </w:tc>
        <w:tc>
          <w:tcPr>
            <w:tcW w:w="4580" w:type="dxa"/>
            <w:shd w:val="clear" w:color="auto" w:fill="auto"/>
          </w:tcPr>
          <w:p w14:paraId="1CF63B78" w14:textId="569A9399" w:rsidR="00CF7DEC" w:rsidRPr="004C7F84" w:rsidRDefault="00CF7DEC" w:rsidP="009066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15" w:right="43" w:hanging="29"/>
              <w:jc w:val="left"/>
            </w:pPr>
            <w:r w:rsidRPr="004C7F84">
              <w:t>Centre d</w:t>
            </w:r>
            <w:r w:rsidR="00773F5D" w:rsidRPr="004C7F84">
              <w:t>’</w:t>
            </w:r>
            <w:r w:rsidRPr="004C7F84">
              <w:t>orientation des victimes d</w:t>
            </w:r>
            <w:r w:rsidR="00773F5D" w:rsidRPr="004C7F84">
              <w:t>’</w:t>
            </w:r>
            <w:r w:rsidRPr="004C7F84">
              <w:t>agressions sexuelles (2010)</w:t>
            </w:r>
          </w:p>
        </w:tc>
        <w:tc>
          <w:tcPr>
            <w:tcW w:w="450" w:type="dxa"/>
            <w:shd w:val="clear" w:color="auto" w:fill="auto"/>
          </w:tcPr>
          <w:p w14:paraId="2D543C0B"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7</w:t>
            </w:r>
          </w:p>
        </w:tc>
        <w:tc>
          <w:tcPr>
            <w:tcW w:w="3310" w:type="dxa"/>
            <w:shd w:val="clear" w:color="auto" w:fill="auto"/>
          </w:tcPr>
          <w:p w14:paraId="1390367C" w14:textId="1FE6357C" w:rsidR="00CF7DEC" w:rsidRPr="00F05573"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US"/>
              </w:rPr>
            </w:pPr>
            <w:r w:rsidRPr="00F05573">
              <w:rPr>
                <w:lang w:val="en-US"/>
              </w:rPr>
              <w:t xml:space="preserve">Trafficking in Persons Prevention Committee (2010) </w:t>
            </w:r>
          </w:p>
        </w:tc>
      </w:tr>
      <w:tr w:rsidR="00CF7DEC" w:rsidRPr="004C7F84" w14:paraId="3A9C6420" w14:textId="77777777" w:rsidTr="004624E1">
        <w:tc>
          <w:tcPr>
            <w:tcW w:w="273" w:type="dxa"/>
            <w:shd w:val="clear" w:color="auto" w:fill="auto"/>
          </w:tcPr>
          <w:p w14:paraId="3863330F"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C7F84">
              <w:t>8</w:t>
            </w:r>
          </w:p>
        </w:tc>
        <w:tc>
          <w:tcPr>
            <w:tcW w:w="4580" w:type="dxa"/>
            <w:shd w:val="clear" w:color="auto" w:fill="auto"/>
          </w:tcPr>
          <w:p w14:paraId="50AA9CFE" w14:textId="04B12964" w:rsidR="00CF7DEC" w:rsidRPr="004C7F84" w:rsidRDefault="00CF7DEC" w:rsidP="009066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15" w:right="43" w:hanging="29"/>
              <w:jc w:val="left"/>
            </w:pPr>
            <w:r w:rsidRPr="004C7F84">
              <w:t>Formation des infirmières spécialisées dans l</w:t>
            </w:r>
            <w:r w:rsidR="00773F5D" w:rsidRPr="004C7F84">
              <w:t>’</w:t>
            </w:r>
            <w:r w:rsidRPr="004C7F84">
              <w:t>évaluation des victimes d</w:t>
            </w:r>
            <w:r w:rsidR="00773F5D" w:rsidRPr="004C7F84">
              <w:t>’</w:t>
            </w:r>
            <w:r w:rsidRPr="004C7F84">
              <w:t xml:space="preserve">agressions sexuelles (2010) </w:t>
            </w:r>
          </w:p>
        </w:tc>
        <w:tc>
          <w:tcPr>
            <w:tcW w:w="450" w:type="dxa"/>
            <w:shd w:val="clear" w:color="auto" w:fill="auto"/>
          </w:tcPr>
          <w:p w14:paraId="3C558E3F"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8</w:t>
            </w:r>
          </w:p>
        </w:tc>
        <w:tc>
          <w:tcPr>
            <w:tcW w:w="3310" w:type="dxa"/>
            <w:shd w:val="clear" w:color="auto" w:fill="auto"/>
          </w:tcPr>
          <w:p w14:paraId="393ED5C9" w14:textId="29E89EFF"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 xml:space="preserve">Women of Esteem (2011) </w:t>
            </w:r>
          </w:p>
        </w:tc>
      </w:tr>
      <w:tr w:rsidR="00CF7DEC" w:rsidRPr="004C7F84" w14:paraId="205A83DC" w14:textId="77777777" w:rsidTr="004624E1">
        <w:tc>
          <w:tcPr>
            <w:tcW w:w="273" w:type="dxa"/>
            <w:shd w:val="clear" w:color="auto" w:fill="auto"/>
          </w:tcPr>
          <w:p w14:paraId="1CB9ECE1"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C7F84">
              <w:t>9</w:t>
            </w:r>
          </w:p>
        </w:tc>
        <w:tc>
          <w:tcPr>
            <w:tcW w:w="4580" w:type="dxa"/>
            <w:shd w:val="clear" w:color="auto" w:fill="auto"/>
          </w:tcPr>
          <w:p w14:paraId="23C131A2" w14:textId="204DA320" w:rsidR="00CF7DEC" w:rsidRPr="004C7F84" w:rsidRDefault="00CF7DEC" w:rsidP="009066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15" w:right="43" w:hanging="29"/>
              <w:jc w:val="left"/>
            </w:pPr>
            <w:r w:rsidRPr="004C7F84">
              <w:t>Projet « Break the Silence » (Rompre le Silence) de l</w:t>
            </w:r>
            <w:r w:rsidR="00773F5D" w:rsidRPr="004C7F84">
              <w:t>’</w:t>
            </w:r>
            <w:r w:rsidRPr="004C7F84">
              <w:t>UNICEF (2013)</w:t>
            </w:r>
          </w:p>
        </w:tc>
        <w:tc>
          <w:tcPr>
            <w:tcW w:w="450" w:type="dxa"/>
            <w:shd w:val="clear" w:color="auto" w:fill="auto"/>
          </w:tcPr>
          <w:p w14:paraId="4599C8AD"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9</w:t>
            </w:r>
          </w:p>
        </w:tc>
        <w:tc>
          <w:tcPr>
            <w:tcW w:w="3310" w:type="dxa"/>
            <w:shd w:val="clear" w:color="auto" w:fill="auto"/>
          </w:tcPr>
          <w:p w14:paraId="37B470DC" w14:textId="126810C5"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 xml:space="preserve">Walking into Walls (2012) </w:t>
            </w:r>
          </w:p>
        </w:tc>
      </w:tr>
      <w:tr w:rsidR="00CF7DEC" w:rsidRPr="004C7F84" w14:paraId="692A9BE9" w14:textId="77777777" w:rsidTr="004624E1">
        <w:tc>
          <w:tcPr>
            <w:tcW w:w="273" w:type="dxa"/>
            <w:shd w:val="clear" w:color="auto" w:fill="auto"/>
          </w:tcPr>
          <w:p w14:paraId="4B8163E4" w14:textId="77777777"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C7F84">
              <w:t>10</w:t>
            </w:r>
          </w:p>
        </w:tc>
        <w:tc>
          <w:tcPr>
            <w:tcW w:w="4580" w:type="dxa"/>
            <w:shd w:val="clear" w:color="auto" w:fill="auto"/>
          </w:tcPr>
          <w:p w14:paraId="3DE1FAEB" w14:textId="3F3B5BBE" w:rsidR="00CF7DEC" w:rsidRPr="004C7F84" w:rsidRDefault="00CF7DEC" w:rsidP="009066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15" w:right="43" w:hanging="29"/>
              <w:jc w:val="left"/>
            </w:pPr>
            <w:r w:rsidRPr="004C7F84">
              <w:t>Projet du Fonds d</w:t>
            </w:r>
            <w:r w:rsidR="00773F5D" w:rsidRPr="004C7F84">
              <w:t>’</w:t>
            </w:r>
            <w:r w:rsidRPr="004C7F84">
              <w:t>affectation spéciale des Nations Unies pour l</w:t>
            </w:r>
            <w:r w:rsidR="00773F5D" w:rsidRPr="004C7F84">
              <w:t>’</w:t>
            </w:r>
            <w:r w:rsidRPr="004C7F84">
              <w:t>élimination de la violence à l</w:t>
            </w:r>
            <w:r w:rsidR="00773F5D" w:rsidRPr="004C7F84">
              <w:t>’</w:t>
            </w:r>
            <w:r w:rsidRPr="004C7F84">
              <w:t>égard des femmes (Fonds d</w:t>
            </w:r>
            <w:r w:rsidR="00773F5D" w:rsidRPr="004C7F84">
              <w:t>’</w:t>
            </w:r>
            <w:r w:rsidRPr="004C7F84">
              <w:t>affectation spéciale des Nations Unies) (avril 2015) </w:t>
            </w:r>
          </w:p>
        </w:tc>
        <w:tc>
          <w:tcPr>
            <w:tcW w:w="450" w:type="dxa"/>
            <w:shd w:val="clear" w:color="auto" w:fill="auto"/>
          </w:tcPr>
          <w:p w14:paraId="2163E217" w14:textId="369D1215" w:rsidR="00CF7DEC"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10</w:t>
            </w:r>
          </w:p>
        </w:tc>
        <w:tc>
          <w:tcPr>
            <w:tcW w:w="3310" w:type="dxa"/>
            <w:shd w:val="clear" w:color="auto" w:fill="auto"/>
          </w:tcPr>
          <w:p w14:paraId="0FE5423B" w14:textId="763752F7" w:rsidR="00CF7DEC" w:rsidRPr="004C7F84" w:rsidRDefault="00CF7DEC" w:rsidP="003A53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 xml:space="preserve">Crisis Centre Advisory Committee (2015) </w:t>
            </w:r>
          </w:p>
        </w:tc>
      </w:tr>
      <w:tr w:rsidR="003A5332" w:rsidRPr="004C7F84" w14:paraId="5DC98DA8" w14:textId="77777777" w:rsidTr="004624E1">
        <w:tc>
          <w:tcPr>
            <w:tcW w:w="273" w:type="dxa"/>
            <w:tcBorders>
              <w:bottom w:val="single" w:sz="12" w:space="0" w:color="auto"/>
            </w:tcBorders>
            <w:shd w:val="clear" w:color="auto" w:fill="auto"/>
          </w:tcPr>
          <w:p w14:paraId="4FE6C27E" w14:textId="77777777" w:rsidR="00F103D9" w:rsidRPr="004C7F84" w:rsidRDefault="00F103D9"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C7F84">
              <w:t>11</w:t>
            </w:r>
          </w:p>
        </w:tc>
        <w:tc>
          <w:tcPr>
            <w:tcW w:w="4580" w:type="dxa"/>
            <w:tcBorders>
              <w:bottom w:val="single" w:sz="12" w:space="0" w:color="auto"/>
            </w:tcBorders>
            <w:shd w:val="clear" w:color="auto" w:fill="auto"/>
          </w:tcPr>
          <w:p w14:paraId="62C03AC8" w14:textId="7984DD2D" w:rsidR="00F103D9" w:rsidRPr="004C7F84" w:rsidRDefault="00CF7DEC" w:rsidP="009066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15" w:right="43" w:hanging="29"/>
              <w:jc w:val="left"/>
            </w:pPr>
            <w:r w:rsidRPr="004C7F84">
              <w:t>Mise en place d</w:t>
            </w:r>
            <w:r w:rsidR="00773F5D" w:rsidRPr="004C7F84">
              <w:t>’</w:t>
            </w:r>
            <w:r w:rsidRPr="004C7F84">
              <w:t>un centre de crise (qui est en cours de réalisation et sera opérationnel au début de 2016)</w:t>
            </w:r>
          </w:p>
        </w:tc>
        <w:tc>
          <w:tcPr>
            <w:tcW w:w="450" w:type="dxa"/>
            <w:tcBorders>
              <w:bottom w:val="single" w:sz="12" w:space="0" w:color="auto"/>
            </w:tcBorders>
            <w:shd w:val="clear" w:color="auto" w:fill="auto"/>
          </w:tcPr>
          <w:p w14:paraId="039BF0CA" w14:textId="77777777" w:rsidR="00F103D9" w:rsidRPr="004C7F84" w:rsidRDefault="00F103D9"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11</w:t>
            </w:r>
          </w:p>
        </w:tc>
        <w:tc>
          <w:tcPr>
            <w:tcW w:w="3310" w:type="dxa"/>
            <w:tcBorders>
              <w:bottom w:val="single" w:sz="12" w:space="0" w:color="auto"/>
            </w:tcBorders>
            <w:shd w:val="clear" w:color="auto" w:fill="auto"/>
          </w:tcPr>
          <w:p w14:paraId="1071189A" w14:textId="333633ED" w:rsidR="00F103D9" w:rsidRPr="004C7F84" w:rsidRDefault="00CF7DEC" w:rsidP="00F103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C7F84">
              <w:t>Intersect (2015)</w:t>
            </w:r>
          </w:p>
        </w:tc>
      </w:tr>
    </w:tbl>
    <w:p w14:paraId="6506D64C" w14:textId="59E30A6A" w:rsidR="003A5332" w:rsidRPr="004C7F84" w:rsidRDefault="003A5332" w:rsidP="003A5332">
      <w:pPr>
        <w:pStyle w:val="SingleTxt"/>
        <w:spacing w:after="0" w:line="120" w:lineRule="exact"/>
        <w:rPr>
          <w:sz w:val="10"/>
        </w:rPr>
      </w:pPr>
    </w:p>
    <w:p w14:paraId="76136589" w14:textId="77777777" w:rsidR="006E7D5E" w:rsidRPr="004C7F84" w:rsidRDefault="006E7D5E" w:rsidP="003A5332">
      <w:pPr>
        <w:pStyle w:val="SingleTxt"/>
        <w:spacing w:after="0" w:line="120" w:lineRule="exact"/>
        <w:rPr>
          <w:sz w:val="10"/>
        </w:rPr>
      </w:pPr>
    </w:p>
    <w:p w14:paraId="0CDB16E6" w14:textId="0DB1CABA" w:rsidR="00BF5BEB" w:rsidRPr="004C7F84" w:rsidRDefault="004624E1" w:rsidP="00514306">
      <w:pPr>
        <w:pStyle w:val="SingleTxt"/>
        <w:numPr>
          <w:ilvl w:val="0"/>
          <w:numId w:val="5"/>
        </w:numPr>
        <w:spacing w:line="240" w:lineRule="exact"/>
        <w:ind w:left="1267" w:firstLine="0"/>
      </w:pPr>
      <w:r w:rsidRPr="004C7F84">
        <w:t>Pour recueillir les informations nécessaires à l</w:t>
      </w:r>
      <w:r w:rsidR="00773F5D" w:rsidRPr="004C7F84">
        <w:t>’</w:t>
      </w:r>
      <w:r w:rsidRPr="004C7F84">
        <w:t xml:space="preserve">élaboration du présent rapport, la Direction de la problématique hommes-femmes a mis en place un comité, </w:t>
      </w:r>
      <w:r w:rsidRPr="004C7F84">
        <w:lastRenderedPageBreak/>
        <w:t>composé de représentants des principaux ministères, organisations et ONG, qui s</w:t>
      </w:r>
      <w:r w:rsidR="00773F5D" w:rsidRPr="004C7F84">
        <w:t>’</w:t>
      </w:r>
      <w:r w:rsidRPr="004C7F84">
        <w:t>est réuni régulièrement pour examiner</w:t>
      </w:r>
      <w:r w:rsidR="00906620" w:rsidRPr="004C7F84">
        <w:t xml:space="preserve"> </w:t>
      </w:r>
      <w:r w:rsidRPr="004C7F84">
        <w:t>les progrès accomplis dans l</w:t>
      </w:r>
      <w:r w:rsidR="00773F5D" w:rsidRPr="004C7F84">
        <w:t>’</w:t>
      </w:r>
      <w:r w:rsidRPr="004C7F84">
        <w:t>établissement du rapport. En outre, elle a procédé, de juillet 2007 jusqu</w:t>
      </w:r>
      <w:r w:rsidR="00773F5D" w:rsidRPr="004C7F84">
        <w:t>’</w:t>
      </w:r>
      <w:r w:rsidRPr="004C7F84">
        <w:t>à la fin de 2016, à</w:t>
      </w:r>
      <w:r w:rsidR="00906620" w:rsidRPr="004C7F84">
        <w:t xml:space="preserve"> </w:t>
      </w:r>
      <w:r w:rsidRPr="004C7F84">
        <w:t>des consultations nationales pour informer</w:t>
      </w:r>
      <w:r w:rsidR="00906620" w:rsidRPr="004C7F84">
        <w:t xml:space="preserve"> </w:t>
      </w:r>
      <w:r w:rsidRPr="004C7F84">
        <w:t>le public et les principales parties prenantes au sujet de la Convention, ce qui lui a permis en même temps</w:t>
      </w:r>
      <w:r w:rsidR="00906620" w:rsidRPr="004C7F84">
        <w:t xml:space="preserve"> </w:t>
      </w:r>
      <w:r w:rsidRPr="004C7F84">
        <w:t>de recueillir des informations et des données chiffrées supplémentaires.</w:t>
      </w:r>
    </w:p>
    <w:p w14:paraId="7E67ED47" w14:textId="65E2674E" w:rsidR="003A5332" w:rsidRPr="004C7F84" w:rsidRDefault="003A5332" w:rsidP="003A5332">
      <w:pPr>
        <w:pStyle w:val="SingleTxt"/>
        <w:spacing w:after="0" w:line="120" w:lineRule="exact"/>
        <w:rPr>
          <w:sz w:val="10"/>
        </w:rPr>
      </w:pPr>
    </w:p>
    <w:p w14:paraId="6D501E25" w14:textId="5ACB200E" w:rsidR="004624E1" w:rsidRPr="004C7F84" w:rsidRDefault="004624E1" w:rsidP="004624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t>Fiche signalétique de pays</w:t>
      </w:r>
      <w:r w:rsidR="00773F5D" w:rsidRPr="004C7F84">
        <w:rPr>
          <w:lang w:val="fr-FR"/>
        </w:rPr>
        <w:t> :</w:t>
      </w:r>
      <w:r w:rsidRPr="004C7F84">
        <w:rPr>
          <w:lang w:val="fr-FR"/>
        </w:rPr>
        <w:t xml:space="preserve"> quelques indicateurs démographiques</w:t>
      </w:r>
    </w:p>
    <w:p w14:paraId="14018424" w14:textId="19372296" w:rsidR="004624E1" w:rsidRPr="004C7F84" w:rsidRDefault="004624E1" w:rsidP="004624E1">
      <w:pPr>
        <w:pStyle w:val="SingleTxt"/>
        <w:spacing w:after="0" w:line="120" w:lineRule="exact"/>
        <w:rPr>
          <w:sz w:val="10"/>
        </w:rPr>
      </w:pPr>
    </w:p>
    <w:p w14:paraId="35A17085" w14:textId="3629CC9D" w:rsidR="004624E1" w:rsidRPr="004C7F84" w:rsidRDefault="004624E1" w:rsidP="00514306">
      <w:pPr>
        <w:pStyle w:val="SingleTxt"/>
        <w:numPr>
          <w:ilvl w:val="0"/>
          <w:numId w:val="5"/>
        </w:numPr>
        <w:spacing w:line="240" w:lineRule="exact"/>
        <w:ind w:left="1267" w:firstLine="0"/>
      </w:pPr>
      <w:r w:rsidRPr="004C7F84">
        <w:t>Les statistiques sanitaires concernant les femmes seront examinées plus loin dans le présent rapport, au titre de l</w:t>
      </w:r>
      <w:r w:rsidR="00773F5D" w:rsidRPr="004C7F84">
        <w:t>’</w:t>
      </w:r>
      <w:r w:rsidRPr="004C7F84">
        <w:t>article 12 portant sur la santé des femmes.</w:t>
      </w:r>
    </w:p>
    <w:p w14:paraId="0F21DA39" w14:textId="20BD8610" w:rsidR="004624E1" w:rsidRPr="004C7F84" w:rsidRDefault="004624E1" w:rsidP="004624E1">
      <w:pPr>
        <w:pStyle w:val="SingleTxt"/>
        <w:spacing w:after="0" w:line="120" w:lineRule="exact"/>
        <w:rPr>
          <w:sz w:val="10"/>
        </w:rPr>
      </w:pPr>
    </w:p>
    <w:p w14:paraId="0D667A8E" w14:textId="01A9DB49" w:rsidR="004624E1" w:rsidRPr="004C7F84" w:rsidRDefault="004624E1" w:rsidP="004624E1">
      <w:pPr>
        <w:pStyle w:val="SingleTxt"/>
        <w:rPr>
          <w:i/>
        </w:rPr>
      </w:pPr>
      <w:r w:rsidRPr="004C7F84">
        <w:rPr>
          <w:i/>
        </w:rPr>
        <w:t>Population (estimation des résidents)</w:t>
      </w:r>
    </w:p>
    <w:p w14:paraId="4CC61CD9" w14:textId="674D9FB9" w:rsidR="004624E1" w:rsidRPr="004C7F84" w:rsidRDefault="004624E1" w:rsidP="004624E1">
      <w:pPr>
        <w:pStyle w:val="SingleTxt"/>
        <w:spacing w:after="0" w:line="120" w:lineRule="exact"/>
        <w:rPr>
          <w:i/>
          <w:sz w:val="10"/>
        </w:rPr>
      </w:pPr>
    </w:p>
    <w:p w14:paraId="2F786411" w14:textId="761E8E49" w:rsidR="004624E1" w:rsidRPr="004C7F84" w:rsidRDefault="004624E1" w:rsidP="00716C95">
      <w:pPr>
        <w:pStyle w:val="SingleTxt"/>
        <w:jc w:val="left"/>
      </w:pPr>
      <w:r w:rsidRPr="004C7F84">
        <w:t>Recensement d</w:t>
      </w:r>
      <w:r w:rsidR="00716C95" w:rsidRPr="004C7F84">
        <w:t>e 2011</w:t>
      </w:r>
      <w:r w:rsidR="00716C95" w:rsidRPr="004C7F84">
        <w:br/>
        <w:t>Population totale 85 567</w:t>
      </w:r>
      <w:r w:rsidR="00716C95" w:rsidRPr="004C7F84">
        <w:tab/>
        <w:t>Femmes 44 581</w:t>
      </w:r>
      <w:r w:rsidR="00716C95" w:rsidRPr="004C7F84">
        <w:tab/>
      </w:r>
      <w:r w:rsidR="00716C95" w:rsidRPr="004C7F84">
        <w:tab/>
        <w:t xml:space="preserve">Hommes </w:t>
      </w:r>
      <w:r w:rsidRPr="004C7F84">
        <w:t>40</w:t>
      </w:r>
      <w:r w:rsidR="007F5496" w:rsidRPr="004C7F84">
        <w:t> </w:t>
      </w:r>
      <w:r w:rsidRPr="004C7F84">
        <w:t>986</w:t>
      </w:r>
    </w:p>
    <w:p w14:paraId="38A3A8C8" w14:textId="30F6E825" w:rsidR="004624E1" w:rsidRPr="004C7F84" w:rsidRDefault="004624E1" w:rsidP="00716C95">
      <w:pPr>
        <w:pStyle w:val="SingleTxt"/>
        <w:jc w:val="left"/>
      </w:pPr>
      <w:r w:rsidRPr="004C7F84">
        <w:t>Recensement de</w:t>
      </w:r>
      <w:r w:rsidR="00716C95" w:rsidRPr="004C7F84">
        <w:t xml:space="preserve"> 2001</w:t>
      </w:r>
      <w:r w:rsidR="00716C95" w:rsidRPr="004C7F84">
        <w:br/>
        <w:t xml:space="preserve">Population totale </w:t>
      </w:r>
      <w:r w:rsidR="00980A98" w:rsidRPr="004C7F84">
        <w:tab/>
      </w:r>
      <w:r w:rsidR="00716C95" w:rsidRPr="004C7F84">
        <w:t>76 886</w:t>
      </w:r>
      <w:r w:rsidR="00716C95" w:rsidRPr="004C7F84">
        <w:tab/>
        <w:t>Femmes 40 777</w:t>
      </w:r>
      <w:r w:rsidR="00716C95" w:rsidRPr="004C7F84">
        <w:tab/>
      </w:r>
      <w:r w:rsidR="00716C95" w:rsidRPr="004C7F84">
        <w:tab/>
        <w:t xml:space="preserve">Hommes </w:t>
      </w:r>
      <w:r w:rsidRPr="004C7F84">
        <w:t>36</w:t>
      </w:r>
      <w:r w:rsidR="007F5496" w:rsidRPr="004C7F84">
        <w:t> </w:t>
      </w:r>
      <w:r w:rsidRPr="004C7F84">
        <w:t>109</w:t>
      </w:r>
    </w:p>
    <w:p w14:paraId="798EDADE" w14:textId="1A6A7431" w:rsidR="004624E1" w:rsidRPr="004C7F84" w:rsidRDefault="004624E1" w:rsidP="00716C95">
      <w:pPr>
        <w:pStyle w:val="SingleTxt"/>
        <w:jc w:val="left"/>
      </w:pPr>
      <w:r w:rsidRPr="004C7F84">
        <w:t>Recensement d</w:t>
      </w:r>
      <w:r w:rsidR="00716C95" w:rsidRPr="004C7F84">
        <w:t>e 1991</w:t>
      </w:r>
      <w:r w:rsidR="00716C95" w:rsidRPr="004C7F84">
        <w:br/>
        <w:t>Population totale 62 770</w:t>
      </w:r>
      <w:r w:rsidR="00716C95" w:rsidRPr="004C7F84">
        <w:tab/>
        <w:t>Femmes 32 767</w:t>
      </w:r>
      <w:r w:rsidR="00716C95" w:rsidRPr="004C7F84">
        <w:tab/>
      </w:r>
      <w:r w:rsidR="00716C95" w:rsidRPr="004C7F84">
        <w:tab/>
        <w:t xml:space="preserve">Hommes </w:t>
      </w:r>
      <w:r w:rsidRPr="004C7F84">
        <w:t>30 003</w:t>
      </w:r>
    </w:p>
    <w:p w14:paraId="0EB5A533" w14:textId="572316F3" w:rsidR="004624E1" w:rsidRPr="004C7F84" w:rsidRDefault="004624E1" w:rsidP="004624E1">
      <w:pPr>
        <w:pStyle w:val="SingleTxt"/>
        <w:spacing w:after="0" w:line="120" w:lineRule="exact"/>
        <w:rPr>
          <w:sz w:val="10"/>
        </w:rPr>
      </w:pPr>
    </w:p>
    <w:p w14:paraId="786F6B29" w14:textId="6FDF5F6A" w:rsidR="004624E1" w:rsidRPr="004C7F84" w:rsidRDefault="004624E1" w:rsidP="004624E1">
      <w:pPr>
        <w:pStyle w:val="SingleTxt"/>
        <w:rPr>
          <w:i/>
        </w:rPr>
      </w:pPr>
      <w:r w:rsidRPr="004C7F84">
        <w:rPr>
          <w:i/>
        </w:rPr>
        <w:t>Taux d</w:t>
      </w:r>
      <w:r w:rsidR="00773F5D" w:rsidRPr="004C7F84">
        <w:rPr>
          <w:i/>
        </w:rPr>
        <w:t>’</w:t>
      </w:r>
      <w:r w:rsidRPr="004C7F84">
        <w:rPr>
          <w:i/>
        </w:rPr>
        <w:t xml:space="preserve">accroissement de la population </w:t>
      </w:r>
    </w:p>
    <w:p w14:paraId="074C70E9" w14:textId="1A9457DD" w:rsidR="004624E1" w:rsidRPr="004C7F84" w:rsidRDefault="004624E1" w:rsidP="004624E1">
      <w:pPr>
        <w:pStyle w:val="SingleTxt"/>
        <w:spacing w:after="0" w:line="120" w:lineRule="exact"/>
        <w:rPr>
          <w:i/>
          <w:sz w:val="10"/>
        </w:rPr>
      </w:pPr>
    </w:p>
    <w:p w14:paraId="656EEF1D" w14:textId="5A607A8B" w:rsidR="004624E1" w:rsidRPr="004C7F84" w:rsidRDefault="00716C95" w:rsidP="00716C95">
      <w:pPr>
        <w:pStyle w:val="SingleTxt"/>
        <w:tabs>
          <w:tab w:val="clear" w:pos="1742"/>
          <w:tab w:val="left" w:pos="1980"/>
        </w:tabs>
      </w:pPr>
      <w:r w:rsidRPr="004C7F84">
        <w:t>2014</w:t>
      </w:r>
      <w:r w:rsidRPr="004C7F84">
        <w:tab/>
        <w:t>Environ 1,</w:t>
      </w:r>
      <w:r w:rsidR="004624E1" w:rsidRPr="004C7F84">
        <w:t>25</w:t>
      </w:r>
      <w:r w:rsidRPr="004C7F84">
        <w:t> </w:t>
      </w:r>
      <w:r w:rsidR="004624E1" w:rsidRPr="004C7F84">
        <w:t>% par an</w:t>
      </w:r>
    </w:p>
    <w:p w14:paraId="6BD8290A" w14:textId="424A12FE" w:rsidR="004624E1" w:rsidRPr="004C7F84" w:rsidRDefault="004624E1" w:rsidP="00716C95">
      <w:pPr>
        <w:pStyle w:val="SingleTxt"/>
        <w:tabs>
          <w:tab w:val="clear" w:pos="1742"/>
          <w:tab w:val="left" w:pos="1980"/>
        </w:tabs>
      </w:pPr>
      <w:r w:rsidRPr="004C7F84">
        <w:t>2000</w:t>
      </w:r>
      <w:r w:rsidRPr="004C7F84">
        <w:tab/>
        <w:t>Environ 1,30</w:t>
      </w:r>
      <w:r w:rsidR="00716C95" w:rsidRPr="004C7F84">
        <w:t> </w:t>
      </w:r>
      <w:r w:rsidRPr="004C7F84">
        <w:t>% par an</w:t>
      </w:r>
    </w:p>
    <w:p w14:paraId="15D58C01" w14:textId="3C68B491" w:rsidR="004624E1" w:rsidRPr="004C7F84" w:rsidRDefault="004624E1" w:rsidP="004624E1">
      <w:pPr>
        <w:pStyle w:val="SingleTxt"/>
        <w:spacing w:after="0" w:line="120" w:lineRule="exact"/>
        <w:rPr>
          <w:sz w:val="10"/>
        </w:rPr>
      </w:pPr>
    </w:p>
    <w:p w14:paraId="5EAB47FC" w14:textId="18EE41FE" w:rsidR="004624E1" w:rsidRPr="004C7F84" w:rsidRDefault="004624E1" w:rsidP="004624E1">
      <w:pPr>
        <w:pStyle w:val="SingleTxt"/>
        <w:rPr>
          <w:i/>
        </w:rPr>
      </w:pPr>
      <w:r w:rsidRPr="004C7F84">
        <w:rPr>
          <w:i/>
        </w:rPr>
        <w:t>Espérance de vie</w:t>
      </w:r>
    </w:p>
    <w:p w14:paraId="1E07058B" w14:textId="0E6C6D5B" w:rsidR="004624E1" w:rsidRPr="004C7F84" w:rsidRDefault="004624E1" w:rsidP="004624E1">
      <w:pPr>
        <w:pStyle w:val="SingleTxt"/>
        <w:spacing w:after="0" w:line="120" w:lineRule="exact"/>
        <w:rPr>
          <w:i/>
          <w:sz w:val="10"/>
        </w:rPr>
      </w:pPr>
    </w:p>
    <w:p w14:paraId="6BF58934" w14:textId="10088054" w:rsidR="004624E1" w:rsidRPr="004C7F84" w:rsidRDefault="00716C95" w:rsidP="00716C95">
      <w:pPr>
        <w:pStyle w:val="SingleTxt"/>
        <w:tabs>
          <w:tab w:val="clear" w:pos="1742"/>
          <w:tab w:val="clear" w:pos="2218"/>
          <w:tab w:val="left" w:pos="2070"/>
        </w:tabs>
      </w:pPr>
      <w:r w:rsidRPr="004C7F84">
        <w:t>2014</w:t>
      </w:r>
      <w:r w:rsidRPr="004C7F84">
        <w:tab/>
        <w:t>Femmes 78,</w:t>
      </w:r>
      <w:r w:rsidR="004624E1" w:rsidRPr="004C7F84">
        <w:t>30 ans</w:t>
      </w:r>
      <w:r w:rsidR="004624E1" w:rsidRPr="004C7F84">
        <w:tab/>
        <w:t xml:space="preserve">Hommes 74,04 ans </w:t>
      </w:r>
    </w:p>
    <w:p w14:paraId="459D76FE" w14:textId="77777777" w:rsidR="004624E1" w:rsidRPr="004C7F84" w:rsidRDefault="004624E1" w:rsidP="00716C95">
      <w:pPr>
        <w:pStyle w:val="SingleTxt"/>
        <w:tabs>
          <w:tab w:val="clear" w:pos="1742"/>
          <w:tab w:val="clear" w:pos="2218"/>
          <w:tab w:val="left" w:pos="2070"/>
        </w:tabs>
      </w:pPr>
      <w:r w:rsidRPr="004C7F84">
        <w:t>2001</w:t>
      </w:r>
      <w:r w:rsidRPr="004C7F84">
        <w:tab/>
        <w:t>Femmes 73,14 ans</w:t>
      </w:r>
      <w:r w:rsidRPr="004C7F84">
        <w:tab/>
        <w:t>Hommes 68,50 ans</w:t>
      </w:r>
    </w:p>
    <w:p w14:paraId="44EAC5B7" w14:textId="6EE2B42B" w:rsidR="004624E1" w:rsidRPr="004C7F84" w:rsidRDefault="004624E1" w:rsidP="00716C95">
      <w:pPr>
        <w:pStyle w:val="SingleTxt"/>
        <w:tabs>
          <w:tab w:val="clear" w:pos="1742"/>
          <w:tab w:val="clear" w:pos="2218"/>
          <w:tab w:val="left" w:pos="2070"/>
        </w:tabs>
      </w:pPr>
      <w:r w:rsidRPr="004C7F84">
        <w:t>1991</w:t>
      </w:r>
      <w:r w:rsidRPr="004C7F84">
        <w:tab/>
        <w:t>Femmes 73 ans</w:t>
      </w:r>
      <w:r w:rsidRPr="004C7F84">
        <w:tab/>
      </w:r>
      <w:r w:rsidR="00716C95" w:rsidRPr="004C7F84">
        <w:tab/>
      </w:r>
      <w:r w:rsidRPr="004C7F84">
        <w:t>Hommes 70 ans.</w:t>
      </w:r>
      <w:r w:rsidR="00773F5D" w:rsidRPr="004C7F84">
        <w:t xml:space="preserve"> </w:t>
      </w:r>
    </w:p>
    <w:p w14:paraId="102DBFA4" w14:textId="461DB7B1" w:rsidR="004624E1" w:rsidRPr="004C7F84" w:rsidRDefault="004624E1" w:rsidP="004624E1">
      <w:pPr>
        <w:pStyle w:val="SingleTxt"/>
        <w:spacing w:after="0" w:line="120" w:lineRule="exact"/>
        <w:rPr>
          <w:sz w:val="10"/>
        </w:rPr>
      </w:pPr>
    </w:p>
    <w:p w14:paraId="7DAFD658" w14:textId="5D68C24F" w:rsidR="004624E1" w:rsidRPr="004C7F84" w:rsidRDefault="004624E1" w:rsidP="004624E1">
      <w:pPr>
        <w:pStyle w:val="SingleTxt"/>
        <w:rPr>
          <w:i/>
        </w:rPr>
      </w:pPr>
      <w:r w:rsidRPr="004C7F84">
        <w:rPr>
          <w:i/>
        </w:rPr>
        <w:t>Taux brut de natalité (nom</w:t>
      </w:r>
      <w:r w:rsidR="00906620" w:rsidRPr="004C7F84">
        <w:rPr>
          <w:i/>
        </w:rPr>
        <w:t xml:space="preserve">bre de naissances vivantes pour </w:t>
      </w:r>
      <w:r w:rsidRPr="004C7F84">
        <w:rPr>
          <w:i/>
        </w:rPr>
        <w:t>1</w:t>
      </w:r>
      <w:r w:rsidR="00906620" w:rsidRPr="004C7F84">
        <w:rPr>
          <w:i/>
        </w:rPr>
        <w:t> </w:t>
      </w:r>
      <w:r w:rsidRPr="004C7F84">
        <w:rPr>
          <w:i/>
        </w:rPr>
        <w:t xml:space="preserve">000 habitants) </w:t>
      </w:r>
    </w:p>
    <w:p w14:paraId="562CAFF7" w14:textId="0B6782DB" w:rsidR="004624E1" w:rsidRPr="004C7F84" w:rsidRDefault="004624E1" w:rsidP="004624E1">
      <w:pPr>
        <w:pStyle w:val="SingleTxt"/>
        <w:spacing w:after="0" w:line="120" w:lineRule="exact"/>
        <w:rPr>
          <w:i/>
          <w:sz w:val="10"/>
        </w:rPr>
      </w:pPr>
    </w:p>
    <w:p w14:paraId="5DBED824" w14:textId="77777777" w:rsidR="004624E1" w:rsidRPr="004C7F84" w:rsidRDefault="004624E1" w:rsidP="00716C95">
      <w:pPr>
        <w:pStyle w:val="SingleTxt"/>
        <w:tabs>
          <w:tab w:val="clear" w:pos="1742"/>
          <w:tab w:val="clear" w:pos="2218"/>
          <w:tab w:val="left" w:pos="2160"/>
        </w:tabs>
      </w:pPr>
      <w:r w:rsidRPr="004C7F84">
        <w:t>2014</w:t>
      </w:r>
      <w:r w:rsidRPr="004C7F84">
        <w:tab/>
        <w:t>15,94</w:t>
      </w:r>
    </w:p>
    <w:p w14:paraId="7D76C5C0" w14:textId="77777777" w:rsidR="004624E1" w:rsidRPr="004C7F84" w:rsidRDefault="004624E1" w:rsidP="00716C95">
      <w:pPr>
        <w:pStyle w:val="SingleTxt"/>
        <w:tabs>
          <w:tab w:val="clear" w:pos="1742"/>
          <w:tab w:val="clear" w:pos="2218"/>
          <w:tab w:val="left" w:pos="2160"/>
        </w:tabs>
      </w:pPr>
      <w:r w:rsidRPr="004C7F84">
        <w:t>2011</w:t>
      </w:r>
      <w:r w:rsidRPr="004C7F84">
        <w:tab/>
        <w:t>16,19</w:t>
      </w:r>
    </w:p>
    <w:p w14:paraId="508D4D70" w14:textId="77777777" w:rsidR="004624E1" w:rsidRPr="004C7F84" w:rsidRDefault="004624E1" w:rsidP="00716C95">
      <w:pPr>
        <w:pStyle w:val="SingleTxt"/>
        <w:tabs>
          <w:tab w:val="clear" w:pos="1742"/>
          <w:tab w:val="clear" w:pos="2218"/>
          <w:tab w:val="left" w:pos="2160"/>
        </w:tabs>
      </w:pPr>
      <w:r w:rsidRPr="004C7F84">
        <w:t>2000</w:t>
      </w:r>
      <w:r w:rsidRPr="004C7F84">
        <w:tab/>
        <w:t xml:space="preserve">14,04 </w:t>
      </w:r>
    </w:p>
    <w:p w14:paraId="57E090BC" w14:textId="77777777" w:rsidR="004624E1" w:rsidRPr="004C7F84" w:rsidRDefault="004624E1" w:rsidP="00716C95">
      <w:pPr>
        <w:pStyle w:val="SingleTxt"/>
        <w:tabs>
          <w:tab w:val="clear" w:pos="1742"/>
          <w:tab w:val="clear" w:pos="2218"/>
          <w:tab w:val="left" w:pos="2160"/>
        </w:tabs>
      </w:pPr>
      <w:r w:rsidRPr="004C7F84">
        <w:t>1991</w:t>
      </w:r>
      <w:r w:rsidRPr="004C7F84">
        <w:tab/>
        <w:t xml:space="preserve">19,90 </w:t>
      </w:r>
    </w:p>
    <w:p w14:paraId="1A32A6D5" w14:textId="2436EFEE" w:rsidR="004624E1" w:rsidRPr="004C7F84" w:rsidRDefault="004624E1" w:rsidP="00716C95">
      <w:pPr>
        <w:pStyle w:val="SingleTxt"/>
        <w:tabs>
          <w:tab w:val="clear" w:pos="1742"/>
          <w:tab w:val="clear" w:pos="2218"/>
          <w:tab w:val="left" w:pos="2160"/>
        </w:tabs>
        <w:spacing w:after="0" w:line="120" w:lineRule="exact"/>
        <w:rPr>
          <w:sz w:val="10"/>
        </w:rPr>
      </w:pPr>
    </w:p>
    <w:p w14:paraId="5D1D6E56" w14:textId="07795DD3" w:rsidR="004624E1" w:rsidRPr="004C7F84" w:rsidRDefault="004624E1" w:rsidP="00716C95">
      <w:pPr>
        <w:pStyle w:val="SingleTxt"/>
        <w:tabs>
          <w:tab w:val="clear" w:pos="1742"/>
          <w:tab w:val="clear" w:pos="2218"/>
          <w:tab w:val="left" w:pos="2160"/>
        </w:tabs>
        <w:rPr>
          <w:i/>
        </w:rPr>
      </w:pPr>
      <w:r w:rsidRPr="004C7F84">
        <w:rPr>
          <w:i/>
        </w:rPr>
        <w:t>Taux brut de mortalité (nombre de décès pour 1</w:t>
      </w:r>
      <w:r w:rsidR="00716C95" w:rsidRPr="004C7F84">
        <w:rPr>
          <w:i/>
        </w:rPr>
        <w:t> </w:t>
      </w:r>
      <w:r w:rsidRPr="004C7F84">
        <w:rPr>
          <w:i/>
        </w:rPr>
        <w:t xml:space="preserve">000 habitants) </w:t>
      </w:r>
    </w:p>
    <w:p w14:paraId="797E2956" w14:textId="7804CC30" w:rsidR="004624E1" w:rsidRPr="004C7F84" w:rsidRDefault="004624E1" w:rsidP="00716C95">
      <w:pPr>
        <w:pStyle w:val="SingleTxt"/>
        <w:tabs>
          <w:tab w:val="clear" w:pos="1742"/>
          <w:tab w:val="clear" w:pos="2218"/>
          <w:tab w:val="left" w:pos="2160"/>
        </w:tabs>
        <w:spacing w:after="0" w:line="120" w:lineRule="exact"/>
        <w:rPr>
          <w:i/>
          <w:sz w:val="10"/>
        </w:rPr>
      </w:pPr>
    </w:p>
    <w:p w14:paraId="4D1EC49D" w14:textId="77777777" w:rsidR="004624E1" w:rsidRPr="004C7F84" w:rsidRDefault="004624E1" w:rsidP="00716C95">
      <w:pPr>
        <w:pStyle w:val="SingleTxt"/>
        <w:tabs>
          <w:tab w:val="clear" w:pos="1742"/>
          <w:tab w:val="clear" w:pos="2218"/>
          <w:tab w:val="left" w:pos="2160"/>
        </w:tabs>
      </w:pPr>
      <w:r w:rsidRPr="004C7F84">
        <w:t>2014</w:t>
      </w:r>
      <w:r w:rsidRPr="004C7F84">
        <w:tab/>
        <w:t xml:space="preserve">5,70 </w:t>
      </w:r>
    </w:p>
    <w:p w14:paraId="3069A00A" w14:textId="77777777" w:rsidR="004624E1" w:rsidRPr="004C7F84" w:rsidRDefault="004624E1" w:rsidP="00716C95">
      <w:pPr>
        <w:pStyle w:val="SingleTxt"/>
        <w:tabs>
          <w:tab w:val="clear" w:pos="1742"/>
          <w:tab w:val="clear" w:pos="2218"/>
          <w:tab w:val="left" w:pos="2160"/>
        </w:tabs>
      </w:pPr>
      <w:r w:rsidRPr="004C7F84">
        <w:t>2000</w:t>
      </w:r>
      <w:r w:rsidRPr="004C7F84">
        <w:tab/>
        <w:t xml:space="preserve">4,45 </w:t>
      </w:r>
    </w:p>
    <w:p w14:paraId="5F2D73C7" w14:textId="77777777" w:rsidR="004624E1" w:rsidRPr="004C7F84" w:rsidRDefault="004624E1" w:rsidP="00716C95">
      <w:pPr>
        <w:pStyle w:val="SingleTxt"/>
        <w:tabs>
          <w:tab w:val="clear" w:pos="1742"/>
          <w:tab w:val="clear" w:pos="2218"/>
          <w:tab w:val="left" w:pos="2160"/>
        </w:tabs>
      </w:pPr>
      <w:r w:rsidRPr="004C7F84">
        <w:t>1990</w:t>
      </w:r>
      <w:r w:rsidRPr="004C7F84">
        <w:tab/>
        <w:t xml:space="preserve">6,50 </w:t>
      </w:r>
    </w:p>
    <w:p w14:paraId="6A63A6DC" w14:textId="0C0529CE" w:rsidR="004624E1" w:rsidRPr="004C7F84" w:rsidRDefault="004624E1" w:rsidP="004624E1">
      <w:pPr>
        <w:pStyle w:val="SingleTxt"/>
        <w:spacing w:after="0" w:line="120" w:lineRule="exact"/>
        <w:rPr>
          <w:sz w:val="10"/>
        </w:rPr>
      </w:pPr>
    </w:p>
    <w:p w14:paraId="48A5E154" w14:textId="5496EAF3" w:rsidR="004624E1" w:rsidRPr="004C7F84" w:rsidRDefault="004624E1" w:rsidP="006E7D5E">
      <w:pPr>
        <w:pStyle w:val="SingleTxt"/>
        <w:keepNext/>
        <w:keepLines/>
        <w:rPr>
          <w:i/>
        </w:rPr>
      </w:pPr>
      <w:r w:rsidRPr="004C7F84">
        <w:rPr>
          <w:i/>
        </w:rPr>
        <w:lastRenderedPageBreak/>
        <w:t>Taux de mortalité infantile</w:t>
      </w:r>
    </w:p>
    <w:p w14:paraId="407E95FF" w14:textId="77777777" w:rsidR="004624E1" w:rsidRPr="004C7F84" w:rsidRDefault="004624E1" w:rsidP="006E7D5E">
      <w:pPr>
        <w:pStyle w:val="SingleTxt"/>
        <w:keepNext/>
        <w:keepLines/>
        <w:spacing w:after="0" w:line="120" w:lineRule="exact"/>
        <w:rPr>
          <w:i/>
          <w:sz w:val="10"/>
        </w:rPr>
      </w:pPr>
    </w:p>
    <w:p w14:paraId="6496D22F" w14:textId="6AF16C33" w:rsidR="004624E1" w:rsidRPr="004C7F84" w:rsidRDefault="004624E1" w:rsidP="00716C95">
      <w:pPr>
        <w:pStyle w:val="SingleTxt"/>
        <w:tabs>
          <w:tab w:val="clear" w:pos="1742"/>
        </w:tabs>
      </w:pPr>
      <w:r w:rsidRPr="004C7F84">
        <w:t>2014</w:t>
      </w:r>
      <w:r w:rsidRPr="004C7F84">
        <w:tab/>
        <w:t>13,29</w:t>
      </w:r>
      <w:r w:rsidR="00716C95" w:rsidRPr="004C7F84">
        <w:t> </w:t>
      </w:r>
      <w:r w:rsidRPr="004C7F84">
        <w:t>‰</w:t>
      </w:r>
    </w:p>
    <w:p w14:paraId="090A53A2" w14:textId="49D73CDA" w:rsidR="004624E1" w:rsidRPr="004C7F84" w:rsidRDefault="004624E1" w:rsidP="00716C95">
      <w:pPr>
        <w:pStyle w:val="SingleTxt"/>
        <w:tabs>
          <w:tab w:val="clear" w:pos="1742"/>
        </w:tabs>
      </w:pPr>
      <w:r w:rsidRPr="004C7F84">
        <w:t>2011</w:t>
      </w:r>
      <w:r w:rsidRPr="004C7F84">
        <w:tab/>
        <w:t>17,00</w:t>
      </w:r>
      <w:r w:rsidR="00716C95" w:rsidRPr="004C7F84">
        <w:t> </w:t>
      </w:r>
      <w:r w:rsidRPr="004C7F84">
        <w:t>‰</w:t>
      </w:r>
    </w:p>
    <w:p w14:paraId="6C37194F" w14:textId="614662F1" w:rsidR="004624E1" w:rsidRPr="004C7F84" w:rsidRDefault="004624E1" w:rsidP="00716C95">
      <w:pPr>
        <w:pStyle w:val="SingleTxt"/>
        <w:tabs>
          <w:tab w:val="clear" w:pos="1742"/>
        </w:tabs>
      </w:pPr>
      <w:r w:rsidRPr="004C7F84">
        <w:t>2009</w:t>
      </w:r>
      <w:r w:rsidRPr="004C7F84">
        <w:tab/>
        <w:t>15,67</w:t>
      </w:r>
      <w:r w:rsidR="00716C95" w:rsidRPr="004C7F84">
        <w:t> </w:t>
      </w:r>
      <w:r w:rsidRPr="004C7F84">
        <w:t xml:space="preserve">‰ </w:t>
      </w:r>
    </w:p>
    <w:p w14:paraId="18D2D307" w14:textId="3651ADCF" w:rsidR="004624E1" w:rsidRPr="004C7F84" w:rsidRDefault="004624E1" w:rsidP="00716C95">
      <w:pPr>
        <w:pStyle w:val="SingleTxt"/>
        <w:tabs>
          <w:tab w:val="clear" w:pos="1742"/>
        </w:tabs>
      </w:pPr>
      <w:r w:rsidRPr="004C7F84">
        <w:t>1999</w:t>
      </w:r>
      <w:r w:rsidRPr="004C7F84">
        <w:tab/>
        <w:t>17,00</w:t>
      </w:r>
      <w:r w:rsidR="00716C95" w:rsidRPr="004C7F84">
        <w:t> </w:t>
      </w:r>
      <w:r w:rsidRPr="004C7F84">
        <w:t>‰</w:t>
      </w:r>
    </w:p>
    <w:p w14:paraId="51DD7919" w14:textId="387B8EF9" w:rsidR="004624E1" w:rsidRPr="004C7F84" w:rsidRDefault="004624E1" w:rsidP="00716C95">
      <w:pPr>
        <w:pStyle w:val="SingleTxt"/>
        <w:tabs>
          <w:tab w:val="clear" w:pos="1742"/>
        </w:tabs>
        <w:spacing w:after="0" w:line="120" w:lineRule="exact"/>
        <w:rPr>
          <w:sz w:val="10"/>
        </w:rPr>
      </w:pPr>
    </w:p>
    <w:p w14:paraId="6AF67999" w14:textId="0B348EF0" w:rsidR="004624E1" w:rsidRPr="004C7F84" w:rsidRDefault="004624E1" w:rsidP="00716C95">
      <w:pPr>
        <w:pStyle w:val="SingleTxt"/>
        <w:tabs>
          <w:tab w:val="clear" w:pos="1742"/>
        </w:tabs>
        <w:jc w:val="left"/>
        <w:rPr>
          <w:i/>
        </w:rPr>
      </w:pPr>
      <w:r w:rsidRPr="004C7F84">
        <w:rPr>
          <w:i/>
        </w:rPr>
        <w:t xml:space="preserve">Taux de mortalité maternelle (nombre de décès maternels </w:t>
      </w:r>
      <w:r w:rsidR="00716C95" w:rsidRPr="004C7F84">
        <w:rPr>
          <w:i/>
        </w:rPr>
        <w:br/>
      </w:r>
      <w:r w:rsidRPr="004C7F84">
        <w:rPr>
          <w:i/>
        </w:rPr>
        <w:t>pour 10</w:t>
      </w:r>
      <w:r w:rsidR="00716C95" w:rsidRPr="004C7F84">
        <w:rPr>
          <w:i/>
        </w:rPr>
        <w:t> </w:t>
      </w:r>
      <w:r w:rsidRPr="004C7F84">
        <w:rPr>
          <w:i/>
        </w:rPr>
        <w:t>000 naissances vivantes)</w:t>
      </w:r>
    </w:p>
    <w:p w14:paraId="6D8C01A3" w14:textId="2F27C420" w:rsidR="004624E1" w:rsidRPr="004C7F84" w:rsidRDefault="004624E1" w:rsidP="00716C95">
      <w:pPr>
        <w:pStyle w:val="SingleTxt"/>
        <w:tabs>
          <w:tab w:val="clear" w:pos="1742"/>
        </w:tabs>
        <w:spacing w:after="0" w:line="120" w:lineRule="exact"/>
        <w:rPr>
          <w:i/>
          <w:sz w:val="10"/>
        </w:rPr>
      </w:pPr>
    </w:p>
    <w:p w14:paraId="0CA3DC6B" w14:textId="77777777" w:rsidR="004624E1" w:rsidRPr="004C7F84" w:rsidRDefault="004624E1" w:rsidP="00716C95">
      <w:pPr>
        <w:pStyle w:val="SingleTxt"/>
        <w:tabs>
          <w:tab w:val="clear" w:pos="1742"/>
        </w:tabs>
      </w:pPr>
      <w:r w:rsidRPr="004C7F84">
        <w:t>2014</w:t>
      </w:r>
      <w:r w:rsidRPr="004C7F84">
        <w:tab/>
        <w:t>0,00</w:t>
      </w:r>
    </w:p>
    <w:p w14:paraId="054BB5B0" w14:textId="77777777" w:rsidR="004624E1" w:rsidRPr="004C7F84" w:rsidRDefault="004624E1" w:rsidP="00716C95">
      <w:pPr>
        <w:pStyle w:val="SingleTxt"/>
        <w:tabs>
          <w:tab w:val="clear" w:pos="1742"/>
        </w:tabs>
      </w:pPr>
      <w:r w:rsidRPr="004C7F84">
        <w:t>2011</w:t>
      </w:r>
      <w:r w:rsidRPr="004C7F84">
        <w:tab/>
        <w:t>0,00</w:t>
      </w:r>
    </w:p>
    <w:p w14:paraId="4485D8FC" w14:textId="77777777" w:rsidR="004624E1" w:rsidRPr="004C7F84" w:rsidRDefault="004624E1" w:rsidP="00716C95">
      <w:pPr>
        <w:pStyle w:val="SingleTxt"/>
        <w:tabs>
          <w:tab w:val="clear" w:pos="1742"/>
        </w:tabs>
      </w:pPr>
      <w:r w:rsidRPr="004C7F84">
        <w:t>2010</w:t>
      </w:r>
      <w:r w:rsidRPr="004C7F84">
        <w:tab/>
        <w:t>0,81</w:t>
      </w:r>
    </w:p>
    <w:p w14:paraId="5DE2104A" w14:textId="77777777" w:rsidR="004624E1" w:rsidRPr="004C7F84" w:rsidRDefault="004624E1" w:rsidP="00716C95">
      <w:pPr>
        <w:pStyle w:val="SingleTxt"/>
        <w:tabs>
          <w:tab w:val="clear" w:pos="1742"/>
        </w:tabs>
      </w:pPr>
      <w:r w:rsidRPr="004C7F84">
        <w:t>2009</w:t>
      </w:r>
      <w:r w:rsidRPr="004C7F84">
        <w:tab/>
        <w:t>1,42</w:t>
      </w:r>
    </w:p>
    <w:p w14:paraId="4497D16E" w14:textId="77777777" w:rsidR="004624E1" w:rsidRPr="004C7F84" w:rsidRDefault="004624E1" w:rsidP="00716C95">
      <w:pPr>
        <w:pStyle w:val="SingleTxt"/>
        <w:tabs>
          <w:tab w:val="clear" w:pos="1742"/>
        </w:tabs>
      </w:pPr>
      <w:r w:rsidRPr="004C7F84">
        <w:t>2000</w:t>
      </w:r>
      <w:r w:rsidRPr="004C7F84">
        <w:tab/>
        <w:t>0,00</w:t>
      </w:r>
    </w:p>
    <w:p w14:paraId="2A409AF1" w14:textId="0B84E08D" w:rsidR="004624E1" w:rsidRPr="004C7F84" w:rsidRDefault="004624E1" w:rsidP="004624E1">
      <w:pPr>
        <w:pStyle w:val="SingleTxt"/>
        <w:spacing w:after="0" w:line="120" w:lineRule="exact"/>
        <w:rPr>
          <w:sz w:val="10"/>
        </w:rPr>
      </w:pPr>
    </w:p>
    <w:p w14:paraId="0F4A4E0B" w14:textId="166394B7" w:rsidR="004624E1" w:rsidRPr="004C7F84" w:rsidRDefault="004624E1" w:rsidP="004624E1">
      <w:pPr>
        <w:pStyle w:val="SingleTxt"/>
        <w:rPr>
          <w:i/>
        </w:rPr>
      </w:pPr>
      <w:r w:rsidRPr="004C7F84">
        <w:rPr>
          <w:i/>
        </w:rPr>
        <w:t xml:space="preserve">Indice synthétique de fécondité </w:t>
      </w:r>
    </w:p>
    <w:p w14:paraId="42A5D14B" w14:textId="6E5AF2A0" w:rsidR="004624E1" w:rsidRPr="004C7F84" w:rsidRDefault="004624E1" w:rsidP="004624E1">
      <w:pPr>
        <w:pStyle w:val="SingleTxt"/>
        <w:spacing w:after="0" w:line="120" w:lineRule="exact"/>
        <w:rPr>
          <w:i/>
          <w:sz w:val="10"/>
        </w:rPr>
      </w:pPr>
    </w:p>
    <w:p w14:paraId="30A0B0BF" w14:textId="77777777" w:rsidR="004624E1" w:rsidRPr="004C7F84" w:rsidRDefault="004624E1" w:rsidP="00514306">
      <w:pPr>
        <w:pStyle w:val="SingleTxt"/>
        <w:numPr>
          <w:ilvl w:val="0"/>
          <w:numId w:val="5"/>
        </w:numPr>
        <w:spacing w:line="240" w:lineRule="exact"/>
        <w:ind w:left="1267" w:firstLine="0"/>
      </w:pPr>
      <w:r w:rsidRPr="004C7F84">
        <w:t>En 2014, il était de 2,03 environ par femme en âge de procréer.</w:t>
      </w:r>
    </w:p>
    <w:p w14:paraId="7ED560A7" w14:textId="5AE9E392" w:rsidR="004624E1" w:rsidRPr="004C7F84" w:rsidRDefault="004624E1" w:rsidP="004624E1">
      <w:pPr>
        <w:pStyle w:val="SingleTxt"/>
        <w:spacing w:after="0" w:line="120" w:lineRule="exact"/>
        <w:rPr>
          <w:sz w:val="10"/>
        </w:rPr>
      </w:pPr>
    </w:p>
    <w:p w14:paraId="1FA9646F" w14:textId="7275D84D" w:rsidR="004624E1" w:rsidRPr="004C7F84" w:rsidRDefault="004624E1" w:rsidP="004624E1">
      <w:pPr>
        <w:pStyle w:val="SingleTxt"/>
        <w:rPr>
          <w:i/>
        </w:rPr>
      </w:pPr>
      <w:r w:rsidRPr="004C7F84">
        <w:rPr>
          <w:i/>
        </w:rPr>
        <w:t>Bilan sur le plan de la vaccination</w:t>
      </w:r>
    </w:p>
    <w:p w14:paraId="0E3721A6" w14:textId="741296EC" w:rsidR="004624E1" w:rsidRPr="004C7F84" w:rsidRDefault="004624E1" w:rsidP="004624E1">
      <w:pPr>
        <w:pStyle w:val="SingleTxt"/>
        <w:spacing w:after="0" w:line="120" w:lineRule="exact"/>
        <w:rPr>
          <w:i/>
          <w:sz w:val="10"/>
        </w:rPr>
      </w:pPr>
    </w:p>
    <w:p w14:paraId="407EB005" w14:textId="59E88037" w:rsidR="004624E1" w:rsidRPr="004C7F84" w:rsidRDefault="004624E1" w:rsidP="00514306">
      <w:pPr>
        <w:pStyle w:val="SingleTxt"/>
        <w:numPr>
          <w:ilvl w:val="0"/>
          <w:numId w:val="5"/>
        </w:numPr>
        <w:spacing w:line="240" w:lineRule="exact"/>
        <w:ind w:left="1267" w:firstLine="0"/>
      </w:pPr>
      <w:r w:rsidRPr="004C7F84">
        <w:t>Au cours des deux dernières décennies, près de 100</w:t>
      </w:r>
      <w:r w:rsidR="00716C95" w:rsidRPr="004C7F84">
        <w:t> </w:t>
      </w:r>
      <w:r w:rsidR="00906620" w:rsidRPr="004C7F84">
        <w:t xml:space="preserve">% des enfants vivant à </w:t>
      </w:r>
      <w:r w:rsidRPr="004C7F84">
        <w:t>Antigua-et-Barbuda ont été vaccinés contre les maladies d</w:t>
      </w:r>
      <w:r w:rsidR="00773F5D" w:rsidRPr="004C7F84">
        <w:t>’</w:t>
      </w:r>
      <w:r w:rsidRPr="004C7F84">
        <w:t xml:space="preserve">enfance. </w:t>
      </w:r>
    </w:p>
    <w:p w14:paraId="6D11CCF0" w14:textId="5EF00022" w:rsidR="004624E1" w:rsidRPr="004C7F84" w:rsidRDefault="004624E1" w:rsidP="004624E1">
      <w:pPr>
        <w:pStyle w:val="SingleTxt"/>
        <w:spacing w:after="0" w:line="120" w:lineRule="exact"/>
        <w:rPr>
          <w:sz w:val="10"/>
        </w:rPr>
      </w:pPr>
    </w:p>
    <w:p w14:paraId="57338469" w14:textId="5223BB43" w:rsidR="004624E1" w:rsidRPr="004C7F84" w:rsidRDefault="004624E1" w:rsidP="004624E1">
      <w:pPr>
        <w:pStyle w:val="SingleTxt"/>
        <w:rPr>
          <w:i/>
        </w:rPr>
      </w:pPr>
      <w:r w:rsidRPr="004C7F84">
        <w:rPr>
          <w:i/>
        </w:rPr>
        <w:t>Accès à l</w:t>
      </w:r>
      <w:r w:rsidR="00773F5D" w:rsidRPr="004C7F84">
        <w:rPr>
          <w:i/>
        </w:rPr>
        <w:t>’</w:t>
      </w:r>
      <w:r w:rsidRPr="004C7F84">
        <w:rPr>
          <w:i/>
        </w:rPr>
        <w:t xml:space="preserve">eau salubre </w:t>
      </w:r>
    </w:p>
    <w:p w14:paraId="55904C7D" w14:textId="1BD33872" w:rsidR="004624E1" w:rsidRPr="004C7F84" w:rsidRDefault="004624E1" w:rsidP="004624E1">
      <w:pPr>
        <w:pStyle w:val="SingleTxt"/>
        <w:spacing w:after="0" w:line="120" w:lineRule="exact"/>
        <w:rPr>
          <w:i/>
          <w:sz w:val="10"/>
        </w:rPr>
      </w:pPr>
    </w:p>
    <w:p w14:paraId="6E6B8CC1" w14:textId="3BF4C1E9" w:rsidR="004624E1" w:rsidRPr="004C7F84" w:rsidRDefault="004624E1" w:rsidP="00514306">
      <w:pPr>
        <w:pStyle w:val="SingleTxt"/>
        <w:numPr>
          <w:ilvl w:val="0"/>
          <w:numId w:val="5"/>
        </w:numPr>
        <w:spacing w:line="240" w:lineRule="exact"/>
        <w:ind w:left="1267" w:firstLine="0"/>
      </w:pPr>
      <w:r w:rsidRPr="004C7F84">
        <w:t>Selon le recensement de 2011, 91,4</w:t>
      </w:r>
      <w:r w:rsidR="00716C95" w:rsidRPr="004C7F84">
        <w:t> </w:t>
      </w:r>
      <w:r w:rsidRPr="004C7F84">
        <w:t>% de la population (rurale et urbaine) ont accès à l</w:t>
      </w:r>
      <w:r w:rsidR="00773F5D" w:rsidRPr="004C7F84">
        <w:t>’</w:t>
      </w:r>
      <w:r w:rsidRPr="004C7F84">
        <w:t>eau potable. En 1999, ce pourcentage était de 91</w:t>
      </w:r>
      <w:r w:rsidR="00716C95" w:rsidRPr="004C7F84">
        <w:t> </w:t>
      </w:r>
      <w:r w:rsidRPr="004C7F84">
        <w:t xml:space="preserve">%. </w:t>
      </w:r>
    </w:p>
    <w:p w14:paraId="732A2DA0" w14:textId="34254551" w:rsidR="004624E1" w:rsidRPr="004C7F84" w:rsidRDefault="004624E1" w:rsidP="004624E1">
      <w:pPr>
        <w:pStyle w:val="SingleTxt"/>
        <w:spacing w:after="0" w:line="120" w:lineRule="exact"/>
        <w:rPr>
          <w:sz w:val="10"/>
        </w:rPr>
      </w:pPr>
    </w:p>
    <w:p w14:paraId="6F439EAC" w14:textId="013DD07E" w:rsidR="004624E1" w:rsidRPr="004C7F84" w:rsidRDefault="004624E1" w:rsidP="004624E1">
      <w:pPr>
        <w:pStyle w:val="SingleTxt"/>
        <w:rPr>
          <w:i/>
        </w:rPr>
      </w:pPr>
      <w:r w:rsidRPr="004C7F84">
        <w:rPr>
          <w:i/>
        </w:rPr>
        <w:t>Accès à des installations sanitaires</w:t>
      </w:r>
      <w:r w:rsidRPr="004C7F84">
        <w:t xml:space="preserve"> </w:t>
      </w:r>
      <w:r w:rsidRPr="004C7F84">
        <w:rPr>
          <w:i/>
        </w:rPr>
        <w:t>adéquates</w:t>
      </w:r>
    </w:p>
    <w:p w14:paraId="11693025" w14:textId="77777777" w:rsidR="004624E1" w:rsidRPr="004C7F84" w:rsidRDefault="004624E1" w:rsidP="004624E1">
      <w:pPr>
        <w:pStyle w:val="SingleTxt"/>
        <w:spacing w:after="0" w:line="120" w:lineRule="exact"/>
        <w:rPr>
          <w:i/>
          <w:sz w:val="10"/>
        </w:rPr>
      </w:pPr>
    </w:p>
    <w:p w14:paraId="3C543DC3" w14:textId="54D518DD" w:rsidR="004624E1" w:rsidRPr="004C7F84" w:rsidRDefault="004624E1" w:rsidP="00514306">
      <w:pPr>
        <w:pStyle w:val="SingleTxt"/>
        <w:numPr>
          <w:ilvl w:val="0"/>
          <w:numId w:val="5"/>
        </w:numPr>
        <w:spacing w:line="240" w:lineRule="exact"/>
        <w:ind w:left="1267" w:firstLine="0"/>
      </w:pPr>
      <w:r w:rsidRPr="004C7F84">
        <w:t>D</w:t>
      </w:r>
      <w:r w:rsidR="00773F5D" w:rsidRPr="004C7F84">
        <w:t>’</w:t>
      </w:r>
      <w:r w:rsidRPr="004C7F84">
        <w:t>après le recensement de 2011, 99,6</w:t>
      </w:r>
      <w:r w:rsidR="00716C95" w:rsidRPr="004C7F84">
        <w:t> </w:t>
      </w:r>
      <w:r w:rsidRPr="004C7F84">
        <w:t>% de la population (tant rurale qu</w:t>
      </w:r>
      <w:r w:rsidR="00773F5D" w:rsidRPr="004C7F84">
        <w:t>’</w:t>
      </w:r>
      <w:r w:rsidRPr="004C7F84">
        <w:t>urbaine) avaient accès à des installations sanitaires adéquates.</w:t>
      </w:r>
    </w:p>
    <w:p w14:paraId="4AD475FD" w14:textId="53BF56BB" w:rsidR="004624E1" w:rsidRPr="004C7F84" w:rsidRDefault="004624E1" w:rsidP="004624E1">
      <w:pPr>
        <w:pStyle w:val="SingleTxt"/>
        <w:spacing w:after="0" w:line="120" w:lineRule="exact"/>
        <w:rPr>
          <w:sz w:val="10"/>
        </w:rPr>
      </w:pPr>
    </w:p>
    <w:p w14:paraId="06D244E6" w14:textId="7194FC1E" w:rsidR="004624E1" w:rsidRPr="004C7F84" w:rsidRDefault="004624E1" w:rsidP="004624E1">
      <w:pPr>
        <w:pStyle w:val="SingleTxt"/>
        <w:rPr>
          <w:i/>
        </w:rPr>
      </w:pPr>
      <w:r w:rsidRPr="004C7F84">
        <w:rPr>
          <w:i/>
        </w:rPr>
        <w:t xml:space="preserve">Possession de téléphones mobiles </w:t>
      </w:r>
    </w:p>
    <w:p w14:paraId="3A068D62" w14:textId="286AC417" w:rsidR="004624E1" w:rsidRPr="004C7F84" w:rsidRDefault="004624E1" w:rsidP="004624E1">
      <w:pPr>
        <w:pStyle w:val="SingleTxt"/>
        <w:spacing w:after="0" w:line="120" w:lineRule="exact"/>
        <w:rPr>
          <w:i/>
          <w:sz w:val="10"/>
        </w:rPr>
      </w:pPr>
    </w:p>
    <w:p w14:paraId="4BA9E3FA" w14:textId="39F26EB1" w:rsidR="004624E1" w:rsidRPr="004C7F84" w:rsidRDefault="004624E1" w:rsidP="00514306">
      <w:pPr>
        <w:pStyle w:val="SingleTxt"/>
        <w:numPr>
          <w:ilvl w:val="0"/>
          <w:numId w:val="5"/>
        </w:numPr>
        <w:spacing w:line="240" w:lineRule="exact"/>
        <w:ind w:left="1267" w:firstLine="0"/>
      </w:pPr>
      <w:r w:rsidRPr="004C7F84">
        <w:t>Selon le recensement de 2011, 83,46</w:t>
      </w:r>
      <w:r w:rsidR="00716C95" w:rsidRPr="004C7F84">
        <w:t> </w:t>
      </w:r>
      <w:r w:rsidRPr="004C7F84">
        <w:t>% des ménages possèdent au moins un téléphone mobile.</w:t>
      </w:r>
    </w:p>
    <w:p w14:paraId="3E8856A6" w14:textId="3D91C35E" w:rsidR="008234F4" w:rsidRPr="004C7F84" w:rsidRDefault="008234F4" w:rsidP="008234F4">
      <w:pPr>
        <w:pStyle w:val="SingleTxt"/>
        <w:spacing w:after="0" w:line="120" w:lineRule="exact"/>
        <w:rPr>
          <w:sz w:val="10"/>
        </w:rPr>
      </w:pPr>
    </w:p>
    <w:p w14:paraId="1C00B801" w14:textId="668A50D1" w:rsidR="008234F4" w:rsidRPr="004C7F84" w:rsidRDefault="008234F4" w:rsidP="008234F4">
      <w:pPr>
        <w:pStyle w:val="SingleTxt"/>
        <w:spacing w:after="0" w:line="120" w:lineRule="exact"/>
        <w:rPr>
          <w:sz w:val="10"/>
        </w:rPr>
      </w:pPr>
    </w:p>
    <w:p w14:paraId="3599DBCE" w14:textId="49C5A754" w:rsidR="00BF5BEB" w:rsidRPr="004C7F84" w:rsidRDefault="00BF5BEB" w:rsidP="004B02B0">
      <w:pPr>
        <w:pStyle w:val="H1"/>
        <w:ind w:right="1260"/>
      </w:pPr>
      <w:r w:rsidRPr="004C7F84">
        <w:tab/>
      </w:r>
      <w:r w:rsidRPr="004C7F84">
        <w:tab/>
      </w:r>
      <w:r w:rsidR="004624E1" w:rsidRPr="004C7F84">
        <w:t>Article premier</w:t>
      </w:r>
      <w:r w:rsidR="00773F5D" w:rsidRPr="004C7F84">
        <w:t> :</w:t>
      </w:r>
      <w:r w:rsidR="004624E1" w:rsidRPr="004C7F84">
        <w:t xml:space="preserve"> Définition de la discrimination à l</w:t>
      </w:r>
      <w:r w:rsidR="00773F5D" w:rsidRPr="004C7F84">
        <w:t>’</w:t>
      </w:r>
      <w:r w:rsidR="004624E1" w:rsidRPr="004C7F84">
        <w:t xml:space="preserve">égard </w:t>
      </w:r>
      <w:r w:rsidR="004624E1" w:rsidRPr="004C7F84">
        <w:br/>
        <w:t>des femmes</w:t>
      </w:r>
    </w:p>
    <w:p w14:paraId="5F48481D" w14:textId="7C1066C8" w:rsidR="008234F4" w:rsidRPr="004C7F84" w:rsidRDefault="008234F4" w:rsidP="008234F4">
      <w:pPr>
        <w:pStyle w:val="SingleTxt"/>
        <w:spacing w:after="0" w:line="120" w:lineRule="exact"/>
        <w:rPr>
          <w:sz w:val="10"/>
        </w:rPr>
      </w:pPr>
    </w:p>
    <w:p w14:paraId="1C43FC39" w14:textId="70F5C95E" w:rsidR="008234F4" w:rsidRPr="004C7F84" w:rsidRDefault="008234F4" w:rsidP="008234F4">
      <w:pPr>
        <w:pStyle w:val="SingleTxt"/>
        <w:spacing w:after="0" w:line="120" w:lineRule="exact"/>
        <w:rPr>
          <w:sz w:val="10"/>
        </w:rPr>
      </w:pPr>
    </w:p>
    <w:p w14:paraId="441CE6B2" w14:textId="486425D1" w:rsidR="005F6D61" w:rsidRPr="004C7F84" w:rsidRDefault="005F6D61" w:rsidP="00514306">
      <w:pPr>
        <w:pStyle w:val="SingleTxt"/>
        <w:numPr>
          <w:ilvl w:val="0"/>
          <w:numId w:val="5"/>
        </w:numPr>
        <w:spacing w:line="240" w:lineRule="exact"/>
        <w:ind w:left="1267" w:firstLine="0"/>
      </w:pPr>
      <w:r w:rsidRPr="004C7F84">
        <w:t>La définition de la discrimination dans la Constitution d</w:t>
      </w:r>
      <w:r w:rsidR="00773F5D" w:rsidRPr="004C7F84">
        <w:t>’</w:t>
      </w:r>
      <w:r w:rsidRPr="004C7F84">
        <w:t>Antigua-et-Barbuda n</w:t>
      </w:r>
      <w:r w:rsidR="00773F5D" w:rsidRPr="004C7F84">
        <w:t>’</w:t>
      </w:r>
      <w:r w:rsidRPr="004C7F84">
        <w:t>est pas incompatible avec celle qui figure d</w:t>
      </w:r>
      <w:r w:rsidR="007F5496" w:rsidRPr="004C7F84">
        <w:t>ans la Convention</w:t>
      </w:r>
      <w:r w:rsidR="00773F5D" w:rsidRPr="004C7F84">
        <w:t> ;</w:t>
      </w:r>
      <w:r w:rsidR="007F5496" w:rsidRPr="004C7F84">
        <w:t xml:space="preserve"> toutefois, </w:t>
      </w:r>
      <w:r w:rsidRPr="004C7F84">
        <w:t>elle n</w:t>
      </w:r>
      <w:r w:rsidR="00773F5D" w:rsidRPr="004C7F84">
        <w:t>’</w:t>
      </w:r>
      <w:r w:rsidRPr="004C7F84">
        <w:t>est pas aussi détaillée que cette dernière. La protection contre la discriminati</w:t>
      </w:r>
      <w:r w:rsidR="007F5496" w:rsidRPr="004C7F84">
        <w:t>on fondée sur le sexe s</w:t>
      </w:r>
      <w:r w:rsidR="00773F5D" w:rsidRPr="004C7F84">
        <w:t>’</w:t>
      </w:r>
      <w:r w:rsidR="007F5496" w:rsidRPr="004C7F84">
        <w:t xml:space="preserve">inscrit </w:t>
      </w:r>
      <w:r w:rsidRPr="004C7F84">
        <w:t>dans le cadre plus large d</w:t>
      </w:r>
      <w:r w:rsidR="00773F5D" w:rsidRPr="004C7F84">
        <w:t>’</w:t>
      </w:r>
      <w:r w:rsidRPr="004C7F84">
        <w:t>une disposition générale de la Constitution sur l</w:t>
      </w:r>
      <w:r w:rsidR="00773F5D" w:rsidRPr="004C7F84">
        <w:t>’</w:t>
      </w:r>
      <w:r w:rsidRPr="004C7F84">
        <w:t>interdiction de la discrimination. La Constitution d</w:t>
      </w:r>
      <w:r w:rsidR="00773F5D" w:rsidRPr="004C7F84">
        <w:t>’</w:t>
      </w:r>
      <w:r w:rsidRPr="004C7F84">
        <w:t>Antigua-et-</w:t>
      </w:r>
      <w:r w:rsidRPr="004C7F84">
        <w:lastRenderedPageBreak/>
        <w:t>Barbuda prévoit la sauvegarde des libertés et droits fondamentaux de tous les individus. Elle garantit donc aux femmes l</w:t>
      </w:r>
      <w:r w:rsidR="00773F5D" w:rsidRPr="004C7F84">
        <w:t>’</w:t>
      </w:r>
      <w:r w:rsidRPr="004C7F84">
        <w:t>exercice et la jouissance de ces droits et libertés, sur un pied d</w:t>
      </w:r>
      <w:r w:rsidR="00773F5D" w:rsidRPr="004C7F84">
        <w:t>’</w:t>
      </w:r>
      <w:r w:rsidRPr="004C7F84">
        <w:t>égalité avec les hommes. Les requérants peuvent, indépendamment de leur sexe, demander une aide juridictionnelle, conformément à la législation d</w:t>
      </w:r>
      <w:r w:rsidR="00773F5D" w:rsidRPr="004C7F84">
        <w:t>’</w:t>
      </w:r>
      <w:r w:rsidRPr="004C7F84">
        <w:t>Antigua-et-Barbuda.</w:t>
      </w:r>
    </w:p>
    <w:p w14:paraId="23CB0AC4" w14:textId="0D0E669D" w:rsidR="005F6D61" w:rsidRPr="004C7F84" w:rsidRDefault="005F6D61" w:rsidP="00514306">
      <w:pPr>
        <w:pStyle w:val="SingleTxt"/>
        <w:numPr>
          <w:ilvl w:val="0"/>
          <w:numId w:val="5"/>
        </w:numPr>
        <w:spacing w:line="240" w:lineRule="exact"/>
        <w:ind w:left="1267" w:firstLine="0"/>
      </w:pPr>
      <w:r w:rsidRPr="004C7F84">
        <w:t>L</w:t>
      </w:r>
      <w:r w:rsidR="00773F5D" w:rsidRPr="004C7F84">
        <w:t>’</w:t>
      </w:r>
      <w:r w:rsidRPr="004C7F84">
        <w:t>article 14 de la Constitution d</w:t>
      </w:r>
      <w:r w:rsidR="00773F5D" w:rsidRPr="004C7F84">
        <w:t>’</w:t>
      </w:r>
      <w:r w:rsidRPr="004C7F84">
        <w:t>Antigua-et-Barbuda interdit la discrimination fondée sur la race, le lieu d</w:t>
      </w:r>
      <w:r w:rsidR="00773F5D" w:rsidRPr="004C7F84">
        <w:t>’</w:t>
      </w:r>
      <w:r w:rsidRPr="004C7F84">
        <w:t>origine, l</w:t>
      </w:r>
      <w:r w:rsidR="00773F5D" w:rsidRPr="004C7F84">
        <w:t>’</w:t>
      </w:r>
      <w:r w:rsidRPr="004C7F84">
        <w:t>opinion politique, la couleur de la peau, la croyance ou le sexe. En d</w:t>
      </w:r>
      <w:r w:rsidR="00773F5D" w:rsidRPr="004C7F84">
        <w:t>’</w:t>
      </w:r>
      <w:r w:rsidRPr="004C7F84">
        <w:t>autres termes, une mesure qui n</w:t>
      </w:r>
      <w:r w:rsidR="00773F5D" w:rsidRPr="004C7F84">
        <w:t>’</w:t>
      </w:r>
      <w:r w:rsidRPr="004C7F84">
        <w:t>est pas, à première vue, discriminatoire</w:t>
      </w:r>
      <w:r w:rsidR="00906620" w:rsidRPr="004C7F84">
        <w:t xml:space="preserve"> </w:t>
      </w:r>
      <w:r w:rsidRPr="004C7F84">
        <w:t>mais dont l</w:t>
      </w:r>
      <w:r w:rsidR="00773F5D" w:rsidRPr="004C7F84">
        <w:t>’</w:t>
      </w:r>
      <w:r w:rsidRPr="004C7F84">
        <w:t>application aboutit à un traitement moins favorable pour</w:t>
      </w:r>
      <w:r w:rsidR="00906620" w:rsidRPr="004C7F84">
        <w:t xml:space="preserve"> </w:t>
      </w:r>
      <w:r w:rsidRPr="004C7F84">
        <w:t>une personne ou un groupe de personnes est en fait discriminatoire.</w:t>
      </w:r>
      <w:r w:rsidR="00773F5D" w:rsidRPr="004C7F84">
        <w:t xml:space="preserve"> </w:t>
      </w:r>
    </w:p>
    <w:p w14:paraId="3F68BB59" w14:textId="3439D4F3" w:rsidR="005F6D61" w:rsidRPr="004C7F84" w:rsidRDefault="005F6D61" w:rsidP="00514306">
      <w:pPr>
        <w:pStyle w:val="SingleTxt"/>
        <w:numPr>
          <w:ilvl w:val="0"/>
          <w:numId w:val="5"/>
        </w:numPr>
        <w:spacing w:line="240" w:lineRule="exact"/>
        <w:ind w:left="1267" w:firstLine="0"/>
      </w:pPr>
      <w:r w:rsidRPr="004C7F84">
        <w:t>En 1999, l</w:t>
      </w:r>
      <w:r w:rsidR="00773F5D" w:rsidRPr="004C7F84">
        <w:t>’</w:t>
      </w:r>
      <w:r w:rsidRPr="004C7F84">
        <w:t>État partie a mis en place un comité chargé de la réforme de la Constitution. À l</w:t>
      </w:r>
      <w:r w:rsidR="00773F5D" w:rsidRPr="004C7F84">
        <w:t>’</w:t>
      </w:r>
      <w:r w:rsidRPr="004C7F84">
        <w:t>issue de consultations avec un grand nombre d</w:t>
      </w:r>
      <w:r w:rsidR="00773F5D" w:rsidRPr="004C7F84">
        <w:t>’</w:t>
      </w:r>
      <w:r w:rsidRPr="004C7F84">
        <w:t>associations et d</w:t>
      </w:r>
      <w:r w:rsidR="00773F5D" w:rsidRPr="004C7F84">
        <w:t>’</w:t>
      </w:r>
      <w:r w:rsidRPr="004C7F84">
        <w:t>organisations féminines, la Direction de la problématique hommes-femmes a présenté à ce comité une proposition visant à incorporer dans la Constitution la définition de la discrimination à l</w:t>
      </w:r>
      <w:r w:rsidR="00773F5D" w:rsidRPr="004C7F84">
        <w:t>’</w:t>
      </w:r>
      <w:r w:rsidRPr="004C7F84">
        <w:t>égard des femmes, qui figure dans la Convention. Toutefois, à ce jour, aucune modification n</w:t>
      </w:r>
      <w:r w:rsidR="00773F5D" w:rsidRPr="004C7F84">
        <w:t>’</w:t>
      </w:r>
      <w:r w:rsidRPr="004C7F84">
        <w:t>a été apportée à la Constitution.</w:t>
      </w:r>
    </w:p>
    <w:p w14:paraId="2FE81D60" w14:textId="0831C101" w:rsidR="005F6D61" w:rsidRPr="004C7F84" w:rsidRDefault="005F6D61" w:rsidP="00514306">
      <w:pPr>
        <w:pStyle w:val="SingleTxt"/>
        <w:numPr>
          <w:ilvl w:val="0"/>
          <w:numId w:val="5"/>
        </w:numPr>
        <w:spacing w:line="240" w:lineRule="exact"/>
        <w:ind w:left="1267" w:firstLine="0"/>
      </w:pPr>
      <w:r w:rsidRPr="004C7F84">
        <w:t>Aucune loi ne définit expressément</w:t>
      </w:r>
      <w:r w:rsidR="00906620" w:rsidRPr="004C7F84">
        <w:t xml:space="preserve"> </w:t>
      </w:r>
      <w:r w:rsidRPr="004C7F84">
        <w:t>la discrimination à l</w:t>
      </w:r>
      <w:r w:rsidR="00773F5D" w:rsidRPr="004C7F84">
        <w:t>’</w:t>
      </w:r>
      <w:r w:rsidRPr="004C7F84">
        <w:t>égard des femmes, mais il convient de noter qu</w:t>
      </w:r>
      <w:r w:rsidR="00773F5D" w:rsidRPr="004C7F84">
        <w:t>’</w:t>
      </w:r>
      <w:r w:rsidRPr="004C7F84">
        <w:t>aux termes de l</w:t>
      </w:r>
      <w:r w:rsidR="00773F5D" w:rsidRPr="004C7F84">
        <w:t>’</w:t>
      </w:r>
      <w:r w:rsidRPr="004C7F84">
        <w:t>article E8(1) du Code du travail d</w:t>
      </w:r>
      <w:r w:rsidR="00773F5D" w:rsidRPr="004C7F84">
        <w:t>’</w:t>
      </w:r>
      <w:r w:rsidRPr="004C7F84">
        <w:t>Antigua-et-Barbuda, est considérée comme infraction pénale l</w:t>
      </w:r>
      <w:r w:rsidR="00773F5D" w:rsidRPr="004C7F84">
        <w:t>’</w:t>
      </w:r>
      <w:r w:rsidRPr="004C7F84">
        <w:t>attribution aux femmes d</w:t>
      </w:r>
      <w:r w:rsidR="00773F5D" w:rsidRPr="004C7F84">
        <w:t>’</w:t>
      </w:r>
      <w:r w:rsidRPr="004C7F84">
        <w:t>une rémunération et d</w:t>
      </w:r>
      <w:r w:rsidR="00773F5D" w:rsidRPr="004C7F84">
        <w:t>’</w:t>
      </w:r>
      <w:r w:rsidRPr="004C7F84">
        <w:t>autres conditions de travail moins favorables qu</w:t>
      </w:r>
      <w:r w:rsidR="00773F5D" w:rsidRPr="004C7F84">
        <w:t>’</w:t>
      </w:r>
      <w:r w:rsidRPr="004C7F84">
        <w:t>aux hommes en raison de leur sexe. En effet, en vertu de</w:t>
      </w:r>
      <w:r w:rsidR="00906620" w:rsidRPr="004C7F84">
        <w:t xml:space="preserve"> </w:t>
      </w:r>
      <w:r w:rsidRPr="004C7F84">
        <w:t>cet article, les conditions d</w:t>
      </w:r>
      <w:r w:rsidR="00773F5D" w:rsidRPr="004C7F84">
        <w:t>’</w:t>
      </w:r>
      <w:r w:rsidRPr="004C7F84">
        <w:t>emploi d</w:t>
      </w:r>
      <w:r w:rsidR="00773F5D" w:rsidRPr="004C7F84">
        <w:t>’</w:t>
      </w:r>
      <w:r w:rsidRPr="004C7F84">
        <w:t>une femme ne peuvent</w:t>
      </w:r>
      <w:r w:rsidR="00906620" w:rsidRPr="004C7F84">
        <w:t xml:space="preserve"> </w:t>
      </w:r>
      <w:r w:rsidRPr="004C7F84">
        <w:t>être moins favorables que celles de ses homologues masculins en raison</w:t>
      </w:r>
      <w:r w:rsidR="00906620" w:rsidRPr="004C7F84">
        <w:t xml:space="preserve"> </w:t>
      </w:r>
      <w:r w:rsidRPr="004C7F84">
        <w:t>uniquement de son sexe. L</w:t>
      </w:r>
      <w:r w:rsidR="00773F5D" w:rsidRPr="004C7F84">
        <w:t>’</w:t>
      </w:r>
      <w:r w:rsidRPr="004C7F84">
        <w:t>infraction est punissable par procédure sommaire d</w:t>
      </w:r>
      <w:r w:rsidR="00773F5D" w:rsidRPr="004C7F84">
        <w:t>’</w:t>
      </w:r>
      <w:r w:rsidRPr="004C7F84">
        <w:t>une amende de 1</w:t>
      </w:r>
      <w:r w:rsidR="007F5496" w:rsidRPr="004C7F84">
        <w:t> </w:t>
      </w:r>
      <w:r w:rsidRPr="004C7F84">
        <w:t>000,00 dollars des Caraïbes orientales. En outre, l</w:t>
      </w:r>
      <w:r w:rsidR="00773F5D" w:rsidRPr="004C7F84">
        <w:t>’</w:t>
      </w:r>
      <w:r w:rsidRPr="004C7F84">
        <w:t>employeur peut être requis de verser à l</w:t>
      </w:r>
      <w:r w:rsidR="00773F5D" w:rsidRPr="004C7F84">
        <w:t>’</w:t>
      </w:r>
      <w:r w:rsidRPr="004C7F84">
        <w:t>employée une indemnité correspondant</w:t>
      </w:r>
      <w:r w:rsidR="00906620" w:rsidRPr="004C7F84">
        <w:t xml:space="preserve"> </w:t>
      </w:r>
      <w:r w:rsidRPr="004C7F84">
        <w:t>au préjudice qu</w:t>
      </w:r>
      <w:r w:rsidR="00773F5D" w:rsidRPr="004C7F84">
        <w:t>’</w:t>
      </w:r>
      <w:r w:rsidRPr="004C7F84">
        <w:t xml:space="preserve">elle a subi. Cette injonction revient à instituer une </w:t>
      </w:r>
      <w:r w:rsidRPr="004C7F84">
        <w:rPr>
          <w:bCs/>
        </w:rPr>
        <w:t>créance établie par un jugement</w:t>
      </w:r>
      <w:r w:rsidRPr="004C7F84">
        <w:rPr>
          <w:b/>
          <w:bCs/>
        </w:rPr>
        <w:t xml:space="preserve"> </w:t>
      </w:r>
      <w:r w:rsidRPr="004C7F84">
        <w:t xml:space="preserve">et est donc exécutoire. </w:t>
      </w:r>
    </w:p>
    <w:p w14:paraId="369FBFB1" w14:textId="78BAF73C" w:rsidR="00BF5BEB" w:rsidRPr="004C7F84" w:rsidRDefault="005F6D61" w:rsidP="00514306">
      <w:pPr>
        <w:pStyle w:val="SingleTxt"/>
        <w:numPr>
          <w:ilvl w:val="0"/>
          <w:numId w:val="5"/>
        </w:numPr>
        <w:spacing w:line="240" w:lineRule="exact"/>
        <w:ind w:left="1267" w:firstLine="0"/>
      </w:pPr>
      <w:r w:rsidRPr="004C7F84">
        <w:t>Il faut également faire observer que la définition juridique de la discrimination dans la Constitution d</w:t>
      </w:r>
      <w:r w:rsidR="00773F5D" w:rsidRPr="004C7F84">
        <w:t>’</w:t>
      </w:r>
      <w:r w:rsidRPr="004C7F84">
        <w:t>Antigua-et-Barbuda ne vise</w:t>
      </w:r>
      <w:r w:rsidR="00906620" w:rsidRPr="004C7F84">
        <w:t xml:space="preserve"> </w:t>
      </w:r>
      <w:r w:rsidRPr="004C7F84">
        <w:t>pas la violence à l</w:t>
      </w:r>
      <w:r w:rsidR="00773F5D" w:rsidRPr="004C7F84">
        <w:t>’</w:t>
      </w:r>
      <w:r w:rsidRPr="004C7F84">
        <w:t xml:space="preserve">égard des femmes. Or, comme partout dans le monde, la plupart des victimes de violence familiale sont des femmes et des enfants. Néanmoins, </w:t>
      </w:r>
      <w:r w:rsidR="00E03FA8" w:rsidRPr="004C7F84">
        <w:t>Antigua-et-Barbuda</w:t>
      </w:r>
      <w:r w:rsidRPr="004C7F84">
        <w:t xml:space="preserve"> a adopté la loi sur la violence familiale (procédure en référé) en 1999 et la loi sur la violence familiale en 2015.</w:t>
      </w:r>
      <w:r w:rsidR="00906620" w:rsidRPr="004C7F84">
        <w:t xml:space="preserve"> </w:t>
      </w:r>
    </w:p>
    <w:p w14:paraId="504CF8D5" w14:textId="29A4788E" w:rsidR="005F6D61" w:rsidRPr="004C7F84" w:rsidRDefault="005F6D61" w:rsidP="00514306">
      <w:pPr>
        <w:pStyle w:val="SingleTxt"/>
        <w:numPr>
          <w:ilvl w:val="0"/>
          <w:numId w:val="5"/>
        </w:numPr>
        <w:spacing w:line="240" w:lineRule="exact"/>
        <w:ind w:left="1267" w:firstLine="0"/>
      </w:pPr>
      <w:r w:rsidRPr="004C7F84">
        <w:t>La loi de 1999 sur la violence familiale (procédure en référé) définit comme suit cette forme de violence</w:t>
      </w:r>
      <w:r w:rsidR="00773F5D" w:rsidRPr="004C7F84">
        <w:t> :</w:t>
      </w:r>
    </w:p>
    <w:p w14:paraId="33F2E60F" w14:textId="220535C8" w:rsidR="005F6D61" w:rsidRPr="004C7F84" w:rsidRDefault="005F6D61" w:rsidP="004B02B0">
      <w:pPr>
        <w:pStyle w:val="SingleTxt"/>
        <w:ind w:left="1742" w:hanging="475"/>
      </w:pPr>
      <w:r w:rsidRPr="004C7F84">
        <w:tab/>
        <w:t>« tout acte de violence, qu</w:t>
      </w:r>
      <w:r w:rsidR="00773F5D" w:rsidRPr="004C7F84">
        <w:t>’</w:t>
      </w:r>
      <w:r w:rsidRPr="004C7F84">
        <w:t>il s</w:t>
      </w:r>
      <w:r w:rsidR="00773F5D" w:rsidRPr="004C7F84">
        <w:t>’</w:t>
      </w:r>
      <w:r w:rsidRPr="004C7F84">
        <w:t>agisse de sévices ou d</w:t>
      </w:r>
      <w:r w:rsidR="00773F5D" w:rsidRPr="004C7F84">
        <w:t>’</w:t>
      </w:r>
      <w:r w:rsidRPr="004C7F84">
        <w:t>agressions verbales, commis par un membre de la famille à l</w:t>
      </w:r>
      <w:r w:rsidR="00773F5D" w:rsidRPr="004C7F84">
        <w:t>’</w:t>
      </w:r>
      <w:r w:rsidRPr="004C7F84">
        <w:t>encontre d</w:t>
      </w:r>
      <w:r w:rsidR="00773F5D" w:rsidRPr="004C7F84">
        <w:t>’</w:t>
      </w:r>
      <w:r w:rsidRPr="004C7F84">
        <w:t>un autre membre de cette même famille, qui cause ou risque de causer un préjudice ou dommage physique, mental</w:t>
      </w:r>
      <w:r w:rsidR="00906620" w:rsidRPr="004C7F84">
        <w:t xml:space="preserve"> ou moral à la victime ou à un </w:t>
      </w:r>
      <w:r w:rsidRPr="004C7F84">
        <w:t>autre membre de la famille » (p.</w:t>
      </w:r>
      <w:r w:rsidR="007F5496" w:rsidRPr="004C7F84">
        <w:t> </w:t>
      </w:r>
      <w:r w:rsidRPr="004C7F84">
        <w:t>3)</w:t>
      </w:r>
      <w:r w:rsidR="00906620" w:rsidRPr="004C7F84">
        <w:t>.</w:t>
      </w:r>
    </w:p>
    <w:p w14:paraId="5406586F" w14:textId="21F30851" w:rsidR="004B02B0" w:rsidRPr="004C7F84" w:rsidRDefault="004B02B0" w:rsidP="00514306">
      <w:pPr>
        <w:pStyle w:val="SingleTxt"/>
        <w:numPr>
          <w:ilvl w:val="0"/>
          <w:numId w:val="5"/>
        </w:numPr>
        <w:spacing w:line="240" w:lineRule="exact"/>
        <w:ind w:left="1267" w:firstLine="0"/>
      </w:pPr>
      <w:r w:rsidRPr="004C7F84">
        <w:t>Conformément à la loi de 1999, une personne qui a été victime de mauvais traitements infligés par un membre de la famille peut s</w:t>
      </w:r>
      <w:r w:rsidR="00773F5D" w:rsidRPr="004C7F84">
        <w:t>’</w:t>
      </w:r>
      <w:r w:rsidRPr="004C7F84">
        <w:t>adresser à la justice de paix pour obtenir une ordonnance de protection, d</w:t>
      </w:r>
      <w:r w:rsidR="00773F5D" w:rsidRPr="004C7F84">
        <w:t>’</w:t>
      </w:r>
      <w:r w:rsidRPr="004C7F84">
        <w:t>occupation ou de location et d</w:t>
      </w:r>
      <w:r w:rsidR="00773F5D" w:rsidRPr="004C7F84">
        <w:t>’</w:t>
      </w:r>
      <w:r w:rsidRPr="004C7F84">
        <w:t>autres mesures accessoires. Des sanctions (monétaires et privatives de liberté) peuvent être infligées si les ordonnances de protection ne sont pas respectées. Au cas où la victime souhaite engager des poursuites, elle peut demander au Ser</w:t>
      </w:r>
      <w:r w:rsidR="00906620" w:rsidRPr="004C7F84">
        <w:t>vice de l</w:t>
      </w:r>
      <w:r w:rsidR="00773F5D" w:rsidRPr="004C7F84">
        <w:t>’</w:t>
      </w:r>
      <w:r w:rsidR="00906620" w:rsidRPr="004C7F84">
        <w:t xml:space="preserve">aide juridictionnelle </w:t>
      </w:r>
      <w:r w:rsidRPr="004C7F84">
        <w:t>du Ministère des affaires juridiques l</w:t>
      </w:r>
      <w:r w:rsidR="00773F5D" w:rsidRPr="004C7F84">
        <w:t>’</w:t>
      </w:r>
      <w:r w:rsidRPr="004C7F84">
        <w:t>assistance d</w:t>
      </w:r>
      <w:r w:rsidR="00773F5D" w:rsidRPr="004C7F84">
        <w:t>’</w:t>
      </w:r>
      <w:r w:rsidRPr="004C7F84">
        <w:t xml:space="preserve">un avocat dont les services sont gratuits ou subventionnés. Une disposition importante de la loi de </w:t>
      </w:r>
      <w:r w:rsidRPr="004C7F84">
        <w:lastRenderedPageBreak/>
        <w:t>1999 garantit</w:t>
      </w:r>
      <w:r w:rsidR="00906620" w:rsidRPr="004C7F84">
        <w:t xml:space="preserve"> </w:t>
      </w:r>
      <w:r w:rsidRPr="004C7F84">
        <w:t>l</w:t>
      </w:r>
      <w:r w:rsidR="00773F5D" w:rsidRPr="004C7F84">
        <w:t>’</w:t>
      </w:r>
      <w:r w:rsidRPr="004C7F84">
        <w:t>anonymat des parties</w:t>
      </w:r>
      <w:r w:rsidR="00773F5D" w:rsidRPr="004C7F84">
        <w:t> :</w:t>
      </w:r>
      <w:r w:rsidRPr="004C7F84">
        <w:t xml:space="preserve"> le publ</w:t>
      </w:r>
      <w:r w:rsidR="00906620" w:rsidRPr="004C7F84">
        <w:t xml:space="preserve">ic est exclu des délibérations </w:t>
      </w:r>
      <w:r w:rsidRPr="004C7F84">
        <w:t>et les cas de violence familiale ne peuvent être mentionnés dans les médias. Toutefois, l</w:t>
      </w:r>
      <w:r w:rsidR="00773F5D" w:rsidRPr="004C7F84">
        <w:t>’</w:t>
      </w:r>
      <w:r w:rsidRPr="004C7F84">
        <w:t>auteur du document « Review of Legislation and Policies on Gender-based and Sexual Violence: Antigua and Barbuda » (Examen de la législation et des politiques sur la violence sexuelle et sexiste à Antigua-et-Barbuda) a relevé une des graves lacunes de cette loi</w:t>
      </w:r>
      <w:r w:rsidR="00773F5D" w:rsidRPr="004C7F84">
        <w:t> :</w:t>
      </w:r>
    </w:p>
    <w:p w14:paraId="0EF46F5D" w14:textId="108A6CB1" w:rsidR="00BF5BEB" w:rsidRPr="004C7F84" w:rsidRDefault="004B02B0" w:rsidP="004B02B0">
      <w:pPr>
        <w:pStyle w:val="SingleTxt"/>
        <w:ind w:left="1742" w:hanging="475"/>
      </w:pPr>
      <w:r w:rsidRPr="004C7F84">
        <w:tab/>
        <w:t>« la loi de 1999 sur la violence familiale (procédure en référé) ne prévoit aucune forme de réparation en faveur des victimes, à part la protection</w:t>
      </w:r>
      <w:r w:rsidR="00807510" w:rsidRPr="004C7F84">
        <w:t xml:space="preserve"> </w:t>
      </w:r>
      <w:r w:rsidRPr="004C7F84">
        <w:t>de leurs droits d</w:t>
      </w:r>
      <w:r w:rsidR="00773F5D" w:rsidRPr="004C7F84">
        <w:t>’</w:t>
      </w:r>
      <w:r w:rsidRPr="004C7F84">
        <w:t>occupation ou de location, qui sont accordés à la discrétion du juge » (Huggins, 2016:31).</w:t>
      </w:r>
    </w:p>
    <w:p w14:paraId="3D8F3B64" w14:textId="318CC041" w:rsidR="004B02B0" w:rsidRPr="004C7F84" w:rsidRDefault="004B02B0" w:rsidP="00376D7E">
      <w:pPr>
        <w:pStyle w:val="SingleTxt"/>
        <w:numPr>
          <w:ilvl w:val="0"/>
          <w:numId w:val="7"/>
        </w:numPr>
        <w:spacing w:line="240" w:lineRule="exact"/>
        <w:ind w:left="1260"/>
      </w:pPr>
      <w:r w:rsidRPr="004C7F84">
        <w:t>La loi de 2015 sur la violence familiale vise à combler plusieurs des lacunes de la loi de 1999. L</w:t>
      </w:r>
      <w:r w:rsidR="00773F5D" w:rsidRPr="004C7F84">
        <w:t>’</w:t>
      </w:r>
      <w:r w:rsidRPr="004C7F84">
        <w:t>une des modifications les plus importantes apportées par la loi de 2015 est l</w:t>
      </w:r>
      <w:r w:rsidR="00773F5D" w:rsidRPr="004C7F84">
        <w:t>’</w:t>
      </w:r>
      <w:r w:rsidRPr="004C7F84">
        <w:t>élargissement de la définition de l</w:t>
      </w:r>
      <w:r w:rsidR="00773F5D" w:rsidRPr="004C7F84">
        <w:t>’</w:t>
      </w:r>
      <w:r w:rsidRPr="004C7F84">
        <w:t>expression « violence familiale »</w:t>
      </w:r>
      <w:r w:rsidR="00773F5D" w:rsidRPr="004C7F84">
        <w:t> :</w:t>
      </w:r>
      <w:r w:rsidRPr="004C7F84">
        <w:t xml:space="preserve"> celle-ci vise non seulement les mauvais traitements et les agressions verbales mais également la maltraitance morale, psychologique et économique ainsi que le harcèlement criminel et le délit relativement nouveau de harcèlement en ligne.</w:t>
      </w:r>
    </w:p>
    <w:p w14:paraId="3AE6471E" w14:textId="0256544C" w:rsidR="004B02B0" w:rsidRPr="004C7F84" w:rsidRDefault="004B02B0" w:rsidP="00514306">
      <w:pPr>
        <w:pStyle w:val="SingleTxt"/>
        <w:numPr>
          <w:ilvl w:val="0"/>
          <w:numId w:val="8"/>
        </w:numPr>
        <w:spacing w:line="240" w:lineRule="exact"/>
        <w:ind w:left="1267" w:firstLine="0"/>
      </w:pPr>
      <w:r w:rsidRPr="004C7F84">
        <w:t>La loi de 2015 prévoit également la mise en place de centres d</w:t>
      </w:r>
      <w:r w:rsidR="00773F5D" w:rsidRPr="004C7F84">
        <w:t>’</w:t>
      </w:r>
      <w:r w:rsidRPr="004C7F84">
        <w:t>accueil où les victimes sont protégées des auteurs de violence familiale. Cependant, tout comme la loi de 1999, celle de 2015 ne mentionne aucune possibilité de réparation ou de compensation pour les victimes (Huggins, op</w:t>
      </w:r>
      <w:r w:rsidR="00807510" w:rsidRPr="004C7F84">
        <w:t>.</w:t>
      </w:r>
      <w:r w:rsidRPr="004C7F84">
        <w:t xml:space="preserve"> cit</w:t>
      </w:r>
      <w:r w:rsidR="00773F5D" w:rsidRPr="004C7F84">
        <w:t> :</w:t>
      </w:r>
      <w:r w:rsidRPr="004C7F84">
        <w:t xml:space="preserve"> 36). Par ailleurs, l</w:t>
      </w:r>
      <w:r w:rsidR="00773F5D" w:rsidRPr="004C7F84">
        <w:t>’</w:t>
      </w:r>
      <w:r w:rsidRPr="004C7F84">
        <w:t>expression « relation conjugale » ne concerne que les partenaires de sexes opposés (Ibid</w:t>
      </w:r>
      <w:r w:rsidR="007F5496" w:rsidRPr="004C7F84">
        <w:t>.</w:t>
      </w:r>
      <w:r w:rsidR="00773F5D" w:rsidRPr="004C7F84">
        <w:t> :</w:t>
      </w:r>
      <w:r w:rsidR="007F5496" w:rsidRPr="004C7F84">
        <w:t> </w:t>
      </w:r>
      <w:r w:rsidRPr="004C7F84">
        <w:t>34).</w:t>
      </w:r>
    </w:p>
    <w:p w14:paraId="78D61D67" w14:textId="4932F433" w:rsidR="004B02B0" w:rsidRPr="004C7F84" w:rsidRDefault="004B02B0" w:rsidP="004B02B0">
      <w:pPr>
        <w:pStyle w:val="SingleTxt"/>
        <w:spacing w:after="0" w:line="120" w:lineRule="exact"/>
        <w:rPr>
          <w:sz w:val="10"/>
        </w:rPr>
      </w:pPr>
    </w:p>
    <w:p w14:paraId="42CF2510" w14:textId="1FCDBD2B" w:rsidR="004B02B0" w:rsidRPr="004C7F84" w:rsidRDefault="004B02B0" w:rsidP="004B02B0">
      <w:pPr>
        <w:pStyle w:val="SingleTxt"/>
        <w:spacing w:after="0" w:line="120" w:lineRule="exact"/>
        <w:rPr>
          <w:sz w:val="10"/>
        </w:rPr>
      </w:pPr>
    </w:p>
    <w:p w14:paraId="2F4310EF" w14:textId="44C9E3DF" w:rsidR="004B02B0" w:rsidRPr="004C7F84" w:rsidRDefault="004B02B0" w:rsidP="004B02B0">
      <w:pPr>
        <w:pStyle w:val="H1"/>
        <w:ind w:right="1260"/>
      </w:pPr>
      <w:r w:rsidRPr="004C7F84">
        <w:tab/>
      </w:r>
      <w:r w:rsidRPr="004C7F84">
        <w:tab/>
        <w:t>Article 2</w:t>
      </w:r>
      <w:r w:rsidR="00773F5D" w:rsidRPr="004C7F84">
        <w:t> :</w:t>
      </w:r>
      <w:r w:rsidRPr="004C7F84">
        <w:t xml:space="preserve"> Obligation d</w:t>
      </w:r>
      <w:r w:rsidR="00773F5D" w:rsidRPr="004C7F84">
        <w:t>’</w:t>
      </w:r>
      <w:r w:rsidRPr="004C7F84">
        <w:t>éliminer la discrimination à l</w:t>
      </w:r>
      <w:r w:rsidR="00773F5D" w:rsidRPr="004C7F84">
        <w:t>’</w:t>
      </w:r>
      <w:r w:rsidRPr="004C7F84">
        <w:t xml:space="preserve">égard </w:t>
      </w:r>
      <w:r w:rsidRPr="004C7F84">
        <w:br/>
        <w:t>des femmes</w:t>
      </w:r>
    </w:p>
    <w:p w14:paraId="29479EBD" w14:textId="3BA178B9" w:rsidR="004B02B0" w:rsidRPr="004C7F84" w:rsidRDefault="004B02B0" w:rsidP="004B02B0">
      <w:pPr>
        <w:pStyle w:val="SingleTxt"/>
        <w:spacing w:after="0" w:line="120" w:lineRule="exact"/>
        <w:rPr>
          <w:b/>
          <w:sz w:val="10"/>
        </w:rPr>
      </w:pPr>
    </w:p>
    <w:p w14:paraId="3CA136A9" w14:textId="0FBAC8FD" w:rsidR="004B02B0" w:rsidRPr="004C7F84" w:rsidRDefault="004B02B0" w:rsidP="004B02B0">
      <w:pPr>
        <w:pStyle w:val="SingleTxt"/>
        <w:spacing w:after="0" w:line="120" w:lineRule="exact"/>
        <w:rPr>
          <w:b/>
          <w:sz w:val="10"/>
        </w:rPr>
      </w:pPr>
    </w:p>
    <w:p w14:paraId="3AED5BCB" w14:textId="62E6BF30" w:rsidR="004B02B0" w:rsidRPr="004C7F84" w:rsidRDefault="004B02B0" w:rsidP="00514306">
      <w:pPr>
        <w:pStyle w:val="SingleTxt"/>
        <w:numPr>
          <w:ilvl w:val="0"/>
          <w:numId w:val="9"/>
        </w:numPr>
        <w:spacing w:line="240" w:lineRule="exact"/>
        <w:ind w:left="1267" w:firstLine="0"/>
      </w:pPr>
      <w:r w:rsidRPr="004C7F84">
        <w:t>L</w:t>
      </w:r>
      <w:r w:rsidR="00773F5D" w:rsidRPr="004C7F84">
        <w:t>’</w:t>
      </w:r>
      <w:r w:rsidRPr="004C7F84">
        <w:t>État partie n</w:t>
      </w:r>
      <w:r w:rsidR="00773F5D" w:rsidRPr="004C7F84">
        <w:t>’</w:t>
      </w:r>
      <w:r w:rsidRPr="004C7F84">
        <w:t>a pas encore adopté les lois qui lui permettent d</w:t>
      </w:r>
      <w:r w:rsidR="00773F5D" w:rsidRPr="004C7F84">
        <w:t>’</w:t>
      </w:r>
      <w:r w:rsidRPr="004C7F84">
        <w:t>éliminer formellement</w:t>
      </w:r>
      <w:r w:rsidR="00807510" w:rsidRPr="004C7F84">
        <w:t xml:space="preserve"> </w:t>
      </w:r>
      <w:r w:rsidRPr="004C7F84">
        <w:t>toutes les formes de discrimination à l</w:t>
      </w:r>
      <w:r w:rsidR="00773F5D" w:rsidRPr="004C7F84">
        <w:t>’</w:t>
      </w:r>
      <w:r w:rsidRPr="004C7F84">
        <w:t>égard des femmes. Cependant certains textes, comme le Code du travail,</w:t>
      </w:r>
      <w:r w:rsidR="007F5496" w:rsidRPr="004C7F84">
        <w:t xml:space="preserve"> prévoient que plusieurs formes </w:t>
      </w:r>
      <w:r w:rsidRPr="004C7F84">
        <w:t>de discrimination (notamment celle fondée sur le sexe) peuvent faire l</w:t>
      </w:r>
      <w:r w:rsidR="00773F5D" w:rsidRPr="004C7F84">
        <w:t>’</w:t>
      </w:r>
      <w:r w:rsidRPr="004C7F84">
        <w:t>objet de poursuites en justice. Les dispositions du Code du travail réprimant la discrimination seront mentionnées, s</w:t>
      </w:r>
      <w:r w:rsidR="00773F5D" w:rsidRPr="004C7F84">
        <w:t>’</w:t>
      </w:r>
      <w:r w:rsidRPr="004C7F84">
        <w:t>il y a lieu, da</w:t>
      </w:r>
      <w:r w:rsidR="007F5496" w:rsidRPr="004C7F84">
        <w:t>ns le présent rapport</w:t>
      </w:r>
      <w:r w:rsidR="00807510" w:rsidRPr="004C7F84">
        <w:t>.</w:t>
      </w:r>
      <w:r w:rsidR="007F5496" w:rsidRPr="004C7F84">
        <w:t xml:space="preserve"> Un autre texte qui porte </w:t>
      </w:r>
      <w:r w:rsidRPr="004C7F84">
        <w:t>également sur l</w:t>
      </w:r>
      <w:r w:rsidR="007F5496" w:rsidRPr="004C7F84">
        <w:t xml:space="preserve">a question de la discrimination </w:t>
      </w:r>
      <w:r w:rsidRPr="004C7F84">
        <w:t xml:space="preserve">est la loi sur le médiateur, adoptée en 1994. </w:t>
      </w:r>
    </w:p>
    <w:p w14:paraId="7E40219C" w14:textId="7D56545B" w:rsidR="004B02B0" w:rsidRPr="004C7F84" w:rsidRDefault="004B02B0" w:rsidP="004B02B0">
      <w:pPr>
        <w:pStyle w:val="SingleTxt"/>
        <w:spacing w:after="0" w:line="120" w:lineRule="exact"/>
        <w:rPr>
          <w:sz w:val="10"/>
        </w:rPr>
      </w:pPr>
    </w:p>
    <w:p w14:paraId="3EE752B6" w14:textId="77777777" w:rsidR="004B02B0" w:rsidRPr="004C7F84" w:rsidRDefault="004B02B0" w:rsidP="004B0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t>Loi de 1994 sur le médiateur</w:t>
      </w:r>
    </w:p>
    <w:p w14:paraId="3A93B223" w14:textId="4F25B9B6" w:rsidR="004B02B0" w:rsidRPr="004C7F84" w:rsidRDefault="004B02B0" w:rsidP="004B02B0">
      <w:pPr>
        <w:pStyle w:val="SingleTxt"/>
        <w:spacing w:after="0" w:line="120" w:lineRule="exact"/>
        <w:rPr>
          <w:b/>
          <w:sz w:val="10"/>
        </w:rPr>
      </w:pPr>
    </w:p>
    <w:p w14:paraId="4B5CF366" w14:textId="46CF391D" w:rsidR="004B02B0" w:rsidRPr="004C7F84" w:rsidRDefault="004B02B0" w:rsidP="00514306">
      <w:pPr>
        <w:pStyle w:val="SingleTxt"/>
        <w:numPr>
          <w:ilvl w:val="0"/>
          <w:numId w:val="10"/>
        </w:numPr>
        <w:spacing w:line="240" w:lineRule="exact"/>
        <w:ind w:left="1267" w:firstLine="0"/>
      </w:pPr>
      <w:r w:rsidRPr="004C7F84">
        <w:t>La loi sur le médiateur prévoyait la mise en place d</w:t>
      </w:r>
      <w:r w:rsidR="00773F5D" w:rsidRPr="004C7F84">
        <w:t>’</w:t>
      </w:r>
      <w:r w:rsidRPr="004C7F84">
        <w:t>un Bureau du médiateur, qui a été inauguré en 1995. Celui-ci reçoit</w:t>
      </w:r>
      <w:r w:rsidR="00807510" w:rsidRPr="004C7F84">
        <w:t xml:space="preserve"> </w:t>
      </w:r>
      <w:r w:rsidRPr="004C7F84">
        <w:t>les plaintes visant</w:t>
      </w:r>
      <w:r w:rsidR="00807510" w:rsidRPr="004C7F84">
        <w:t xml:space="preserve"> </w:t>
      </w:r>
      <w:r w:rsidRPr="004C7F84">
        <w:t>les membres de l</w:t>
      </w:r>
      <w:r w:rsidR="00773F5D" w:rsidRPr="004C7F84">
        <w:t>’</w:t>
      </w:r>
      <w:r w:rsidRPr="004C7F84">
        <w:t>encadrement, qui sont déposées par les fonctionnaires du Gouvernement et les employés des organes officiels ou des institutions et organismes publics. Le médiateur est l</w:t>
      </w:r>
      <w:r w:rsidR="00773F5D" w:rsidRPr="004C7F84">
        <w:t>’</w:t>
      </w:r>
      <w:r w:rsidRPr="004C7F84">
        <w:t>arbitre en dernier ressort</w:t>
      </w:r>
      <w:r w:rsidR="00773F5D" w:rsidRPr="004C7F84">
        <w:t> :</w:t>
      </w:r>
      <w:r w:rsidRPr="004C7F84">
        <w:t xml:space="preserve"> les victimes, quel que soit leur sexe, doivent avoir épuisé tous les recours normaux ou réglementaires</w:t>
      </w:r>
      <w:r w:rsidR="00807510" w:rsidRPr="004C7F84">
        <w:t xml:space="preserve"> </w:t>
      </w:r>
      <w:r w:rsidRPr="004C7F84">
        <w:t>avant de pouvoir s</w:t>
      </w:r>
      <w:r w:rsidR="00773F5D" w:rsidRPr="004C7F84">
        <w:t>’</w:t>
      </w:r>
      <w:r w:rsidRPr="004C7F84">
        <w:t>adresser à son bureau.</w:t>
      </w:r>
      <w:r w:rsidR="00807510" w:rsidRPr="004C7F84">
        <w:t xml:space="preserve"> </w:t>
      </w:r>
    </w:p>
    <w:p w14:paraId="47F25D61" w14:textId="5B413EC0" w:rsidR="004B02B0" w:rsidRPr="004C7F84" w:rsidRDefault="004B02B0" w:rsidP="00514306">
      <w:pPr>
        <w:pStyle w:val="SingleTxt"/>
        <w:numPr>
          <w:ilvl w:val="0"/>
          <w:numId w:val="11"/>
        </w:numPr>
        <w:spacing w:line="240" w:lineRule="exact"/>
        <w:ind w:left="1267" w:firstLine="0"/>
      </w:pPr>
      <w:r w:rsidRPr="004C7F84">
        <w:t>Le premier médiateur, qui a occupé ses fonctions de 1995 à 2006, était un homme. Son successeur en 2007 était une femme qui a quitté ce poste en 2014. Un nouveau médiateur n</w:t>
      </w:r>
      <w:r w:rsidR="00773F5D" w:rsidRPr="004C7F84">
        <w:t>’</w:t>
      </w:r>
      <w:r w:rsidRPr="004C7F84">
        <w:t xml:space="preserve">est pas encore nommé à ce jour. Le Bureau compte actuellement six fonctionnaires (non compris le médiateur) qui sont tous des femmes. </w:t>
      </w:r>
    </w:p>
    <w:p w14:paraId="749A5544" w14:textId="5FC60085" w:rsidR="004B02B0" w:rsidRPr="004C7F84" w:rsidRDefault="004B02B0" w:rsidP="004B02B0">
      <w:pPr>
        <w:pStyle w:val="SingleTxt"/>
        <w:spacing w:after="0" w:line="120" w:lineRule="exact"/>
        <w:rPr>
          <w:sz w:val="10"/>
        </w:rPr>
      </w:pPr>
    </w:p>
    <w:p w14:paraId="37F53D76" w14:textId="3A37DF64" w:rsidR="004B02B0" w:rsidRPr="004C7F84" w:rsidRDefault="004B02B0" w:rsidP="0080751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lastRenderedPageBreak/>
        <w:tab/>
      </w:r>
      <w:r w:rsidRPr="004C7F84">
        <w:rPr>
          <w:lang w:val="fr-FR"/>
        </w:rPr>
        <w:tab/>
        <w:t>Loi de 2008 sur l</w:t>
      </w:r>
      <w:r w:rsidR="00773F5D" w:rsidRPr="004C7F84">
        <w:rPr>
          <w:lang w:val="fr-FR"/>
        </w:rPr>
        <w:t>’</w:t>
      </w:r>
      <w:r w:rsidRPr="004C7F84">
        <w:rPr>
          <w:lang w:val="fr-FR"/>
        </w:rPr>
        <w:t>enseignement</w:t>
      </w:r>
    </w:p>
    <w:p w14:paraId="37DBCD45" w14:textId="065E8FFC" w:rsidR="004B02B0" w:rsidRPr="004C7F84" w:rsidRDefault="004B02B0" w:rsidP="00807510">
      <w:pPr>
        <w:pStyle w:val="SingleTxt"/>
        <w:keepNext/>
        <w:keepLines/>
        <w:spacing w:after="0" w:line="120" w:lineRule="exact"/>
        <w:rPr>
          <w:sz w:val="10"/>
        </w:rPr>
      </w:pPr>
    </w:p>
    <w:p w14:paraId="5643AEEF" w14:textId="2045FD29" w:rsidR="004B02B0" w:rsidRPr="004C7F84" w:rsidRDefault="004B02B0" w:rsidP="00514306">
      <w:pPr>
        <w:pStyle w:val="SingleTxt"/>
        <w:keepNext/>
        <w:keepLines/>
        <w:numPr>
          <w:ilvl w:val="0"/>
          <w:numId w:val="12"/>
        </w:numPr>
        <w:spacing w:line="240" w:lineRule="exact"/>
        <w:ind w:left="1267" w:firstLine="0"/>
      </w:pPr>
      <w:r w:rsidRPr="004C7F84">
        <w:t>L</w:t>
      </w:r>
      <w:r w:rsidR="00773F5D" w:rsidRPr="004C7F84">
        <w:t>’</w:t>
      </w:r>
      <w:r w:rsidRPr="004C7F84">
        <w:t>un des objectifs de la loi de 2008 sur l</w:t>
      </w:r>
      <w:r w:rsidR="00773F5D" w:rsidRPr="004C7F84">
        <w:t>’</w:t>
      </w:r>
      <w:r w:rsidRPr="004C7F84">
        <w:t>enseignement est de faire mieux comprendre les principes de l</w:t>
      </w:r>
      <w:r w:rsidR="00773F5D" w:rsidRPr="004C7F84">
        <w:t>’</w:t>
      </w:r>
      <w:r w:rsidRPr="004C7F84">
        <w:t>égalité des sexes et de l</w:t>
      </w:r>
      <w:r w:rsidR="00773F5D" w:rsidRPr="004C7F84">
        <w:t>’</w:t>
      </w:r>
      <w:r w:rsidRPr="004C7F84">
        <w:t>équité (Partie 1c), ce qui témoigne de la volonté</w:t>
      </w:r>
      <w:r w:rsidR="00807510" w:rsidRPr="004C7F84">
        <w:t xml:space="preserve"> </w:t>
      </w:r>
      <w:r w:rsidRPr="004C7F84">
        <w:t>de l</w:t>
      </w:r>
      <w:r w:rsidR="00773F5D" w:rsidRPr="004C7F84">
        <w:t>’</w:t>
      </w:r>
      <w:r w:rsidRPr="004C7F84">
        <w:t>État partie de sensibiliser les jeunes à l</w:t>
      </w:r>
      <w:r w:rsidR="00773F5D" w:rsidRPr="004C7F84">
        <w:t>’</w:t>
      </w:r>
      <w:r w:rsidRPr="004C7F84">
        <w:t>importance cruciale de l</w:t>
      </w:r>
      <w:r w:rsidR="00773F5D" w:rsidRPr="004C7F84">
        <w:t>’</w:t>
      </w:r>
      <w:r w:rsidRPr="004C7F84">
        <w:t>élimination de la discrimination fondée sur le sexe.</w:t>
      </w:r>
    </w:p>
    <w:p w14:paraId="7A851DDB" w14:textId="5FD7670C" w:rsidR="004B02B0" w:rsidRPr="004C7F84" w:rsidRDefault="004B02B0" w:rsidP="004B02B0">
      <w:pPr>
        <w:pStyle w:val="SingleTxt"/>
        <w:spacing w:after="0" w:line="120" w:lineRule="exact"/>
        <w:rPr>
          <w:sz w:val="10"/>
        </w:rPr>
      </w:pPr>
    </w:p>
    <w:p w14:paraId="7D9AE335" w14:textId="2E99B187" w:rsidR="004B02B0" w:rsidRPr="004C7F84" w:rsidRDefault="004B02B0" w:rsidP="004B0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t>Formation des juristes aux dispositions de la Convention</w:t>
      </w:r>
    </w:p>
    <w:p w14:paraId="3F887CEB" w14:textId="722D248D" w:rsidR="004B02B0" w:rsidRPr="004C7F84" w:rsidRDefault="004B02B0" w:rsidP="004B02B0">
      <w:pPr>
        <w:pStyle w:val="SingleTxt"/>
        <w:spacing w:after="0" w:line="120" w:lineRule="exact"/>
        <w:rPr>
          <w:b/>
          <w:sz w:val="10"/>
        </w:rPr>
      </w:pPr>
    </w:p>
    <w:p w14:paraId="3A0B6709" w14:textId="68E32460" w:rsidR="004B02B0" w:rsidRPr="004C7F84" w:rsidRDefault="004B02B0" w:rsidP="00514306">
      <w:pPr>
        <w:pStyle w:val="SingleTxt"/>
        <w:numPr>
          <w:ilvl w:val="0"/>
          <w:numId w:val="13"/>
        </w:numPr>
        <w:spacing w:line="240" w:lineRule="exact"/>
        <w:ind w:left="1267" w:firstLine="0"/>
      </w:pPr>
      <w:r w:rsidRPr="004C7F84">
        <w:t>Le colloque que le Secrétariat du Commonwealth a organisé en 1996, dans le cadre du projet sur la législation sur la famille et la violence familiale, à l</w:t>
      </w:r>
      <w:r w:rsidR="00773F5D" w:rsidRPr="004C7F84">
        <w:t>’</w:t>
      </w:r>
      <w:r w:rsidRPr="004C7F84">
        <w:t>intention des</w:t>
      </w:r>
      <w:r w:rsidR="00807510" w:rsidRPr="004C7F84">
        <w:t xml:space="preserve"> </w:t>
      </w:r>
      <w:r w:rsidRPr="004C7F84">
        <w:t>juges de la Cour d</w:t>
      </w:r>
      <w:r w:rsidR="00773F5D" w:rsidRPr="004C7F84">
        <w:t>’</w:t>
      </w:r>
      <w:r w:rsidRPr="004C7F84">
        <w:t>appel de l</w:t>
      </w:r>
      <w:r w:rsidR="00773F5D" w:rsidRPr="004C7F84">
        <w:t>’</w:t>
      </w:r>
      <w:r w:rsidRPr="004C7F84">
        <w:t>OECO visait à mettre les législations nationales en conformité avec les dispositions de la Convention</w:t>
      </w:r>
      <w:r w:rsidR="00773F5D" w:rsidRPr="004C7F84">
        <w:t> ;</w:t>
      </w:r>
      <w:r w:rsidRPr="004C7F84">
        <w:t xml:space="preserve"> à cette occasion, les juges et les magistrats ont bénéficié d</w:t>
      </w:r>
      <w:r w:rsidR="00773F5D" w:rsidRPr="004C7F84">
        <w:t>’</w:t>
      </w:r>
      <w:r w:rsidRPr="004C7F84">
        <w:t>une formation, de même que les avocats, notamment d</w:t>
      </w:r>
      <w:r w:rsidR="00773F5D" w:rsidRPr="004C7F84">
        <w:t>’</w:t>
      </w:r>
      <w:r w:rsidRPr="004C7F84">
        <w:t>Antigua.</w:t>
      </w:r>
      <w:r w:rsidR="00807510" w:rsidRPr="004C7F84">
        <w:t xml:space="preserve"> </w:t>
      </w:r>
    </w:p>
    <w:p w14:paraId="593C53F2" w14:textId="7A6D44D3" w:rsidR="004B02B0" w:rsidRPr="004C7F84" w:rsidRDefault="004B02B0" w:rsidP="004B02B0">
      <w:pPr>
        <w:pStyle w:val="SingleTxt"/>
        <w:spacing w:after="0" w:line="120" w:lineRule="exact"/>
        <w:rPr>
          <w:sz w:val="10"/>
        </w:rPr>
      </w:pPr>
    </w:p>
    <w:p w14:paraId="627C84A2" w14:textId="232E61EC" w:rsidR="004B02B0" w:rsidRPr="004C7F84" w:rsidRDefault="004B02B0" w:rsidP="004B0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t>Plan d</w:t>
      </w:r>
      <w:r w:rsidR="00773F5D" w:rsidRPr="004C7F84">
        <w:rPr>
          <w:lang w:val="fr-FR"/>
        </w:rPr>
        <w:t>’</w:t>
      </w:r>
      <w:r w:rsidRPr="004C7F84">
        <w:rPr>
          <w:lang w:val="fr-FR"/>
        </w:rPr>
        <w:t xml:space="preserve">action national visant à mettre un terme à la violence sexiste (2013) </w:t>
      </w:r>
    </w:p>
    <w:p w14:paraId="20A76F60" w14:textId="52688B71" w:rsidR="004B02B0" w:rsidRPr="004C7F84" w:rsidRDefault="004B02B0" w:rsidP="004B02B0">
      <w:pPr>
        <w:pStyle w:val="SingleTxt"/>
        <w:spacing w:after="0" w:line="120" w:lineRule="exact"/>
        <w:rPr>
          <w:b/>
          <w:sz w:val="10"/>
        </w:rPr>
      </w:pPr>
    </w:p>
    <w:p w14:paraId="5B597F9C" w14:textId="26555D65" w:rsidR="004B02B0" w:rsidRPr="004C7F84" w:rsidRDefault="004B02B0" w:rsidP="00514306">
      <w:pPr>
        <w:pStyle w:val="SingleTxt"/>
        <w:numPr>
          <w:ilvl w:val="0"/>
          <w:numId w:val="14"/>
        </w:numPr>
        <w:spacing w:line="240" w:lineRule="exact"/>
        <w:ind w:left="1267" w:firstLine="0"/>
      </w:pPr>
      <w:r w:rsidRPr="004C7F84">
        <w:t>Le Comité a suggéré d</w:t>
      </w:r>
      <w:r w:rsidR="00773F5D" w:rsidRPr="004C7F84">
        <w:t>’</w:t>
      </w:r>
      <w:r w:rsidRPr="004C7F84">
        <w:t>intégrer les questions liées aux distinctions fondées sur le sexe dans le plan quinquennal d</w:t>
      </w:r>
      <w:r w:rsidR="00807510" w:rsidRPr="004C7F84">
        <w:t>u Gouvernement (observation n</w:t>
      </w:r>
      <w:r w:rsidR="00807510" w:rsidRPr="004C7F84">
        <w:rPr>
          <w:vertAlign w:val="superscript"/>
        </w:rPr>
        <w:t>o</w:t>
      </w:r>
      <w:r w:rsidR="00807510" w:rsidRPr="004C7F84">
        <w:t xml:space="preserve"> 264). </w:t>
      </w:r>
      <w:r w:rsidRPr="004C7F84">
        <w:t>L</w:t>
      </w:r>
      <w:r w:rsidR="00773F5D" w:rsidRPr="004C7F84">
        <w:t>’</w:t>
      </w:r>
      <w:r w:rsidRPr="004C7F84">
        <w:t>État partie élabore actuellement</w:t>
      </w:r>
      <w:r w:rsidR="00807510" w:rsidRPr="004C7F84">
        <w:t xml:space="preserve"> </w:t>
      </w:r>
      <w:r w:rsidRPr="004C7F84">
        <w:t>un plan de développement quinquennal qui prendra scrupuleusement en compte la problématique hommes-femmes. Malgré les retards pris dans la mise en œuvre de la recommandation du Comité, il convient de noter que l</w:t>
      </w:r>
      <w:r w:rsidR="00773F5D" w:rsidRPr="004C7F84">
        <w:t>’</w:t>
      </w:r>
      <w:r w:rsidRPr="004C7F84">
        <w:t>État partie a fait établir, par le biais</w:t>
      </w:r>
      <w:r w:rsidR="00807510" w:rsidRPr="004C7F84">
        <w:t xml:space="preserve"> </w:t>
      </w:r>
      <w:r w:rsidRPr="004C7F84">
        <w:t>de la Direction de la problématique hommes-femmes, un plan quinquennal ayant pour objectif de mettre fin à la violence sexiste. Le Gouvernement a adopté</w:t>
      </w:r>
      <w:r w:rsidR="00807510" w:rsidRPr="004C7F84">
        <w:t xml:space="preserve"> </w:t>
      </w:r>
      <w:r w:rsidRPr="004C7F84">
        <w:t>en 2013 ce document détaillé, intitulé Plan d</w:t>
      </w:r>
      <w:r w:rsidR="00773F5D" w:rsidRPr="004C7F84">
        <w:t>’</w:t>
      </w:r>
      <w:r w:rsidRPr="004C7F84">
        <w:t xml:space="preserve">action national visant à mettre un terme à la </w:t>
      </w:r>
      <w:r w:rsidRPr="004C7F84">
        <w:rPr>
          <w:iCs/>
        </w:rPr>
        <w:t>violence</w:t>
      </w:r>
      <w:r w:rsidRPr="004C7F84">
        <w:t xml:space="preserve"> sexiste, qui contient également les principes directeurs régissant la mise en œuvre de la Convention, de la Convention interaméricaine sur la prévention, la sanction et l</w:t>
      </w:r>
      <w:r w:rsidR="00773F5D" w:rsidRPr="004C7F84">
        <w:t>’</w:t>
      </w:r>
      <w:r w:rsidRPr="004C7F84">
        <w:t>élimination de la violence contre la femme (Convention de Belém do Pará), de la Déclaration et du Programme d</w:t>
      </w:r>
      <w:r w:rsidR="00773F5D" w:rsidRPr="004C7F84">
        <w:t>’</w:t>
      </w:r>
      <w:r w:rsidRPr="004C7F84">
        <w:t>action de Beijing et des objectifs du Millénaire pour le développement en vue d</w:t>
      </w:r>
      <w:r w:rsidR="00773F5D" w:rsidRPr="004C7F84">
        <w:t>’</w:t>
      </w:r>
      <w:r w:rsidRPr="004C7F84">
        <w:t>améliorer la condition des femmes et de mettre fin à toutes les formes de discrimination à leur égard (Direction de la problématique hommes-femmes, 2014). L</w:t>
      </w:r>
      <w:r w:rsidR="00773F5D" w:rsidRPr="004C7F84">
        <w:t>’</w:t>
      </w:r>
      <w:r w:rsidRPr="004C7F84">
        <w:t>analyse qui suit reprend en grande partie</w:t>
      </w:r>
      <w:r w:rsidR="00807510" w:rsidRPr="004C7F84">
        <w:t xml:space="preserve"> </w:t>
      </w:r>
      <w:r w:rsidRPr="004C7F84">
        <w:t>ce document essentiel. Le plan d</w:t>
      </w:r>
      <w:r w:rsidR="00773F5D" w:rsidRPr="004C7F84">
        <w:t>’</w:t>
      </w:r>
      <w:r w:rsidRPr="004C7F84">
        <w:t>action décrit ce qui a été accompli jusqu</w:t>
      </w:r>
      <w:r w:rsidR="00773F5D" w:rsidRPr="004C7F84">
        <w:t>’</w:t>
      </w:r>
      <w:r w:rsidRPr="004C7F84">
        <w:t>à présent dans la lutte contre la violence sexiste et appelle l</w:t>
      </w:r>
      <w:r w:rsidR="00773F5D" w:rsidRPr="004C7F84">
        <w:t>’</w:t>
      </w:r>
      <w:r w:rsidRPr="004C7F84">
        <w:t>attention sur les processus et activités qui doivent être entrepris</w:t>
      </w:r>
      <w:r w:rsidR="00807510" w:rsidRPr="004C7F84">
        <w:t xml:space="preserve"> </w:t>
      </w:r>
      <w:r w:rsidRPr="004C7F84">
        <w:t xml:space="preserve">dès que possible pour mettre fin à cette forme de violence. </w:t>
      </w:r>
    </w:p>
    <w:p w14:paraId="6637AE62" w14:textId="0129CFEE" w:rsidR="004B02B0" w:rsidRPr="004C7F84" w:rsidRDefault="004B02B0" w:rsidP="004B02B0">
      <w:pPr>
        <w:pStyle w:val="SingleTxt"/>
        <w:spacing w:after="0" w:line="120" w:lineRule="exact"/>
        <w:rPr>
          <w:sz w:val="10"/>
        </w:rPr>
      </w:pPr>
    </w:p>
    <w:p w14:paraId="50C6E6A4" w14:textId="1CEDA443" w:rsidR="004B02B0" w:rsidRPr="004C7F84" w:rsidRDefault="004B02B0" w:rsidP="004B02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t xml:space="preserve">CDB Country Gender Assessment </w:t>
      </w:r>
      <w:r w:rsidR="00807510" w:rsidRPr="004C7F84">
        <w:rPr>
          <w:lang w:val="fr-FR"/>
        </w:rPr>
        <w:t>–</w:t>
      </w:r>
      <w:r w:rsidRPr="004C7F84">
        <w:rPr>
          <w:lang w:val="fr-FR"/>
        </w:rPr>
        <w:t xml:space="preserve"> Antigua and Barbuda (2014) </w:t>
      </w:r>
      <w:r w:rsidRPr="004C7F84">
        <w:rPr>
          <w:lang w:val="fr-FR"/>
        </w:rPr>
        <w:br/>
        <w:t>(Évaluation de l</w:t>
      </w:r>
      <w:r w:rsidR="00773F5D" w:rsidRPr="004C7F84">
        <w:rPr>
          <w:lang w:val="fr-FR"/>
        </w:rPr>
        <w:t>’</w:t>
      </w:r>
      <w:r w:rsidRPr="004C7F84">
        <w:rPr>
          <w:lang w:val="fr-FR"/>
        </w:rPr>
        <w:t xml:space="preserve">égalité des sexes dans les pays des Caraïbes, </w:t>
      </w:r>
      <w:r w:rsidRPr="004C7F84">
        <w:rPr>
          <w:lang w:val="fr-FR"/>
        </w:rPr>
        <w:br/>
        <w:t>effectuée par la Banque de développement des Caraïbes (2014)</w:t>
      </w:r>
      <w:r w:rsidR="00773F5D" w:rsidRPr="004C7F84">
        <w:rPr>
          <w:lang w:val="fr-FR"/>
        </w:rPr>
        <w:t> :</w:t>
      </w:r>
      <w:r w:rsidRPr="004C7F84">
        <w:rPr>
          <w:lang w:val="fr-FR"/>
        </w:rPr>
        <w:t xml:space="preserve"> </w:t>
      </w:r>
      <w:r w:rsidRPr="004C7F84">
        <w:rPr>
          <w:lang w:val="fr-FR"/>
        </w:rPr>
        <w:br/>
        <w:t xml:space="preserve">Antigua-et-Barbuda) </w:t>
      </w:r>
    </w:p>
    <w:p w14:paraId="60C4498B" w14:textId="654638E1" w:rsidR="004B02B0" w:rsidRPr="004C7F84" w:rsidRDefault="004B02B0" w:rsidP="004B02B0">
      <w:pPr>
        <w:pStyle w:val="SingleTxt"/>
        <w:spacing w:after="0" w:line="120" w:lineRule="exact"/>
        <w:rPr>
          <w:b/>
          <w:sz w:val="10"/>
        </w:rPr>
      </w:pPr>
    </w:p>
    <w:p w14:paraId="4D84BD69" w14:textId="6FA07202" w:rsidR="004B02B0" w:rsidRPr="004C7F84" w:rsidRDefault="004B02B0" w:rsidP="00514306">
      <w:pPr>
        <w:pStyle w:val="SingleTxt"/>
        <w:numPr>
          <w:ilvl w:val="0"/>
          <w:numId w:val="14"/>
        </w:numPr>
        <w:spacing w:line="240" w:lineRule="exact"/>
        <w:ind w:left="1267" w:firstLine="0"/>
      </w:pPr>
      <w:r w:rsidRPr="004C7F84">
        <w:t>La Banque de développement des Caraïbes, qui est une institution financière régionale, a lancé en 2008 une stratégie</w:t>
      </w:r>
      <w:r w:rsidR="00807510" w:rsidRPr="004C7F84">
        <w:t xml:space="preserve"> intitulée</w:t>
      </w:r>
      <w:r w:rsidRPr="004C7F84">
        <w:t xml:space="preserve"> « Gender Equality Policy and Operational Strategy (GEPOS) » (Politique et stratégie opérationnelle d</w:t>
      </w:r>
      <w:r w:rsidR="00773F5D" w:rsidRPr="004C7F84">
        <w:t>’</w:t>
      </w:r>
      <w:r w:rsidRPr="004C7F84">
        <w:t>égalité des sexes) qui lui permettrait d</w:t>
      </w:r>
      <w:r w:rsidR="00773F5D" w:rsidRPr="004C7F84">
        <w:t>’</w:t>
      </w:r>
      <w:r w:rsidRPr="004C7F84">
        <w:t>évaluer l</w:t>
      </w:r>
      <w:r w:rsidR="00773F5D" w:rsidRPr="004C7F84">
        <w:t>’</w:t>
      </w:r>
      <w:r w:rsidRPr="004C7F84">
        <w:t>égalité des sexes dans les pays membres. La première évaluation d</w:t>
      </w:r>
      <w:r w:rsidR="00773F5D" w:rsidRPr="004C7F84">
        <w:t>’</w:t>
      </w:r>
      <w:r w:rsidRPr="004C7F84">
        <w:t>Antigua-et-Barbuda a été achevée en 2014. Ce document exhaustif examinait la question de l</w:t>
      </w:r>
      <w:r w:rsidR="00773F5D" w:rsidRPr="004C7F84">
        <w:t>’</w:t>
      </w:r>
      <w:r w:rsidRPr="004C7F84">
        <w:t>égalité des sexes dans des domaines cruciaux.</w:t>
      </w:r>
    </w:p>
    <w:p w14:paraId="467589D7" w14:textId="2635D55F" w:rsidR="004B02B0" w:rsidRPr="004C7F84" w:rsidRDefault="004B02B0" w:rsidP="004B02B0">
      <w:pPr>
        <w:pStyle w:val="SingleTxt"/>
        <w:spacing w:after="0" w:line="120" w:lineRule="exact"/>
        <w:rPr>
          <w:sz w:val="10"/>
        </w:rPr>
      </w:pPr>
    </w:p>
    <w:p w14:paraId="7A47764C" w14:textId="22924B2E" w:rsidR="004B02B0" w:rsidRPr="004C7F84" w:rsidRDefault="004B02B0" w:rsidP="004B02B0">
      <w:pPr>
        <w:pStyle w:val="SingleTxt"/>
        <w:spacing w:after="0" w:line="120" w:lineRule="exact"/>
        <w:rPr>
          <w:sz w:val="10"/>
        </w:rPr>
      </w:pPr>
    </w:p>
    <w:p w14:paraId="0A690744" w14:textId="5900DB42" w:rsidR="004B02B0" w:rsidRPr="004C7F84" w:rsidRDefault="002073CB" w:rsidP="007F5496">
      <w:pPr>
        <w:pStyle w:val="H1"/>
        <w:ind w:right="1260"/>
      </w:pPr>
      <w:r w:rsidRPr="004C7F84">
        <w:lastRenderedPageBreak/>
        <w:tab/>
      </w:r>
      <w:r w:rsidRPr="004C7F84">
        <w:tab/>
      </w:r>
      <w:r w:rsidR="00BF5BEB" w:rsidRPr="004C7F84">
        <w:t>Article 3</w:t>
      </w:r>
      <w:r w:rsidR="00773F5D" w:rsidRPr="004C7F84">
        <w:t> :</w:t>
      </w:r>
      <w:r w:rsidR="00BF5BEB" w:rsidRPr="004C7F84">
        <w:t xml:space="preserve"> </w:t>
      </w:r>
      <w:r w:rsidRPr="004C7F84">
        <w:t>Promotion de la femme</w:t>
      </w:r>
    </w:p>
    <w:p w14:paraId="77D27D84" w14:textId="61262E02" w:rsidR="004B02B0" w:rsidRPr="004C7F84" w:rsidRDefault="004B02B0" w:rsidP="007F5496">
      <w:pPr>
        <w:pStyle w:val="SingleTxt"/>
        <w:keepNext/>
        <w:keepLines/>
        <w:spacing w:after="0" w:line="120" w:lineRule="exact"/>
        <w:rPr>
          <w:sz w:val="10"/>
        </w:rPr>
      </w:pPr>
    </w:p>
    <w:p w14:paraId="10BFE2B7" w14:textId="2C692DBF" w:rsidR="004B02B0" w:rsidRPr="004C7F84" w:rsidRDefault="004B02B0" w:rsidP="007F5496">
      <w:pPr>
        <w:pStyle w:val="SingleTxt"/>
        <w:keepNext/>
        <w:keepLines/>
        <w:spacing w:after="0" w:line="120" w:lineRule="exact"/>
        <w:rPr>
          <w:sz w:val="10"/>
        </w:rPr>
      </w:pPr>
    </w:p>
    <w:p w14:paraId="71D83956" w14:textId="5D087CCE" w:rsidR="004B02B0" w:rsidRPr="004C7F84" w:rsidRDefault="002073CB" w:rsidP="007F549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t>Mécanisme national de promotion de la femme</w:t>
      </w:r>
    </w:p>
    <w:p w14:paraId="0C5D2231" w14:textId="6BF55910" w:rsidR="002073CB" w:rsidRPr="004C7F84" w:rsidRDefault="002073CB" w:rsidP="007F5496">
      <w:pPr>
        <w:pStyle w:val="SingleTxt"/>
        <w:keepNext/>
        <w:keepLines/>
        <w:spacing w:after="0" w:line="120" w:lineRule="exact"/>
        <w:rPr>
          <w:sz w:val="10"/>
        </w:rPr>
      </w:pPr>
    </w:p>
    <w:p w14:paraId="16A8A367" w14:textId="3C5BCE24" w:rsidR="002073CB" w:rsidRPr="004C7F84" w:rsidRDefault="002073CB" w:rsidP="00514306">
      <w:pPr>
        <w:pStyle w:val="SingleTxt"/>
        <w:keepNext/>
        <w:keepLines/>
        <w:numPr>
          <w:ilvl w:val="0"/>
          <w:numId w:val="17"/>
        </w:numPr>
        <w:spacing w:line="240" w:lineRule="exact"/>
        <w:ind w:left="1267" w:firstLine="0"/>
      </w:pPr>
      <w:r w:rsidRPr="004C7F84">
        <w:t>La Direction de la problématique hommes-femmes est le mécanisme national chargé de suivre la mise en œuvre des accords nationaux, régionaux et internationaux sur l</w:t>
      </w:r>
      <w:r w:rsidR="00773F5D" w:rsidRPr="004C7F84">
        <w:t>’</w:t>
      </w:r>
      <w:r w:rsidRPr="004C7F84">
        <w:t>autonomisation des femmes et l</w:t>
      </w:r>
      <w:r w:rsidR="00773F5D" w:rsidRPr="004C7F84">
        <w:t>’</w:t>
      </w:r>
      <w:r w:rsidRPr="004C7F84">
        <w:t>équité. L</w:t>
      </w:r>
      <w:r w:rsidR="00773F5D" w:rsidRPr="004C7F84">
        <w:t>’</w:t>
      </w:r>
      <w:r w:rsidRPr="004C7F84">
        <w:t>État partie s</w:t>
      </w:r>
      <w:r w:rsidR="00773F5D" w:rsidRPr="004C7F84">
        <w:t>’</w:t>
      </w:r>
      <w:r w:rsidRPr="004C7F84">
        <w:t>engage à mettre en œuvre notamment</w:t>
      </w:r>
      <w:r w:rsidR="00773F5D" w:rsidRPr="004C7F84">
        <w:t> :</w:t>
      </w:r>
    </w:p>
    <w:p w14:paraId="2E048AF6" w14:textId="68223FAA" w:rsidR="002073CB" w:rsidRPr="004C7F84" w:rsidRDefault="007F5496" w:rsidP="00807510">
      <w:pPr>
        <w:pStyle w:val="Bullet1G"/>
        <w:spacing w:line="276" w:lineRule="auto"/>
        <w:jc w:val="left"/>
        <w:rPr>
          <w:rStyle w:val="preferred"/>
        </w:rPr>
      </w:pPr>
      <w:r w:rsidRPr="004C7F84">
        <w:t>L</w:t>
      </w:r>
      <w:r w:rsidR="002073CB" w:rsidRPr="004C7F84">
        <w:t>e Plan d</w:t>
      </w:r>
      <w:r w:rsidR="00773F5D" w:rsidRPr="004C7F84">
        <w:t>’</w:t>
      </w:r>
      <w:r w:rsidR="002073CB" w:rsidRPr="004C7F84">
        <w:t xml:space="preserve">action de la </w:t>
      </w:r>
      <w:r w:rsidR="002073CB" w:rsidRPr="004C7F84">
        <w:rPr>
          <w:rStyle w:val="Emphasis"/>
          <w:i w:val="0"/>
        </w:rPr>
        <w:t>Commission</w:t>
      </w:r>
      <w:r w:rsidR="002073CB" w:rsidRPr="004C7F84">
        <w:rPr>
          <w:rStyle w:val="preferred"/>
        </w:rPr>
        <w:t xml:space="preserve"> interaméric</w:t>
      </w:r>
      <w:r w:rsidR="00807510" w:rsidRPr="004C7F84">
        <w:rPr>
          <w:rStyle w:val="preferred"/>
        </w:rPr>
        <w:t>aine des femmes</w:t>
      </w:r>
      <w:r w:rsidR="00773F5D" w:rsidRPr="004C7F84">
        <w:rPr>
          <w:rStyle w:val="preferred"/>
        </w:rPr>
        <w:t> ;</w:t>
      </w:r>
    </w:p>
    <w:p w14:paraId="7F53D6BB" w14:textId="3A4E9DA0" w:rsidR="002073CB" w:rsidRPr="004C7F84" w:rsidRDefault="007F5496" w:rsidP="00807510">
      <w:pPr>
        <w:pStyle w:val="Bullet1G"/>
        <w:spacing w:line="276" w:lineRule="auto"/>
        <w:jc w:val="left"/>
      </w:pPr>
      <w:r w:rsidRPr="004C7F84">
        <w:t>L</w:t>
      </w:r>
      <w:r w:rsidR="002073CB" w:rsidRPr="004C7F84">
        <w:t>e programme d</w:t>
      </w:r>
      <w:r w:rsidR="00773F5D" w:rsidRPr="004C7F84">
        <w:t>’</w:t>
      </w:r>
      <w:r w:rsidR="002073CB" w:rsidRPr="004C7F84">
        <w:t>action de la Conférence internationale sur la population et le développement</w:t>
      </w:r>
      <w:r w:rsidR="00773F5D" w:rsidRPr="004C7F84">
        <w:t> ;</w:t>
      </w:r>
    </w:p>
    <w:p w14:paraId="4E61BC31" w14:textId="644FF859" w:rsidR="002073CB" w:rsidRPr="004C7F84" w:rsidRDefault="007F5496" w:rsidP="00807510">
      <w:pPr>
        <w:pStyle w:val="Bullet1G"/>
        <w:spacing w:line="276" w:lineRule="auto"/>
        <w:jc w:val="left"/>
      </w:pPr>
      <w:r w:rsidRPr="004C7F84">
        <w:t>L</w:t>
      </w:r>
      <w:r w:rsidR="002073CB" w:rsidRPr="004C7F84">
        <w:t>a Déclaration et le Programme d</w:t>
      </w:r>
      <w:r w:rsidR="00773F5D" w:rsidRPr="004C7F84">
        <w:t>’</w:t>
      </w:r>
      <w:r w:rsidR="002073CB" w:rsidRPr="004C7F84">
        <w:t>action de Beijing</w:t>
      </w:r>
      <w:r w:rsidR="00773F5D" w:rsidRPr="004C7F84">
        <w:t> ;</w:t>
      </w:r>
    </w:p>
    <w:p w14:paraId="167D922C" w14:textId="2E4A729F" w:rsidR="002073CB" w:rsidRPr="004C7F84" w:rsidRDefault="002073CB" w:rsidP="00807510">
      <w:pPr>
        <w:pStyle w:val="Bullet1G"/>
        <w:spacing w:line="276" w:lineRule="auto"/>
        <w:jc w:val="left"/>
      </w:pPr>
      <w:r w:rsidRPr="004C7F84">
        <w:t>La Convention sur l</w:t>
      </w:r>
      <w:r w:rsidR="00773F5D" w:rsidRPr="004C7F84">
        <w:t>’</w:t>
      </w:r>
      <w:r w:rsidRPr="004C7F84">
        <w:t>élimination de toutes les formes de discrimination à l</w:t>
      </w:r>
      <w:r w:rsidR="00773F5D" w:rsidRPr="004C7F84">
        <w:t>’</w:t>
      </w:r>
      <w:r w:rsidRPr="004C7F84">
        <w:t>égard des</w:t>
      </w:r>
      <w:r w:rsidR="00807510" w:rsidRPr="004C7F84">
        <w:t> </w:t>
      </w:r>
      <w:r w:rsidRPr="004C7F84">
        <w:t>femmes et son Protocole facultatif</w:t>
      </w:r>
      <w:r w:rsidR="00773F5D" w:rsidRPr="004C7F84">
        <w:t> ;</w:t>
      </w:r>
    </w:p>
    <w:p w14:paraId="6A5D6AD0" w14:textId="4138F4DD" w:rsidR="002073CB" w:rsidRPr="004C7F84" w:rsidRDefault="002073CB" w:rsidP="00807510">
      <w:pPr>
        <w:pStyle w:val="Bullet1G"/>
        <w:spacing w:line="276" w:lineRule="auto"/>
        <w:jc w:val="left"/>
      </w:pPr>
      <w:r w:rsidRPr="004C7F84">
        <w:t>La Convention de Belém do Pará</w:t>
      </w:r>
      <w:r w:rsidR="00773F5D" w:rsidRPr="004C7F84">
        <w:t> ;</w:t>
      </w:r>
      <w:r w:rsidRPr="004C7F84">
        <w:t xml:space="preserve"> </w:t>
      </w:r>
    </w:p>
    <w:p w14:paraId="1CD79CAF" w14:textId="1DAF2F6F" w:rsidR="002073CB" w:rsidRPr="004C7F84" w:rsidRDefault="007F5496" w:rsidP="00807510">
      <w:pPr>
        <w:pStyle w:val="Bullet1G"/>
        <w:spacing w:line="276" w:lineRule="auto"/>
        <w:jc w:val="left"/>
      </w:pPr>
      <w:r w:rsidRPr="004C7F84">
        <w:t>L</w:t>
      </w:r>
      <w:r w:rsidR="002073CB" w:rsidRPr="004C7F84">
        <w:t>a Déclaration sur l</w:t>
      </w:r>
      <w:r w:rsidR="00773F5D" w:rsidRPr="004C7F84">
        <w:t>’</w:t>
      </w:r>
      <w:r w:rsidR="002073CB" w:rsidRPr="004C7F84">
        <w:t>élimination de la violence à l</w:t>
      </w:r>
      <w:r w:rsidR="00773F5D" w:rsidRPr="004C7F84">
        <w:t>’</w:t>
      </w:r>
      <w:r w:rsidR="002073CB" w:rsidRPr="004C7F84">
        <w:t>égard des femmes</w:t>
      </w:r>
      <w:r w:rsidR="00773F5D" w:rsidRPr="004C7F84">
        <w:t> ;</w:t>
      </w:r>
      <w:r w:rsidR="002073CB" w:rsidRPr="004C7F84">
        <w:t xml:space="preserve"> </w:t>
      </w:r>
    </w:p>
    <w:p w14:paraId="16A2A75D" w14:textId="085293A4" w:rsidR="002073CB" w:rsidRPr="004C7F84" w:rsidRDefault="007F5496" w:rsidP="00807510">
      <w:pPr>
        <w:pStyle w:val="Bullet1G"/>
        <w:spacing w:line="276" w:lineRule="auto"/>
        <w:jc w:val="left"/>
      </w:pPr>
      <w:r w:rsidRPr="004C7F84">
        <w:t>L</w:t>
      </w:r>
      <w:r w:rsidR="002073CB" w:rsidRPr="004C7F84">
        <w:t>a Déclaration universelle des droits de l</w:t>
      </w:r>
      <w:r w:rsidR="00773F5D" w:rsidRPr="004C7F84">
        <w:t>’</w:t>
      </w:r>
      <w:r w:rsidR="002073CB" w:rsidRPr="004C7F84">
        <w:t>homme</w:t>
      </w:r>
      <w:r w:rsidRPr="004C7F84">
        <w:t>.</w:t>
      </w:r>
    </w:p>
    <w:p w14:paraId="6500E7E7" w14:textId="1BEAE866" w:rsidR="002073CB" w:rsidRPr="004C7F84" w:rsidRDefault="002073CB" w:rsidP="00514306">
      <w:pPr>
        <w:pStyle w:val="SingleTxt"/>
        <w:numPr>
          <w:ilvl w:val="0"/>
          <w:numId w:val="15"/>
        </w:numPr>
        <w:spacing w:line="240" w:lineRule="exact"/>
        <w:ind w:left="1267" w:firstLine="0"/>
      </w:pPr>
      <w:r w:rsidRPr="004C7F84">
        <w:t>En octobre 1980, le Gouvernement d</w:t>
      </w:r>
      <w:r w:rsidR="00773F5D" w:rsidRPr="004C7F84">
        <w:t>’</w:t>
      </w:r>
      <w:r w:rsidRPr="004C7F84">
        <w:t>Antigua-et-Barbuda a décidé, pour répo</w:t>
      </w:r>
      <w:r w:rsidR="00807510" w:rsidRPr="004C7F84">
        <w:t xml:space="preserve">ndre aux </w:t>
      </w:r>
      <w:r w:rsidRPr="004C7F84">
        <w:t>besoins des femmes, de mettre en place le Bureau des femmes, qui est devenu en 1985 la Direction des affaires féminines. Dans son rapport (</w:t>
      </w:r>
      <w:hyperlink r:id="rId16" w:history="1">
        <w:r w:rsidRPr="004C7F84">
          <w:rPr>
            <w:rStyle w:val="Hyperlink"/>
          </w:rPr>
          <w:t>A/52/38/Rev.1</w:t>
        </w:r>
      </w:hyperlink>
      <w:r w:rsidRPr="004C7F84">
        <w:t>), « le Comité a recommandé que la Direction des affaires féminines soit élevée à un rang supérieu</w:t>
      </w:r>
      <w:r w:rsidR="00970230" w:rsidRPr="004C7F84">
        <w:t>r et renforcé » (observation n</w:t>
      </w:r>
      <w:r w:rsidR="00970230" w:rsidRPr="004C7F84">
        <w:rPr>
          <w:vertAlign w:val="superscript"/>
        </w:rPr>
        <w:t>o</w:t>
      </w:r>
      <w:r w:rsidR="00970230" w:rsidRPr="004C7F84">
        <w:t> </w:t>
      </w:r>
      <w:r w:rsidRPr="004C7F84">
        <w:t>263). Conformément à cette recommandation, la Direction des affaires féminines a été restructurée et rebaptisée « Direction de la problématique hommes-femmes ». Toutefois, cette appellation n</w:t>
      </w:r>
      <w:r w:rsidR="00773F5D" w:rsidRPr="004C7F84">
        <w:t>’</w:t>
      </w:r>
      <w:r w:rsidRPr="004C7F84">
        <w:t>en fait pas un ministère à part entière, comme l</w:t>
      </w:r>
      <w:r w:rsidR="00773F5D" w:rsidRPr="004C7F84">
        <w:t>’</w:t>
      </w:r>
      <w:r w:rsidRPr="004C7F84">
        <w:t>envisageait sans doute le Comité. Un ministère chargé uniquement des affaires féminines ou de la problématique hommes-femmes n</w:t>
      </w:r>
      <w:r w:rsidR="00773F5D" w:rsidRPr="004C7F84">
        <w:t>’</w:t>
      </w:r>
      <w:r w:rsidRPr="004C7F84">
        <w:t>a pas été mis en place jusqu</w:t>
      </w:r>
      <w:r w:rsidR="00773F5D" w:rsidRPr="004C7F84">
        <w:t>’</w:t>
      </w:r>
      <w:r w:rsidRPr="004C7F84">
        <w:t>ici pour une raison très simple</w:t>
      </w:r>
      <w:r w:rsidR="00773F5D" w:rsidRPr="004C7F84">
        <w:t> :</w:t>
      </w:r>
      <w:r w:rsidRPr="004C7F84">
        <w:t xml:space="preserve"> un petit État insulaire comme Antigua-et-Barbuda n</w:t>
      </w:r>
      <w:r w:rsidR="00773F5D" w:rsidRPr="004C7F84">
        <w:t>’</w:t>
      </w:r>
      <w:r w:rsidR="00970230" w:rsidRPr="004C7F84">
        <w:t xml:space="preserve">a pas les moyens de créer </w:t>
      </w:r>
      <w:r w:rsidRPr="004C7F84">
        <w:t>de nouveaux ministères. Depuis plusieurs décennies, le Gouvernement en compte 17. On considère à l</w:t>
      </w:r>
      <w:r w:rsidR="00773F5D" w:rsidRPr="004C7F84">
        <w:t>’</w:t>
      </w:r>
      <w:r w:rsidRPr="004C7F84">
        <w:t>heure actuelle qu</w:t>
      </w:r>
      <w:r w:rsidR="00773F5D" w:rsidRPr="004C7F84">
        <w:t>’</w:t>
      </w:r>
      <w:r w:rsidRPr="004C7F84">
        <w:t>ils sont trop nombreux et qu</w:t>
      </w:r>
      <w:r w:rsidR="00773F5D" w:rsidRPr="004C7F84">
        <w:t>’</w:t>
      </w:r>
      <w:r w:rsidRPr="004C7F84">
        <w:t>ils doivent être fusionnés.</w:t>
      </w:r>
    </w:p>
    <w:p w14:paraId="6ECD71F7" w14:textId="1EC03E50" w:rsidR="002073CB" w:rsidRPr="004C7F84" w:rsidRDefault="002073CB" w:rsidP="00514306">
      <w:pPr>
        <w:pStyle w:val="SingleTxt"/>
        <w:numPr>
          <w:ilvl w:val="0"/>
          <w:numId w:val="15"/>
        </w:numPr>
        <w:spacing w:line="240" w:lineRule="exact"/>
        <w:ind w:left="1267" w:firstLine="0"/>
      </w:pPr>
      <w:r w:rsidRPr="004C7F84">
        <w:t>À l</w:t>
      </w:r>
      <w:r w:rsidR="00773F5D" w:rsidRPr="004C7F84">
        <w:t>’</w:t>
      </w:r>
      <w:r w:rsidRPr="004C7F84">
        <w:t>heure actuelle, la Direction de la problématique hommes-femmes relève du Ministère de la transformation sociale et de la mise en valeur des ressources humaines, qui est dirigé par l</w:t>
      </w:r>
      <w:r w:rsidR="00773F5D" w:rsidRPr="004C7F84">
        <w:t>’</w:t>
      </w:r>
      <w:r w:rsidRPr="004C7F84">
        <w:t>une des deux femmes élues au Parlement. Elle est le principal</w:t>
      </w:r>
      <w:r w:rsidR="00807510" w:rsidRPr="004C7F84">
        <w:t xml:space="preserve"> </w:t>
      </w:r>
      <w:r w:rsidRPr="004C7F84">
        <w:t>mécanisme de promotion de l</w:t>
      </w:r>
      <w:r w:rsidR="00773F5D" w:rsidRPr="004C7F84">
        <w:t>’</w:t>
      </w:r>
      <w:r w:rsidRPr="004C7F84">
        <w:t>égalité des sexes et elle est également chargée</w:t>
      </w:r>
      <w:r w:rsidR="00807510" w:rsidRPr="004C7F84">
        <w:t xml:space="preserve"> </w:t>
      </w:r>
      <w:r w:rsidRPr="004C7F84">
        <w:t xml:space="preserve">de diriger, de mettre en œuvre et de suivre la promotion de la femme à </w:t>
      </w:r>
      <w:r w:rsidRPr="004C7F84">
        <w:rPr>
          <w:spacing w:val="2"/>
          <w:w w:val="100"/>
        </w:rPr>
        <w:t>Antigua-et-Barbuda par l</w:t>
      </w:r>
      <w:r w:rsidR="00773F5D" w:rsidRPr="004C7F84">
        <w:rPr>
          <w:spacing w:val="2"/>
          <w:w w:val="100"/>
        </w:rPr>
        <w:t>’</w:t>
      </w:r>
      <w:r w:rsidRPr="004C7F84">
        <w:rPr>
          <w:spacing w:val="2"/>
          <w:w w:val="100"/>
        </w:rPr>
        <w:t>éducation et la formation, la sensibilisation et la mobilisation, le perfectionnement individuel et l</w:t>
      </w:r>
      <w:r w:rsidR="00773F5D" w:rsidRPr="004C7F84">
        <w:rPr>
          <w:spacing w:val="2"/>
          <w:w w:val="100"/>
        </w:rPr>
        <w:t>’</w:t>
      </w:r>
      <w:r w:rsidRPr="004C7F84">
        <w:rPr>
          <w:spacing w:val="2"/>
          <w:w w:val="100"/>
        </w:rPr>
        <w:t>autonomisation. À cette fin, elle effectue</w:t>
      </w:r>
      <w:r w:rsidR="00807510" w:rsidRPr="004C7F84">
        <w:rPr>
          <w:spacing w:val="2"/>
          <w:w w:val="100"/>
        </w:rPr>
        <w:t xml:space="preserve"> </w:t>
      </w:r>
      <w:r w:rsidRPr="004C7F84">
        <w:rPr>
          <w:spacing w:val="2"/>
          <w:w w:val="100"/>
        </w:rPr>
        <w:t xml:space="preserve">des études, recueille des données et organise des séminaires et conférences pour promouvoir la sensibilisation aux spécificités </w:t>
      </w:r>
      <w:r w:rsidR="00455FBE" w:rsidRPr="004C7F84">
        <w:rPr>
          <w:spacing w:val="2"/>
          <w:w w:val="100"/>
        </w:rPr>
        <w:t>sexuelles et</w:t>
      </w:r>
      <w:r w:rsidRPr="004C7F84">
        <w:rPr>
          <w:spacing w:val="2"/>
          <w:w w:val="100"/>
        </w:rPr>
        <w:t xml:space="preserve"> la nécessité de réformes juridiques dans les domaines où les femmes sont victimes de discrimination. </w:t>
      </w:r>
    </w:p>
    <w:p w14:paraId="79301687" w14:textId="4A9B1C53" w:rsidR="002073CB" w:rsidRPr="004C7F84" w:rsidRDefault="002073CB" w:rsidP="00514306">
      <w:pPr>
        <w:pStyle w:val="SingleTxt"/>
        <w:numPr>
          <w:ilvl w:val="0"/>
          <w:numId w:val="15"/>
        </w:numPr>
        <w:spacing w:line="240" w:lineRule="exact"/>
        <w:ind w:left="1267" w:firstLine="0"/>
      </w:pPr>
      <w:r w:rsidRPr="004C7F84">
        <w:t>En outre, la Direction de la problématique hommes-femmes consulte les groupes communautaires locaux, les associations féminines, les ONG et d</w:t>
      </w:r>
      <w:r w:rsidR="00773F5D" w:rsidRPr="004C7F84">
        <w:t>’</w:t>
      </w:r>
      <w:r w:rsidRPr="004C7F84">
        <w:t>autres organisations de la société civile telles que, notamment, Antigua and Barbuda Planned Parenthood Association, Legal Aid &amp; Advice Centre, Professional Organization of Women (POWA), Women Against Rape (WAR), Intersect, Together We Must, The Antigua &amp; Barbuda International Women</w:t>
      </w:r>
      <w:r w:rsidR="00773F5D" w:rsidRPr="004C7F84">
        <w:t>’</w:t>
      </w:r>
      <w:r w:rsidRPr="004C7F84">
        <w:t xml:space="preserve">s Club et the Antigua &amp; </w:t>
      </w:r>
      <w:r w:rsidRPr="004C7F84">
        <w:lastRenderedPageBreak/>
        <w:t>Barbuda Girl Guides Association. Elle a collaboré avec plusieurs organismes régionaux et internationaux, tels que Caribbean Institute for Women in Leadership (CIWIL), ONU-Femmes, le Fonds d</w:t>
      </w:r>
      <w:r w:rsidR="00773F5D" w:rsidRPr="004C7F84">
        <w:t>’</w:t>
      </w:r>
      <w:r w:rsidRPr="004C7F84">
        <w:t>affectation spéciale des Nations Unies pour l</w:t>
      </w:r>
      <w:r w:rsidR="00773F5D" w:rsidRPr="004C7F84">
        <w:t>’</w:t>
      </w:r>
      <w:r w:rsidRPr="004C7F84">
        <w:t>élimination de la violence à l</w:t>
      </w:r>
      <w:r w:rsidR="00773F5D" w:rsidRPr="004C7F84">
        <w:t>’</w:t>
      </w:r>
      <w:r w:rsidRPr="004C7F84">
        <w:t>égard des femmes et le FNUAP, à l</w:t>
      </w:r>
      <w:r w:rsidR="00773F5D" w:rsidRPr="004C7F84">
        <w:t>’</w:t>
      </w:r>
      <w:r w:rsidRPr="004C7F84">
        <w:t xml:space="preserve">élaboration de projets et programmes qui ont des retombées positives sur la vie des femmes à Antigua-et-Barbuda. </w:t>
      </w:r>
    </w:p>
    <w:p w14:paraId="3F371FFD" w14:textId="11CFD6DE" w:rsidR="00BF5BEB" w:rsidRPr="004C7F84" w:rsidRDefault="002073CB" w:rsidP="00514306">
      <w:pPr>
        <w:pStyle w:val="SingleTxt"/>
        <w:numPr>
          <w:ilvl w:val="0"/>
          <w:numId w:val="15"/>
        </w:numPr>
        <w:spacing w:line="240" w:lineRule="exact"/>
        <w:ind w:left="1267" w:firstLine="0"/>
        <w:rPr>
          <w:spacing w:val="2"/>
          <w:w w:val="100"/>
        </w:rPr>
      </w:pPr>
      <w:r w:rsidRPr="004C7F84">
        <w:t>Dans le rapport sur l</w:t>
      </w:r>
      <w:r w:rsidR="00773F5D" w:rsidRPr="004C7F84">
        <w:t>’</w:t>
      </w:r>
      <w:r w:rsidRPr="004C7F84">
        <w:t>évaluation de la pauvreté, établi en 2007 à la demande de la Banque de développement des Caraïbes, cette dernière a noté que la Direction de la problématique hommes-femmes n</w:t>
      </w:r>
      <w:r w:rsidR="00773F5D" w:rsidRPr="004C7F84">
        <w:t>’</w:t>
      </w:r>
      <w:r w:rsidRPr="004C7F84">
        <w:t>était pas dotée des ressources qui lui permettraient de s</w:t>
      </w:r>
      <w:r w:rsidR="00773F5D" w:rsidRPr="004C7F84">
        <w:t>’</w:t>
      </w:r>
      <w:r w:rsidRPr="004C7F84">
        <w:t>acquitter de ses fonctions (Kairi, 2007</w:t>
      </w:r>
      <w:r w:rsidR="00773F5D" w:rsidRPr="004C7F84">
        <w:t> :</w:t>
      </w:r>
      <w:r w:rsidRPr="004C7F84">
        <w:t xml:space="preserve"> 186). En 2013, le budget de celle-ci représentait 0,07</w:t>
      </w:r>
      <w:r w:rsidR="00807510" w:rsidRPr="004C7F84">
        <w:t> </w:t>
      </w:r>
      <w:r w:rsidRPr="004C7F84">
        <w:t>% du budget total de son ministère de tutelle</w:t>
      </w:r>
      <w:r w:rsidR="00773F5D" w:rsidRPr="004C7F84">
        <w:t> ;</w:t>
      </w:r>
      <w:r w:rsidRPr="004C7F84">
        <w:t xml:space="preserve"> toutefois, en 2014/2015, il s</w:t>
      </w:r>
      <w:r w:rsidR="00773F5D" w:rsidRPr="004C7F84">
        <w:t>’</w:t>
      </w:r>
      <w:r w:rsidRPr="004C7F84">
        <w:t xml:space="preserve">est considérablement accru. </w:t>
      </w:r>
      <w:r w:rsidRPr="004C7F84">
        <w:rPr>
          <w:spacing w:val="2"/>
          <w:w w:val="100"/>
        </w:rPr>
        <w:t>Malgré les problèmes de budgétisation et d</w:t>
      </w:r>
      <w:r w:rsidR="00773F5D" w:rsidRPr="004C7F84">
        <w:rPr>
          <w:spacing w:val="2"/>
          <w:w w:val="100"/>
        </w:rPr>
        <w:t>’</w:t>
      </w:r>
      <w:r w:rsidRPr="004C7F84">
        <w:rPr>
          <w:spacing w:val="2"/>
          <w:w w:val="100"/>
        </w:rPr>
        <w:t>effectifs, la Direction de la problématique hommes-femmes continue de s</w:t>
      </w:r>
      <w:r w:rsidR="00773F5D" w:rsidRPr="004C7F84">
        <w:rPr>
          <w:spacing w:val="2"/>
          <w:w w:val="100"/>
        </w:rPr>
        <w:t>’</w:t>
      </w:r>
      <w:r w:rsidRPr="004C7F84">
        <w:rPr>
          <w:spacing w:val="2"/>
          <w:w w:val="100"/>
        </w:rPr>
        <w:t>employer activement à mettre en œuvre de nouveaux programmes et initiatives pour promouvoir l</w:t>
      </w:r>
      <w:r w:rsidR="00773F5D" w:rsidRPr="004C7F84">
        <w:rPr>
          <w:spacing w:val="2"/>
          <w:w w:val="100"/>
        </w:rPr>
        <w:t>’</w:t>
      </w:r>
      <w:r w:rsidRPr="004C7F84">
        <w:rPr>
          <w:spacing w:val="2"/>
          <w:w w:val="100"/>
        </w:rPr>
        <w:t>égalité des sexes et la pleine participation des femmes à la vie sociale, économique et politique du pays. Elle est reconnaissante aux organismes régionaux et internationaux susmentionnés de l</w:t>
      </w:r>
      <w:r w:rsidR="00773F5D" w:rsidRPr="004C7F84">
        <w:rPr>
          <w:spacing w:val="2"/>
          <w:w w:val="100"/>
        </w:rPr>
        <w:t>’</w:t>
      </w:r>
      <w:r w:rsidRPr="004C7F84">
        <w:rPr>
          <w:spacing w:val="2"/>
          <w:w w:val="100"/>
        </w:rPr>
        <w:t>assistance qui lui a été apportée et qui lui a permis de financer plusieurs de ses programmes et services de consultant.</w:t>
      </w:r>
    </w:p>
    <w:p w14:paraId="08F073EB" w14:textId="56F382D5" w:rsidR="008234F4" w:rsidRPr="004C7F84" w:rsidRDefault="008234F4" w:rsidP="008234F4">
      <w:pPr>
        <w:pStyle w:val="SingleTxt"/>
        <w:spacing w:after="0" w:line="120" w:lineRule="exact"/>
        <w:rPr>
          <w:sz w:val="10"/>
        </w:rPr>
      </w:pPr>
    </w:p>
    <w:p w14:paraId="4DC6AEDD" w14:textId="77777777" w:rsidR="001565DE" w:rsidRPr="004C7F84" w:rsidRDefault="00BF5BEB" w:rsidP="001565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1565DE" w:rsidRPr="004C7F84">
        <w:rPr>
          <w:lang w:val="fr-FR"/>
        </w:rPr>
        <w:t>Programmes visant à promouvoir la condition de la femme</w:t>
      </w:r>
    </w:p>
    <w:p w14:paraId="7655C510" w14:textId="5375F537" w:rsidR="001565DE" w:rsidRPr="004C7F84" w:rsidRDefault="001565DE" w:rsidP="001565DE">
      <w:pPr>
        <w:pStyle w:val="SingleTxt"/>
        <w:spacing w:after="0" w:line="120" w:lineRule="exact"/>
        <w:rPr>
          <w:sz w:val="10"/>
        </w:rPr>
      </w:pPr>
    </w:p>
    <w:p w14:paraId="5A2F24FB" w14:textId="5DF9190A" w:rsidR="001565DE" w:rsidRPr="004C7F84" w:rsidRDefault="001565DE" w:rsidP="00514306">
      <w:pPr>
        <w:pStyle w:val="SingleTxt"/>
        <w:numPr>
          <w:ilvl w:val="0"/>
          <w:numId w:val="18"/>
        </w:numPr>
        <w:spacing w:line="240" w:lineRule="exact"/>
        <w:ind w:left="1267" w:firstLine="0"/>
        <w:rPr>
          <w:spacing w:val="2"/>
          <w:w w:val="100"/>
        </w:rPr>
      </w:pPr>
      <w:r w:rsidRPr="004C7F84">
        <w:rPr>
          <w:spacing w:val="2"/>
          <w:w w:val="100"/>
        </w:rPr>
        <w:t>En collaboration avec d</w:t>
      </w:r>
      <w:r w:rsidR="00773F5D" w:rsidRPr="004C7F84">
        <w:rPr>
          <w:spacing w:val="2"/>
          <w:w w:val="100"/>
        </w:rPr>
        <w:t>’</w:t>
      </w:r>
      <w:r w:rsidRPr="004C7F84">
        <w:rPr>
          <w:spacing w:val="2"/>
          <w:w w:val="100"/>
        </w:rPr>
        <w:t>autres organismes</w:t>
      </w:r>
      <w:r w:rsidR="00007D08" w:rsidRPr="004C7F84">
        <w:rPr>
          <w:spacing w:val="2"/>
          <w:w w:val="100"/>
        </w:rPr>
        <w:t xml:space="preserve"> et organisations, la Direction</w:t>
      </w:r>
      <w:r w:rsidRPr="004C7F84">
        <w:rPr>
          <w:spacing w:val="2"/>
          <w:w w:val="100"/>
        </w:rPr>
        <w:t xml:space="preserve"> de la problématique hommes-femmes a lancé plusieurs initiatives et programmes importants et créé des organes chargés d</w:t>
      </w:r>
      <w:r w:rsidR="00773F5D" w:rsidRPr="004C7F84">
        <w:rPr>
          <w:spacing w:val="2"/>
          <w:w w:val="100"/>
        </w:rPr>
        <w:t>’</w:t>
      </w:r>
      <w:r w:rsidRPr="004C7F84">
        <w:rPr>
          <w:spacing w:val="2"/>
          <w:w w:val="100"/>
        </w:rPr>
        <w:t xml:space="preserve">éliminer la violence sexuelle et sexiste, qui sont décrits </w:t>
      </w:r>
      <w:r w:rsidR="00FF2884" w:rsidRPr="004C7F84">
        <w:rPr>
          <w:spacing w:val="2"/>
          <w:w w:val="100"/>
        </w:rPr>
        <w:t>ci-après</w:t>
      </w:r>
      <w:r w:rsidRPr="004C7F84">
        <w:rPr>
          <w:spacing w:val="2"/>
          <w:w w:val="100"/>
        </w:rPr>
        <w:t>.</w:t>
      </w:r>
    </w:p>
    <w:p w14:paraId="20D0404E" w14:textId="703FC095" w:rsidR="001565DE" w:rsidRPr="004C7F84" w:rsidRDefault="001565DE" w:rsidP="001565DE">
      <w:pPr>
        <w:pStyle w:val="SingleTxt"/>
        <w:spacing w:after="0" w:line="120" w:lineRule="exact"/>
        <w:rPr>
          <w:sz w:val="10"/>
        </w:rPr>
      </w:pPr>
    </w:p>
    <w:p w14:paraId="5DAAA313" w14:textId="69B15150" w:rsidR="001565DE" w:rsidRPr="004C7F84" w:rsidRDefault="001565DE" w:rsidP="00970230">
      <w:pPr>
        <w:pStyle w:val="H4"/>
        <w:ind w:right="1260"/>
      </w:pPr>
      <w:r w:rsidRPr="004C7F84">
        <w:tab/>
      </w:r>
      <w:r w:rsidRPr="004C7F84">
        <w:tab/>
        <w:t>Groupe responsable de l</w:t>
      </w:r>
      <w:r w:rsidR="00773F5D" w:rsidRPr="004C7F84">
        <w:t>’</w:t>
      </w:r>
      <w:r w:rsidRPr="004C7F84">
        <w:t xml:space="preserve">examen des infractions sexuelles </w:t>
      </w:r>
    </w:p>
    <w:p w14:paraId="258B9134" w14:textId="764E3C86" w:rsidR="001565DE" w:rsidRPr="004C7F84" w:rsidRDefault="001565DE" w:rsidP="001565DE">
      <w:pPr>
        <w:pStyle w:val="SingleTxt"/>
        <w:spacing w:after="0" w:line="120" w:lineRule="exact"/>
        <w:rPr>
          <w:sz w:val="10"/>
        </w:rPr>
      </w:pPr>
    </w:p>
    <w:p w14:paraId="763EED56" w14:textId="2F3AEE40" w:rsidR="001565DE" w:rsidRPr="004C7F84" w:rsidRDefault="001565DE" w:rsidP="00514306">
      <w:pPr>
        <w:pStyle w:val="SingleTxt"/>
        <w:numPr>
          <w:ilvl w:val="0"/>
          <w:numId w:val="18"/>
        </w:numPr>
        <w:spacing w:line="240" w:lineRule="exact"/>
        <w:ind w:left="1267" w:firstLine="0"/>
      </w:pPr>
      <w:r w:rsidRPr="004C7F84">
        <w:t>Ce service spécialisé a été créé en 2008 au sein de la Police royale d</w:t>
      </w:r>
      <w:r w:rsidR="00773F5D" w:rsidRPr="004C7F84">
        <w:t>’</w:t>
      </w:r>
      <w:r w:rsidRPr="004C7F84">
        <w:t>Antigua-et-Barbuda. Il est chargé de tous les cas d</w:t>
      </w:r>
      <w:r w:rsidR="00773F5D" w:rsidRPr="004C7F84">
        <w:t>’</w:t>
      </w:r>
      <w:r w:rsidRPr="004C7F84">
        <w:t>infractions sexuelles, notamment celles commises à l</w:t>
      </w:r>
      <w:r w:rsidR="00773F5D" w:rsidRPr="004C7F84">
        <w:t>’</w:t>
      </w:r>
      <w:r w:rsidRPr="004C7F84">
        <w:t>encontre d</w:t>
      </w:r>
      <w:r w:rsidR="00773F5D" w:rsidRPr="004C7F84">
        <w:t>’</w:t>
      </w:r>
      <w:r w:rsidRPr="004C7F84">
        <w:t>enfants, garçons et filles. Il a pour objectif d</w:t>
      </w:r>
      <w:r w:rsidR="00773F5D" w:rsidRPr="004C7F84">
        <w:t>’</w:t>
      </w:r>
      <w:r w:rsidRPr="004C7F84">
        <w:t>apporter son assistance aux enquêtes et à la collecte de preuves de criminalistique ou autres en vue de poursuites pénales. Le Groupe est géré par sept officiers spécialement formés aux enquêtes sur les infractions sexuelles. La collecte</w:t>
      </w:r>
      <w:r w:rsidR="00007D08" w:rsidRPr="004C7F84">
        <w:t xml:space="preserve"> de preuves de criminalistique </w:t>
      </w:r>
      <w:r w:rsidRPr="004C7F84">
        <w:t>est cruciale pour que les poursuites puissent avancer et que soient traduits en justice un plus grand nombre d</w:t>
      </w:r>
      <w:r w:rsidR="00773F5D" w:rsidRPr="004C7F84">
        <w:t>’</w:t>
      </w:r>
      <w:r w:rsidRPr="004C7F84">
        <w:t>auteurs d</w:t>
      </w:r>
      <w:r w:rsidR="00773F5D" w:rsidRPr="004C7F84">
        <w:t>’</w:t>
      </w:r>
      <w:r w:rsidRPr="004C7F84">
        <w:t>infractions sexuelles. Des médecins, infirmières et agents des services sociaux ont également reçu une formation pour apporter leur assistance à la police. En 2010, 20</w:t>
      </w:r>
      <w:r w:rsidR="00007D08" w:rsidRPr="004C7F84">
        <w:t> </w:t>
      </w:r>
      <w:r w:rsidRPr="004C7F84">
        <w:t>infirmières ont suivi une formation aux techniques d</w:t>
      </w:r>
      <w:r w:rsidR="00773F5D" w:rsidRPr="004C7F84">
        <w:t>’</w:t>
      </w:r>
      <w:r w:rsidRPr="004C7F84">
        <w:t>examen des victimes d</w:t>
      </w:r>
      <w:r w:rsidR="00773F5D" w:rsidRPr="004C7F84">
        <w:t>’</w:t>
      </w:r>
      <w:r w:rsidRPr="004C7F84">
        <w:t>agressions sexuelles, qui soulignait la nécessité d</w:t>
      </w:r>
      <w:r w:rsidR="00773F5D" w:rsidRPr="004C7F84">
        <w:t>’</w:t>
      </w:r>
      <w:r w:rsidRPr="004C7F84">
        <w:t>être attentives aux différences entre les sexes. Depuis sa création, le Groupe a contribué à accroître sensiblement le nombre de condamnations dans les cas d</w:t>
      </w:r>
      <w:r w:rsidR="00773F5D" w:rsidRPr="004C7F84">
        <w:t>’</w:t>
      </w:r>
      <w:r w:rsidRPr="004C7F84">
        <w:t>infractions sexuelles. Les officiers du Groupe travaillent également en étroite collaboration avec la Direction de la problématique hommes-femmes en fournissant un appui et une assistance aux victimes d</w:t>
      </w:r>
      <w:r w:rsidR="00773F5D" w:rsidRPr="004C7F84">
        <w:t>’</w:t>
      </w:r>
      <w:r w:rsidRPr="004C7F84">
        <w:t xml:space="preserve">infractions sexuelles. Le Groupe a par la suite quitté les bureaux du Commissariat de police de Langford pour faire partie du Groupe des infractions graves, créé en 2014 au sein de la Police royale. </w:t>
      </w:r>
    </w:p>
    <w:p w14:paraId="4FDDFD50" w14:textId="124BD329" w:rsidR="00622C9B" w:rsidRPr="004C7F84" w:rsidRDefault="00622C9B" w:rsidP="00622C9B">
      <w:pPr>
        <w:pStyle w:val="SingleTxt"/>
        <w:spacing w:after="0" w:line="120" w:lineRule="exact"/>
        <w:rPr>
          <w:sz w:val="10"/>
        </w:rPr>
      </w:pPr>
    </w:p>
    <w:p w14:paraId="05051226" w14:textId="77777777" w:rsidR="00622C9B" w:rsidRPr="004C7F84" w:rsidRDefault="00622C9B" w:rsidP="00622C9B">
      <w:pPr>
        <w:pStyle w:val="H4"/>
        <w:ind w:right="1260"/>
      </w:pPr>
      <w:r w:rsidRPr="004C7F84">
        <w:tab/>
      </w:r>
      <w:r w:rsidRPr="004C7F84">
        <w:tab/>
      </w:r>
      <w:r w:rsidR="001565DE" w:rsidRPr="004C7F84">
        <w:t>Équipe spéciale de haut niveau sur la violence et les agressions sexuelles</w:t>
      </w:r>
    </w:p>
    <w:p w14:paraId="3687B71B" w14:textId="77777777" w:rsidR="00622C9B" w:rsidRPr="004C7F84" w:rsidRDefault="00622C9B" w:rsidP="00622C9B">
      <w:pPr>
        <w:pStyle w:val="SingleTxt"/>
        <w:spacing w:after="0" w:line="120" w:lineRule="exact"/>
        <w:rPr>
          <w:sz w:val="10"/>
        </w:rPr>
      </w:pPr>
    </w:p>
    <w:p w14:paraId="67C133CE" w14:textId="74FEEA4A" w:rsidR="001565DE" w:rsidRPr="004C7F84" w:rsidRDefault="001565DE" w:rsidP="00514306">
      <w:pPr>
        <w:pStyle w:val="SingleTxt"/>
        <w:numPr>
          <w:ilvl w:val="0"/>
          <w:numId w:val="18"/>
        </w:numPr>
        <w:spacing w:line="240" w:lineRule="exact"/>
        <w:ind w:left="1267" w:firstLine="0"/>
      </w:pPr>
      <w:r w:rsidRPr="004C7F84">
        <w:t>Comme indiqué dans l</w:t>
      </w:r>
      <w:r w:rsidR="00773F5D" w:rsidRPr="004C7F84">
        <w:t>’</w:t>
      </w:r>
      <w:r w:rsidRPr="004C7F84">
        <w:t>introduction, une équipe spéciale de haut niveau sur la violence et les agressions sexuelles a été mise en place par l</w:t>
      </w:r>
      <w:r w:rsidR="00773F5D" w:rsidRPr="004C7F84">
        <w:t>’</w:t>
      </w:r>
      <w:r w:rsidRPr="004C7F84">
        <w:t>État partie pour appeler l</w:t>
      </w:r>
      <w:r w:rsidR="00773F5D" w:rsidRPr="004C7F84">
        <w:t>’</w:t>
      </w:r>
      <w:r w:rsidRPr="004C7F84">
        <w:t>attention sur la nécessité d</w:t>
      </w:r>
      <w:r w:rsidR="00773F5D" w:rsidRPr="004C7F84">
        <w:t>’</w:t>
      </w:r>
      <w:r w:rsidRPr="004C7F84">
        <w:t>éliminer toutes les formes de violence à l</w:t>
      </w:r>
      <w:r w:rsidR="00773F5D" w:rsidRPr="004C7F84">
        <w:t>’</w:t>
      </w:r>
      <w:r w:rsidRPr="004C7F84">
        <w:t>égard des femmes.</w:t>
      </w:r>
      <w:r w:rsidR="00007D08" w:rsidRPr="004C7F84">
        <w:t xml:space="preserve"> </w:t>
      </w:r>
    </w:p>
    <w:p w14:paraId="79ED460A" w14:textId="4242AA6A" w:rsidR="001565DE" w:rsidRPr="004C7F84" w:rsidRDefault="00622C9B" w:rsidP="00970230">
      <w:pPr>
        <w:pStyle w:val="H4"/>
        <w:ind w:right="1260"/>
      </w:pPr>
      <w:r w:rsidRPr="004C7F84">
        <w:lastRenderedPageBreak/>
        <w:tab/>
      </w:r>
      <w:r w:rsidRPr="004C7F84">
        <w:tab/>
      </w:r>
      <w:r w:rsidR="001565DE" w:rsidRPr="004C7F84">
        <w:t>Programme d</w:t>
      </w:r>
      <w:r w:rsidR="00773F5D" w:rsidRPr="004C7F84">
        <w:t>’</w:t>
      </w:r>
      <w:r w:rsidR="001565DE" w:rsidRPr="004C7F84">
        <w:t>orientation des victimes d</w:t>
      </w:r>
      <w:r w:rsidR="00773F5D" w:rsidRPr="004C7F84">
        <w:t>’</w:t>
      </w:r>
      <w:r w:rsidR="001565DE" w:rsidRPr="004C7F84">
        <w:t>agressions sexuelles</w:t>
      </w:r>
    </w:p>
    <w:p w14:paraId="7F3E02F9" w14:textId="0904F888" w:rsidR="00622C9B" w:rsidRPr="004C7F84" w:rsidRDefault="00622C9B" w:rsidP="00622C9B">
      <w:pPr>
        <w:pStyle w:val="SingleTxt"/>
        <w:spacing w:after="0" w:line="120" w:lineRule="exact"/>
        <w:rPr>
          <w:sz w:val="10"/>
        </w:rPr>
      </w:pPr>
    </w:p>
    <w:p w14:paraId="1EA4F687" w14:textId="1F642098" w:rsidR="001565DE" w:rsidRPr="004C7F84" w:rsidRDefault="001565DE" w:rsidP="00514306">
      <w:pPr>
        <w:pStyle w:val="SingleTxt"/>
        <w:numPr>
          <w:ilvl w:val="0"/>
          <w:numId w:val="18"/>
        </w:numPr>
        <w:spacing w:line="240" w:lineRule="exact"/>
        <w:ind w:left="1267" w:firstLine="0"/>
      </w:pPr>
      <w:r w:rsidRPr="004C7F84">
        <w:t>En 2010, la Direction de la problématique hommes-femmes a institué un programme d</w:t>
      </w:r>
      <w:r w:rsidR="00773F5D" w:rsidRPr="004C7F84">
        <w:t>’</w:t>
      </w:r>
      <w:r w:rsidRPr="004C7F84">
        <w:t>orientation des victimes d</w:t>
      </w:r>
      <w:r w:rsidR="00773F5D" w:rsidRPr="004C7F84">
        <w:t>’</w:t>
      </w:r>
      <w:r w:rsidRPr="004C7F84">
        <w:t>agressions sexuelles pour leur fournir des soins et des services adéquats. Elle collabore étroitement avec la police pour s</w:t>
      </w:r>
      <w:r w:rsidR="00773F5D" w:rsidRPr="004C7F84">
        <w:t>’</w:t>
      </w:r>
      <w:r w:rsidRPr="004C7F84">
        <w:t>assurer que le processus de signalement, de traiteme</w:t>
      </w:r>
      <w:r w:rsidR="00007D08" w:rsidRPr="004C7F84">
        <w:t xml:space="preserve">nt et de réadaptation comporte </w:t>
      </w:r>
      <w:r w:rsidRPr="004C7F84">
        <w:t>le moins de stress possible tout en ne négligeant aucun détail. Ce programme sera incorporé dans les activités du centre de crise qui sera mis en place.</w:t>
      </w:r>
    </w:p>
    <w:p w14:paraId="459CBA94" w14:textId="28AE8779" w:rsidR="00622C9B" w:rsidRPr="004C7F84" w:rsidRDefault="00622C9B" w:rsidP="00622C9B">
      <w:pPr>
        <w:pStyle w:val="SingleTxt"/>
        <w:spacing w:after="0" w:line="120" w:lineRule="exact"/>
        <w:rPr>
          <w:sz w:val="10"/>
        </w:rPr>
      </w:pPr>
    </w:p>
    <w:p w14:paraId="39926D7D" w14:textId="301E50E7" w:rsidR="001565DE" w:rsidRPr="004C7F84" w:rsidRDefault="00622C9B" w:rsidP="00622C9B">
      <w:pPr>
        <w:pStyle w:val="H4"/>
        <w:ind w:right="1260"/>
      </w:pPr>
      <w:r w:rsidRPr="004C7F84">
        <w:tab/>
      </w:r>
      <w:r w:rsidRPr="004C7F84">
        <w:tab/>
      </w:r>
      <w:r w:rsidR="001565DE" w:rsidRPr="004C7F84">
        <w:t>Numéro d</w:t>
      </w:r>
      <w:r w:rsidR="00773F5D" w:rsidRPr="004C7F84">
        <w:t>’</w:t>
      </w:r>
      <w:r w:rsidR="00007D08" w:rsidRPr="004C7F84">
        <w:t xml:space="preserve">urgence accessible </w:t>
      </w:r>
      <w:r w:rsidR="001565DE" w:rsidRPr="004C7F84">
        <w:t>24 heures sur 24</w:t>
      </w:r>
    </w:p>
    <w:p w14:paraId="11677D09" w14:textId="4A34828F" w:rsidR="00622C9B" w:rsidRPr="004C7F84" w:rsidRDefault="00622C9B" w:rsidP="00622C9B">
      <w:pPr>
        <w:pStyle w:val="SingleTxt"/>
        <w:spacing w:after="0" w:line="120" w:lineRule="exact"/>
        <w:rPr>
          <w:sz w:val="10"/>
        </w:rPr>
      </w:pPr>
    </w:p>
    <w:p w14:paraId="417F2316" w14:textId="5E3CE2AD" w:rsidR="001565DE" w:rsidRPr="004C7F84" w:rsidRDefault="001565DE" w:rsidP="00514306">
      <w:pPr>
        <w:pStyle w:val="SingleTxt"/>
        <w:numPr>
          <w:ilvl w:val="0"/>
          <w:numId w:val="18"/>
        </w:numPr>
        <w:spacing w:line="240" w:lineRule="exact"/>
        <w:ind w:left="1267" w:firstLine="0"/>
      </w:pPr>
      <w:r w:rsidRPr="004C7F84">
        <w:t>La Direction de la problématique hommes-femmes continue de gérer un numéro d</w:t>
      </w:r>
      <w:r w:rsidR="00773F5D" w:rsidRPr="004C7F84">
        <w:t>’</w:t>
      </w:r>
      <w:r w:rsidRPr="004C7F84">
        <w:t>urgence accessible 24 heures sur 24, sept jours par semaine, qui permet de répondre immédiatement aux besoins des personnes qui appellent.</w:t>
      </w:r>
    </w:p>
    <w:p w14:paraId="117CBE25" w14:textId="79975300" w:rsidR="00622C9B" w:rsidRPr="004C7F84" w:rsidRDefault="00622C9B" w:rsidP="00622C9B">
      <w:pPr>
        <w:pStyle w:val="SingleTxt"/>
        <w:spacing w:after="0" w:line="120" w:lineRule="exact"/>
        <w:rPr>
          <w:sz w:val="10"/>
        </w:rPr>
      </w:pPr>
    </w:p>
    <w:p w14:paraId="4571D231" w14:textId="573F2635" w:rsidR="001565DE" w:rsidRPr="004C7F84" w:rsidRDefault="00622C9B" w:rsidP="00622C9B">
      <w:pPr>
        <w:pStyle w:val="H4"/>
        <w:ind w:right="1260"/>
      </w:pPr>
      <w:r w:rsidRPr="004C7F84">
        <w:tab/>
      </w:r>
      <w:r w:rsidRPr="004C7F84">
        <w:tab/>
      </w:r>
      <w:r w:rsidR="001565DE" w:rsidRPr="004C7F84">
        <w:t xml:space="preserve">Centre de crise </w:t>
      </w:r>
    </w:p>
    <w:p w14:paraId="7985EBD4" w14:textId="21B51250" w:rsidR="00622C9B" w:rsidRPr="004C7F84" w:rsidRDefault="00622C9B" w:rsidP="00622C9B">
      <w:pPr>
        <w:pStyle w:val="SingleTxt"/>
        <w:spacing w:after="0" w:line="120" w:lineRule="exact"/>
        <w:rPr>
          <w:sz w:val="10"/>
        </w:rPr>
      </w:pPr>
    </w:p>
    <w:p w14:paraId="3A997B6A" w14:textId="079643EC" w:rsidR="001565DE" w:rsidRPr="004C7F84" w:rsidRDefault="001565DE" w:rsidP="00514306">
      <w:pPr>
        <w:pStyle w:val="SingleTxt"/>
        <w:numPr>
          <w:ilvl w:val="0"/>
          <w:numId w:val="18"/>
        </w:numPr>
        <w:spacing w:line="240" w:lineRule="exact"/>
        <w:ind w:left="1267" w:firstLine="0"/>
      </w:pPr>
      <w:r w:rsidRPr="004C7F84">
        <w:t>Pendant plusieurs années, un centre de crise informel relevant de la Direction de la problématique hommes-femmes fonctionnait 24 heure</w:t>
      </w:r>
      <w:r w:rsidR="00007D08" w:rsidRPr="004C7F84">
        <w:t>s sur 24 sans locaux permanents</w:t>
      </w:r>
      <w:r w:rsidR="00773F5D" w:rsidRPr="004C7F84">
        <w:t> ;</w:t>
      </w:r>
      <w:r w:rsidRPr="004C7F84">
        <w:t xml:space="preserve"> des maisons appartenant à des particuliers servaient de temps à autre à héberger les victimes de violence sexuelle et sexiste. Récemment, le Fonds d</w:t>
      </w:r>
      <w:r w:rsidR="00773F5D" w:rsidRPr="004C7F84">
        <w:t>’</w:t>
      </w:r>
      <w:r w:rsidRPr="004C7F84">
        <w:t>affectation spéciale des Nations Unies pour l</w:t>
      </w:r>
      <w:r w:rsidR="00773F5D" w:rsidRPr="004C7F84">
        <w:t>’</w:t>
      </w:r>
      <w:r w:rsidRPr="004C7F84">
        <w:t>élimination de la violence à l</w:t>
      </w:r>
      <w:r w:rsidR="00773F5D" w:rsidRPr="004C7F84">
        <w:t>’</w:t>
      </w:r>
      <w:r w:rsidRPr="004C7F84">
        <w:t>égard des femmes a accordé au Gouvernement une subvention pour la création d</w:t>
      </w:r>
      <w:r w:rsidR="00773F5D" w:rsidRPr="004C7F84">
        <w:t>’</w:t>
      </w:r>
      <w:r w:rsidRPr="004C7F84">
        <w:t>un centre de crise doté de moyens suffisants. Des plans sont en cours pour créer ce centre qui entrera en service en 2016 et pour en former le personnel. Le centre mettra en œuvre le programme d</w:t>
      </w:r>
      <w:r w:rsidR="00773F5D" w:rsidRPr="004C7F84">
        <w:t>’</w:t>
      </w:r>
      <w:r w:rsidRPr="004C7F84">
        <w:t>orientation des victimes d</w:t>
      </w:r>
      <w:r w:rsidR="00773F5D" w:rsidRPr="004C7F84">
        <w:t>’</w:t>
      </w:r>
      <w:r w:rsidRPr="004C7F84">
        <w:t>agressions sexuelles.</w:t>
      </w:r>
    </w:p>
    <w:p w14:paraId="2CA9ACCD" w14:textId="0456FD62" w:rsidR="00622C9B" w:rsidRPr="004C7F84" w:rsidRDefault="00622C9B" w:rsidP="00622C9B">
      <w:pPr>
        <w:pStyle w:val="SingleTxt"/>
        <w:spacing w:after="0" w:line="120" w:lineRule="exact"/>
        <w:rPr>
          <w:sz w:val="10"/>
        </w:rPr>
      </w:pPr>
    </w:p>
    <w:p w14:paraId="67465E65" w14:textId="4CFA0DB2" w:rsidR="00622C9B" w:rsidRPr="004C7F84" w:rsidRDefault="00622C9B" w:rsidP="00622C9B">
      <w:pPr>
        <w:pStyle w:val="H4"/>
        <w:ind w:right="1260"/>
      </w:pPr>
      <w:r w:rsidRPr="004C7F84">
        <w:tab/>
      </w:r>
      <w:r w:rsidRPr="004C7F84">
        <w:tab/>
      </w:r>
      <w:r w:rsidR="001565DE" w:rsidRPr="004C7F84">
        <w:t>Projet financé par le Fonds d</w:t>
      </w:r>
      <w:r w:rsidR="00773F5D" w:rsidRPr="004C7F84">
        <w:t>’</w:t>
      </w:r>
      <w:r w:rsidR="001565DE" w:rsidRPr="004C7F84">
        <w:t xml:space="preserve">affectation spéciale des Nations Unies </w:t>
      </w:r>
      <w:r w:rsidRPr="004C7F84">
        <w:br/>
      </w:r>
      <w:r w:rsidR="001565DE" w:rsidRPr="004C7F84">
        <w:t>pour l</w:t>
      </w:r>
      <w:r w:rsidR="00773F5D" w:rsidRPr="004C7F84">
        <w:t>’</w:t>
      </w:r>
      <w:r w:rsidR="001565DE" w:rsidRPr="004C7F84">
        <w:t>élimination de la violence à l</w:t>
      </w:r>
      <w:r w:rsidR="00773F5D" w:rsidRPr="004C7F84">
        <w:t>’</w:t>
      </w:r>
      <w:r w:rsidR="001565DE" w:rsidRPr="004C7F84">
        <w:t>égard des femmes – 2015</w:t>
      </w:r>
    </w:p>
    <w:p w14:paraId="708FE435" w14:textId="77777777" w:rsidR="00622C9B" w:rsidRPr="004C7F84" w:rsidRDefault="00622C9B" w:rsidP="00622C9B">
      <w:pPr>
        <w:pStyle w:val="SingleTxt"/>
        <w:spacing w:after="0" w:line="120" w:lineRule="exact"/>
        <w:rPr>
          <w:sz w:val="10"/>
        </w:rPr>
      </w:pPr>
    </w:p>
    <w:p w14:paraId="512776F7" w14:textId="36A239B0" w:rsidR="001565DE" w:rsidRPr="004C7F84" w:rsidRDefault="001565DE" w:rsidP="00514306">
      <w:pPr>
        <w:pStyle w:val="SingleTxt"/>
        <w:numPr>
          <w:ilvl w:val="0"/>
          <w:numId w:val="18"/>
        </w:numPr>
        <w:spacing w:line="240" w:lineRule="exact"/>
        <w:ind w:left="1267" w:firstLine="0"/>
      </w:pPr>
      <w:r w:rsidRPr="004C7F84">
        <w:t>Le Fonds d</w:t>
      </w:r>
      <w:r w:rsidR="00773F5D" w:rsidRPr="004C7F84">
        <w:t>’</w:t>
      </w:r>
      <w:r w:rsidRPr="004C7F84">
        <w:t>affectation spéciale des Nations Unies pour l</w:t>
      </w:r>
      <w:r w:rsidR="00773F5D" w:rsidRPr="004C7F84">
        <w:t>’</w:t>
      </w:r>
      <w:r w:rsidRPr="004C7F84">
        <w:t>élimination de la violence à l</w:t>
      </w:r>
      <w:r w:rsidR="00773F5D" w:rsidRPr="004C7F84">
        <w:t>’</w:t>
      </w:r>
      <w:r w:rsidRPr="004C7F84">
        <w:t xml:space="preserve">égard des femmes a accordé une subvention à la Direction de la problématique hommes-femmes qui mène à bien un projet visant à concrétiser le résultat </w:t>
      </w:r>
      <w:r w:rsidR="00FF2884" w:rsidRPr="004C7F84">
        <w:t xml:space="preserve">4 </w:t>
      </w:r>
      <w:r w:rsidRPr="004C7F84">
        <w:t xml:space="preserve">du Plan stratégique du Fonds. </w:t>
      </w:r>
    </w:p>
    <w:p w14:paraId="720BD531" w14:textId="794331C2" w:rsidR="001565DE" w:rsidRPr="004C7F84" w:rsidRDefault="001565DE" w:rsidP="00514306">
      <w:pPr>
        <w:pStyle w:val="SingleTxt"/>
        <w:numPr>
          <w:ilvl w:val="0"/>
          <w:numId w:val="18"/>
        </w:numPr>
        <w:spacing w:line="240" w:lineRule="exact"/>
        <w:ind w:left="1267" w:firstLine="0"/>
      </w:pPr>
      <w:r w:rsidRPr="004C7F84">
        <w:t>Bien que la Direction de la problématique hommes-femmes commence seulement de mettre ce projet en œuvre, elle a déjà lancé plusieurs programmes. Elle a notamment organisé des ateliers et des débats publics pour donner une plus grande visibilité aux questions touchant les femmes, notamment la violence à leur égard. Elle a également élaboré du matériel éducatif imprimé, audio et vidéo et modifié son logo. Par ailleurs, elle a entrepris plusieurs programmes et stratégies de modification des comportements et collaboré avec un certain nombre de groupes et d</w:t>
      </w:r>
      <w:r w:rsidR="00773F5D" w:rsidRPr="004C7F84">
        <w:t>’</w:t>
      </w:r>
      <w:r w:rsidRPr="004C7F84">
        <w:t xml:space="preserve">individus pour encourager le changement. </w:t>
      </w:r>
    </w:p>
    <w:p w14:paraId="5E65D676" w14:textId="03E16295" w:rsidR="00622C9B" w:rsidRPr="004C7F84" w:rsidRDefault="00622C9B" w:rsidP="00622C9B">
      <w:pPr>
        <w:pStyle w:val="SingleTxt"/>
        <w:spacing w:after="0" w:line="120" w:lineRule="exact"/>
        <w:rPr>
          <w:sz w:val="10"/>
        </w:rPr>
      </w:pPr>
    </w:p>
    <w:p w14:paraId="4AFEB57B" w14:textId="7CD437E7" w:rsidR="001565DE" w:rsidRPr="004C7F84" w:rsidRDefault="00C663DF" w:rsidP="00C663DF">
      <w:pPr>
        <w:pStyle w:val="H4"/>
        <w:ind w:right="1260"/>
      </w:pPr>
      <w:r w:rsidRPr="004C7F84">
        <w:tab/>
      </w:r>
      <w:r w:rsidRPr="004C7F84">
        <w:tab/>
      </w:r>
      <w:r w:rsidR="001565DE" w:rsidRPr="004C7F84">
        <w:t>Examen des lois et politiques relatives à la violence sexuelle et sexiste</w:t>
      </w:r>
    </w:p>
    <w:p w14:paraId="3B459150" w14:textId="76E490A3" w:rsidR="00622C9B" w:rsidRPr="004C7F84" w:rsidRDefault="00622C9B" w:rsidP="00622C9B">
      <w:pPr>
        <w:pStyle w:val="SingleTxt"/>
        <w:spacing w:after="0" w:line="120" w:lineRule="exact"/>
        <w:rPr>
          <w:sz w:val="10"/>
        </w:rPr>
      </w:pPr>
    </w:p>
    <w:p w14:paraId="2885131D" w14:textId="11F6BA40" w:rsidR="001565DE" w:rsidRPr="004C7F84" w:rsidRDefault="001565DE" w:rsidP="00514306">
      <w:pPr>
        <w:pStyle w:val="SingleTxt"/>
        <w:numPr>
          <w:ilvl w:val="0"/>
          <w:numId w:val="18"/>
        </w:numPr>
        <w:spacing w:line="240" w:lineRule="exact"/>
        <w:ind w:left="1267" w:firstLine="0"/>
      </w:pPr>
      <w:r w:rsidRPr="004C7F84">
        <w:t>En 2015, la Direction de la problématique hommes-femmes a fait procéder à un examen de toutes les lois et politiques relatives à la violence sexuelle et sexiste. Un atelier a été organisé pour présenter les conclusions à un groupe représentatif de parties prenantes, notamment le Département du bien-être de la population, la Police royale, des juristes et diverses organisations de la société civile. Ce document détaillé, publié au début de 2016, examinait non seulement les politiques et textes pertinents d</w:t>
      </w:r>
      <w:r w:rsidR="00773F5D" w:rsidRPr="004C7F84">
        <w:t>’</w:t>
      </w:r>
      <w:r w:rsidRPr="004C7F84">
        <w:t>Antigua-et-Barbuda mais établissait également des comparaisons utiles avec d</w:t>
      </w:r>
      <w:r w:rsidR="00773F5D" w:rsidRPr="004C7F84">
        <w:t>’</w:t>
      </w:r>
      <w:r w:rsidRPr="004C7F84">
        <w:t>autres pays des Caraïbes, en appelant l</w:t>
      </w:r>
      <w:r w:rsidR="00773F5D" w:rsidRPr="004C7F84">
        <w:t>’</w:t>
      </w:r>
      <w:r w:rsidRPr="004C7F84">
        <w:t>attention sur les modifications et réformes que pourrait adopter Antigua-et-Barbuda</w:t>
      </w:r>
      <w:r w:rsidR="00007D08" w:rsidRPr="004C7F84">
        <w:t>.</w:t>
      </w:r>
      <w:r w:rsidRPr="004C7F84">
        <w:t xml:space="preserve"> </w:t>
      </w:r>
    </w:p>
    <w:p w14:paraId="143B1ACD" w14:textId="30F8D299" w:rsidR="001565DE" w:rsidRPr="004C7F84" w:rsidRDefault="001565DE" w:rsidP="00514306">
      <w:pPr>
        <w:pStyle w:val="SingleTxt"/>
        <w:numPr>
          <w:ilvl w:val="0"/>
          <w:numId w:val="18"/>
        </w:numPr>
        <w:spacing w:line="240" w:lineRule="exact"/>
        <w:ind w:left="1267" w:firstLine="0"/>
      </w:pPr>
      <w:r w:rsidRPr="004C7F84">
        <w:lastRenderedPageBreak/>
        <w:t xml:space="preserve">Ce document comportait également des statistiques sur les cas de violence familiale et sexuelle, qui éclairaient les analyses se rapportant à cette question. Certaines des conclusions sur la violence sexuelle et sexiste sont examinées dans le présent rapport. Les statistiques les plus récentes recueillies par la Direction de la problématique hommes-femmes portent sur les années 2013 et 2014. </w:t>
      </w:r>
    </w:p>
    <w:p w14:paraId="3A7FE717" w14:textId="65A1F135" w:rsidR="001565DE" w:rsidRPr="004C7F84" w:rsidRDefault="001565DE" w:rsidP="00514306">
      <w:pPr>
        <w:pStyle w:val="SingleTxt"/>
        <w:numPr>
          <w:ilvl w:val="0"/>
          <w:numId w:val="18"/>
        </w:numPr>
        <w:spacing w:line="240" w:lineRule="exact"/>
        <w:ind w:left="1267" w:firstLine="0"/>
      </w:pPr>
      <w:r w:rsidRPr="004C7F84">
        <w:t>Selon l</w:t>
      </w:r>
      <w:r w:rsidR="00773F5D" w:rsidRPr="004C7F84">
        <w:t>’</w:t>
      </w:r>
      <w:r w:rsidRPr="004C7F84">
        <w:t>auteur du document susmentionné, la Direction de la problématique hommes-femmes a indiqué que les incidents de violence à l</w:t>
      </w:r>
      <w:r w:rsidR="00773F5D" w:rsidRPr="004C7F84">
        <w:t>’</w:t>
      </w:r>
      <w:r w:rsidRPr="004C7F84">
        <w:t xml:space="preserve">égard des femmes avaient diminué régulièrement entre 2003 et 2010, avec quelques </w:t>
      </w:r>
      <w:r w:rsidR="00007D08" w:rsidRPr="004C7F84">
        <w:t xml:space="preserve">fluctuations. En 2008 et 2009, </w:t>
      </w:r>
      <w:r w:rsidRPr="004C7F84">
        <w:t>plus de 30</w:t>
      </w:r>
      <w:r w:rsidR="00007D08" w:rsidRPr="004C7F84">
        <w:t> </w:t>
      </w:r>
      <w:r w:rsidRPr="004C7F84">
        <w:t>cas de viol et plus de 200</w:t>
      </w:r>
      <w:r w:rsidR="00007D08" w:rsidRPr="004C7F84">
        <w:t> </w:t>
      </w:r>
      <w:r w:rsidRPr="004C7F84">
        <w:t>cas de violence familiale ont été signalés. Or un vingt-cinquième seulement des cas de violence sexuelle signalés à la Police royale d</w:t>
      </w:r>
      <w:r w:rsidR="00773F5D" w:rsidRPr="004C7F84">
        <w:t>’</w:t>
      </w:r>
      <w:r w:rsidRPr="004C7F84">
        <w:t>Antigua-et-Barbuda entre 2003 et 2010 a fait l</w:t>
      </w:r>
      <w:r w:rsidR="00773F5D" w:rsidRPr="004C7F84">
        <w:t>’</w:t>
      </w:r>
      <w:r w:rsidRPr="004C7F84">
        <w:t>objet de poursuites pénales (Direction de la probl</w:t>
      </w:r>
      <w:r w:rsidR="00007D08" w:rsidRPr="004C7F84">
        <w:t xml:space="preserve">ématique hommes-femmes, 2010). </w:t>
      </w:r>
      <w:r w:rsidRPr="004C7F84">
        <w:t>Les statistiques de la Police royale et de la Direction de la problématique hommes-femmes font ressortir l</w:t>
      </w:r>
      <w:r w:rsidR="00773F5D" w:rsidRPr="004C7F84">
        <w:t>’</w:t>
      </w:r>
      <w:r w:rsidRPr="004C7F84">
        <w:t>ampleur de la violence sexuelle et sexiste à Antigua-et-Barbuda ainsi que les problèmes persistants posés par les arrestations et les poursuites pénales engagées pour donner suite au signalement des cas de violence (Huggins, 2016</w:t>
      </w:r>
      <w:r w:rsidR="00773F5D" w:rsidRPr="004C7F84">
        <w:t> :</w:t>
      </w:r>
      <w:r w:rsidRPr="004C7F84">
        <w:t xml:space="preserve"> 2).</w:t>
      </w:r>
    </w:p>
    <w:p w14:paraId="57D1352C" w14:textId="35543A0B" w:rsidR="001565DE" w:rsidRPr="004C7F84" w:rsidRDefault="001565DE" w:rsidP="00514306">
      <w:pPr>
        <w:pStyle w:val="SingleTxt"/>
        <w:numPr>
          <w:ilvl w:val="0"/>
          <w:numId w:val="18"/>
        </w:numPr>
        <w:spacing w:line="240" w:lineRule="exact"/>
        <w:ind w:left="1267" w:firstLine="0"/>
      </w:pPr>
      <w:r w:rsidRPr="004C7F84">
        <w:t>En 2013, la Direction de la problématique hommes-femmes a examiné 5 cas de viol de femme. Il convient de noter que tous les cas signalés à la police ne lui sont pas communiqués. Elle a également été saisie de 172</w:t>
      </w:r>
      <w:r w:rsidR="00007D08" w:rsidRPr="004C7F84">
        <w:t> </w:t>
      </w:r>
      <w:r w:rsidRPr="004C7F84">
        <w:t>cas de violence familiale</w:t>
      </w:r>
      <w:r w:rsidR="00773F5D" w:rsidRPr="004C7F84">
        <w:t> :</w:t>
      </w:r>
      <w:r w:rsidRPr="004C7F84">
        <w:t xml:space="preserve"> 129</w:t>
      </w:r>
      <w:r w:rsidR="00007D08" w:rsidRPr="004C7F84">
        <w:t> </w:t>
      </w:r>
      <w:r w:rsidRPr="004C7F84">
        <w:t>des victimes étaient des femmes et 43</w:t>
      </w:r>
      <w:r w:rsidR="00007D08" w:rsidRPr="004C7F84">
        <w:t> </w:t>
      </w:r>
      <w:r w:rsidRPr="004C7F84">
        <w:t>des hommes. Sur les 172</w:t>
      </w:r>
      <w:r w:rsidR="00007D08" w:rsidRPr="004C7F84">
        <w:t> </w:t>
      </w:r>
      <w:r w:rsidRPr="004C7F84">
        <w:t>victimes, 109</w:t>
      </w:r>
      <w:r w:rsidR="00007D08" w:rsidRPr="004C7F84">
        <w:t> </w:t>
      </w:r>
      <w:r w:rsidRPr="004C7F84">
        <w:t>ont subi des violences corporelles, 172 des violences psychologiques ou morales, 89 des violences économiques, 172 des agressions verbale</w:t>
      </w:r>
      <w:r w:rsidR="00007D08" w:rsidRPr="004C7F84">
        <w:t>s et 58 des atteintes sexuelles</w:t>
      </w:r>
      <w:r w:rsidR="00773F5D" w:rsidRPr="004C7F84">
        <w:t> ;</w:t>
      </w:r>
      <w:r w:rsidRPr="004C7F84">
        <w:t xml:space="preserve"> 76,7</w:t>
      </w:r>
      <w:r w:rsidR="00007D08" w:rsidRPr="004C7F84">
        <w:t> </w:t>
      </w:r>
      <w:r w:rsidRPr="004C7F84">
        <w:t>% des auteurs de violences étaient des hommes</w:t>
      </w:r>
      <w:r w:rsidR="00FF2884" w:rsidRPr="004C7F84">
        <w:t xml:space="preserve"> (132 cas)</w:t>
      </w:r>
      <w:r w:rsidRPr="004C7F84">
        <w:t xml:space="preserve">. </w:t>
      </w:r>
    </w:p>
    <w:p w14:paraId="0FF1AE55" w14:textId="4782E1A3" w:rsidR="001565DE" w:rsidRPr="004C7F84" w:rsidRDefault="001565DE" w:rsidP="00514306">
      <w:pPr>
        <w:pStyle w:val="SingleTxt"/>
        <w:numPr>
          <w:ilvl w:val="0"/>
          <w:numId w:val="18"/>
        </w:numPr>
        <w:spacing w:line="240" w:lineRule="exact"/>
        <w:ind w:left="1267" w:firstLine="0"/>
      </w:pPr>
      <w:r w:rsidRPr="004C7F84">
        <w:t>En 2014, 6</w:t>
      </w:r>
      <w:r w:rsidR="00007D08" w:rsidRPr="004C7F84">
        <w:t> </w:t>
      </w:r>
      <w:r w:rsidRPr="004C7F84">
        <w:t>viols (3 femmes et 3 hommes) ont été signalés à la Direction de la problématique hommes-femmes. Quant à la violence familiale à l</w:t>
      </w:r>
      <w:r w:rsidR="00773F5D" w:rsidRPr="004C7F84">
        <w:t>’</w:t>
      </w:r>
      <w:r w:rsidRPr="004C7F84">
        <w:t>encontre des adultes, le nombre de cas portés à sa connaissance a considérablement augmenté. Sur 201</w:t>
      </w:r>
      <w:r w:rsidR="00007D08" w:rsidRPr="004C7F84">
        <w:t> </w:t>
      </w:r>
      <w:r w:rsidRPr="004C7F84">
        <w:t>cas, 124 concernaient des femmes et 77 des hommes, soit une augmentation sensible du nombre d</w:t>
      </w:r>
      <w:r w:rsidR="00773F5D" w:rsidRPr="004C7F84">
        <w:t>’</w:t>
      </w:r>
      <w:r w:rsidRPr="004C7F84">
        <w:t>hommes par rapport à l</w:t>
      </w:r>
      <w:r w:rsidR="00773F5D" w:rsidRPr="004C7F84">
        <w:t>’</w:t>
      </w:r>
      <w:r w:rsidRPr="004C7F84">
        <w:t>année précédente.</w:t>
      </w:r>
    </w:p>
    <w:p w14:paraId="45B9A215" w14:textId="67367354" w:rsidR="001565DE" w:rsidRPr="004C7F84" w:rsidRDefault="001565DE" w:rsidP="00514306">
      <w:pPr>
        <w:pStyle w:val="SingleTxt"/>
        <w:numPr>
          <w:ilvl w:val="0"/>
          <w:numId w:val="18"/>
        </w:numPr>
        <w:spacing w:line="240" w:lineRule="exact"/>
        <w:ind w:left="1267" w:firstLine="0"/>
      </w:pPr>
      <w:r w:rsidRPr="004C7F84">
        <w:t>Sur les 201</w:t>
      </w:r>
      <w:r w:rsidR="00007D08" w:rsidRPr="004C7F84">
        <w:t> </w:t>
      </w:r>
      <w:r w:rsidRPr="004C7F84">
        <w:t>cas de violence familiale signalés, 36</w:t>
      </w:r>
      <w:r w:rsidR="00007D08" w:rsidRPr="004C7F84">
        <w:t> </w:t>
      </w:r>
      <w:r w:rsidRPr="004C7F84">
        <w:t>victimes ont subi des sévices, 74 des violences psychologiques ou morales, 52 des violences économiques, 60 des agressions verbales et 17 des atteintes sexuelles. (À noter</w:t>
      </w:r>
      <w:r w:rsidR="00773F5D" w:rsidRPr="004C7F84">
        <w:t> :</w:t>
      </w:r>
      <w:r w:rsidRPr="004C7F84">
        <w:t xml:space="preserve"> le sexe des auteurs de violences n</w:t>
      </w:r>
      <w:r w:rsidR="00773F5D" w:rsidRPr="004C7F84">
        <w:t>’</w:t>
      </w:r>
      <w:r w:rsidRPr="004C7F84">
        <w:t xml:space="preserve">était pas indiqué dans tous les cas). </w:t>
      </w:r>
    </w:p>
    <w:p w14:paraId="7D8BEA19" w14:textId="22A525CE" w:rsidR="001565DE" w:rsidRPr="004C7F84" w:rsidRDefault="001565DE" w:rsidP="00514306">
      <w:pPr>
        <w:pStyle w:val="SingleTxt"/>
        <w:numPr>
          <w:ilvl w:val="0"/>
          <w:numId w:val="18"/>
        </w:numPr>
        <w:spacing w:line="240" w:lineRule="exact"/>
        <w:ind w:left="1267" w:firstLine="0"/>
      </w:pPr>
      <w:r w:rsidRPr="004C7F84">
        <w:t>Aucune loi du pays ne permet aux hommes de punir (physiquement ou verbalement) les femmes, même leurs épouses, sans en subir les conséquences. Cependant, certaines victimes ont déclaré que leurs dénonciations n</w:t>
      </w:r>
      <w:r w:rsidR="00773F5D" w:rsidRPr="004C7F84">
        <w:t>’</w:t>
      </w:r>
      <w:r w:rsidRPr="004C7F84">
        <w:t>étaient pas prises au sérieux. Toutefois, ces attitudes ont évolué récemment du fait que la formation respectueuse de la différence entre les sexes est désormais obligatoire dans des organismes, tels que le Groupe des infractions graves de la Police royale et le programme d</w:t>
      </w:r>
      <w:r w:rsidR="00773F5D" w:rsidRPr="004C7F84">
        <w:t>’</w:t>
      </w:r>
      <w:r w:rsidRPr="004C7F84">
        <w:t>orientation des victimes d</w:t>
      </w:r>
      <w:r w:rsidR="00773F5D" w:rsidRPr="004C7F84">
        <w:t>’</w:t>
      </w:r>
      <w:r w:rsidRPr="004C7F84">
        <w:t>agressions sexuelles, qui sont chargés des cas de violence sexuelle et sexiste. En outre, en vertu de la nouvelle loi sur la violence familiale, les officiers de police sont tenus de donner suite à tous les cas signalés de violence familiale et d</w:t>
      </w:r>
      <w:r w:rsidR="00773F5D" w:rsidRPr="004C7F84">
        <w:t>’</w:t>
      </w:r>
      <w:r w:rsidRPr="004C7F84">
        <w:t xml:space="preserve">atteintes sexuelles. </w:t>
      </w:r>
    </w:p>
    <w:p w14:paraId="74719F56" w14:textId="45FAA133" w:rsidR="00C663DF" w:rsidRPr="004C7F84" w:rsidRDefault="00C663DF" w:rsidP="00C663DF">
      <w:pPr>
        <w:pStyle w:val="SingleTxt"/>
        <w:spacing w:after="0" w:line="120" w:lineRule="exact"/>
        <w:rPr>
          <w:sz w:val="10"/>
        </w:rPr>
      </w:pPr>
    </w:p>
    <w:p w14:paraId="7BA0C58D" w14:textId="2F9C02D1" w:rsidR="001565DE" w:rsidRPr="004C7F84" w:rsidRDefault="00C663DF" w:rsidP="00970230">
      <w:pPr>
        <w:pStyle w:val="H4"/>
        <w:ind w:right="1260"/>
      </w:pPr>
      <w:r w:rsidRPr="004C7F84">
        <w:lastRenderedPageBreak/>
        <w:tab/>
      </w:r>
      <w:r w:rsidRPr="004C7F84">
        <w:tab/>
      </w:r>
      <w:r w:rsidR="001565DE" w:rsidRPr="004C7F84">
        <w:t>Mise en place d</w:t>
      </w:r>
      <w:r w:rsidR="00773F5D" w:rsidRPr="004C7F84">
        <w:t>’</w:t>
      </w:r>
      <w:r w:rsidR="001565DE" w:rsidRPr="004C7F84">
        <w:t>une base de données</w:t>
      </w:r>
    </w:p>
    <w:p w14:paraId="157A0787" w14:textId="057F7C25" w:rsidR="00C663DF" w:rsidRPr="004C7F84" w:rsidRDefault="00C663DF" w:rsidP="00970230">
      <w:pPr>
        <w:pStyle w:val="SingleTxt"/>
        <w:keepNext/>
        <w:keepLines/>
        <w:spacing w:after="0" w:line="120" w:lineRule="exact"/>
        <w:rPr>
          <w:sz w:val="10"/>
        </w:rPr>
      </w:pPr>
    </w:p>
    <w:p w14:paraId="61C7B7D1" w14:textId="0CF46A2B" w:rsidR="001565DE" w:rsidRPr="004C7F84" w:rsidRDefault="001565DE" w:rsidP="00514306">
      <w:pPr>
        <w:pStyle w:val="SingleTxt"/>
        <w:keepNext/>
        <w:keepLines/>
        <w:numPr>
          <w:ilvl w:val="0"/>
          <w:numId w:val="18"/>
        </w:numPr>
        <w:spacing w:line="240" w:lineRule="exact"/>
        <w:ind w:left="1267" w:firstLine="0"/>
      </w:pPr>
      <w:r w:rsidRPr="004C7F84">
        <w:t>La mise en place d</w:t>
      </w:r>
      <w:r w:rsidR="00773F5D" w:rsidRPr="004C7F84">
        <w:t>’</w:t>
      </w:r>
      <w:r w:rsidRPr="004C7F84">
        <w:t>une base de données est l</w:t>
      </w:r>
      <w:r w:rsidR="00773F5D" w:rsidRPr="004C7F84">
        <w:t>’</w:t>
      </w:r>
      <w:r w:rsidRPr="004C7F84">
        <w:t>un des programmes mis en œuvre dans le cadre du projet du Fonds d</w:t>
      </w:r>
      <w:r w:rsidR="00773F5D" w:rsidRPr="004C7F84">
        <w:t>’</w:t>
      </w:r>
      <w:r w:rsidRPr="004C7F84">
        <w:t>affectation spéciale des Nations Unies. En 2015, la Direction de la problématique hommes-femmes a créé une base de données nationale qui permettait de suivre tous les cas de violence sexuelle et sexiste signalés en vue d</w:t>
      </w:r>
      <w:r w:rsidR="00773F5D" w:rsidRPr="004C7F84">
        <w:t>’</w:t>
      </w:r>
      <w:r w:rsidRPr="004C7F84">
        <w:t>améliorer la collecte de données administratives. Cette base de données centralise toutes les informations sur les actes de violence sexuelle et sexiste, qui sont recueillies auprès des partenaires, à savoir la Police royale, la Division du bien-être de la population, Mount St. John</w:t>
      </w:r>
      <w:r w:rsidR="00773F5D" w:rsidRPr="004C7F84">
        <w:t>’</w:t>
      </w:r>
      <w:r w:rsidRPr="004C7F84">
        <w:t>s Medical Centre et les organisations de la société civile, telles que Women Against Rape (WAR), ainsi que des médecins de ville. Elle permet à la Direction de la problématique hommes-femmes et à ses partenaires de suivre la progression de chaque cas, du début jusqu</w:t>
      </w:r>
      <w:r w:rsidR="00773F5D" w:rsidRPr="004C7F84">
        <w:t>’</w:t>
      </w:r>
      <w:r w:rsidRPr="004C7F84">
        <w:t xml:space="preserve">à la fin. </w:t>
      </w:r>
    </w:p>
    <w:p w14:paraId="45E3C808" w14:textId="0C131973" w:rsidR="001565DE" w:rsidRPr="004C7F84" w:rsidRDefault="001565DE" w:rsidP="00514306">
      <w:pPr>
        <w:pStyle w:val="SingleTxt"/>
        <w:numPr>
          <w:ilvl w:val="0"/>
          <w:numId w:val="18"/>
        </w:numPr>
        <w:spacing w:line="240" w:lineRule="exact"/>
        <w:ind w:left="1267" w:firstLine="0"/>
      </w:pPr>
      <w:r w:rsidRPr="004C7F84">
        <w:t>Seuls les administrateurs désignés connaissent l</w:t>
      </w:r>
      <w:r w:rsidR="00773F5D" w:rsidRPr="004C7F84">
        <w:t>’</w:t>
      </w:r>
      <w:r w:rsidR="00007D08" w:rsidRPr="004C7F84">
        <w:t xml:space="preserve">identité des clients pour </w:t>
      </w:r>
      <w:r w:rsidRPr="004C7F84">
        <w:t>préserver le caractère confidentiel des informat</w:t>
      </w:r>
      <w:r w:rsidR="00007D08" w:rsidRPr="004C7F84">
        <w:t xml:space="preserve">ions. Le système comporte donc </w:t>
      </w:r>
      <w:r w:rsidRPr="004C7F84">
        <w:t>différents niveaux d</w:t>
      </w:r>
      <w:r w:rsidR="00773F5D" w:rsidRPr="004C7F84">
        <w:t>’</w:t>
      </w:r>
      <w:r w:rsidRPr="004C7F84">
        <w:t>accès et des possibilités d</w:t>
      </w:r>
      <w:r w:rsidR="00773F5D" w:rsidRPr="004C7F84">
        <w:t>’</w:t>
      </w:r>
      <w:r w:rsidRPr="004C7F84">
        <w:t>orientation vers les organismes compétents. La base de données est régie par un plan de déploiement, le manuel de l</w:t>
      </w:r>
      <w:r w:rsidR="00773F5D" w:rsidRPr="004C7F84">
        <w:t>’</w:t>
      </w:r>
      <w:r w:rsidRPr="004C7F84">
        <w:t>utilisateur et les directives et protocoles pertinents.</w:t>
      </w:r>
    </w:p>
    <w:p w14:paraId="3A687932" w14:textId="54FE46DC" w:rsidR="00C663DF" w:rsidRPr="004C7F84" w:rsidRDefault="00C663DF" w:rsidP="00C663DF">
      <w:pPr>
        <w:pStyle w:val="SingleTxt"/>
        <w:spacing w:after="0" w:line="120" w:lineRule="exact"/>
        <w:rPr>
          <w:sz w:val="10"/>
        </w:rPr>
      </w:pPr>
    </w:p>
    <w:p w14:paraId="39F13BA4" w14:textId="7689D49F" w:rsidR="00C663DF" w:rsidRPr="004C7F84" w:rsidRDefault="00C663DF" w:rsidP="00C663DF">
      <w:pPr>
        <w:pStyle w:val="SingleTxt"/>
        <w:spacing w:after="0" w:line="120" w:lineRule="exact"/>
        <w:rPr>
          <w:sz w:val="10"/>
        </w:rPr>
      </w:pPr>
    </w:p>
    <w:p w14:paraId="4E7DC574" w14:textId="4953AE08" w:rsidR="001565DE" w:rsidRPr="004C7F84" w:rsidRDefault="001565DE" w:rsidP="00C663DF">
      <w:pPr>
        <w:pStyle w:val="H1"/>
        <w:ind w:right="1260"/>
      </w:pPr>
      <w:r w:rsidRPr="004C7F84">
        <w:tab/>
      </w:r>
      <w:r w:rsidRPr="004C7F84">
        <w:tab/>
        <w:t>Article 4</w:t>
      </w:r>
      <w:r w:rsidR="00773F5D" w:rsidRPr="004C7F84">
        <w:t> :</w:t>
      </w:r>
      <w:r w:rsidRPr="004C7F84">
        <w:t xml:space="preserve"> Accélération de l</w:t>
      </w:r>
      <w:r w:rsidR="00773F5D" w:rsidRPr="004C7F84">
        <w:t>’</w:t>
      </w:r>
      <w:r w:rsidRPr="004C7F84">
        <w:t>instauration de l</w:t>
      </w:r>
      <w:r w:rsidR="00773F5D" w:rsidRPr="004C7F84">
        <w:t>’</w:t>
      </w:r>
      <w:r w:rsidRPr="004C7F84">
        <w:t xml:space="preserve">égalité </w:t>
      </w:r>
      <w:r w:rsidR="00C663DF" w:rsidRPr="004C7F84">
        <w:br/>
      </w:r>
      <w:r w:rsidRPr="004C7F84">
        <w:t xml:space="preserve">de fait entre les hommes et les femmes – adoption </w:t>
      </w:r>
      <w:r w:rsidR="00C663DF" w:rsidRPr="004C7F84">
        <w:br/>
      </w:r>
      <w:r w:rsidRPr="004C7F84">
        <w:t>de mesures temporaires spéciales</w:t>
      </w:r>
    </w:p>
    <w:p w14:paraId="6E079741" w14:textId="34428C9A" w:rsidR="00C663DF" w:rsidRPr="004C7F84" w:rsidRDefault="00C663DF" w:rsidP="00C663DF">
      <w:pPr>
        <w:pStyle w:val="SingleTxt"/>
        <w:spacing w:after="0" w:line="120" w:lineRule="exact"/>
        <w:rPr>
          <w:sz w:val="10"/>
        </w:rPr>
      </w:pPr>
    </w:p>
    <w:p w14:paraId="7818D0AD" w14:textId="6B0A69CB" w:rsidR="00C663DF" w:rsidRPr="004C7F84" w:rsidRDefault="00C663DF" w:rsidP="00C663DF">
      <w:pPr>
        <w:pStyle w:val="SingleTxt"/>
        <w:spacing w:after="0" w:line="120" w:lineRule="exact"/>
        <w:rPr>
          <w:sz w:val="10"/>
        </w:rPr>
      </w:pPr>
    </w:p>
    <w:p w14:paraId="4A0CD838" w14:textId="5248495B" w:rsidR="001565DE" w:rsidRPr="004C7F84" w:rsidRDefault="001565DE" w:rsidP="00514306">
      <w:pPr>
        <w:pStyle w:val="SingleTxt"/>
        <w:numPr>
          <w:ilvl w:val="0"/>
          <w:numId w:val="18"/>
        </w:numPr>
        <w:spacing w:line="240" w:lineRule="exact"/>
        <w:ind w:left="1267" w:firstLine="0"/>
      </w:pPr>
      <w:r w:rsidRPr="004C7F84">
        <w:t>Le Comité a suggéré que «</w:t>
      </w:r>
      <w:r w:rsidR="00007D08" w:rsidRPr="004C7F84">
        <w:t> </w:t>
      </w:r>
      <w:r w:rsidRPr="004C7F84">
        <w:t>le Gouvernement d</w:t>
      </w:r>
      <w:r w:rsidR="00773F5D" w:rsidRPr="004C7F84">
        <w:t>’</w:t>
      </w:r>
      <w:r w:rsidRPr="004C7F84">
        <w:t>Antigua-et-Barbuda ait recours à l</w:t>
      </w:r>
      <w:r w:rsidR="00773F5D" w:rsidRPr="004C7F84">
        <w:t>’</w:t>
      </w:r>
      <w:r w:rsidRPr="004C7F84">
        <w:t>article</w:t>
      </w:r>
      <w:r w:rsidR="00007D08" w:rsidRPr="004C7F84">
        <w:t> </w:t>
      </w:r>
      <w:r w:rsidRPr="004C7F84">
        <w:t>4 de la Convention pour accélérer l</w:t>
      </w:r>
      <w:r w:rsidR="00773F5D" w:rsidRPr="004C7F84">
        <w:t>’</w:t>
      </w:r>
      <w:r w:rsidRPr="004C7F84">
        <w:t>égalité de fait des femmes</w:t>
      </w:r>
      <w:r w:rsidR="00007D08" w:rsidRPr="004C7F84">
        <w:t> » (Observation n</w:t>
      </w:r>
      <w:r w:rsidR="00007D08" w:rsidRPr="004C7F84">
        <w:rPr>
          <w:vertAlign w:val="superscript"/>
        </w:rPr>
        <w:t>o</w:t>
      </w:r>
      <w:r w:rsidR="00007D08" w:rsidRPr="004C7F84">
        <w:t> </w:t>
      </w:r>
      <w:r w:rsidRPr="004C7F84">
        <w:t>265). Il a également recommandé que «</w:t>
      </w:r>
      <w:r w:rsidR="00007D08" w:rsidRPr="004C7F84">
        <w:t> </w:t>
      </w:r>
      <w:r w:rsidRPr="004C7F84">
        <w:t>le Gouvernement d</w:t>
      </w:r>
      <w:r w:rsidR="00773F5D" w:rsidRPr="004C7F84">
        <w:t>’</w:t>
      </w:r>
      <w:r w:rsidRPr="004C7F84">
        <w:t>Antigua-et-Barbuda encourage une plus grande participation des femmes à la vie politique en adoptant des mesures temporaires spéciales</w:t>
      </w:r>
      <w:r w:rsidR="00007D08" w:rsidRPr="004C7F84">
        <w:t> </w:t>
      </w:r>
      <w:r w:rsidRPr="004C7F84">
        <w:t>» (O</w:t>
      </w:r>
      <w:r w:rsidR="00007D08" w:rsidRPr="004C7F84">
        <w:t>bservation n</w:t>
      </w:r>
      <w:r w:rsidR="00007D08" w:rsidRPr="004C7F84">
        <w:rPr>
          <w:vertAlign w:val="superscript"/>
        </w:rPr>
        <w:t>o</w:t>
      </w:r>
      <w:r w:rsidR="00007D08" w:rsidRPr="004C7F84">
        <w:t xml:space="preserve"> 266). </w:t>
      </w:r>
      <w:r w:rsidRPr="004C7F84">
        <w:t>À ce jour, aucune loi n</w:t>
      </w:r>
      <w:r w:rsidR="00773F5D" w:rsidRPr="004C7F84">
        <w:t>’</w:t>
      </w:r>
      <w:r w:rsidRPr="004C7F84">
        <w:t>a été adoptée pour donner suite à la deuxième recommandation du Comité, mais comme on le verra plus loin, plusieurs politiques et programmes ont été mis en place pour assurer une plus grande participation des femmes à la vie politique. Les activités de la Direction de la problématique hommes-femmes, qui est le principal mécanisme chargé de mettre en œuvre la politique du Gouvernement sur les questions d</w:t>
      </w:r>
      <w:r w:rsidR="00773F5D" w:rsidRPr="004C7F84">
        <w:t>’</w:t>
      </w:r>
      <w:r w:rsidRPr="004C7F84">
        <w:t>égalité des sexes, ont été exemplaires à cet égard.</w:t>
      </w:r>
      <w:r w:rsidR="00773F5D" w:rsidRPr="004C7F84">
        <w:t xml:space="preserve"> </w:t>
      </w:r>
    </w:p>
    <w:p w14:paraId="69CFB774" w14:textId="2A7DEE20" w:rsidR="001565DE" w:rsidRPr="004C7F84" w:rsidRDefault="001565DE" w:rsidP="00514306">
      <w:pPr>
        <w:pStyle w:val="SingleTxt"/>
        <w:numPr>
          <w:ilvl w:val="0"/>
          <w:numId w:val="18"/>
        </w:numPr>
        <w:spacing w:line="240" w:lineRule="exact"/>
        <w:ind w:left="1267" w:firstLine="0"/>
      </w:pPr>
      <w:r w:rsidRPr="004C7F84">
        <w:t>D</w:t>
      </w:r>
      <w:r w:rsidR="00773F5D" w:rsidRPr="004C7F84">
        <w:t>’</w:t>
      </w:r>
      <w:r w:rsidRPr="004C7F84">
        <w:t>après le rapport précédent, les femmes à Antigua-et-Barbuda ont le droit, sur un pied d</w:t>
      </w:r>
      <w:r w:rsidR="00773F5D" w:rsidRPr="004C7F84">
        <w:t>’</w:t>
      </w:r>
      <w:r w:rsidRPr="004C7F84">
        <w:t>égalité avec les hommes, de voter aux élections et de postuler les plus hautes fonctions politiques. Bien qu</w:t>
      </w:r>
      <w:r w:rsidR="00773F5D" w:rsidRPr="004C7F84">
        <w:t>’</w:t>
      </w:r>
      <w:r w:rsidRPr="004C7F84">
        <w:t>aucun obstacle juridique ne s</w:t>
      </w:r>
      <w:r w:rsidR="00773F5D" w:rsidRPr="004C7F84">
        <w:t>’</w:t>
      </w:r>
      <w:r w:rsidRPr="004C7F84">
        <w:t>y oppose, la représentation des femmes au Parlement reste faible alors même qu</w:t>
      </w:r>
      <w:r w:rsidR="00773F5D" w:rsidRPr="004C7F84">
        <w:t>’</w:t>
      </w:r>
      <w:r w:rsidRPr="004C7F84">
        <w:t xml:space="preserve">elles continuent de soutenir les candidats masculins. </w:t>
      </w:r>
    </w:p>
    <w:p w14:paraId="0628FFB7" w14:textId="6DE6B8B0" w:rsidR="00C663DF" w:rsidRPr="004C7F84" w:rsidRDefault="00C663DF" w:rsidP="00C663DF">
      <w:pPr>
        <w:pStyle w:val="SingleTxt"/>
        <w:spacing w:after="0" w:line="120" w:lineRule="exact"/>
        <w:rPr>
          <w:sz w:val="10"/>
        </w:rPr>
      </w:pPr>
    </w:p>
    <w:p w14:paraId="60BDD88C" w14:textId="0F42DFD8" w:rsidR="001565DE" w:rsidRPr="004C7F84" w:rsidRDefault="001565DE" w:rsidP="00C663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t xml:space="preserve">Campagne visant à promouvoir une plus grande participation </w:t>
      </w:r>
      <w:r w:rsidR="00C663DF" w:rsidRPr="004C7F84">
        <w:rPr>
          <w:lang w:val="fr-FR"/>
        </w:rPr>
        <w:br/>
      </w:r>
      <w:r w:rsidRPr="004C7F84">
        <w:rPr>
          <w:lang w:val="fr-FR"/>
        </w:rPr>
        <w:t>des femmes à la vie politique</w:t>
      </w:r>
    </w:p>
    <w:p w14:paraId="380ED54B" w14:textId="2C19667A" w:rsidR="00C663DF" w:rsidRPr="004C7F84" w:rsidRDefault="00C663DF" w:rsidP="00C663DF">
      <w:pPr>
        <w:pStyle w:val="SingleTxt"/>
        <w:spacing w:after="0" w:line="120" w:lineRule="exact"/>
        <w:rPr>
          <w:sz w:val="10"/>
        </w:rPr>
      </w:pPr>
    </w:p>
    <w:p w14:paraId="6E2952EA" w14:textId="1FE4A71B" w:rsidR="001565DE" w:rsidRPr="004C7F84" w:rsidRDefault="001565DE" w:rsidP="00514306">
      <w:pPr>
        <w:pStyle w:val="SingleTxt"/>
        <w:numPr>
          <w:ilvl w:val="0"/>
          <w:numId w:val="18"/>
        </w:numPr>
        <w:spacing w:line="240" w:lineRule="exact"/>
        <w:ind w:left="1267" w:firstLine="0"/>
      </w:pPr>
      <w:r w:rsidRPr="004C7F84">
        <w:t xml:space="preserve">En 2000, la Direction des affaires féminines a lancé une campagne énergique pour promouvoir la participation des femmes à la vie politique. Plusieurs séminaires, ateliers et programmes de médias ont été organisés pour encourager les femmes à postuler les plus hautes fonctions politiques. Des réunions ont été tenues avec les dirigeants des deux principaux partis politiques pour les engager vivement à inscrire des femmes sur leur liste de candidats. La Professional Organization of Women in Antigua (POWA) a également joué un rôle décisif dans cette campagne. Il </w:t>
      </w:r>
      <w:r w:rsidRPr="004C7F84">
        <w:lastRenderedPageBreak/>
        <w:t>est encourageant de voir que ces efforts ont porté leurs fruits. Le rôle des femmes a été beaucoup plus important lors des élections générales de 2004, qui ont abouti à des résultats remarquables (ils seront examinés dans la partie consacrée aux femmes dans la vie politique)</w:t>
      </w:r>
      <w:r w:rsidR="00007D08" w:rsidRPr="004C7F84">
        <w:t>.</w:t>
      </w:r>
    </w:p>
    <w:p w14:paraId="13922462" w14:textId="688A7EF1" w:rsidR="00C663DF" w:rsidRPr="004C7F84" w:rsidRDefault="00C663DF" w:rsidP="00C663DF">
      <w:pPr>
        <w:pStyle w:val="SingleTxt"/>
        <w:spacing w:after="0" w:line="120" w:lineRule="exact"/>
        <w:rPr>
          <w:sz w:val="10"/>
        </w:rPr>
      </w:pPr>
    </w:p>
    <w:p w14:paraId="425ED5F7" w14:textId="339C8F62" w:rsidR="001565DE" w:rsidRPr="004C7F84" w:rsidRDefault="001565DE" w:rsidP="00C663DF">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t>Participation des femmes dans la sphère politique</w:t>
      </w:r>
      <w:r w:rsidR="00773F5D" w:rsidRPr="004C7F84">
        <w:rPr>
          <w:lang w:val="fr-FR"/>
        </w:rPr>
        <w:t> :</w:t>
      </w:r>
      <w:r w:rsidRPr="004C7F84">
        <w:rPr>
          <w:lang w:val="fr-FR"/>
        </w:rPr>
        <w:t xml:space="preserve"> formation </w:t>
      </w:r>
      <w:r w:rsidR="00C663DF" w:rsidRPr="004C7F84">
        <w:rPr>
          <w:lang w:val="fr-FR"/>
        </w:rPr>
        <w:br/>
      </w:r>
      <w:r w:rsidRPr="004C7F84">
        <w:rPr>
          <w:lang w:val="fr-FR"/>
        </w:rPr>
        <w:t xml:space="preserve">dans les domaines de la gouvernance et de la démocratie </w:t>
      </w:r>
    </w:p>
    <w:p w14:paraId="1B433E19" w14:textId="7DB21447" w:rsidR="00C663DF" w:rsidRPr="004C7F84" w:rsidRDefault="00C663DF" w:rsidP="00C663DF">
      <w:pPr>
        <w:pStyle w:val="SingleTxt"/>
        <w:keepNext/>
        <w:spacing w:after="0" w:line="120" w:lineRule="exact"/>
        <w:rPr>
          <w:sz w:val="10"/>
        </w:rPr>
      </w:pPr>
    </w:p>
    <w:p w14:paraId="7DAC2266" w14:textId="165255F7" w:rsidR="00C663DF" w:rsidRPr="004C7F84" w:rsidRDefault="001565DE" w:rsidP="00514306">
      <w:pPr>
        <w:pStyle w:val="SingleTxt"/>
        <w:keepNext/>
        <w:numPr>
          <w:ilvl w:val="0"/>
          <w:numId w:val="18"/>
        </w:numPr>
        <w:spacing w:line="240" w:lineRule="exact"/>
        <w:ind w:left="1267" w:firstLine="0"/>
      </w:pPr>
      <w:r w:rsidRPr="004C7F84">
        <w:t>En 2002, la Direction de la problématique hommes-femmes a coordonné un projet visant à accroître la participation des femmes aux postes de responsabilité dans le pays. Ce projet, qui portait sur la participation des femmes dans la sphère politique et la formation dans les domaines de la gouvernance et de la démocratie, était parrainé par l</w:t>
      </w:r>
      <w:r w:rsidR="00773F5D" w:rsidRPr="004C7F84">
        <w:t>’</w:t>
      </w:r>
      <w:r w:rsidRPr="004C7F84">
        <w:t>Organisation des États américains et mis en œuvre à Antigua-et-Barbuda, à Saint-Kitts-et-Nevis et au Guyana. Cette formation était atypique en ce qu</w:t>
      </w:r>
      <w:r w:rsidR="00773F5D" w:rsidRPr="004C7F84">
        <w:t>’</w:t>
      </w:r>
      <w:r w:rsidRPr="004C7F84">
        <w:t>elle transcendait les barrières sociales. Le matériel didactique (y compris certaines publications mentionnées dans la bibliographie) a été mis à la disposition des candidates locales et des postulantes possédant une formation plus poussée. Les femmes s</w:t>
      </w:r>
      <w:r w:rsidR="00773F5D" w:rsidRPr="004C7F84">
        <w:t>’</w:t>
      </w:r>
      <w:r w:rsidRPr="004C7F84">
        <w:t>étaient unies en vue d</w:t>
      </w:r>
      <w:r w:rsidR="00773F5D" w:rsidRPr="004C7F84">
        <w:t>’</w:t>
      </w:r>
      <w:r w:rsidRPr="004C7F84">
        <w:t>accroître leur représent</w:t>
      </w:r>
      <w:r w:rsidR="00007D08" w:rsidRPr="004C7F84">
        <w:t xml:space="preserve">ation dans la sphère politique </w:t>
      </w:r>
      <w:r w:rsidRPr="004C7F84">
        <w:t>et aux échelons supérieurs de l</w:t>
      </w:r>
      <w:r w:rsidR="00773F5D" w:rsidRPr="004C7F84">
        <w:t>’</w:t>
      </w:r>
      <w:r w:rsidRPr="004C7F84">
        <w:t>administration publique.</w:t>
      </w:r>
    </w:p>
    <w:p w14:paraId="0FCC8421" w14:textId="7C3A0875" w:rsidR="00C663DF" w:rsidRPr="004C7F84" w:rsidRDefault="00C663DF" w:rsidP="00C663DF">
      <w:pPr>
        <w:pStyle w:val="SingleTxt"/>
        <w:spacing w:after="0" w:line="120" w:lineRule="exact"/>
        <w:rPr>
          <w:sz w:val="10"/>
        </w:rPr>
      </w:pPr>
    </w:p>
    <w:p w14:paraId="6E3173CB" w14:textId="77777777" w:rsidR="001565DE" w:rsidRPr="00F05573" w:rsidRDefault="001565DE" w:rsidP="00C663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C7F84">
        <w:rPr>
          <w:lang w:val="fr-FR"/>
        </w:rPr>
        <w:tab/>
      </w:r>
      <w:r w:rsidRPr="004C7F84">
        <w:rPr>
          <w:lang w:val="fr-FR"/>
        </w:rPr>
        <w:tab/>
      </w:r>
      <w:r w:rsidRPr="00F05573">
        <w:t xml:space="preserve">Caribbean Institute for Women in Leadership (CIWIL) </w:t>
      </w:r>
    </w:p>
    <w:p w14:paraId="7012FBA4" w14:textId="234CBA17" w:rsidR="00C663DF" w:rsidRPr="00F05573" w:rsidRDefault="00C663DF" w:rsidP="00C663DF">
      <w:pPr>
        <w:pStyle w:val="SingleTxt"/>
        <w:spacing w:after="0" w:line="120" w:lineRule="exact"/>
        <w:rPr>
          <w:sz w:val="10"/>
          <w:lang w:val="en-US"/>
        </w:rPr>
      </w:pPr>
    </w:p>
    <w:p w14:paraId="53C88574" w14:textId="7A8FA7E8" w:rsidR="00C663DF" w:rsidRPr="004C7F84" w:rsidRDefault="001565DE" w:rsidP="00514306">
      <w:pPr>
        <w:pStyle w:val="SingleTxt"/>
        <w:numPr>
          <w:ilvl w:val="0"/>
          <w:numId w:val="18"/>
        </w:numPr>
        <w:spacing w:line="240" w:lineRule="exact"/>
        <w:ind w:left="1267" w:firstLine="0"/>
      </w:pPr>
      <w:r w:rsidRPr="004C7F84">
        <w:t>Il convient de féliciter l</w:t>
      </w:r>
      <w:r w:rsidR="00773F5D" w:rsidRPr="004C7F84">
        <w:t>’</w:t>
      </w:r>
      <w:r w:rsidRPr="004C7F84">
        <w:t>organisation Caribbean Institute for Women in Leadership (CIWIL), créée en 2006, pour le travail remarquable qu</w:t>
      </w:r>
      <w:r w:rsidR="00773F5D" w:rsidRPr="004C7F84">
        <w:t>’</w:t>
      </w:r>
      <w:r w:rsidRPr="004C7F84">
        <w:t>elle a accompli et qu</w:t>
      </w:r>
      <w:r w:rsidR="00773F5D" w:rsidRPr="004C7F84">
        <w:t>’</w:t>
      </w:r>
      <w:r w:rsidRPr="004C7F84">
        <w:t>elle continue dans la lutte contre les inégalités entre les sexes en matière de pouvoir et de prise de décisions dans les Caraïbes. Elle a obtenu des fonds de donateurs extérieurs pour une période initiale de 5</w:t>
      </w:r>
      <w:r w:rsidR="00007D08" w:rsidRPr="004C7F84">
        <w:t> </w:t>
      </w:r>
      <w:r w:rsidRPr="004C7F84">
        <w:t>ans. Si ses activités n</w:t>
      </w:r>
      <w:r w:rsidR="00773F5D" w:rsidRPr="004C7F84">
        <w:t>’</w:t>
      </w:r>
      <w:r w:rsidRPr="004C7F84">
        <w:t>ont pas abouti à l</w:t>
      </w:r>
      <w:r w:rsidR="00773F5D" w:rsidRPr="004C7F84">
        <w:t>’</w:t>
      </w:r>
      <w:r w:rsidRPr="004C7F84">
        <w:t>adoption de lois sur la discrimination positive à Antigua-et-Barbuda, elles ont néanmoins contribué à promouvoir une plus grande participation des femmes à la vie politique. En collaboration avec la Direction de la problématique hommes-femmes, elle a organisé en mars 2009 un petit-déjeuner de travail en l</w:t>
      </w:r>
      <w:r w:rsidR="00773F5D" w:rsidRPr="004C7F84">
        <w:t>’</w:t>
      </w:r>
      <w:r w:rsidRPr="004C7F84">
        <w:t>honneur des 5</w:t>
      </w:r>
      <w:r w:rsidR="00007D08" w:rsidRPr="004C7F84">
        <w:t> </w:t>
      </w:r>
      <w:r w:rsidRPr="004C7F84">
        <w:t>femmes candidates qui se présentaient aux élections générales plus tard le même mois. Une seule des 5</w:t>
      </w:r>
      <w:r w:rsidR="00007D08" w:rsidRPr="004C7F84">
        <w:t> </w:t>
      </w:r>
      <w:r w:rsidRPr="004C7F84">
        <w:t>candidates a été élue mais la publicité et l</w:t>
      </w:r>
      <w:r w:rsidR="00773F5D" w:rsidRPr="004C7F84">
        <w:t>’</w:t>
      </w:r>
      <w:r w:rsidRPr="004C7F84">
        <w:t>intérêt suscités par les activités de cette organisation ont beaucoup contribué à souligner la nécessité pour les femmes d</w:t>
      </w:r>
      <w:r w:rsidR="00773F5D" w:rsidRPr="004C7F84">
        <w:t>’</w:t>
      </w:r>
      <w:r w:rsidRPr="004C7F84">
        <w:t>être</w:t>
      </w:r>
      <w:r w:rsidR="00007D08" w:rsidRPr="004C7F84">
        <w:t xml:space="preserve"> plus nombreuses aux postes de </w:t>
      </w:r>
      <w:r w:rsidRPr="004C7F84">
        <w:t>responsabilité et de décisions au Gouvernement. Cette organisation a servi et continue de servir la cause des femmes en créant des réseaux de solidarité entre femmes.</w:t>
      </w:r>
    </w:p>
    <w:p w14:paraId="569E9517" w14:textId="77777777" w:rsidR="00C663DF" w:rsidRPr="004C7F84" w:rsidRDefault="00C663DF" w:rsidP="00C663DF">
      <w:pPr>
        <w:pStyle w:val="SingleTxt"/>
        <w:spacing w:after="0" w:line="120" w:lineRule="exact"/>
        <w:rPr>
          <w:sz w:val="10"/>
        </w:rPr>
      </w:pPr>
    </w:p>
    <w:p w14:paraId="1C02B1E4" w14:textId="77777777" w:rsidR="00C663DF" w:rsidRPr="004C7F84" w:rsidRDefault="001565DE" w:rsidP="00C663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t>Together We Must</w:t>
      </w:r>
    </w:p>
    <w:p w14:paraId="32CBAEB1" w14:textId="77777777" w:rsidR="00C663DF" w:rsidRPr="004C7F84" w:rsidRDefault="00C663DF" w:rsidP="00C663DF">
      <w:pPr>
        <w:pStyle w:val="SingleTxt"/>
        <w:spacing w:after="0" w:line="120" w:lineRule="exact"/>
        <w:rPr>
          <w:sz w:val="10"/>
        </w:rPr>
      </w:pPr>
    </w:p>
    <w:p w14:paraId="6789F9DC" w14:textId="491C0EBB" w:rsidR="001565DE" w:rsidRPr="004C7F84" w:rsidRDefault="001565DE" w:rsidP="00514306">
      <w:pPr>
        <w:pStyle w:val="SingleTxt"/>
        <w:numPr>
          <w:ilvl w:val="0"/>
          <w:numId w:val="18"/>
        </w:numPr>
        <w:spacing w:line="240" w:lineRule="exact"/>
        <w:ind w:left="1267" w:firstLine="0"/>
        <w:rPr>
          <w:spacing w:val="2"/>
          <w:w w:val="100"/>
        </w:rPr>
      </w:pPr>
      <w:r w:rsidRPr="004C7F84">
        <w:t xml:space="preserve">Cette organisation est née des activités de CIWIL. Celle-ci a organisé en 2009 un atelier réunissant de nombreuses organisations gouvernementales et non gouvernementales ainsi que des associations féminines pour examiner la condition de la femme à Antigua-et-Barbuda. </w:t>
      </w:r>
      <w:r w:rsidRPr="004C7F84">
        <w:rPr>
          <w:spacing w:val="2"/>
          <w:w w:val="100"/>
        </w:rPr>
        <w:t>À l</w:t>
      </w:r>
      <w:r w:rsidR="00773F5D" w:rsidRPr="004C7F84">
        <w:rPr>
          <w:spacing w:val="2"/>
          <w:w w:val="100"/>
        </w:rPr>
        <w:t>’</w:t>
      </w:r>
      <w:r w:rsidRPr="004C7F84">
        <w:rPr>
          <w:spacing w:val="2"/>
          <w:w w:val="100"/>
        </w:rPr>
        <w:t>issue de l</w:t>
      </w:r>
      <w:r w:rsidR="00773F5D" w:rsidRPr="004C7F84">
        <w:rPr>
          <w:spacing w:val="2"/>
          <w:w w:val="100"/>
        </w:rPr>
        <w:t>’</w:t>
      </w:r>
      <w:r w:rsidRPr="004C7F84">
        <w:rPr>
          <w:spacing w:val="2"/>
          <w:w w:val="100"/>
        </w:rPr>
        <w:t>atelier, les participantes ont décidé de créer une organisation dotée d</w:t>
      </w:r>
      <w:r w:rsidR="00773F5D" w:rsidRPr="004C7F84">
        <w:rPr>
          <w:spacing w:val="2"/>
          <w:w w:val="100"/>
        </w:rPr>
        <w:t>’</w:t>
      </w:r>
      <w:r w:rsidRPr="004C7F84">
        <w:rPr>
          <w:spacing w:val="2"/>
          <w:w w:val="100"/>
        </w:rPr>
        <w:t>un manifeste, appelée «</w:t>
      </w:r>
      <w:r w:rsidR="00007D08" w:rsidRPr="004C7F84">
        <w:rPr>
          <w:spacing w:val="2"/>
          <w:w w:val="100"/>
        </w:rPr>
        <w:t> </w:t>
      </w:r>
      <w:r w:rsidRPr="004C7F84">
        <w:rPr>
          <w:spacing w:val="2"/>
          <w:w w:val="100"/>
        </w:rPr>
        <w:t>Together We Must</w:t>
      </w:r>
      <w:r w:rsidR="00007D08" w:rsidRPr="004C7F84">
        <w:rPr>
          <w:spacing w:val="2"/>
          <w:w w:val="100"/>
        </w:rPr>
        <w:t> </w:t>
      </w:r>
      <w:r w:rsidRPr="004C7F84">
        <w:rPr>
          <w:spacing w:val="2"/>
          <w:w w:val="100"/>
        </w:rPr>
        <w:t>». Son objectif déclaré était d</w:t>
      </w:r>
      <w:r w:rsidR="00773F5D" w:rsidRPr="004C7F84">
        <w:rPr>
          <w:spacing w:val="2"/>
          <w:w w:val="100"/>
        </w:rPr>
        <w:t>’</w:t>
      </w:r>
      <w:r w:rsidRPr="004C7F84">
        <w:rPr>
          <w:spacing w:val="2"/>
          <w:w w:val="100"/>
        </w:rPr>
        <w:t>unifier les diverses revendications des femmes à Antigua-et-Barbuda pour veiller à qu</w:t>
      </w:r>
      <w:r w:rsidR="00773F5D" w:rsidRPr="004C7F84">
        <w:rPr>
          <w:spacing w:val="2"/>
          <w:w w:val="100"/>
        </w:rPr>
        <w:t>’</w:t>
      </w:r>
      <w:r w:rsidRPr="004C7F84">
        <w:rPr>
          <w:spacing w:val="2"/>
          <w:w w:val="100"/>
        </w:rPr>
        <w:t xml:space="preserve">elles soient incorporées dans les politiques, pratiques et programmes nationaux. </w:t>
      </w:r>
    </w:p>
    <w:p w14:paraId="5FA0A72F" w14:textId="6D7C9FC9" w:rsidR="00C663DF" w:rsidRPr="004C7F84" w:rsidRDefault="001565DE" w:rsidP="00514306">
      <w:pPr>
        <w:pStyle w:val="SingleTxt"/>
        <w:numPr>
          <w:ilvl w:val="0"/>
          <w:numId w:val="18"/>
        </w:numPr>
        <w:spacing w:line="240" w:lineRule="exact"/>
        <w:ind w:left="1267" w:firstLine="0"/>
      </w:pPr>
      <w:r w:rsidRPr="004C7F84">
        <w:t>Cette organisation réunit des femmes de tous horizons et reconnaît la nécessité de leur participation à la vie politique et à la prise de décisions sur pied d</w:t>
      </w:r>
      <w:r w:rsidR="00773F5D" w:rsidRPr="004C7F84">
        <w:t>’</w:t>
      </w:r>
      <w:r w:rsidRPr="004C7F84">
        <w:t xml:space="preserve">égalité avec les hommes. Sur son site Web, elle encourage les internautes à participer aux débats sur les questions relatives aux femmes. Elle est résolue à prendre des </w:t>
      </w:r>
      <w:r w:rsidRPr="004C7F84">
        <w:lastRenderedPageBreak/>
        <w:t>mesures collectives pour mettre fin à la violence sexiste et à d</w:t>
      </w:r>
      <w:r w:rsidR="00773F5D" w:rsidRPr="004C7F84">
        <w:t>’</w:t>
      </w:r>
      <w:r w:rsidRPr="004C7F84">
        <w:t>autres pratiques discriminatoires à l</w:t>
      </w:r>
      <w:r w:rsidR="00773F5D" w:rsidRPr="004C7F84">
        <w:t>’</w:t>
      </w:r>
      <w:r w:rsidRPr="004C7F84">
        <w:t>égard des femmes à Antigua-et-Barbuda.</w:t>
      </w:r>
    </w:p>
    <w:p w14:paraId="38BC0478" w14:textId="56F3CCB9" w:rsidR="001565DE" w:rsidRPr="004C7F84" w:rsidRDefault="001565DE" w:rsidP="00C663DF">
      <w:pPr>
        <w:pStyle w:val="H1"/>
        <w:ind w:right="1260"/>
      </w:pPr>
      <w:r w:rsidRPr="004C7F84">
        <w:tab/>
      </w:r>
      <w:r w:rsidRPr="004C7F84">
        <w:tab/>
        <w:t>Article 5</w:t>
      </w:r>
      <w:r w:rsidR="00773F5D" w:rsidRPr="004C7F84">
        <w:t> :</w:t>
      </w:r>
      <w:r w:rsidRPr="004C7F84">
        <w:t xml:space="preserve"> Élimination des rôles dévolus à chaque sexe </w:t>
      </w:r>
      <w:r w:rsidR="00C663DF" w:rsidRPr="004C7F84">
        <w:br/>
      </w:r>
      <w:r w:rsidRPr="004C7F84">
        <w:t>et des représentations stéréotypées</w:t>
      </w:r>
    </w:p>
    <w:p w14:paraId="1CB15BDC" w14:textId="5B1DCC9B" w:rsidR="00C663DF" w:rsidRPr="004C7F84" w:rsidRDefault="00C663DF" w:rsidP="00C663DF">
      <w:pPr>
        <w:pStyle w:val="SingleTxt"/>
        <w:spacing w:after="0" w:line="120" w:lineRule="exact"/>
        <w:rPr>
          <w:sz w:val="10"/>
        </w:rPr>
      </w:pPr>
    </w:p>
    <w:p w14:paraId="213F444E" w14:textId="132C30B1" w:rsidR="00C663DF" w:rsidRPr="004C7F84" w:rsidRDefault="00C663DF" w:rsidP="00C663DF">
      <w:pPr>
        <w:pStyle w:val="SingleTxt"/>
        <w:spacing w:after="0" w:line="120" w:lineRule="exact"/>
        <w:rPr>
          <w:sz w:val="10"/>
        </w:rPr>
      </w:pPr>
    </w:p>
    <w:p w14:paraId="20043009" w14:textId="3FF5EAE5" w:rsidR="001565DE" w:rsidRPr="004C7F84" w:rsidRDefault="001565DE" w:rsidP="00514306">
      <w:pPr>
        <w:pStyle w:val="SingleTxt"/>
        <w:numPr>
          <w:ilvl w:val="0"/>
          <w:numId w:val="18"/>
        </w:numPr>
        <w:spacing w:line="240" w:lineRule="exact"/>
        <w:ind w:left="1267" w:firstLine="0"/>
        <w:rPr>
          <w:spacing w:val="2"/>
          <w:w w:val="100"/>
        </w:rPr>
      </w:pPr>
      <w:r w:rsidRPr="004C7F84">
        <w:rPr>
          <w:spacing w:val="2"/>
          <w:w w:val="100"/>
        </w:rPr>
        <w:t>Il est certain que l</w:t>
      </w:r>
      <w:r w:rsidR="00773F5D" w:rsidRPr="004C7F84">
        <w:rPr>
          <w:spacing w:val="2"/>
          <w:w w:val="100"/>
        </w:rPr>
        <w:t>’</w:t>
      </w:r>
      <w:r w:rsidRPr="004C7F84">
        <w:rPr>
          <w:spacing w:val="2"/>
          <w:w w:val="100"/>
        </w:rPr>
        <w:t>école est l</w:t>
      </w:r>
      <w:r w:rsidR="00773F5D" w:rsidRPr="004C7F84">
        <w:rPr>
          <w:spacing w:val="2"/>
          <w:w w:val="100"/>
        </w:rPr>
        <w:t>’</w:t>
      </w:r>
      <w:r w:rsidRPr="004C7F84">
        <w:rPr>
          <w:spacing w:val="2"/>
          <w:w w:val="100"/>
        </w:rPr>
        <w:t>un des facteurs de socialisation qui permet d</w:t>
      </w:r>
      <w:r w:rsidR="00773F5D" w:rsidRPr="004C7F84">
        <w:rPr>
          <w:spacing w:val="2"/>
          <w:w w:val="100"/>
        </w:rPr>
        <w:t>’</w:t>
      </w:r>
      <w:r w:rsidRPr="004C7F84">
        <w:rPr>
          <w:spacing w:val="2"/>
          <w:w w:val="100"/>
        </w:rPr>
        <w:t>éliminer les stéréotypes liés aux rôles sociaux, économiques et culturels dévolus aux hommes et aux femmes. À Antigua-et-Barbuda, la majorité des établissements d</w:t>
      </w:r>
      <w:r w:rsidR="00773F5D" w:rsidRPr="004C7F84">
        <w:rPr>
          <w:spacing w:val="2"/>
          <w:w w:val="100"/>
        </w:rPr>
        <w:t>’</w:t>
      </w:r>
      <w:r w:rsidRPr="004C7F84">
        <w:rPr>
          <w:spacing w:val="2"/>
          <w:w w:val="100"/>
        </w:rPr>
        <w:t>enseignement, tant publics que privés, du niveau préscolaire à l</w:t>
      </w:r>
      <w:r w:rsidR="00773F5D" w:rsidRPr="004C7F84">
        <w:rPr>
          <w:spacing w:val="2"/>
          <w:w w:val="100"/>
        </w:rPr>
        <w:t>’</w:t>
      </w:r>
      <w:r w:rsidRPr="004C7F84">
        <w:rPr>
          <w:spacing w:val="2"/>
          <w:w w:val="100"/>
        </w:rPr>
        <w:t xml:space="preserve">enseignement supérieur, est mixte. Le personnel enseignant comprend des hommes et des femmes à tous les niveaux du système, sauf au niveau préscolaire où le personnel est entièrement féminin. </w:t>
      </w:r>
    </w:p>
    <w:p w14:paraId="5BB384D6" w14:textId="7593F1CE" w:rsidR="001565DE" w:rsidRPr="004C7F84" w:rsidRDefault="001565DE" w:rsidP="00514306">
      <w:pPr>
        <w:pStyle w:val="SingleTxt"/>
        <w:numPr>
          <w:ilvl w:val="0"/>
          <w:numId w:val="19"/>
        </w:numPr>
        <w:spacing w:line="240" w:lineRule="exact"/>
        <w:ind w:left="1267" w:firstLine="0"/>
        <w:rPr>
          <w:w w:val="100"/>
        </w:rPr>
      </w:pPr>
      <w:r w:rsidRPr="004C7F84">
        <w:rPr>
          <w:w w:val="100"/>
        </w:rPr>
        <w:t>Dans son évaluation de l</w:t>
      </w:r>
      <w:r w:rsidR="00773F5D" w:rsidRPr="004C7F84">
        <w:rPr>
          <w:w w:val="100"/>
        </w:rPr>
        <w:t>’</w:t>
      </w:r>
      <w:r w:rsidRPr="004C7F84">
        <w:rPr>
          <w:w w:val="100"/>
        </w:rPr>
        <w:t>égalité des sexes dans les pays des Caraïbes, la Banque de développement des Caraïbes a noté qu</w:t>
      </w:r>
      <w:r w:rsidR="00773F5D" w:rsidRPr="004C7F84">
        <w:rPr>
          <w:w w:val="100"/>
        </w:rPr>
        <w:t>’</w:t>
      </w:r>
      <w:r w:rsidRPr="004C7F84">
        <w:rPr>
          <w:w w:val="100"/>
        </w:rPr>
        <w:t>Antigua-et-Barbuda s</w:t>
      </w:r>
      <w:r w:rsidR="00773F5D" w:rsidRPr="004C7F84">
        <w:rPr>
          <w:w w:val="100"/>
        </w:rPr>
        <w:t>’</w:t>
      </w:r>
      <w:r w:rsidRPr="004C7F84">
        <w:rPr>
          <w:w w:val="100"/>
        </w:rPr>
        <w:t>était employée, dans le domaine de l</w:t>
      </w:r>
      <w:r w:rsidR="00773F5D" w:rsidRPr="004C7F84">
        <w:rPr>
          <w:w w:val="100"/>
        </w:rPr>
        <w:t>’</w:t>
      </w:r>
      <w:r w:rsidRPr="004C7F84">
        <w:rPr>
          <w:w w:val="100"/>
        </w:rPr>
        <w:t>enseignement, à promouvoir l</w:t>
      </w:r>
      <w:r w:rsidR="00773F5D" w:rsidRPr="004C7F84">
        <w:rPr>
          <w:w w:val="100"/>
        </w:rPr>
        <w:t>’</w:t>
      </w:r>
      <w:r w:rsidRPr="004C7F84">
        <w:rPr>
          <w:w w:val="100"/>
        </w:rPr>
        <w:t xml:space="preserve">évolution des rôles dévolus aux deux sexes et à encourager les femmes à faire des études dans les domaines où les hommes étaient majoritaires </w:t>
      </w:r>
      <w:r w:rsidR="00455FBE" w:rsidRPr="004C7F84">
        <w:rPr>
          <w:w w:val="100"/>
        </w:rPr>
        <w:t>jusque-là</w:t>
      </w:r>
      <w:r w:rsidRPr="004C7F84">
        <w:rPr>
          <w:w w:val="100"/>
        </w:rPr>
        <w:t xml:space="preserve"> et vice versa (Banque de développement des Caraïbes, 2014</w:t>
      </w:r>
      <w:r w:rsidR="00773F5D" w:rsidRPr="004C7F84">
        <w:rPr>
          <w:w w:val="100"/>
        </w:rPr>
        <w:t> :</w:t>
      </w:r>
      <w:r w:rsidR="00007D08" w:rsidRPr="004C7F84">
        <w:rPr>
          <w:w w:val="100"/>
        </w:rPr>
        <w:t> </w:t>
      </w:r>
      <w:r w:rsidRPr="004C7F84">
        <w:rPr>
          <w:w w:val="100"/>
        </w:rPr>
        <w:t>3). Bien que des progrès considérables aient été accomplis, les stéréotypes sexistes subsistent encore dans les matières enseignées dans les écoles secondaires et les établissements d</w:t>
      </w:r>
      <w:r w:rsidR="00773F5D" w:rsidRPr="004C7F84">
        <w:rPr>
          <w:w w:val="100"/>
        </w:rPr>
        <w:t>’</w:t>
      </w:r>
      <w:r w:rsidRPr="004C7F84">
        <w:rPr>
          <w:w w:val="100"/>
        </w:rPr>
        <w:t>enseignement tertiaire du pays. Rien n</w:t>
      </w:r>
      <w:r w:rsidR="00773F5D" w:rsidRPr="004C7F84">
        <w:rPr>
          <w:w w:val="100"/>
        </w:rPr>
        <w:t>’</w:t>
      </w:r>
      <w:r w:rsidRPr="004C7F84">
        <w:rPr>
          <w:w w:val="100"/>
        </w:rPr>
        <w:t>empêche les filles d</w:t>
      </w:r>
      <w:r w:rsidR="00773F5D" w:rsidRPr="004C7F84">
        <w:rPr>
          <w:w w:val="100"/>
        </w:rPr>
        <w:t>’</w:t>
      </w:r>
      <w:r w:rsidRPr="004C7F84">
        <w:rPr>
          <w:w w:val="100"/>
        </w:rPr>
        <w:t>étudier des matières techniques comme l</w:t>
      </w:r>
      <w:r w:rsidR="00773F5D" w:rsidRPr="004C7F84">
        <w:rPr>
          <w:w w:val="100"/>
        </w:rPr>
        <w:t>’</w:t>
      </w:r>
      <w:r w:rsidRPr="004C7F84">
        <w:rPr>
          <w:w w:val="100"/>
        </w:rPr>
        <w:t>électronique et la menuiserie, mais les normes culturelles déterminent encore, dans une certaine mesure, les sujets d</w:t>
      </w:r>
      <w:r w:rsidR="00773F5D" w:rsidRPr="004C7F84">
        <w:rPr>
          <w:w w:val="100"/>
        </w:rPr>
        <w:t>’</w:t>
      </w:r>
      <w:r w:rsidRPr="004C7F84">
        <w:rPr>
          <w:w w:val="100"/>
        </w:rPr>
        <w:t>étude qu</w:t>
      </w:r>
      <w:r w:rsidR="00773F5D" w:rsidRPr="004C7F84">
        <w:rPr>
          <w:w w:val="100"/>
        </w:rPr>
        <w:t>’</w:t>
      </w:r>
      <w:r w:rsidRPr="004C7F84">
        <w:rPr>
          <w:w w:val="100"/>
        </w:rPr>
        <w:t xml:space="preserve">elles choisissent. </w:t>
      </w:r>
      <w:r w:rsidRPr="004C7F84">
        <w:rPr>
          <w:w w:val="102"/>
        </w:rPr>
        <w:t xml:space="preserve">Les éducateurs sont tout à fait conscients de ce problème difficile et des mesures ont été prises pour minimiser ces </w:t>
      </w:r>
      <w:r w:rsidRPr="004C7F84">
        <w:rPr>
          <w:spacing w:val="2"/>
          <w:w w:val="102"/>
        </w:rPr>
        <w:t>stéréotypes sexistes. Dans l</w:t>
      </w:r>
      <w:r w:rsidR="00773F5D" w:rsidRPr="004C7F84">
        <w:rPr>
          <w:spacing w:val="2"/>
          <w:w w:val="102"/>
        </w:rPr>
        <w:t>’</w:t>
      </w:r>
      <w:r w:rsidRPr="004C7F84">
        <w:rPr>
          <w:spacing w:val="2"/>
          <w:w w:val="102"/>
        </w:rPr>
        <w:t>enseignement secondaire, les filles sont activement encouragées à étudier des matières telles que le dessin industriel et l</w:t>
      </w:r>
      <w:r w:rsidR="00773F5D" w:rsidRPr="004C7F84">
        <w:rPr>
          <w:spacing w:val="2"/>
          <w:w w:val="102"/>
        </w:rPr>
        <w:t>’</w:t>
      </w:r>
      <w:r w:rsidRPr="004C7F84">
        <w:rPr>
          <w:spacing w:val="2"/>
          <w:w w:val="102"/>
        </w:rPr>
        <w:t>agriculture. De même, davantage de garçons choisissent d</w:t>
      </w:r>
      <w:r w:rsidR="00773F5D" w:rsidRPr="004C7F84">
        <w:rPr>
          <w:spacing w:val="2"/>
          <w:w w:val="102"/>
        </w:rPr>
        <w:t>’</w:t>
      </w:r>
      <w:r w:rsidRPr="004C7F84">
        <w:rPr>
          <w:spacing w:val="2"/>
          <w:w w:val="102"/>
        </w:rPr>
        <w:t>étudier l</w:t>
      </w:r>
      <w:r w:rsidR="00773F5D" w:rsidRPr="004C7F84">
        <w:rPr>
          <w:spacing w:val="2"/>
          <w:w w:val="102"/>
        </w:rPr>
        <w:t>’</w:t>
      </w:r>
      <w:r w:rsidRPr="004C7F84">
        <w:rPr>
          <w:spacing w:val="2"/>
          <w:w w:val="102"/>
        </w:rPr>
        <w:t>économie domestique, mais l</w:t>
      </w:r>
      <w:r w:rsidR="00773F5D" w:rsidRPr="004C7F84">
        <w:rPr>
          <w:spacing w:val="2"/>
          <w:w w:val="102"/>
        </w:rPr>
        <w:t>’</w:t>
      </w:r>
      <w:r w:rsidRPr="004C7F84">
        <w:rPr>
          <w:spacing w:val="2"/>
          <w:w w:val="102"/>
        </w:rPr>
        <w:t>habillement et les textiles demeurent encore presque exclusivement des domaines féminins</w:t>
      </w:r>
      <w:r w:rsidRPr="004C7F84">
        <w:rPr>
          <w:spacing w:val="2"/>
          <w:w w:val="100"/>
        </w:rPr>
        <w:t>.</w:t>
      </w:r>
      <w:r w:rsidRPr="004C7F84">
        <w:rPr>
          <w:w w:val="100"/>
        </w:rPr>
        <w:t xml:space="preserve"> </w:t>
      </w:r>
    </w:p>
    <w:p w14:paraId="10FBEF18" w14:textId="0F059513" w:rsidR="001565DE" w:rsidRPr="004C7F84" w:rsidRDefault="001565DE" w:rsidP="00514306">
      <w:pPr>
        <w:pStyle w:val="SingleTxt"/>
        <w:numPr>
          <w:ilvl w:val="0"/>
          <w:numId w:val="19"/>
        </w:numPr>
        <w:spacing w:line="240" w:lineRule="exact"/>
        <w:ind w:left="1267" w:firstLine="0"/>
      </w:pPr>
      <w:r w:rsidRPr="004C7F84">
        <w:t>Au niveau tertiaire, les femmes sont plus nombreuses que les hommes à s</w:t>
      </w:r>
      <w:r w:rsidR="00773F5D" w:rsidRPr="004C7F84">
        <w:t>’</w:t>
      </w:r>
      <w:r w:rsidRPr="004C7F84">
        <w:t>inscrire dans les établissements d</w:t>
      </w:r>
      <w:r w:rsidR="00773F5D" w:rsidRPr="004C7F84">
        <w:t>’</w:t>
      </w:r>
      <w:r w:rsidRPr="004C7F84">
        <w:t>enseignement supérieur. Cet écart se creuse, même dans certains établissements d</w:t>
      </w:r>
      <w:r w:rsidR="00773F5D" w:rsidRPr="004C7F84">
        <w:t>’</w:t>
      </w:r>
      <w:r w:rsidRPr="004C7F84">
        <w:t>enseignement technique. Ainsi par exemple, l</w:t>
      </w:r>
      <w:r w:rsidR="00773F5D" w:rsidRPr="004C7F84">
        <w:t>’</w:t>
      </w:r>
      <w:r w:rsidRPr="004C7F84">
        <w:t>Antigua and Barbuda International Institute of Technology (ABIIT) offre des formations diplômantes et des études débouchant sur le grade d</w:t>
      </w:r>
      <w:r w:rsidR="00773F5D" w:rsidRPr="004C7F84">
        <w:t>’</w:t>
      </w:r>
      <w:r w:rsidRPr="004C7F84">
        <w:t>associé dans des domaines tels que la technologie informatique, les finances, la conception graphique et l</w:t>
      </w:r>
      <w:r w:rsidR="00773F5D" w:rsidRPr="004C7F84">
        <w:t>’</w:t>
      </w:r>
      <w:r w:rsidRPr="004C7F84">
        <w:t>administ</w:t>
      </w:r>
      <w:r w:rsidR="006231EF" w:rsidRPr="004C7F84">
        <w:t>ration des entreprises. En 2008-</w:t>
      </w:r>
      <w:r w:rsidRPr="004C7F84">
        <w:t>2009, 66</w:t>
      </w:r>
      <w:r w:rsidR="006231EF" w:rsidRPr="004C7F84">
        <w:t> </w:t>
      </w:r>
      <w:r w:rsidRPr="004C7F84">
        <w:t>% des étudiants étaient des femmes. Le taux général d</w:t>
      </w:r>
      <w:r w:rsidR="00773F5D" w:rsidRPr="004C7F84">
        <w:t>’</w:t>
      </w:r>
      <w:r w:rsidRPr="004C7F84">
        <w:t>inscription a baissé les ann</w:t>
      </w:r>
      <w:r w:rsidR="006231EF" w:rsidRPr="004C7F84">
        <w:t>ées suivantes, mais en 2011</w:t>
      </w:r>
      <w:r w:rsidR="006E7D5E" w:rsidRPr="004C7F84">
        <w:noBreakHyphen/>
      </w:r>
      <w:r w:rsidRPr="004C7F84">
        <w:t>2012, celui des femmes (59,5</w:t>
      </w:r>
      <w:r w:rsidR="006231EF" w:rsidRPr="004C7F84">
        <w:t> </w:t>
      </w:r>
      <w:r w:rsidRPr="004C7F84">
        <w:t xml:space="preserve">%) était plus élevé que celui des hommes. </w:t>
      </w:r>
    </w:p>
    <w:p w14:paraId="2C102E08" w14:textId="0FC21DEC" w:rsidR="001565DE" w:rsidRPr="004C7F84" w:rsidRDefault="001565DE" w:rsidP="00514306">
      <w:pPr>
        <w:pStyle w:val="SingleTxt"/>
        <w:numPr>
          <w:ilvl w:val="0"/>
          <w:numId w:val="19"/>
        </w:numPr>
        <w:spacing w:line="240" w:lineRule="exact"/>
        <w:ind w:left="1267" w:firstLine="0"/>
      </w:pPr>
      <w:r w:rsidRPr="004C7F84">
        <w:t>Comme par le passé, les femmes continuent à être majoritaires dans la professi</w:t>
      </w:r>
      <w:r w:rsidR="006231EF" w:rsidRPr="004C7F84">
        <w:t>on d</w:t>
      </w:r>
      <w:r w:rsidR="00773F5D" w:rsidRPr="004C7F84">
        <w:t>’</w:t>
      </w:r>
      <w:r w:rsidR="006231EF" w:rsidRPr="004C7F84">
        <w:t>enseignant. En 2011-</w:t>
      </w:r>
      <w:r w:rsidR="00970230" w:rsidRPr="004C7F84">
        <w:t xml:space="preserve">2012, </w:t>
      </w:r>
      <w:r w:rsidRPr="004C7F84">
        <w:t>21 seulement des 220</w:t>
      </w:r>
      <w:r w:rsidR="006231EF" w:rsidRPr="004C7F84">
        <w:t> </w:t>
      </w:r>
      <w:r w:rsidRPr="004C7F84">
        <w:t xml:space="preserve">enseignants en </w:t>
      </w:r>
      <w:r w:rsidRPr="004C7F84">
        <w:rPr>
          <w:spacing w:val="2"/>
          <w:w w:val="100"/>
        </w:rPr>
        <w:t>formation à l</w:t>
      </w:r>
      <w:r w:rsidR="00773F5D" w:rsidRPr="004C7F84">
        <w:rPr>
          <w:spacing w:val="2"/>
          <w:w w:val="100"/>
        </w:rPr>
        <w:t>’</w:t>
      </w:r>
      <w:r w:rsidRPr="004C7F84">
        <w:rPr>
          <w:spacing w:val="2"/>
          <w:w w:val="100"/>
        </w:rPr>
        <w:t>Antigua State College étaient des hommes, ce q</w:t>
      </w:r>
      <w:r w:rsidR="006231EF" w:rsidRPr="004C7F84">
        <w:rPr>
          <w:spacing w:val="2"/>
          <w:w w:val="100"/>
        </w:rPr>
        <w:t xml:space="preserve">ui équivalait à un taux de 90,5 % de femmes pour </w:t>
      </w:r>
      <w:r w:rsidRPr="004C7F84">
        <w:rPr>
          <w:spacing w:val="2"/>
          <w:w w:val="100"/>
        </w:rPr>
        <w:t>9,5</w:t>
      </w:r>
      <w:r w:rsidR="006231EF" w:rsidRPr="004C7F84">
        <w:rPr>
          <w:spacing w:val="2"/>
          <w:w w:val="100"/>
        </w:rPr>
        <w:t> </w:t>
      </w:r>
      <w:r w:rsidRPr="004C7F84">
        <w:rPr>
          <w:spacing w:val="2"/>
          <w:w w:val="100"/>
        </w:rPr>
        <w:t>% d</w:t>
      </w:r>
      <w:r w:rsidR="00773F5D" w:rsidRPr="004C7F84">
        <w:rPr>
          <w:spacing w:val="2"/>
          <w:w w:val="100"/>
        </w:rPr>
        <w:t>’</w:t>
      </w:r>
      <w:r w:rsidRPr="004C7F84">
        <w:rPr>
          <w:spacing w:val="2"/>
          <w:w w:val="100"/>
        </w:rPr>
        <w:t>hommes. Par ailleurs, les hommes continuent à être beaucoup plus nombreux que les femmes dans le département du génie. Celui-ci comptait quasiment 100</w:t>
      </w:r>
      <w:r w:rsidR="006231EF" w:rsidRPr="004C7F84">
        <w:rPr>
          <w:spacing w:val="2"/>
          <w:w w:val="100"/>
        </w:rPr>
        <w:t> </w:t>
      </w:r>
      <w:r w:rsidRPr="004C7F84">
        <w:rPr>
          <w:spacing w:val="2"/>
          <w:w w:val="100"/>
        </w:rPr>
        <w:t>% d</w:t>
      </w:r>
      <w:r w:rsidR="00773F5D" w:rsidRPr="004C7F84">
        <w:rPr>
          <w:spacing w:val="2"/>
          <w:w w:val="100"/>
        </w:rPr>
        <w:t>’</w:t>
      </w:r>
      <w:r w:rsidRPr="004C7F84">
        <w:rPr>
          <w:spacing w:val="2"/>
          <w:w w:val="100"/>
        </w:rPr>
        <w:t>hommes pendant l</w:t>
      </w:r>
      <w:r w:rsidR="00773F5D" w:rsidRPr="004C7F84">
        <w:rPr>
          <w:spacing w:val="2"/>
          <w:w w:val="100"/>
        </w:rPr>
        <w:t>’</w:t>
      </w:r>
      <w:r w:rsidR="006231EF" w:rsidRPr="004C7F84">
        <w:rPr>
          <w:spacing w:val="2"/>
          <w:w w:val="100"/>
        </w:rPr>
        <w:t>année universitaire 1999-</w:t>
      </w:r>
      <w:r w:rsidRPr="004C7F84">
        <w:rPr>
          <w:spacing w:val="2"/>
          <w:w w:val="100"/>
        </w:rPr>
        <w:t>2000. Ces dernières années, un léger changement a été enregistré dans l</w:t>
      </w:r>
      <w:r w:rsidR="00773F5D" w:rsidRPr="004C7F84">
        <w:rPr>
          <w:spacing w:val="2"/>
          <w:w w:val="100"/>
        </w:rPr>
        <w:t>’</w:t>
      </w:r>
      <w:r w:rsidR="006231EF" w:rsidRPr="004C7F84">
        <w:rPr>
          <w:spacing w:val="2"/>
          <w:w w:val="100"/>
        </w:rPr>
        <w:t>écart entre les sexes. En 2011-2012, 90,</w:t>
      </w:r>
      <w:r w:rsidRPr="004C7F84">
        <w:rPr>
          <w:spacing w:val="2"/>
          <w:w w:val="100"/>
        </w:rPr>
        <w:t>2</w:t>
      </w:r>
      <w:r w:rsidR="006231EF" w:rsidRPr="004C7F84">
        <w:rPr>
          <w:spacing w:val="2"/>
          <w:w w:val="100"/>
        </w:rPr>
        <w:t> </w:t>
      </w:r>
      <w:r w:rsidRPr="004C7F84">
        <w:rPr>
          <w:spacing w:val="2"/>
          <w:w w:val="100"/>
        </w:rPr>
        <w:t>% des inscrits dans le département du génie étaient des hommes. En 2015, 9 des 110</w:t>
      </w:r>
      <w:r w:rsidR="006231EF" w:rsidRPr="004C7F84">
        <w:rPr>
          <w:spacing w:val="2"/>
          <w:w w:val="100"/>
        </w:rPr>
        <w:t> </w:t>
      </w:r>
      <w:r w:rsidRPr="004C7F84">
        <w:rPr>
          <w:spacing w:val="2"/>
          <w:w w:val="100"/>
        </w:rPr>
        <w:t>étudiants étaient des femmes, portant ainsi le pourcentage d</w:t>
      </w:r>
      <w:r w:rsidR="00773F5D" w:rsidRPr="004C7F84">
        <w:rPr>
          <w:spacing w:val="2"/>
          <w:w w:val="100"/>
        </w:rPr>
        <w:t>’</w:t>
      </w:r>
      <w:r w:rsidR="006231EF" w:rsidRPr="004C7F84">
        <w:rPr>
          <w:spacing w:val="2"/>
          <w:w w:val="100"/>
        </w:rPr>
        <w:t>hommes à 91,</w:t>
      </w:r>
      <w:r w:rsidRPr="004C7F84">
        <w:rPr>
          <w:spacing w:val="2"/>
          <w:w w:val="100"/>
        </w:rPr>
        <w:t>2</w:t>
      </w:r>
      <w:r w:rsidR="006231EF" w:rsidRPr="004C7F84">
        <w:rPr>
          <w:spacing w:val="2"/>
          <w:w w:val="100"/>
        </w:rPr>
        <w:t> </w:t>
      </w:r>
      <w:r w:rsidRPr="004C7F84">
        <w:rPr>
          <w:spacing w:val="2"/>
          <w:w w:val="100"/>
        </w:rPr>
        <w:t>%. Dans le domaine de l</w:t>
      </w:r>
      <w:r w:rsidR="00773F5D" w:rsidRPr="004C7F84">
        <w:rPr>
          <w:spacing w:val="2"/>
          <w:w w:val="100"/>
        </w:rPr>
        <w:t>’</w:t>
      </w:r>
      <w:r w:rsidRPr="004C7F84">
        <w:rPr>
          <w:spacing w:val="2"/>
          <w:w w:val="100"/>
        </w:rPr>
        <w:t>aéronautique, 3</w:t>
      </w:r>
      <w:r w:rsidR="006231EF" w:rsidRPr="004C7F84">
        <w:rPr>
          <w:spacing w:val="2"/>
          <w:w w:val="100"/>
        </w:rPr>
        <w:t> </w:t>
      </w:r>
      <w:r w:rsidRPr="004C7F84">
        <w:rPr>
          <w:spacing w:val="2"/>
          <w:w w:val="100"/>
        </w:rPr>
        <w:t>étudiants seulement sur 19 (soit 15,7</w:t>
      </w:r>
      <w:r w:rsidR="006231EF" w:rsidRPr="004C7F84">
        <w:rPr>
          <w:spacing w:val="2"/>
          <w:w w:val="100"/>
        </w:rPr>
        <w:t> </w:t>
      </w:r>
      <w:r w:rsidRPr="004C7F84">
        <w:rPr>
          <w:spacing w:val="2"/>
          <w:w w:val="100"/>
        </w:rPr>
        <w:t>%) étaient des femmes. Ainsi, les stéréotypes sexistes concernant les professions considérées comme masculines ou féminines sont encore flagrants à l</w:t>
      </w:r>
      <w:r w:rsidR="00773F5D" w:rsidRPr="004C7F84">
        <w:rPr>
          <w:spacing w:val="2"/>
          <w:w w:val="100"/>
        </w:rPr>
        <w:t>’</w:t>
      </w:r>
      <w:r w:rsidRPr="004C7F84">
        <w:rPr>
          <w:spacing w:val="2"/>
          <w:w w:val="100"/>
        </w:rPr>
        <w:t>Antigua State College.</w:t>
      </w:r>
      <w:r w:rsidRPr="004C7F84">
        <w:t xml:space="preserve"> </w:t>
      </w:r>
    </w:p>
    <w:p w14:paraId="03C2B93C" w14:textId="39185522" w:rsidR="001565DE" w:rsidRPr="004C7F84" w:rsidRDefault="001565DE" w:rsidP="00514306">
      <w:pPr>
        <w:pStyle w:val="SingleTxt"/>
        <w:numPr>
          <w:ilvl w:val="0"/>
          <w:numId w:val="19"/>
        </w:numPr>
        <w:spacing w:line="240" w:lineRule="exact"/>
        <w:ind w:left="1267" w:firstLine="0"/>
      </w:pPr>
      <w:r w:rsidRPr="004C7F84">
        <w:lastRenderedPageBreak/>
        <w:t>Certaines croyances chrétiennes (le christianisme étant la religion dominante à Antigua-et-Barbuda) font encore obstacle, dans une moindre mesure, à l</w:t>
      </w:r>
      <w:r w:rsidR="00773F5D" w:rsidRPr="004C7F84">
        <w:t>’</w:t>
      </w:r>
      <w:r w:rsidRPr="004C7F84">
        <w:t>amélioration de la condition de la femme. Des hommes tiennent absolument à ce que leurs épouses leur soient subordonnées, conformément à l</w:t>
      </w:r>
      <w:r w:rsidR="00773F5D" w:rsidRPr="004C7F84">
        <w:t>’</w:t>
      </w:r>
      <w:r w:rsidRPr="004C7F84">
        <w:t>injonction biblique selon laquelle la femme doit être soumise à son mari. Mais de plus en plus, plutôt que d</w:t>
      </w:r>
      <w:r w:rsidR="00773F5D" w:rsidRPr="004C7F84">
        <w:t>’</w:t>
      </w:r>
      <w:r w:rsidRPr="004C7F84">
        <w:t>aborder la question de la soumission de l</w:t>
      </w:r>
      <w:r w:rsidR="00773F5D" w:rsidRPr="004C7F84">
        <w:t>’</w:t>
      </w:r>
      <w:r w:rsidRPr="004C7F84">
        <w:t>épouse, les dirigeants religieux soulignent que, dans la Bible, il est enjoint au mari d</w:t>
      </w:r>
      <w:r w:rsidR="00773F5D" w:rsidRPr="004C7F84">
        <w:t>’</w:t>
      </w:r>
      <w:r w:rsidRPr="004C7F84">
        <w:t>aimer sa femme comme le Christ aime l</w:t>
      </w:r>
      <w:r w:rsidR="00773F5D" w:rsidRPr="004C7F84">
        <w:t>’</w:t>
      </w:r>
      <w:r w:rsidRPr="004C7F84">
        <w:t>Église, ce qui est une approche beaucoup plus propice à la réalisation d</w:t>
      </w:r>
      <w:r w:rsidR="00773F5D" w:rsidRPr="004C7F84">
        <w:t>’</w:t>
      </w:r>
      <w:r w:rsidRPr="004C7F84">
        <w:t>un statut d</w:t>
      </w:r>
      <w:r w:rsidR="00773F5D" w:rsidRPr="004C7F84">
        <w:t>’</w:t>
      </w:r>
      <w:r w:rsidRPr="004C7F84">
        <w:t>égalité. De manière générale, les dirigeants des églises chrétiennes sont encore en majorité des hommes mais, aujourd</w:t>
      </w:r>
      <w:r w:rsidR="00773F5D" w:rsidRPr="004C7F84">
        <w:t>’</w:t>
      </w:r>
      <w:r w:rsidRPr="004C7F84">
        <w:t>hui, de plus en plus de femmes sont reconnues comme des autorités religieuses et, dans un certain nombre d</w:t>
      </w:r>
      <w:r w:rsidR="00773F5D" w:rsidRPr="004C7F84">
        <w:t>’</w:t>
      </w:r>
      <w:r w:rsidRPr="004C7F84">
        <w:t>églises, elles président d</w:t>
      </w:r>
      <w:r w:rsidR="00773F5D" w:rsidRPr="004C7F84">
        <w:t>’</w:t>
      </w:r>
      <w:r w:rsidRPr="004C7F84">
        <w:t>une main ferme l</w:t>
      </w:r>
      <w:r w:rsidR="00773F5D" w:rsidRPr="004C7F84">
        <w:t>’</w:t>
      </w:r>
      <w:r w:rsidRPr="004C7F84">
        <w:t xml:space="preserve">assemblée des fidèles. </w:t>
      </w:r>
    </w:p>
    <w:p w14:paraId="6048DB7B" w14:textId="700E37E9" w:rsidR="001565DE" w:rsidRPr="004C7F84" w:rsidRDefault="001565DE" w:rsidP="00514306">
      <w:pPr>
        <w:pStyle w:val="SingleTxt"/>
        <w:numPr>
          <w:ilvl w:val="0"/>
          <w:numId w:val="19"/>
        </w:numPr>
        <w:spacing w:line="240" w:lineRule="exact"/>
        <w:ind w:left="1267" w:firstLine="0"/>
      </w:pPr>
      <w:r w:rsidRPr="004C7F84">
        <w:t>Dans les cas de divorce, la garde des enfants est généralement confiée à la mère, encore que la garde conjointe soit souvent accordée aux deux parents. Par ailleurs, en vertu de la loi de 2008 sur la pension alimentaire destinée à l</w:t>
      </w:r>
      <w:r w:rsidR="00773F5D" w:rsidRPr="004C7F84">
        <w:t>’</w:t>
      </w:r>
      <w:r w:rsidRPr="004C7F84">
        <w:t>entretien des enfants et sur le droit de visite, le tribunal reconnaît à présent que tous les parents (y compris les pères célibataires) ont le droit d</w:t>
      </w:r>
      <w:r w:rsidR="00773F5D" w:rsidRPr="004C7F84">
        <w:t>’</w:t>
      </w:r>
      <w:r w:rsidRPr="004C7F84">
        <w:t>avoir des contacts avec leur enfant s</w:t>
      </w:r>
      <w:r w:rsidR="00773F5D" w:rsidRPr="004C7F84">
        <w:t>’</w:t>
      </w:r>
      <w:r w:rsidRPr="004C7F84">
        <w:t xml:space="preserve">ils subviennent à ses besoins. Une autre disposition fondamentale de cette loi porte sur le recouvrement de la pension alimentaire, </w:t>
      </w:r>
      <w:r w:rsidR="00D47611" w:rsidRPr="004C7F84">
        <w:t xml:space="preserve">qui pose maintes difficultés à </w:t>
      </w:r>
      <w:r w:rsidRPr="004C7F84">
        <w:t xml:space="preserve">de nombreuses mères. Le tribunal autorise désormais une saisie-arrêt sur le revenu ou la pension du conjoint défaillant. </w:t>
      </w:r>
    </w:p>
    <w:p w14:paraId="6618EFB9" w14:textId="550712F2" w:rsidR="001565DE" w:rsidRPr="004C7F84" w:rsidRDefault="001565DE" w:rsidP="00514306">
      <w:pPr>
        <w:pStyle w:val="SingleTxt"/>
        <w:numPr>
          <w:ilvl w:val="0"/>
          <w:numId w:val="19"/>
        </w:numPr>
        <w:spacing w:line="240" w:lineRule="exact"/>
        <w:ind w:left="1267" w:firstLine="0"/>
      </w:pPr>
      <w:r w:rsidRPr="004C7F84">
        <w:t>Le modèle de l</w:t>
      </w:r>
      <w:r w:rsidR="00773F5D" w:rsidRPr="004C7F84">
        <w:t>’</w:t>
      </w:r>
      <w:r w:rsidRPr="004C7F84">
        <w:t>homme soutien de famille est toujours en vigueur et constitue la référence, même si une étude effectuée en 1994 a conclu que 58</w:t>
      </w:r>
      <w:r w:rsidR="006231EF" w:rsidRPr="004C7F84">
        <w:t> </w:t>
      </w:r>
      <w:r w:rsidRPr="004C7F84">
        <w:t>% des ménages étaient dirigés par des femmes (Ward-Osborne, 1994). Or, les informations provenant des recensements brossent un tableau différent. Lors du recensement de 1991, 42</w:t>
      </w:r>
      <w:r w:rsidR="006231EF" w:rsidRPr="004C7F84">
        <w:t> </w:t>
      </w:r>
      <w:r w:rsidRPr="004C7F84">
        <w:t>% seulement des enquêtés ont affirmé que les ménages étaient dirigés par des femmes. De même, les données du recensement de 2011 indiquent que, sur les 29</w:t>
      </w:r>
      <w:r w:rsidR="006231EF" w:rsidRPr="004C7F84">
        <w:t> </w:t>
      </w:r>
      <w:r w:rsidRPr="004C7F84">
        <w:t>713 personnes qui se déclaraient chefs de famille, 13</w:t>
      </w:r>
      <w:r w:rsidR="006231EF" w:rsidRPr="004C7F84">
        <w:t> </w:t>
      </w:r>
      <w:r w:rsidRPr="004C7F84">
        <w:t>081 (soit 44,02</w:t>
      </w:r>
      <w:r w:rsidR="006231EF" w:rsidRPr="004C7F84">
        <w:t> </w:t>
      </w:r>
      <w:r w:rsidRPr="004C7F84">
        <w:t>%) étaient des femmes. Les chiffres réels pourraient être plus élevés que ceux du recensement. En présence d</w:t>
      </w:r>
      <w:r w:rsidR="00773F5D" w:rsidRPr="004C7F84">
        <w:t>’</w:t>
      </w:r>
      <w:r w:rsidRPr="004C7F84">
        <w:t>un agent recenseur, une femme témoigne sa déférence à l</w:t>
      </w:r>
      <w:r w:rsidR="00773F5D" w:rsidRPr="004C7F84">
        <w:t>’</w:t>
      </w:r>
      <w:r w:rsidRPr="004C7F84">
        <w:t>homme désigné comme chef de famille alors qu</w:t>
      </w:r>
      <w:r w:rsidR="00773F5D" w:rsidRPr="004C7F84">
        <w:t>’</w:t>
      </w:r>
      <w:r w:rsidRPr="004C7F84">
        <w:t>en fait elle est le principal, voire l</w:t>
      </w:r>
      <w:r w:rsidR="00773F5D" w:rsidRPr="004C7F84">
        <w:t>’</w:t>
      </w:r>
      <w:r w:rsidRPr="004C7F84">
        <w:t>unique, soutien de famille. Il est probable que Ward-Osborne a effectué son étude de telle manière qu</w:t>
      </w:r>
      <w:r w:rsidR="00773F5D" w:rsidRPr="004C7F84">
        <w:t>’</w:t>
      </w:r>
      <w:r w:rsidRPr="004C7F84">
        <w:t>elle obtenait des femmes des réponses plus franches que celles qu</w:t>
      </w:r>
      <w:r w:rsidR="00773F5D" w:rsidRPr="004C7F84">
        <w:t>’</w:t>
      </w:r>
      <w:r w:rsidRPr="004C7F84">
        <w:t>elles donnaient aux agents recenseurs.</w:t>
      </w:r>
    </w:p>
    <w:p w14:paraId="65B17794" w14:textId="453C4F38" w:rsidR="001565DE" w:rsidRPr="004C7F84" w:rsidRDefault="001565DE" w:rsidP="00514306">
      <w:pPr>
        <w:pStyle w:val="SingleTxt"/>
        <w:numPr>
          <w:ilvl w:val="0"/>
          <w:numId w:val="19"/>
        </w:numPr>
        <w:spacing w:line="240" w:lineRule="exact"/>
        <w:ind w:left="1267" w:firstLine="0"/>
      </w:pPr>
      <w:r w:rsidRPr="004C7F84">
        <w:t>En dehors du foyer, certaines activités sont encore considérées comme un «</w:t>
      </w:r>
      <w:r w:rsidR="006231EF" w:rsidRPr="004C7F84">
        <w:t> </w:t>
      </w:r>
      <w:r w:rsidRPr="004C7F84">
        <w:t>travail d</w:t>
      </w:r>
      <w:r w:rsidR="00773F5D" w:rsidRPr="004C7F84">
        <w:t>’</w:t>
      </w:r>
      <w:r w:rsidRPr="004C7F84">
        <w:t>homme</w:t>
      </w:r>
      <w:r w:rsidR="006231EF" w:rsidRPr="004C7F84">
        <w:t> </w:t>
      </w:r>
      <w:r w:rsidRPr="004C7F84">
        <w:t>» ou un «</w:t>
      </w:r>
      <w:r w:rsidR="006231EF" w:rsidRPr="004C7F84">
        <w:t> </w:t>
      </w:r>
      <w:r w:rsidRPr="004C7F84">
        <w:t>travail de femme</w:t>
      </w:r>
      <w:r w:rsidR="006231EF" w:rsidRPr="004C7F84">
        <w:t> </w:t>
      </w:r>
      <w:r w:rsidRPr="004C7F84">
        <w:t>». Toutefois, aucun métier n</w:t>
      </w:r>
      <w:r w:rsidR="00773F5D" w:rsidRPr="004C7F84">
        <w:t>’</w:t>
      </w:r>
      <w:r w:rsidRPr="004C7F84">
        <w:t>est interdit aux femmes par la loi et aucune restriction non plus ne leur est imposée. Ainsi les femmes sont-elles présentes dans les forces de police, les forces de défense et les services de sécurité. Le secteur du bâtiment est encore essentiellement masculin, bien qu</w:t>
      </w:r>
      <w:r w:rsidR="00773F5D" w:rsidRPr="004C7F84">
        <w:t>’</w:t>
      </w:r>
      <w:r w:rsidRPr="004C7F84">
        <w:t>aucune loi n</w:t>
      </w:r>
      <w:r w:rsidR="00773F5D" w:rsidRPr="004C7F84">
        <w:t>’</w:t>
      </w:r>
      <w:r w:rsidRPr="004C7F84">
        <w:t>en limite l</w:t>
      </w:r>
      <w:r w:rsidR="00773F5D" w:rsidRPr="004C7F84">
        <w:t>’</w:t>
      </w:r>
      <w:r w:rsidRPr="004C7F84">
        <w:t xml:space="preserve">accès aux femmes. </w:t>
      </w:r>
    </w:p>
    <w:p w14:paraId="62A98581" w14:textId="1C738ED7" w:rsidR="00C663DF" w:rsidRPr="004C7F84" w:rsidRDefault="00C663DF" w:rsidP="00C663DF">
      <w:pPr>
        <w:pStyle w:val="SingleTxt"/>
        <w:spacing w:after="0" w:line="120" w:lineRule="exact"/>
        <w:rPr>
          <w:sz w:val="10"/>
        </w:rPr>
      </w:pPr>
    </w:p>
    <w:p w14:paraId="64454DC4" w14:textId="6E9DB35F" w:rsidR="001565DE" w:rsidRPr="004C7F84" w:rsidRDefault="001565DE" w:rsidP="00C663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t xml:space="preserve">Une éducation familiale qui contribue à faire bien comprendre les rôles </w:t>
      </w:r>
      <w:r w:rsidR="00C663DF" w:rsidRPr="004C7F84">
        <w:rPr>
          <w:lang w:val="fr-FR"/>
        </w:rPr>
        <w:br/>
      </w:r>
      <w:r w:rsidRPr="004C7F84">
        <w:rPr>
          <w:lang w:val="fr-FR"/>
        </w:rPr>
        <w:t>des hommes et des femmes dans le soin d</w:t>
      </w:r>
      <w:r w:rsidR="00773F5D" w:rsidRPr="004C7F84">
        <w:rPr>
          <w:lang w:val="fr-FR"/>
        </w:rPr>
        <w:t>’</w:t>
      </w:r>
      <w:r w:rsidRPr="004C7F84">
        <w:rPr>
          <w:lang w:val="fr-FR"/>
        </w:rPr>
        <w:t>élever leurs enfants</w:t>
      </w:r>
    </w:p>
    <w:p w14:paraId="40A7431E" w14:textId="6BC6A312" w:rsidR="00C663DF" w:rsidRPr="004C7F84" w:rsidRDefault="00C663DF" w:rsidP="00C663DF">
      <w:pPr>
        <w:pStyle w:val="SingleTxt"/>
        <w:spacing w:after="0" w:line="120" w:lineRule="exact"/>
        <w:rPr>
          <w:sz w:val="10"/>
        </w:rPr>
      </w:pPr>
    </w:p>
    <w:p w14:paraId="51C552B6" w14:textId="06C20276" w:rsidR="001565DE" w:rsidRPr="004C7F84" w:rsidRDefault="001565DE" w:rsidP="00514306">
      <w:pPr>
        <w:pStyle w:val="SingleTxt"/>
        <w:numPr>
          <w:ilvl w:val="0"/>
          <w:numId w:val="19"/>
        </w:numPr>
        <w:spacing w:line="240" w:lineRule="exact"/>
        <w:ind w:left="1267" w:firstLine="0"/>
      </w:pPr>
      <w:r w:rsidRPr="004C7F84">
        <w:t>L</w:t>
      </w:r>
      <w:r w:rsidR="00773F5D" w:rsidRPr="004C7F84">
        <w:t>’</w:t>
      </w:r>
      <w:r w:rsidRPr="004C7F84">
        <w:t>État partie reconnaît le rôle crucial que jouent les familles en bonne santé et heureuses dans la société. L</w:t>
      </w:r>
      <w:r w:rsidR="00773F5D" w:rsidRPr="004C7F84">
        <w:t>’</w:t>
      </w:r>
      <w:r w:rsidRPr="004C7F84">
        <w:t>un des principaux buts et objectifs de la loi de 2008 sur l</w:t>
      </w:r>
      <w:r w:rsidR="00773F5D" w:rsidRPr="004C7F84">
        <w:t>’</w:t>
      </w:r>
      <w:r w:rsidRPr="004C7F84">
        <w:t>enseignement est de promouvoir l</w:t>
      </w:r>
      <w:r w:rsidR="00773F5D" w:rsidRPr="004C7F84">
        <w:t>’</w:t>
      </w:r>
      <w:r w:rsidRPr="004C7F84">
        <w:t>importance de la famille et de la communauté (Partie 1c). À cette fin, l</w:t>
      </w:r>
      <w:r w:rsidR="00773F5D" w:rsidRPr="004C7F84">
        <w:t>’</w:t>
      </w:r>
      <w:r w:rsidRPr="004C7F84">
        <w:t>éducation à la vie de famille fait partie intégrante du programme scolaire dans la majorité des établissements publics d</w:t>
      </w:r>
      <w:r w:rsidR="00773F5D" w:rsidRPr="004C7F84">
        <w:t>’</w:t>
      </w:r>
      <w:r w:rsidRPr="004C7F84">
        <w:t>enseignement primaire et certaines écoles privées d</w:t>
      </w:r>
      <w:r w:rsidR="00773F5D" w:rsidRPr="004C7F84">
        <w:t>’</w:t>
      </w:r>
      <w:r w:rsidRPr="004C7F84">
        <w:t>Antigua-et-Barbuda. Cette question sera examinée en détail au titre de l</w:t>
      </w:r>
      <w:r w:rsidR="00773F5D" w:rsidRPr="004C7F84">
        <w:t>’</w:t>
      </w:r>
      <w:r w:rsidRPr="004C7F84">
        <w:t>article 10</w:t>
      </w:r>
      <w:r w:rsidR="006231EF" w:rsidRPr="004C7F84">
        <w:t> </w:t>
      </w:r>
      <w:r w:rsidRPr="004C7F84">
        <w:t xml:space="preserve">h). Il convient de noter que la CARICOM </w:t>
      </w:r>
      <w:r w:rsidRPr="004C7F84">
        <w:lastRenderedPageBreak/>
        <w:t>a élaboré un programme sur la santé et l</w:t>
      </w:r>
      <w:r w:rsidR="00773F5D" w:rsidRPr="004C7F84">
        <w:t>’</w:t>
      </w:r>
      <w:r w:rsidRPr="004C7F84">
        <w:t>éducation à la vie de famille, qui est enseigné dans les écoles d</w:t>
      </w:r>
      <w:r w:rsidR="00773F5D" w:rsidRPr="004C7F84">
        <w:t>’</w:t>
      </w:r>
      <w:r w:rsidRPr="004C7F84">
        <w:t>Antigua-et-Barbuda. Une partie de ce programme porte sur les relations interpersonnelles au sein de la famille.</w:t>
      </w:r>
    </w:p>
    <w:p w14:paraId="1A02E949" w14:textId="3F5A8BE2" w:rsidR="001565DE" w:rsidRPr="004C7F84" w:rsidRDefault="001565DE" w:rsidP="00514306">
      <w:pPr>
        <w:pStyle w:val="SingleTxt"/>
        <w:numPr>
          <w:ilvl w:val="0"/>
          <w:numId w:val="19"/>
        </w:numPr>
        <w:spacing w:line="240" w:lineRule="exact"/>
        <w:ind w:left="1267" w:firstLine="0"/>
      </w:pPr>
      <w:r w:rsidRPr="004C7F84">
        <w:t>Au foyer comme dans la société, les filles et les garçons continuent d</w:t>
      </w:r>
      <w:r w:rsidR="00773F5D" w:rsidRPr="004C7F84">
        <w:t>’</w:t>
      </w:r>
      <w:r w:rsidRPr="004C7F84">
        <w:t>être initiés aux rôles dévolus à chacun des deux sexes. Les stéréotypes sexistes qui persistent dans la répartition des tâches domestiques sont préoccupants. Les filles et les femmes font encore la cuisine et une grande partie des travaux ménagers alors que les garçons et les jeunes hommes sont généralement autorisés à rester dehors plus longtemps et sont moins surveillés que les filles et les femmes. De même, les soins à donner aux enfants sont une responsabilité qui incombe principalement aux femmes de la famille. Mais ces pratiques sont en train d</w:t>
      </w:r>
      <w:r w:rsidR="00773F5D" w:rsidRPr="004C7F84">
        <w:t>’</w:t>
      </w:r>
      <w:r w:rsidRPr="004C7F84">
        <w:t>évoluer rapidement du fait que ces questions sont abordées fréquemment dans les médias, en particulier dans les programmes conçus et gérés par les jeunes hommes et femmes.</w:t>
      </w:r>
    </w:p>
    <w:p w14:paraId="600505CF" w14:textId="3BBCCE9C" w:rsidR="00C663DF" w:rsidRPr="004C7F84" w:rsidRDefault="00C663DF" w:rsidP="00C663DF">
      <w:pPr>
        <w:pStyle w:val="SingleTxt"/>
        <w:spacing w:after="0" w:line="120" w:lineRule="exact"/>
        <w:rPr>
          <w:sz w:val="10"/>
        </w:rPr>
      </w:pPr>
    </w:p>
    <w:p w14:paraId="554F0C8A" w14:textId="54A0EA1D" w:rsidR="00C663DF" w:rsidRPr="004C7F84" w:rsidRDefault="00C663DF" w:rsidP="00C663DF">
      <w:pPr>
        <w:pStyle w:val="SingleTxt"/>
        <w:spacing w:after="0" w:line="120" w:lineRule="exact"/>
        <w:rPr>
          <w:sz w:val="10"/>
        </w:rPr>
      </w:pPr>
    </w:p>
    <w:p w14:paraId="7CBC4ED6" w14:textId="567D82AD" w:rsidR="001565DE" w:rsidRPr="004C7F84" w:rsidRDefault="001565DE" w:rsidP="00970230">
      <w:pPr>
        <w:pStyle w:val="H1"/>
        <w:ind w:right="1260"/>
      </w:pPr>
      <w:r w:rsidRPr="004C7F84">
        <w:tab/>
      </w:r>
      <w:r w:rsidRPr="004C7F84">
        <w:tab/>
        <w:t>Article 6</w:t>
      </w:r>
      <w:r w:rsidR="00970230" w:rsidRPr="004C7F84">
        <w:t>.</w:t>
      </w:r>
      <w:r w:rsidRPr="004C7F84">
        <w:t xml:space="preserve"> Élimination du trafic des femmes et de la prostitution </w:t>
      </w:r>
      <w:r w:rsidR="00C663DF" w:rsidRPr="004C7F84">
        <w:br/>
      </w:r>
      <w:r w:rsidRPr="004C7F84">
        <w:t>des femmes</w:t>
      </w:r>
    </w:p>
    <w:p w14:paraId="56CB4B69" w14:textId="668C983D" w:rsidR="00C663DF" w:rsidRPr="004C7F84" w:rsidRDefault="00C663DF" w:rsidP="00C663DF">
      <w:pPr>
        <w:pStyle w:val="SingleTxt"/>
        <w:spacing w:after="0" w:line="120" w:lineRule="exact"/>
        <w:rPr>
          <w:sz w:val="10"/>
        </w:rPr>
      </w:pPr>
    </w:p>
    <w:p w14:paraId="3AB94CDA" w14:textId="71C6283A" w:rsidR="00C663DF" w:rsidRPr="004C7F84" w:rsidRDefault="00C663DF" w:rsidP="00C663DF">
      <w:pPr>
        <w:pStyle w:val="SingleTxt"/>
        <w:spacing w:after="0" w:line="120" w:lineRule="exact"/>
        <w:rPr>
          <w:sz w:val="10"/>
        </w:rPr>
      </w:pPr>
    </w:p>
    <w:p w14:paraId="5F296638" w14:textId="77777777" w:rsidR="001565DE" w:rsidRPr="004C7F84" w:rsidRDefault="001565DE" w:rsidP="00C663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t xml:space="preserve">Trafic des femmes </w:t>
      </w:r>
    </w:p>
    <w:p w14:paraId="1DE6D772" w14:textId="3BE3FC3E" w:rsidR="00C663DF" w:rsidRPr="004C7F84" w:rsidRDefault="00C663DF" w:rsidP="00C663DF">
      <w:pPr>
        <w:pStyle w:val="SingleTxt"/>
        <w:spacing w:after="0" w:line="120" w:lineRule="exact"/>
        <w:rPr>
          <w:sz w:val="10"/>
        </w:rPr>
      </w:pPr>
    </w:p>
    <w:p w14:paraId="5243638F" w14:textId="1DDBD6FA" w:rsidR="001565DE" w:rsidRPr="004C7F84" w:rsidRDefault="001565DE" w:rsidP="00514306">
      <w:pPr>
        <w:pStyle w:val="SingleTxt"/>
        <w:numPr>
          <w:ilvl w:val="0"/>
          <w:numId w:val="19"/>
        </w:numPr>
        <w:spacing w:line="240" w:lineRule="exact"/>
        <w:ind w:left="1267" w:firstLine="0"/>
      </w:pPr>
      <w:r w:rsidRPr="004C7F84">
        <w:t>En 2010, l</w:t>
      </w:r>
      <w:r w:rsidR="00773F5D" w:rsidRPr="004C7F84">
        <w:t>’</w:t>
      </w:r>
      <w:r w:rsidRPr="004C7F84">
        <w:t>État a promulgué la loi sur la prévention de la traite des personnes, aux termes de laquelle le consentement de la victime, qu</w:t>
      </w:r>
      <w:r w:rsidR="00773F5D" w:rsidRPr="004C7F84">
        <w:t>’</w:t>
      </w:r>
      <w:r w:rsidRPr="004C7F84">
        <w:t>il s</w:t>
      </w:r>
      <w:r w:rsidR="00773F5D" w:rsidRPr="004C7F84">
        <w:t>’</w:t>
      </w:r>
      <w:r w:rsidRPr="004C7F84">
        <w:t>agisse d</w:t>
      </w:r>
      <w:r w:rsidR="00773F5D" w:rsidRPr="004C7F84">
        <w:t>’</w:t>
      </w:r>
      <w:r w:rsidRPr="004C7F84">
        <w:t>un adulte ou d</w:t>
      </w:r>
      <w:r w:rsidR="00773F5D" w:rsidRPr="004C7F84">
        <w:t>’</w:t>
      </w:r>
      <w:r w:rsidRPr="004C7F84">
        <w:t>un enfant, n</w:t>
      </w:r>
      <w:r w:rsidR="00773F5D" w:rsidRPr="004C7F84">
        <w:t>’</w:t>
      </w:r>
      <w:r w:rsidRPr="004C7F84">
        <w:t xml:space="preserve">entre pas en ligne de compte. Le Comité chargé de la prévention de la traite des personnes, créé en vertu de cette loi, coordonne la mise en œuvre de cette dernière. Cette loi prévoyait des peines maximales sanctionnant diverses infractions. Toutefois, en 2014, une Haute Cour de justice a déclaré inconstitutionnelles certaines de ses dispositions, car elles donnaient aux magistrats des pouvoirs excessifs qui ne leur avaient pas été accordés par la Constitution. Elles ont donc été modifiées en 2015. </w:t>
      </w:r>
    </w:p>
    <w:p w14:paraId="7E4F5065" w14:textId="7BEB0A72" w:rsidR="001565DE" w:rsidRPr="004C7F84" w:rsidRDefault="001565DE" w:rsidP="00514306">
      <w:pPr>
        <w:pStyle w:val="SingleTxt"/>
        <w:numPr>
          <w:ilvl w:val="0"/>
          <w:numId w:val="19"/>
        </w:numPr>
        <w:spacing w:line="240" w:lineRule="exact"/>
        <w:ind w:left="1267" w:firstLine="0"/>
      </w:pPr>
      <w:r w:rsidRPr="004C7F84">
        <w:t>Comme le mentionne la Direction de la problématique hommes-femmes dans une de ses publications, intitulée «</w:t>
      </w:r>
      <w:r w:rsidR="006231EF" w:rsidRPr="004C7F84">
        <w:t> </w:t>
      </w:r>
      <w:r w:rsidRPr="004C7F84">
        <w:t>Review of Legislation and Policies on Gender-based and Sexual Violence, Antigua and Barbuda</w:t>
      </w:r>
      <w:r w:rsidR="006231EF" w:rsidRPr="004C7F84">
        <w:t> </w:t>
      </w:r>
      <w:r w:rsidRPr="004C7F84">
        <w:t>» (Examen de la législation et des politiques sur la violence sexuelle et sexiste à Antigua-et-Barbuda) (Huggins, 2015), la loi sur la prévention de la traite des personnes reconnaît que l</w:t>
      </w:r>
      <w:r w:rsidR="00773F5D" w:rsidRPr="004C7F84">
        <w:t>’</w:t>
      </w:r>
      <w:r w:rsidRPr="004C7F84">
        <w:t>écrasante majorité des victimes de traite est constituée de femmes. Or, les textes de loi d</w:t>
      </w:r>
      <w:r w:rsidR="00773F5D" w:rsidRPr="004C7F84">
        <w:t>’</w:t>
      </w:r>
      <w:r w:rsidRPr="004C7F84">
        <w:t>Antigua-et-Barbuda mentionnent la victime de traite au masculin (Huggins, p</w:t>
      </w:r>
      <w:r w:rsidR="006231EF" w:rsidRPr="004C7F84">
        <w:t>. </w:t>
      </w:r>
      <w:r w:rsidRPr="004C7F84">
        <w:t>31). Des efforts devront donc être déployés pour rédig</w:t>
      </w:r>
      <w:r w:rsidR="006231EF" w:rsidRPr="004C7F84">
        <w:t xml:space="preserve">er les dispositions juridiques </w:t>
      </w:r>
      <w:r w:rsidRPr="004C7F84">
        <w:t xml:space="preserve">en tenant compte de la dimension féminine de ce problème. </w:t>
      </w:r>
    </w:p>
    <w:p w14:paraId="43CC1EAA" w14:textId="060FF515" w:rsidR="001565DE" w:rsidRPr="004C7F84" w:rsidRDefault="001565DE" w:rsidP="00514306">
      <w:pPr>
        <w:pStyle w:val="SingleTxt"/>
        <w:numPr>
          <w:ilvl w:val="0"/>
          <w:numId w:val="19"/>
        </w:numPr>
        <w:spacing w:line="240" w:lineRule="exact"/>
        <w:ind w:left="1267" w:firstLine="0"/>
      </w:pPr>
      <w:r w:rsidRPr="004C7F84">
        <w:t>Le Comité chargé de la prévention de la traite des personnes, qui a été mis en place en 2010, poursuit toujours ses activités. L</w:t>
      </w:r>
      <w:r w:rsidR="00773F5D" w:rsidRPr="004C7F84">
        <w:t>’</w:t>
      </w:r>
      <w:r w:rsidRPr="004C7F84">
        <w:t>une de ses fonctions consiste à mettre en place un centre d</w:t>
      </w:r>
      <w:r w:rsidR="00773F5D" w:rsidRPr="004C7F84">
        <w:t>’</w:t>
      </w:r>
      <w:r w:rsidRPr="004C7F84">
        <w:t>accueil pour les victimes, dont l</w:t>
      </w:r>
      <w:r w:rsidR="00773F5D" w:rsidRPr="004C7F84">
        <w:t>’</w:t>
      </w:r>
      <w:r w:rsidRPr="004C7F84">
        <w:t>adresse sera publiée dans le Journal officiel. En raison de la petite taille d</w:t>
      </w:r>
      <w:r w:rsidR="00773F5D" w:rsidRPr="004C7F84">
        <w:t>’</w:t>
      </w:r>
      <w:r w:rsidRPr="004C7F84">
        <w:t>Antigua-et-Barbuda, la Direction de la problématique hommes-femmes a pu, en collaboration avec des hôteliers et des propriétaires de logements privés, régler plusieurs cas de traite et offrir un refuge aux victimes.</w:t>
      </w:r>
    </w:p>
    <w:p w14:paraId="6339F7E0" w14:textId="51E4D443" w:rsidR="00BF5BEB" w:rsidRPr="004C7F84" w:rsidRDefault="001565DE" w:rsidP="00514306">
      <w:pPr>
        <w:pStyle w:val="SingleTxt"/>
        <w:numPr>
          <w:ilvl w:val="0"/>
          <w:numId w:val="19"/>
        </w:numPr>
        <w:spacing w:line="240" w:lineRule="exact"/>
        <w:ind w:left="1267" w:firstLine="0"/>
      </w:pPr>
      <w:r w:rsidRPr="004C7F84">
        <w:t>La Direction de la problématique hommes-femmes a déclaré que très peu de cas de traite de femmes avaient été portés à son attention avant l</w:t>
      </w:r>
      <w:r w:rsidR="00773F5D" w:rsidRPr="004C7F84">
        <w:t>’</w:t>
      </w:r>
      <w:r w:rsidRPr="004C7F84">
        <w:t>adoption de la loi sur la prévention de la traite des personnes. Entre 2010 et 2015, elle a été informée que 43</w:t>
      </w:r>
      <w:r w:rsidR="006231EF" w:rsidRPr="004C7F84">
        <w:t> </w:t>
      </w:r>
      <w:r w:rsidRPr="004C7F84">
        <w:t>personnes au total, toutes des femmes, avaient été victimes de traite. Jusqu</w:t>
      </w:r>
      <w:r w:rsidR="00773F5D" w:rsidRPr="004C7F84">
        <w:t>’</w:t>
      </w:r>
      <w:r w:rsidRPr="004C7F84">
        <w:t>à la fin de 2015, une seule personne a été accusée de traite en 2011 et l</w:t>
      </w:r>
      <w:r w:rsidR="00773F5D" w:rsidRPr="004C7F84">
        <w:t>’</w:t>
      </w:r>
      <w:r w:rsidRPr="004C7F84">
        <w:t>affaire a été classée sans suite.</w:t>
      </w:r>
    </w:p>
    <w:p w14:paraId="41E749F4" w14:textId="6A686FAD" w:rsidR="00BF5BEB" w:rsidRPr="004C7F84" w:rsidRDefault="00BF5BEB" w:rsidP="00AC07A9">
      <w:pPr>
        <w:pStyle w:val="SingleTxt"/>
        <w:spacing w:after="0" w:line="120" w:lineRule="exact"/>
        <w:rPr>
          <w:sz w:val="10"/>
        </w:rPr>
      </w:pPr>
    </w:p>
    <w:p w14:paraId="610CFFF6" w14:textId="4078A0F4" w:rsidR="00BF5BEB" w:rsidRPr="004C7F84" w:rsidRDefault="00AC07A9" w:rsidP="006E7D5E">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FR"/>
        </w:rPr>
      </w:pPr>
      <w:r w:rsidRPr="004C7F84">
        <w:rPr>
          <w:lang w:val="fr-FR"/>
        </w:rPr>
        <w:tab/>
      </w:r>
      <w:r w:rsidRPr="004C7F84">
        <w:rPr>
          <w:lang w:val="fr-FR"/>
        </w:rPr>
        <w:tab/>
      </w:r>
      <w:r w:rsidR="00BF5BEB" w:rsidRPr="004C7F84">
        <w:rPr>
          <w:b w:val="0"/>
          <w:bCs/>
          <w:lang w:val="fr-FR"/>
        </w:rPr>
        <w:t>Table</w:t>
      </w:r>
      <w:r w:rsidR="00C663DF" w:rsidRPr="004C7F84">
        <w:rPr>
          <w:b w:val="0"/>
          <w:bCs/>
          <w:lang w:val="fr-FR"/>
        </w:rPr>
        <w:t>au</w:t>
      </w:r>
      <w:r w:rsidR="00BF5BEB" w:rsidRPr="004C7F84">
        <w:rPr>
          <w:b w:val="0"/>
          <w:bCs/>
          <w:lang w:val="fr-FR"/>
        </w:rPr>
        <w:t xml:space="preserve"> 1</w:t>
      </w:r>
    </w:p>
    <w:p w14:paraId="4AC476E7" w14:textId="7D4A6C47" w:rsidR="00BF5BEB" w:rsidRPr="004C7F84" w:rsidRDefault="00AC07A9" w:rsidP="006E7D5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C663DF" w:rsidRPr="004C7F84">
        <w:rPr>
          <w:lang w:val="fr-FR"/>
        </w:rPr>
        <w:t xml:space="preserve">Nombre </w:t>
      </w:r>
      <w:r w:rsidR="000516F8" w:rsidRPr="004C7F84">
        <w:rPr>
          <w:lang w:val="fr-FR"/>
        </w:rPr>
        <w:t>de femmes victimes de traite – a</w:t>
      </w:r>
      <w:r w:rsidR="00C663DF" w:rsidRPr="004C7F84">
        <w:rPr>
          <w:lang w:val="fr-FR"/>
        </w:rPr>
        <w:t>nnées retenues </w:t>
      </w:r>
    </w:p>
    <w:p w14:paraId="4E5A9310" w14:textId="370BE29C" w:rsidR="00AC07A9" w:rsidRPr="004C7F84" w:rsidRDefault="00AC07A9" w:rsidP="006E7D5E">
      <w:pPr>
        <w:pStyle w:val="SingleTxt"/>
        <w:keepNext/>
        <w:keepLines/>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
        <w:gridCol w:w="1046"/>
        <w:gridCol w:w="1046"/>
        <w:gridCol w:w="1046"/>
        <w:gridCol w:w="1046"/>
        <w:gridCol w:w="1046"/>
        <w:gridCol w:w="1046"/>
      </w:tblGrid>
      <w:tr w:rsidR="00AC07A9" w:rsidRPr="004C7F84" w14:paraId="675D5AF2" w14:textId="77777777" w:rsidTr="00AC07A9">
        <w:trPr>
          <w:tblHeader/>
        </w:trPr>
        <w:tc>
          <w:tcPr>
            <w:tcW w:w="1046" w:type="dxa"/>
            <w:tcBorders>
              <w:top w:val="single" w:sz="4" w:space="0" w:color="auto"/>
              <w:bottom w:val="single" w:sz="12" w:space="0" w:color="auto"/>
            </w:tcBorders>
            <w:shd w:val="clear" w:color="auto" w:fill="auto"/>
            <w:vAlign w:val="bottom"/>
          </w:tcPr>
          <w:p w14:paraId="3D7EF386" w14:textId="6DFB62B0" w:rsidR="00AC07A9" w:rsidRPr="004C7F84" w:rsidRDefault="00C663DF"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4C7F84">
              <w:rPr>
                <w:i/>
                <w:sz w:val="14"/>
              </w:rPr>
              <w:t>Année</w:t>
            </w:r>
          </w:p>
        </w:tc>
        <w:tc>
          <w:tcPr>
            <w:tcW w:w="1046" w:type="dxa"/>
            <w:tcBorders>
              <w:top w:val="single" w:sz="4" w:space="0" w:color="auto"/>
              <w:bottom w:val="single" w:sz="12" w:space="0" w:color="auto"/>
            </w:tcBorders>
            <w:shd w:val="clear" w:color="auto" w:fill="auto"/>
            <w:vAlign w:val="bottom"/>
          </w:tcPr>
          <w:p w14:paraId="4A5120B0"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2010</w:t>
            </w:r>
          </w:p>
        </w:tc>
        <w:tc>
          <w:tcPr>
            <w:tcW w:w="1046" w:type="dxa"/>
            <w:tcBorders>
              <w:top w:val="single" w:sz="4" w:space="0" w:color="auto"/>
              <w:bottom w:val="single" w:sz="12" w:space="0" w:color="auto"/>
            </w:tcBorders>
            <w:shd w:val="clear" w:color="auto" w:fill="auto"/>
            <w:vAlign w:val="bottom"/>
          </w:tcPr>
          <w:p w14:paraId="255FE4F1"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2011</w:t>
            </w:r>
          </w:p>
        </w:tc>
        <w:tc>
          <w:tcPr>
            <w:tcW w:w="1046" w:type="dxa"/>
            <w:tcBorders>
              <w:top w:val="single" w:sz="4" w:space="0" w:color="auto"/>
              <w:bottom w:val="single" w:sz="12" w:space="0" w:color="auto"/>
            </w:tcBorders>
            <w:shd w:val="clear" w:color="auto" w:fill="auto"/>
            <w:vAlign w:val="bottom"/>
          </w:tcPr>
          <w:p w14:paraId="6ADEC5B1"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2012</w:t>
            </w:r>
          </w:p>
        </w:tc>
        <w:tc>
          <w:tcPr>
            <w:tcW w:w="1046" w:type="dxa"/>
            <w:tcBorders>
              <w:top w:val="single" w:sz="4" w:space="0" w:color="auto"/>
              <w:bottom w:val="single" w:sz="12" w:space="0" w:color="auto"/>
            </w:tcBorders>
            <w:shd w:val="clear" w:color="auto" w:fill="auto"/>
            <w:vAlign w:val="bottom"/>
          </w:tcPr>
          <w:p w14:paraId="7F5316D3"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2013</w:t>
            </w:r>
          </w:p>
        </w:tc>
        <w:tc>
          <w:tcPr>
            <w:tcW w:w="1046" w:type="dxa"/>
            <w:tcBorders>
              <w:top w:val="single" w:sz="4" w:space="0" w:color="auto"/>
              <w:bottom w:val="single" w:sz="12" w:space="0" w:color="auto"/>
            </w:tcBorders>
            <w:shd w:val="clear" w:color="auto" w:fill="auto"/>
            <w:vAlign w:val="bottom"/>
          </w:tcPr>
          <w:p w14:paraId="319FA2DA"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2014</w:t>
            </w:r>
          </w:p>
        </w:tc>
        <w:tc>
          <w:tcPr>
            <w:tcW w:w="1046" w:type="dxa"/>
            <w:tcBorders>
              <w:top w:val="single" w:sz="4" w:space="0" w:color="auto"/>
              <w:bottom w:val="single" w:sz="12" w:space="0" w:color="auto"/>
            </w:tcBorders>
            <w:shd w:val="clear" w:color="auto" w:fill="auto"/>
            <w:vAlign w:val="bottom"/>
          </w:tcPr>
          <w:p w14:paraId="543744F5"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2015</w:t>
            </w:r>
          </w:p>
        </w:tc>
      </w:tr>
      <w:tr w:rsidR="00AC07A9" w:rsidRPr="004C7F84" w14:paraId="1C2B40F1" w14:textId="77777777" w:rsidTr="00AC07A9">
        <w:trPr>
          <w:trHeight w:hRule="exact" w:val="115"/>
          <w:tblHeader/>
        </w:trPr>
        <w:tc>
          <w:tcPr>
            <w:tcW w:w="1046" w:type="dxa"/>
            <w:tcBorders>
              <w:top w:val="single" w:sz="12" w:space="0" w:color="auto"/>
            </w:tcBorders>
            <w:shd w:val="clear" w:color="auto" w:fill="auto"/>
            <w:vAlign w:val="bottom"/>
          </w:tcPr>
          <w:p w14:paraId="0266DF63"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046" w:type="dxa"/>
            <w:tcBorders>
              <w:top w:val="single" w:sz="12" w:space="0" w:color="auto"/>
            </w:tcBorders>
            <w:shd w:val="clear" w:color="auto" w:fill="auto"/>
            <w:vAlign w:val="bottom"/>
          </w:tcPr>
          <w:p w14:paraId="3F948267"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3F5B6E0E"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3199E840"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786FBEEE"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71FCAEF0"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05D01E68"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AC07A9" w:rsidRPr="004C7F84" w14:paraId="40724CE1" w14:textId="77777777" w:rsidTr="00AC07A9">
        <w:tc>
          <w:tcPr>
            <w:tcW w:w="1046" w:type="dxa"/>
            <w:tcBorders>
              <w:bottom w:val="single" w:sz="12" w:space="0" w:color="auto"/>
            </w:tcBorders>
            <w:shd w:val="clear" w:color="auto" w:fill="auto"/>
            <w:vAlign w:val="bottom"/>
          </w:tcPr>
          <w:p w14:paraId="0376DDFE" w14:textId="5E999D00" w:rsidR="00AC07A9" w:rsidRPr="004C7F84" w:rsidRDefault="00AC07A9" w:rsidP="00C663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C7F84">
              <w:rPr>
                <w:sz w:val="17"/>
              </w:rPr>
              <w:t>N</w:t>
            </w:r>
            <w:r w:rsidR="00C663DF" w:rsidRPr="004C7F84">
              <w:rPr>
                <w:sz w:val="17"/>
              </w:rPr>
              <w:t>ombre</w:t>
            </w:r>
          </w:p>
        </w:tc>
        <w:tc>
          <w:tcPr>
            <w:tcW w:w="1046" w:type="dxa"/>
            <w:tcBorders>
              <w:bottom w:val="single" w:sz="12" w:space="0" w:color="auto"/>
            </w:tcBorders>
            <w:shd w:val="clear" w:color="auto" w:fill="auto"/>
            <w:vAlign w:val="bottom"/>
          </w:tcPr>
          <w:p w14:paraId="022F1838"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3</w:t>
            </w:r>
          </w:p>
        </w:tc>
        <w:tc>
          <w:tcPr>
            <w:tcW w:w="1046" w:type="dxa"/>
            <w:tcBorders>
              <w:bottom w:val="single" w:sz="12" w:space="0" w:color="auto"/>
            </w:tcBorders>
            <w:shd w:val="clear" w:color="auto" w:fill="auto"/>
            <w:vAlign w:val="bottom"/>
          </w:tcPr>
          <w:p w14:paraId="63C0BFA2"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22</w:t>
            </w:r>
          </w:p>
        </w:tc>
        <w:tc>
          <w:tcPr>
            <w:tcW w:w="1046" w:type="dxa"/>
            <w:tcBorders>
              <w:bottom w:val="single" w:sz="12" w:space="0" w:color="auto"/>
            </w:tcBorders>
            <w:shd w:val="clear" w:color="auto" w:fill="auto"/>
            <w:vAlign w:val="bottom"/>
          </w:tcPr>
          <w:p w14:paraId="748498E5"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0</w:t>
            </w:r>
          </w:p>
        </w:tc>
        <w:tc>
          <w:tcPr>
            <w:tcW w:w="1046" w:type="dxa"/>
            <w:tcBorders>
              <w:bottom w:val="single" w:sz="12" w:space="0" w:color="auto"/>
            </w:tcBorders>
            <w:shd w:val="clear" w:color="auto" w:fill="auto"/>
            <w:vAlign w:val="bottom"/>
          </w:tcPr>
          <w:p w14:paraId="1DEA8161"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1</w:t>
            </w:r>
          </w:p>
        </w:tc>
        <w:tc>
          <w:tcPr>
            <w:tcW w:w="1046" w:type="dxa"/>
            <w:tcBorders>
              <w:bottom w:val="single" w:sz="12" w:space="0" w:color="auto"/>
            </w:tcBorders>
            <w:shd w:val="clear" w:color="auto" w:fill="auto"/>
            <w:vAlign w:val="bottom"/>
          </w:tcPr>
          <w:p w14:paraId="48722733"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7</w:t>
            </w:r>
          </w:p>
        </w:tc>
        <w:tc>
          <w:tcPr>
            <w:tcW w:w="1046" w:type="dxa"/>
            <w:tcBorders>
              <w:bottom w:val="single" w:sz="12" w:space="0" w:color="auto"/>
            </w:tcBorders>
            <w:shd w:val="clear" w:color="auto" w:fill="auto"/>
            <w:vAlign w:val="bottom"/>
          </w:tcPr>
          <w:p w14:paraId="5E56BBDF"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10</w:t>
            </w:r>
          </w:p>
        </w:tc>
      </w:tr>
    </w:tbl>
    <w:p w14:paraId="30B0928D" w14:textId="6099E23F" w:rsidR="00AC07A9" w:rsidRPr="004C7F84" w:rsidRDefault="00AC07A9" w:rsidP="00AC07A9">
      <w:pPr>
        <w:pStyle w:val="SingleTxt"/>
        <w:spacing w:after="0" w:line="120" w:lineRule="exact"/>
        <w:rPr>
          <w:sz w:val="10"/>
        </w:rPr>
      </w:pPr>
    </w:p>
    <w:p w14:paraId="7757644B" w14:textId="541125B1" w:rsidR="00BF5BEB" w:rsidRPr="004C7F84" w:rsidRDefault="00970230" w:rsidP="00AC07A9">
      <w:pPr>
        <w:pStyle w:val="FootnoteText"/>
        <w:tabs>
          <w:tab w:val="clear" w:pos="418"/>
          <w:tab w:val="right" w:pos="1476"/>
          <w:tab w:val="left" w:pos="1548"/>
          <w:tab w:val="right" w:pos="1836"/>
          <w:tab w:val="left" w:pos="1908"/>
        </w:tabs>
        <w:ind w:left="1548" w:right="1267" w:hanging="288"/>
      </w:pPr>
      <w:r w:rsidRPr="004C7F84">
        <w:rPr>
          <w:i/>
          <w:iCs/>
        </w:rPr>
        <w:tab/>
      </w:r>
      <w:r w:rsidR="00BF5BEB" w:rsidRPr="004C7F84">
        <w:rPr>
          <w:i/>
          <w:iCs/>
        </w:rPr>
        <w:t>Source</w:t>
      </w:r>
      <w:r w:rsidR="00773F5D" w:rsidRPr="004C7F84">
        <w:rPr>
          <w:i/>
          <w:iCs/>
        </w:rPr>
        <w:t> :</w:t>
      </w:r>
      <w:r w:rsidR="00BF5BEB" w:rsidRPr="004C7F84">
        <w:t xml:space="preserve"> </w:t>
      </w:r>
      <w:r w:rsidR="00C663DF" w:rsidRPr="004C7F84">
        <w:t>Direction de la problématique hommes-femmes, Gouvernement d</w:t>
      </w:r>
      <w:r w:rsidR="00773F5D" w:rsidRPr="004C7F84">
        <w:t>’</w:t>
      </w:r>
      <w:r w:rsidR="00C663DF" w:rsidRPr="004C7F84">
        <w:t>Antigua-et-Barbuda</w:t>
      </w:r>
      <w:r w:rsidR="00664254" w:rsidRPr="004C7F84">
        <w:t>.</w:t>
      </w:r>
    </w:p>
    <w:p w14:paraId="0EDD5E3A" w14:textId="0BF0AD1B" w:rsidR="00AC07A9" w:rsidRPr="004C7F84" w:rsidRDefault="00AC07A9" w:rsidP="00D47611">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2B2D8D45" w14:textId="77777777" w:rsidR="00D47611" w:rsidRPr="004C7F84" w:rsidRDefault="00D47611" w:rsidP="00664254">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615B5688" w14:textId="77777777" w:rsidR="00664254" w:rsidRPr="004C7F84" w:rsidRDefault="00664254" w:rsidP="00AC07A9">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6EAF7D4A" w14:textId="6303487F" w:rsidR="00BF5BEB" w:rsidRPr="004C7F84" w:rsidRDefault="00BF5BEB" w:rsidP="00AC07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t>Prostitution</w:t>
      </w:r>
    </w:p>
    <w:p w14:paraId="10010AE1" w14:textId="37707A52" w:rsidR="00AC07A9" w:rsidRPr="004C7F84" w:rsidRDefault="00AC07A9" w:rsidP="00AC07A9">
      <w:pPr>
        <w:pStyle w:val="SingleTxt"/>
        <w:spacing w:after="0" w:line="120" w:lineRule="exact"/>
        <w:rPr>
          <w:sz w:val="10"/>
        </w:rPr>
      </w:pPr>
    </w:p>
    <w:p w14:paraId="474DAB87" w14:textId="2CC67EF6" w:rsidR="00C663DF" w:rsidRPr="004C7F84" w:rsidRDefault="00C663DF" w:rsidP="00514306">
      <w:pPr>
        <w:pStyle w:val="SingleTxt"/>
        <w:numPr>
          <w:ilvl w:val="0"/>
          <w:numId w:val="19"/>
        </w:numPr>
        <w:spacing w:line="240" w:lineRule="exact"/>
        <w:ind w:left="1267" w:firstLine="0"/>
      </w:pPr>
      <w:r w:rsidRPr="004C7F84">
        <w:t>La prostitution est illégale à Antigua-et-Barbuda, comme l</w:t>
      </w:r>
      <w:r w:rsidR="00773F5D" w:rsidRPr="004C7F84">
        <w:t>’</w:t>
      </w:r>
      <w:r w:rsidRPr="004C7F84">
        <w:t>indique le rapport précédent. Toutefois, il est difficile d</w:t>
      </w:r>
      <w:r w:rsidR="00773F5D" w:rsidRPr="004C7F84">
        <w:t>’</w:t>
      </w:r>
      <w:r w:rsidRPr="004C7F84">
        <w:t>appréhender, en vertu de la loi réprimant la prostitution, telle qu</w:t>
      </w:r>
      <w:r w:rsidR="00773F5D" w:rsidRPr="004C7F84">
        <w:t>’</w:t>
      </w:r>
      <w:r w:rsidRPr="004C7F84">
        <w:t>elle est actuellement libellée, les personnes qui se livrent à la prostitution du fait qu</w:t>
      </w:r>
      <w:r w:rsidR="00773F5D" w:rsidRPr="004C7F84">
        <w:t>’</w:t>
      </w:r>
      <w:r w:rsidRPr="004C7F84">
        <w:t>il faut littéralement les prendre en flagrant délit et prouver qu</w:t>
      </w:r>
      <w:r w:rsidR="00773F5D" w:rsidRPr="004C7F84">
        <w:t>’</w:t>
      </w:r>
      <w:r w:rsidRPr="004C7F84">
        <w:t>elles ont été rétribuées. Le Gouvernement suit de près les activités des ressortissantes des autres pays des Caraïbes, qui constituent la majorité des femmes se livrant à la prostitution. Plusieurs cas ont été portés à l</w:t>
      </w:r>
      <w:r w:rsidR="00773F5D" w:rsidRPr="004C7F84">
        <w:t>’</w:t>
      </w:r>
      <w:r w:rsidRPr="004C7F84">
        <w:t>attention de la Direction de la problématique hommes-femmes, qui, depuis des années, fournit des services de soutien psychologique e</w:t>
      </w:r>
      <w:r w:rsidR="006231EF" w:rsidRPr="004C7F84">
        <w:t>t mène une action de pédagogie.</w:t>
      </w:r>
    </w:p>
    <w:p w14:paraId="09BA2892" w14:textId="00D604D5" w:rsidR="00C663DF" w:rsidRPr="004C7F84" w:rsidRDefault="00C663DF" w:rsidP="00514306">
      <w:pPr>
        <w:pStyle w:val="SingleTxt"/>
        <w:numPr>
          <w:ilvl w:val="0"/>
          <w:numId w:val="19"/>
        </w:numPr>
        <w:spacing w:line="240" w:lineRule="exact"/>
        <w:ind w:left="1267" w:firstLine="0"/>
      </w:pPr>
      <w:r w:rsidRPr="004C7F84">
        <w:t>Par ailleurs, il convient d</w:t>
      </w:r>
      <w:r w:rsidR="00773F5D" w:rsidRPr="004C7F84">
        <w:t>’</w:t>
      </w:r>
      <w:r w:rsidRPr="004C7F84">
        <w:t>appeler l</w:t>
      </w:r>
      <w:r w:rsidR="00773F5D" w:rsidRPr="004C7F84">
        <w:t>’</w:t>
      </w:r>
      <w:r w:rsidRPr="004C7F84">
        <w:t>attention sur les activités de « Health, Hope and HIV Network », organisation de la société civile, créée en 1999 et enregistrée comme association caritative en 2002, dont la devise est « Créer des changements positifs ». Cette organisation a constaté que de nombreuses prostituées se déplaçaient entre les îles des Caraïbes et qu</w:t>
      </w:r>
      <w:r w:rsidR="00773F5D" w:rsidRPr="004C7F84">
        <w:t>’</w:t>
      </w:r>
      <w:r w:rsidRPr="004C7F84">
        <w:t>elles ne résidaient jamais de manière permanente dans un territoire autre que leur pays d</w:t>
      </w:r>
      <w:r w:rsidR="00773F5D" w:rsidRPr="004C7F84">
        <w:t>’</w:t>
      </w:r>
      <w:r w:rsidRPr="004C7F84">
        <w:t>origine. En conséquen</w:t>
      </w:r>
      <w:r w:rsidR="006231EF" w:rsidRPr="004C7F84">
        <w:t xml:space="preserve">ce, au fil du temps, elle a axé son assistance </w:t>
      </w:r>
      <w:r w:rsidRPr="004C7F84">
        <w:t>sur les femmes immigrées (hispanophones notamment), sans pour autant exclure les hommes. Elle offre des services de soutien psychologique et des tests de dépistage du VIH/sida et d</w:t>
      </w:r>
      <w:r w:rsidR="00773F5D" w:rsidRPr="004C7F84">
        <w:t>’</w:t>
      </w:r>
      <w:r w:rsidRPr="004C7F84">
        <w:t>autres maladies sexuellement transmissibles. En 2014, cette organisation a obtenu, par l</w:t>
      </w:r>
      <w:r w:rsidR="00773F5D" w:rsidRPr="004C7F84">
        <w:t>’</w:t>
      </w:r>
      <w:r w:rsidRPr="004C7F84">
        <w:t>intermédiaire du Gouvernement, d</w:t>
      </w:r>
      <w:r w:rsidR="006231EF" w:rsidRPr="004C7F84">
        <w:t xml:space="preserve">es subventions dans le cadre du </w:t>
      </w:r>
      <w:r w:rsidRPr="004C7F84">
        <w:t>Plan d</w:t>
      </w:r>
      <w:r w:rsidR="00773F5D" w:rsidRPr="004C7F84">
        <w:t>’</w:t>
      </w:r>
      <w:r w:rsidRPr="004C7F84">
        <w:t>urgence du Président des États-Unis pour la lu</w:t>
      </w:r>
      <w:r w:rsidR="006231EF" w:rsidRPr="004C7F84">
        <w:t xml:space="preserve">tte contre le sida ainsi que du </w:t>
      </w:r>
      <w:r w:rsidRPr="004C7F84">
        <w:t>projet visant à améliorer l</w:t>
      </w:r>
      <w:r w:rsidR="00773F5D" w:rsidRPr="004C7F84">
        <w:t>’</w:t>
      </w:r>
      <w:r w:rsidRPr="004C7F84">
        <w:t xml:space="preserve">accès des populations migrantes des Caraïbes aux services de diagnostic et de traitement du VIH, qui était mené conjointement par le Partenariat pan-caraïbe </w:t>
      </w:r>
      <w:r w:rsidRPr="004C7F84">
        <w:rPr>
          <w:w w:val="100"/>
        </w:rPr>
        <w:t>contre le VIH/sida, l</w:t>
      </w:r>
      <w:r w:rsidR="00773F5D" w:rsidRPr="004C7F84">
        <w:rPr>
          <w:w w:val="100"/>
        </w:rPr>
        <w:t>’</w:t>
      </w:r>
      <w:r w:rsidRPr="004C7F84">
        <w:rPr>
          <w:w w:val="100"/>
        </w:rPr>
        <w:t>Appui aux initiatives mondiales et la Banque de développement des Caraïbes</w:t>
      </w:r>
      <w:r w:rsidRPr="004C7F84">
        <w:rPr>
          <w:b/>
          <w:w w:val="100"/>
        </w:rPr>
        <w:t xml:space="preserve"> </w:t>
      </w:r>
      <w:r w:rsidRPr="004C7F84">
        <w:rPr>
          <w:w w:val="100"/>
        </w:rPr>
        <w:t>(dans le cadre de sa</w:t>
      </w:r>
      <w:r w:rsidRPr="004C7F84">
        <w:rPr>
          <w:b/>
          <w:w w:val="100"/>
        </w:rPr>
        <w:t xml:space="preserve"> </w:t>
      </w:r>
      <w:r w:rsidRPr="004C7F84">
        <w:rPr>
          <w:w w:val="100"/>
        </w:rPr>
        <w:t>politique et stratégie opérationnelle d</w:t>
      </w:r>
      <w:r w:rsidR="00773F5D" w:rsidRPr="004C7F84">
        <w:rPr>
          <w:w w:val="100"/>
        </w:rPr>
        <w:t>’</w:t>
      </w:r>
      <w:r w:rsidRPr="004C7F84">
        <w:rPr>
          <w:w w:val="100"/>
        </w:rPr>
        <w:t>égalité des sexes). Cette</w:t>
      </w:r>
      <w:r w:rsidRPr="004C7F84">
        <w:t xml:space="preserve"> organisation a fait connaître ses activités auprès des communautés de migrants par ses campagnes d</w:t>
      </w:r>
      <w:r w:rsidR="00773F5D" w:rsidRPr="004C7F84">
        <w:t>’</w:t>
      </w:r>
      <w:r w:rsidRPr="004C7F84">
        <w:t>affiches et son utilisation d</w:t>
      </w:r>
      <w:r w:rsidR="00773F5D" w:rsidRPr="004C7F84">
        <w:t>’</w:t>
      </w:r>
      <w:r w:rsidRPr="004C7F84">
        <w:t xml:space="preserve">autres médias. </w:t>
      </w:r>
    </w:p>
    <w:p w14:paraId="54653465" w14:textId="4997F5E2" w:rsidR="00C663DF" w:rsidRPr="004C7F84" w:rsidRDefault="00C663DF" w:rsidP="00C663DF">
      <w:pPr>
        <w:pStyle w:val="SingleTxt"/>
        <w:spacing w:after="0" w:line="120" w:lineRule="exact"/>
        <w:rPr>
          <w:sz w:val="10"/>
        </w:rPr>
      </w:pPr>
    </w:p>
    <w:p w14:paraId="099C280C" w14:textId="77777777" w:rsidR="00C663DF" w:rsidRPr="004C7F84" w:rsidRDefault="00C663DF" w:rsidP="00C663DF">
      <w:pPr>
        <w:pStyle w:val="H4"/>
        <w:ind w:right="1260"/>
      </w:pPr>
      <w:r w:rsidRPr="004C7F84">
        <w:tab/>
      </w:r>
      <w:r w:rsidRPr="004C7F84">
        <w:tab/>
        <w:t>Opinion du public sur la prostitution</w:t>
      </w:r>
    </w:p>
    <w:p w14:paraId="46232F3F" w14:textId="4ED8618C" w:rsidR="00C663DF" w:rsidRPr="004C7F84" w:rsidRDefault="00C663DF" w:rsidP="00C663DF">
      <w:pPr>
        <w:pStyle w:val="SingleTxt"/>
        <w:spacing w:after="0" w:line="120" w:lineRule="exact"/>
        <w:rPr>
          <w:sz w:val="10"/>
        </w:rPr>
      </w:pPr>
    </w:p>
    <w:p w14:paraId="02B58E57" w14:textId="40721A9C" w:rsidR="00C663DF" w:rsidRPr="004C7F84" w:rsidRDefault="00C663DF" w:rsidP="00514306">
      <w:pPr>
        <w:pStyle w:val="SingleTxt"/>
        <w:numPr>
          <w:ilvl w:val="0"/>
          <w:numId w:val="19"/>
        </w:numPr>
        <w:spacing w:line="240" w:lineRule="exact"/>
        <w:ind w:left="1267" w:firstLine="0"/>
      </w:pPr>
      <w:r w:rsidRPr="004C7F84">
        <w:t>Le Gouvernement et les organisations confessionnelles ont organisé un colloque sur la question de la prostitution le jeudi 5</w:t>
      </w:r>
      <w:r w:rsidR="006231EF" w:rsidRPr="004C7F84">
        <w:t> </w:t>
      </w:r>
      <w:r w:rsidRPr="004C7F84">
        <w:t>octobre 2006, à Antigua-et-Barbuda. D</w:t>
      </w:r>
      <w:r w:rsidR="00773F5D" w:rsidRPr="004C7F84">
        <w:t>’</w:t>
      </w:r>
      <w:r w:rsidRPr="004C7F84">
        <w:t>une manière générale, le public déplorait cette pratique, mais à ce jour, la législation sur la question de la prostitution est demeurée inchangée.</w:t>
      </w:r>
    </w:p>
    <w:p w14:paraId="1B4ABD6D" w14:textId="77777777" w:rsidR="00C663DF" w:rsidRPr="004C7F84" w:rsidRDefault="00C663DF" w:rsidP="00C663DF">
      <w:pPr>
        <w:pStyle w:val="SingleTxt"/>
        <w:spacing w:after="0" w:line="120" w:lineRule="exact"/>
        <w:rPr>
          <w:sz w:val="10"/>
        </w:rPr>
      </w:pPr>
    </w:p>
    <w:p w14:paraId="6262D1FC" w14:textId="77777777" w:rsidR="00C663DF" w:rsidRPr="004C7F84" w:rsidRDefault="00C663DF" w:rsidP="00C663DF">
      <w:pPr>
        <w:pStyle w:val="SingleTxt"/>
        <w:spacing w:after="0" w:line="120" w:lineRule="exact"/>
        <w:rPr>
          <w:sz w:val="10"/>
        </w:rPr>
      </w:pPr>
    </w:p>
    <w:p w14:paraId="2783D207" w14:textId="77777777" w:rsidR="00C663DF" w:rsidRPr="004C7F84" w:rsidRDefault="00C663DF" w:rsidP="00970230">
      <w:pPr>
        <w:pStyle w:val="H1"/>
        <w:ind w:right="1260"/>
      </w:pPr>
      <w:r w:rsidRPr="004C7F84">
        <w:lastRenderedPageBreak/>
        <w:tab/>
      </w:r>
      <w:r w:rsidRPr="004C7F84">
        <w:tab/>
        <w:t>Article 7 Les femmes dans la vie politique et publique</w:t>
      </w:r>
    </w:p>
    <w:p w14:paraId="689B8065" w14:textId="2EFADF31" w:rsidR="00C663DF" w:rsidRPr="004C7F84" w:rsidRDefault="00C663DF" w:rsidP="00970230">
      <w:pPr>
        <w:pStyle w:val="SingleTxt"/>
        <w:keepNext/>
        <w:keepLines/>
        <w:spacing w:after="0" w:line="120" w:lineRule="exact"/>
        <w:rPr>
          <w:sz w:val="10"/>
        </w:rPr>
      </w:pPr>
    </w:p>
    <w:p w14:paraId="6951286D" w14:textId="6988BE54" w:rsidR="00C663DF" w:rsidRPr="004C7F84" w:rsidRDefault="00C663DF" w:rsidP="00970230">
      <w:pPr>
        <w:pStyle w:val="SingleTxt"/>
        <w:keepNext/>
        <w:keepLines/>
        <w:spacing w:after="0" w:line="120" w:lineRule="exact"/>
        <w:rPr>
          <w:sz w:val="10"/>
        </w:rPr>
      </w:pPr>
    </w:p>
    <w:p w14:paraId="30998F7D" w14:textId="77777777" w:rsidR="00C663DF" w:rsidRPr="004C7F84" w:rsidRDefault="00C663DF" w:rsidP="0097023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t>Vie politique</w:t>
      </w:r>
    </w:p>
    <w:p w14:paraId="4F7851C0" w14:textId="55E52371" w:rsidR="00C663DF" w:rsidRPr="004C7F84" w:rsidRDefault="00C663DF" w:rsidP="00970230">
      <w:pPr>
        <w:pStyle w:val="SingleTxt"/>
        <w:keepNext/>
        <w:keepLines/>
        <w:spacing w:after="0" w:line="120" w:lineRule="exact"/>
        <w:rPr>
          <w:b/>
          <w:sz w:val="10"/>
        </w:rPr>
      </w:pPr>
    </w:p>
    <w:p w14:paraId="0E227E5D" w14:textId="6B55E848" w:rsidR="00C663DF" w:rsidRPr="004C7F84" w:rsidRDefault="00C663DF" w:rsidP="00514306">
      <w:pPr>
        <w:pStyle w:val="SingleTxt"/>
        <w:keepNext/>
        <w:keepLines/>
        <w:numPr>
          <w:ilvl w:val="0"/>
          <w:numId w:val="19"/>
        </w:numPr>
        <w:spacing w:line="240" w:lineRule="exact"/>
        <w:ind w:left="1267" w:firstLine="0"/>
      </w:pPr>
      <w:r w:rsidRPr="004C7F84">
        <w:t>Il convient de noter qu</w:t>
      </w:r>
      <w:r w:rsidR="00773F5D" w:rsidRPr="004C7F84">
        <w:t>’</w:t>
      </w:r>
      <w:r w:rsidRPr="004C7F84">
        <w:t>en 2004, les deux principaux partis politiques ont présenté un total de 4</w:t>
      </w:r>
      <w:r w:rsidR="006231EF" w:rsidRPr="004C7F84">
        <w:t> </w:t>
      </w:r>
      <w:r w:rsidRPr="004C7F84">
        <w:t>candidates aux élections générales, ce qui représentait une amélioration sensible par rapport à l</w:t>
      </w:r>
      <w:r w:rsidR="00773F5D" w:rsidRPr="004C7F84">
        <w:t>’</w:t>
      </w:r>
      <w:r w:rsidRPr="004C7F84">
        <w:t>uni</w:t>
      </w:r>
      <w:r w:rsidR="006231EF" w:rsidRPr="004C7F84">
        <w:t>que candidate désignée d</w:t>
      </w:r>
      <w:r w:rsidR="00773F5D" w:rsidRPr="004C7F84">
        <w:t>’</w:t>
      </w:r>
      <w:r w:rsidR="006231EF" w:rsidRPr="004C7F84">
        <w:t xml:space="preserve">office </w:t>
      </w:r>
      <w:r w:rsidRPr="004C7F84">
        <w:t>dans le passé. Une seule des 4</w:t>
      </w:r>
      <w:r w:rsidR="006231EF" w:rsidRPr="004C7F84">
        <w:t> </w:t>
      </w:r>
      <w:r w:rsidRPr="004C7F84">
        <w:t>candidates a gagné les élections, la première femme à avoir recueilli le plus grand nombre de voix dans l</w:t>
      </w:r>
      <w:r w:rsidR="00773F5D" w:rsidRPr="004C7F84">
        <w:t>’</w:t>
      </w:r>
      <w:r w:rsidRPr="004C7F84">
        <w:t>histoire du pays. Elle a obtenu le portefeuille du travail, de l</w:t>
      </w:r>
      <w:r w:rsidR="00773F5D" w:rsidRPr="004C7F84">
        <w:t>’</w:t>
      </w:r>
      <w:r w:rsidRPr="004C7F84">
        <w:t>administration publique et de l</w:t>
      </w:r>
      <w:r w:rsidR="00773F5D" w:rsidRPr="004C7F84">
        <w:t>’</w:t>
      </w:r>
      <w:r w:rsidRPr="004C7F84">
        <w:t>autonomisation des femmes. Elle a de nouveau remporté les élections générales en 2009 et occupé le poste de Ministre de l</w:t>
      </w:r>
      <w:r w:rsidR="00773F5D" w:rsidRPr="004C7F84">
        <w:t>’</w:t>
      </w:r>
      <w:r w:rsidRPr="004C7F84">
        <w:t>éducation, de la jeunesse, des sports et de la problématique hommes-femmes de 2009 à 2014. Grâce à cette ministre, une importance plus grande a été accordée aux questions intéressant les femmes. Ainsi par exemple, la loi sur la pension alimentaire des</w:t>
      </w:r>
      <w:r w:rsidR="006231EF" w:rsidRPr="004C7F84">
        <w:t>tinée à l</w:t>
      </w:r>
      <w:r w:rsidR="00773F5D" w:rsidRPr="004C7F84">
        <w:t>’</w:t>
      </w:r>
      <w:r w:rsidR="006231EF" w:rsidRPr="004C7F84">
        <w:t xml:space="preserve">entretien des enfants </w:t>
      </w:r>
      <w:r w:rsidRPr="004C7F84">
        <w:t>et sur le droit de visite, adoptée en 2008, visait à améliorer le bien-être des enfants et à régler les problèmes qu</w:t>
      </w:r>
      <w:r w:rsidR="00773F5D" w:rsidRPr="004C7F84">
        <w:t>’</w:t>
      </w:r>
      <w:r w:rsidRPr="004C7F84">
        <w:t>avaient les mères pour toucher la pension alimentaire de leur enfant. Un autre progrès notable a été la mise en place par l</w:t>
      </w:r>
      <w:r w:rsidR="00773F5D" w:rsidRPr="004C7F84">
        <w:t>’</w:t>
      </w:r>
      <w:r w:rsidRPr="004C7F84">
        <w:t>État partie d</w:t>
      </w:r>
      <w:r w:rsidR="00773F5D" w:rsidRPr="004C7F84">
        <w:t>’</w:t>
      </w:r>
      <w:r w:rsidRPr="004C7F84">
        <w:t xml:space="preserve">une équipe spéciale de haut niveau sur la violence et les agressions sexuelles, qui a achevé en 2009 son évaluation des secteurs de la santé, de la justice et des services sociaux à Antigua-et-Barbuda. </w:t>
      </w:r>
    </w:p>
    <w:p w14:paraId="5C5661FE" w14:textId="53F34F75" w:rsidR="00C663DF" w:rsidRPr="004C7F84" w:rsidRDefault="00C663DF" w:rsidP="00514306">
      <w:pPr>
        <w:pStyle w:val="SingleTxt"/>
        <w:numPr>
          <w:ilvl w:val="0"/>
          <w:numId w:val="19"/>
        </w:numPr>
        <w:spacing w:line="240" w:lineRule="exact"/>
        <w:ind w:left="1267" w:firstLine="0"/>
      </w:pPr>
      <w:r w:rsidRPr="004C7F84">
        <w:t>Lors des dernières élections générales de 2014, même si la ministre susmentionnée a perdu son siège, 2 autres femmes ont été élues pour la première fois. Ainsi, à l</w:t>
      </w:r>
      <w:r w:rsidR="00773F5D" w:rsidRPr="004C7F84">
        <w:t>’</w:t>
      </w:r>
      <w:r w:rsidRPr="004C7F84">
        <w:t>heure actuelle, 2 des 17</w:t>
      </w:r>
      <w:r w:rsidR="006231EF" w:rsidRPr="004C7F84">
        <w:t> </w:t>
      </w:r>
      <w:r w:rsidRPr="004C7F84">
        <w:t xml:space="preserve">membres élus du Parlement sont </w:t>
      </w:r>
      <w:r w:rsidR="006231EF" w:rsidRPr="004C7F84">
        <w:t>des femmes et représentent 11,7 %</w:t>
      </w:r>
      <w:r w:rsidRPr="004C7F84">
        <w:t xml:space="preserve"> des parlementaires</w:t>
      </w:r>
      <w:r w:rsidR="00773F5D" w:rsidRPr="004C7F84">
        <w:t> ;</w:t>
      </w:r>
      <w:r w:rsidRPr="004C7F84">
        <w:t xml:space="preserve"> l</w:t>
      </w:r>
      <w:r w:rsidR="00773F5D" w:rsidRPr="004C7F84">
        <w:t>’</w:t>
      </w:r>
      <w:r w:rsidRPr="004C7F84">
        <w:t>une des 2</w:t>
      </w:r>
      <w:r w:rsidR="006231EF" w:rsidRPr="004C7F84">
        <w:t> </w:t>
      </w:r>
      <w:r w:rsidRPr="004C7F84">
        <w:t>élues appartient au parti au pouvoir et détient le portefeuille de la transformation sociale et de la mise en valeur des ressources humaines. Bien que ce pourcentage soit encore loi</w:t>
      </w:r>
      <w:r w:rsidR="006231EF" w:rsidRPr="004C7F84">
        <w:t xml:space="preserve">n </w:t>
      </w:r>
      <w:r w:rsidRPr="004C7F84">
        <w:t>de l</w:t>
      </w:r>
      <w:r w:rsidR="00773F5D" w:rsidRPr="004C7F84">
        <w:t>’</w:t>
      </w:r>
      <w:r w:rsidR="006231EF" w:rsidRPr="004C7F84">
        <w:t xml:space="preserve">idéal </w:t>
      </w:r>
      <w:r w:rsidRPr="004C7F84">
        <w:t>d</w:t>
      </w:r>
      <w:r w:rsidR="00773F5D" w:rsidRPr="004C7F84">
        <w:t>’</w:t>
      </w:r>
      <w:r w:rsidRPr="004C7F84">
        <w:t>au moins 50</w:t>
      </w:r>
      <w:r w:rsidR="006231EF" w:rsidRPr="004C7F84">
        <w:t> </w:t>
      </w:r>
      <w:r w:rsidRPr="004C7F84">
        <w:t>%, il repré</w:t>
      </w:r>
      <w:r w:rsidR="006231EF" w:rsidRPr="004C7F84">
        <w:t xml:space="preserve">sente une amélioration sensible </w:t>
      </w:r>
      <w:r w:rsidRPr="004C7F84">
        <w:t>par rapport à l</w:t>
      </w:r>
      <w:r w:rsidR="00773F5D" w:rsidRPr="004C7F84">
        <w:t>’</w:t>
      </w:r>
      <w:r w:rsidRPr="004C7F84">
        <w:t xml:space="preserve">unique représentante élue lors des élections générales de 2009. </w:t>
      </w:r>
    </w:p>
    <w:p w14:paraId="78FA2D8E" w14:textId="570EEBF5" w:rsidR="00C663DF" w:rsidRPr="004C7F84" w:rsidRDefault="00C663DF" w:rsidP="00514306">
      <w:pPr>
        <w:pStyle w:val="SingleTxt"/>
        <w:numPr>
          <w:ilvl w:val="0"/>
          <w:numId w:val="19"/>
        </w:numPr>
        <w:spacing w:line="240" w:lineRule="exact"/>
        <w:ind w:left="1267" w:firstLine="0"/>
      </w:pPr>
      <w:r w:rsidRPr="004C7F84">
        <w:t>Les femmes obtiennent généralement de meilleurs résultats aux élections sénatoriales. En 2015, 8 des 17</w:t>
      </w:r>
      <w:r w:rsidR="006231EF" w:rsidRPr="004C7F84">
        <w:t> </w:t>
      </w:r>
      <w:r w:rsidRPr="004C7F84">
        <w:t>sénateurs (soit 47</w:t>
      </w:r>
      <w:r w:rsidR="006231EF" w:rsidRPr="004C7F84">
        <w:t> </w:t>
      </w:r>
      <w:r w:rsidRPr="004C7F84">
        <w:t>%) sont des femmes, chiffre le plus élevé à ce jour. C</w:t>
      </w:r>
      <w:r w:rsidR="00773F5D" w:rsidRPr="004C7F84">
        <w:t>’</w:t>
      </w:r>
      <w:r w:rsidRPr="004C7F84">
        <w:t xml:space="preserve">est un progrès considérable par rapport à la moyenne de </w:t>
      </w:r>
      <w:r w:rsidRPr="004C7F84">
        <w:rPr>
          <w:spacing w:val="2"/>
          <w:w w:val="100"/>
        </w:rPr>
        <w:t>4</w:t>
      </w:r>
      <w:r w:rsidR="006231EF" w:rsidRPr="004C7F84">
        <w:rPr>
          <w:spacing w:val="2"/>
          <w:w w:val="100"/>
        </w:rPr>
        <w:t> </w:t>
      </w:r>
      <w:r w:rsidRPr="004C7F84">
        <w:rPr>
          <w:spacing w:val="2"/>
          <w:w w:val="100"/>
        </w:rPr>
        <w:t>femmes seulement dans le passé au Sénat. Depuis 25</w:t>
      </w:r>
      <w:r w:rsidR="006231EF" w:rsidRPr="004C7F84">
        <w:rPr>
          <w:spacing w:val="2"/>
          <w:w w:val="100"/>
        </w:rPr>
        <w:t> </w:t>
      </w:r>
      <w:r w:rsidRPr="004C7F84">
        <w:rPr>
          <w:spacing w:val="2"/>
          <w:w w:val="100"/>
        </w:rPr>
        <w:t>ans, le Président du Sénat est une femme, et c</w:t>
      </w:r>
      <w:r w:rsidR="00773F5D" w:rsidRPr="004C7F84">
        <w:rPr>
          <w:spacing w:val="2"/>
          <w:w w:val="100"/>
        </w:rPr>
        <w:t>’</w:t>
      </w:r>
      <w:r w:rsidRPr="004C7F84">
        <w:rPr>
          <w:spacing w:val="2"/>
          <w:w w:val="100"/>
        </w:rPr>
        <w:t>est encore le cas aujourd</w:t>
      </w:r>
      <w:r w:rsidR="00773F5D" w:rsidRPr="004C7F84">
        <w:rPr>
          <w:spacing w:val="2"/>
          <w:w w:val="100"/>
        </w:rPr>
        <w:t>’</w:t>
      </w:r>
      <w:r w:rsidRPr="004C7F84">
        <w:rPr>
          <w:spacing w:val="2"/>
          <w:w w:val="100"/>
        </w:rPr>
        <w:t>hui. Bien que l</w:t>
      </w:r>
      <w:r w:rsidR="00773F5D" w:rsidRPr="004C7F84">
        <w:rPr>
          <w:spacing w:val="2"/>
          <w:w w:val="100"/>
        </w:rPr>
        <w:t>’</w:t>
      </w:r>
      <w:r w:rsidRPr="004C7F84">
        <w:rPr>
          <w:spacing w:val="2"/>
          <w:w w:val="100"/>
        </w:rPr>
        <w:t>actuel Président du Parlement soit un homme, des femmes ont occupé ce poste important pendant plus de 20</w:t>
      </w:r>
      <w:r w:rsidR="006231EF" w:rsidRPr="004C7F84">
        <w:rPr>
          <w:spacing w:val="2"/>
          <w:w w:val="100"/>
        </w:rPr>
        <w:t> </w:t>
      </w:r>
      <w:r w:rsidRPr="004C7F84">
        <w:rPr>
          <w:spacing w:val="2"/>
          <w:w w:val="100"/>
        </w:rPr>
        <w:t>ans.</w:t>
      </w:r>
      <w:r w:rsidRPr="004C7F84">
        <w:t xml:space="preserve"> </w:t>
      </w:r>
    </w:p>
    <w:p w14:paraId="61402526" w14:textId="1034A23B" w:rsidR="00C81FD5" w:rsidRPr="004C7F84" w:rsidRDefault="00C663DF" w:rsidP="00514306">
      <w:pPr>
        <w:pStyle w:val="SingleTxt"/>
        <w:numPr>
          <w:ilvl w:val="0"/>
          <w:numId w:val="19"/>
        </w:numPr>
        <w:spacing w:line="240" w:lineRule="exact"/>
        <w:ind w:left="1267" w:firstLine="0"/>
      </w:pPr>
      <w:r w:rsidRPr="004C7F84">
        <w:t>Il convient de noter, toutefois, que les femmes d</w:t>
      </w:r>
      <w:r w:rsidR="00773F5D" w:rsidRPr="004C7F84">
        <w:t>’</w:t>
      </w:r>
      <w:r w:rsidRPr="004C7F84">
        <w:t>Antigua-et-Barbuda ont encore tendance à préférer les candidats masculins, en faisant activement campagne pour eux, en participant à leurs réunions politiques et en votant pour eux. Beaucoup de progrès ont été accomplis pour modifier cet état de choses, mais il faut déployer encore davantage d</w:t>
      </w:r>
      <w:r w:rsidR="00773F5D" w:rsidRPr="004C7F84">
        <w:t>’</w:t>
      </w:r>
      <w:r w:rsidRPr="004C7F84">
        <w:t xml:space="preserve">efforts. </w:t>
      </w:r>
    </w:p>
    <w:p w14:paraId="3F876B34" w14:textId="77777777" w:rsidR="00C81FD5" w:rsidRPr="004C7F84" w:rsidRDefault="00C81FD5" w:rsidP="00C81FD5">
      <w:pPr>
        <w:pStyle w:val="SingleTxt"/>
        <w:spacing w:after="0" w:line="120" w:lineRule="exact"/>
        <w:rPr>
          <w:sz w:val="10"/>
        </w:rPr>
      </w:pPr>
    </w:p>
    <w:p w14:paraId="4C683E3D" w14:textId="77777777" w:rsidR="00C663DF" w:rsidRPr="004C7F84" w:rsidRDefault="00C663DF" w:rsidP="00C81F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t>Vie publique</w:t>
      </w:r>
    </w:p>
    <w:p w14:paraId="32CE090C" w14:textId="253DD300" w:rsidR="00C81FD5" w:rsidRPr="004C7F84" w:rsidRDefault="00C81FD5" w:rsidP="00C81FD5">
      <w:pPr>
        <w:pStyle w:val="SingleTxt"/>
        <w:spacing w:after="0" w:line="120" w:lineRule="exact"/>
        <w:rPr>
          <w:b/>
          <w:sz w:val="10"/>
        </w:rPr>
      </w:pPr>
    </w:p>
    <w:p w14:paraId="5628989A" w14:textId="77777777" w:rsidR="00C663DF" w:rsidRPr="004C7F84" w:rsidRDefault="00C663DF" w:rsidP="00C81FD5">
      <w:pPr>
        <w:pStyle w:val="H4"/>
        <w:ind w:right="1260"/>
      </w:pPr>
      <w:r w:rsidRPr="004C7F84">
        <w:tab/>
      </w:r>
      <w:r w:rsidRPr="004C7F84">
        <w:tab/>
        <w:t>Fonction publique</w:t>
      </w:r>
    </w:p>
    <w:p w14:paraId="214C443C" w14:textId="05E27A1B" w:rsidR="00C81FD5" w:rsidRPr="004C7F84" w:rsidRDefault="00C81FD5" w:rsidP="00C81FD5">
      <w:pPr>
        <w:pStyle w:val="SingleTxt"/>
        <w:spacing w:after="0" w:line="120" w:lineRule="exact"/>
        <w:rPr>
          <w:i/>
          <w:sz w:val="10"/>
        </w:rPr>
      </w:pPr>
    </w:p>
    <w:p w14:paraId="6E73421B" w14:textId="57FC8A93" w:rsidR="00C663DF" w:rsidRPr="004C7F84" w:rsidRDefault="00C663DF" w:rsidP="00514306">
      <w:pPr>
        <w:pStyle w:val="SingleTxt"/>
        <w:numPr>
          <w:ilvl w:val="0"/>
          <w:numId w:val="19"/>
        </w:numPr>
        <w:spacing w:line="240" w:lineRule="exact"/>
        <w:ind w:left="1267" w:firstLine="0"/>
      </w:pPr>
      <w:r w:rsidRPr="004C7F84">
        <w:t>La fonction publique continue d</w:t>
      </w:r>
      <w:r w:rsidR="00773F5D" w:rsidRPr="004C7F84">
        <w:t>’</w:t>
      </w:r>
      <w:r w:rsidRPr="004C7F84">
        <w:t>être le principal employeur à Antigua-et-Barbuda. Les statistiques indiquent que le nombre de femmes dans ce secteur continue d</w:t>
      </w:r>
      <w:r w:rsidR="00773F5D" w:rsidRPr="004C7F84">
        <w:t>’</w:t>
      </w:r>
      <w:r w:rsidRPr="004C7F84">
        <w:t>augmenter. En 1980, il y avait quasiment autant de femmes que d</w:t>
      </w:r>
      <w:r w:rsidR="00773F5D" w:rsidRPr="004C7F84">
        <w:t>’</w:t>
      </w:r>
      <w:r w:rsidRPr="004C7F84">
        <w:t>hommes employés dans la fonction publique, mais en 1989, les femmes étaient deux fois plus nombreuses. La même année, 64,8</w:t>
      </w:r>
      <w:r w:rsidR="0086373A" w:rsidRPr="004C7F84">
        <w:t> </w:t>
      </w:r>
      <w:r w:rsidRPr="004C7F84">
        <w:t>% des postes permanents étaient occupés par des femmes. À l</w:t>
      </w:r>
      <w:r w:rsidR="00773F5D" w:rsidRPr="004C7F84">
        <w:t>’</w:t>
      </w:r>
      <w:r w:rsidRPr="004C7F84">
        <w:t>heure actuelle, le pourcentage de femmes dans la fonction publique est d</w:t>
      </w:r>
      <w:r w:rsidR="00773F5D" w:rsidRPr="004C7F84">
        <w:t>’</w:t>
      </w:r>
      <w:r w:rsidRPr="004C7F84">
        <w:t>environ 63</w:t>
      </w:r>
      <w:r w:rsidR="0086373A" w:rsidRPr="004C7F84">
        <w:t> </w:t>
      </w:r>
      <w:r w:rsidRPr="004C7F84">
        <w:t>%.</w:t>
      </w:r>
    </w:p>
    <w:p w14:paraId="56BBF0CE" w14:textId="029D9D1B" w:rsidR="00C663DF" w:rsidRPr="004C7F84" w:rsidRDefault="00C663DF" w:rsidP="00514306">
      <w:pPr>
        <w:pStyle w:val="SingleTxt"/>
        <w:numPr>
          <w:ilvl w:val="0"/>
          <w:numId w:val="19"/>
        </w:numPr>
        <w:spacing w:line="240" w:lineRule="exact"/>
        <w:ind w:left="1267" w:firstLine="0"/>
      </w:pPr>
      <w:r w:rsidRPr="004C7F84">
        <w:lastRenderedPageBreak/>
        <w:t>En 1989, 6 à 7</w:t>
      </w:r>
      <w:r w:rsidR="0086373A" w:rsidRPr="004C7F84">
        <w:t xml:space="preserve"> % </w:t>
      </w:r>
      <w:r w:rsidRPr="004C7F84">
        <w:t>seulement des 90</w:t>
      </w:r>
      <w:r w:rsidR="0086373A" w:rsidRPr="004C7F84">
        <w:t> </w:t>
      </w:r>
      <w:r w:rsidRPr="004C7F84">
        <w:t>personnes les mieux rémunérées dans la fonction publique étaient des femmes. En 1990, sur les 89</w:t>
      </w:r>
      <w:r w:rsidR="0086373A" w:rsidRPr="004C7F84">
        <w:t> </w:t>
      </w:r>
      <w:r w:rsidRPr="004C7F84">
        <w:t>chefs de division dans les ministères gouvernementaux et organismes créés par la loi et chefs de mission ou consuls, 18 (soit 20</w:t>
      </w:r>
      <w:r w:rsidR="0086373A" w:rsidRPr="004C7F84">
        <w:t> </w:t>
      </w:r>
      <w:r w:rsidRPr="004C7F84">
        <w:t>%) étaient des femmes. Toutefois, au cours des deux dernières décennies, la représentation des femmes aux échelons supérieurs de la fonction publique a régulièrement progressé. En 1992, 5 seulement des 14</w:t>
      </w:r>
      <w:r w:rsidR="0086373A" w:rsidRPr="004C7F84">
        <w:t> postes de s</w:t>
      </w:r>
      <w:r w:rsidRPr="004C7F84">
        <w:t>ecrétaire permanent (ou l</w:t>
      </w:r>
      <w:r w:rsidR="00773F5D" w:rsidRPr="004C7F84">
        <w:t>’</w:t>
      </w:r>
      <w:r w:rsidRPr="004C7F84">
        <w:t>équivalent) (soit 36</w:t>
      </w:r>
      <w:r w:rsidR="0086373A" w:rsidRPr="004C7F84">
        <w:t> </w:t>
      </w:r>
      <w:r w:rsidRPr="004C7F84">
        <w:t>%) étaient occupés par des femmes. En 2015, sur 20 de ces postes, 14 (soit 70</w:t>
      </w:r>
      <w:r w:rsidR="0086373A" w:rsidRPr="004C7F84">
        <w:t> </w:t>
      </w:r>
      <w:r w:rsidRPr="004C7F84">
        <w:t>%) sont détenus par des femmes. Si on considère le nombre de secrétaires permanents et de che</w:t>
      </w:r>
      <w:r w:rsidR="0086373A" w:rsidRPr="004C7F84">
        <w:t xml:space="preserve">fs de division (cette dernière </w:t>
      </w:r>
      <w:r w:rsidRPr="004C7F84">
        <w:t>catégorie comprenant également les chefs de projets spéciaux et l</w:t>
      </w:r>
      <w:r w:rsidR="00773F5D" w:rsidRPr="004C7F84">
        <w:t>’</w:t>
      </w:r>
      <w:r w:rsidRPr="004C7F84">
        <w:t>équivalent), le nombre de fonctionnaires de rang élevé passe à 27, dont 13</w:t>
      </w:r>
      <w:r w:rsidR="0086373A" w:rsidRPr="004C7F84">
        <w:t> </w:t>
      </w:r>
      <w:r w:rsidRPr="004C7F84">
        <w:t>femmes (soit 48</w:t>
      </w:r>
      <w:r w:rsidR="0086373A" w:rsidRPr="004C7F84">
        <w:t> </w:t>
      </w:r>
      <w:r w:rsidRPr="004C7F84">
        <w:t>%).</w:t>
      </w:r>
    </w:p>
    <w:p w14:paraId="0311F75D" w14:textId="76851B2E" w:rsidR="00C663DF" w:rsidRPr="004C7F84" w:rsidRDefault="00C663DF" w:rsidP="00514306">
      <w:pPr>
        <w:pStyle w:val="SingleTxt"/>
        <w:numPr>
          <w:ilvl w:val="0"/>
          <w:numId w:val="19"/>
        </w:numPr>
        <w:spacing w:line="240" w:lineRule="exact"/>
        <w:ind w:left="1267" w:firstLine="0"/>
      </w:pPr>
      <w:r w:rsidRPr="004C7F84">
        <w:t>Aujourd</w:t>
      </w:r>
      <w:r w:rsidR="00773F5D" w:rsidRPr="004C7F84">
        <w:t>’</w:t>
      </w:r>
      <w:r w:rsidRPr="004C7F84">
        <w:t>hui, peu de professions sont encore considérées comme masculines ou féminines, à l</w:t>
      </w:r>
      <w:r w:rsidR="00773F5D" w:rsidRPr="004C7F84">
        <w:t>’</w:t>
      </w:r>
      <w:r w:rsidRPr="004C7F84">
        <w:t>exception notable des soins infirmiers où les femmes sont majoritaires et du secteur du bâtiment, qui est essentiellement masculin. Il est intéressant de noter que dans le domaine de la médecine, il n</w:t>
      </w:r>
      <w:r w:rsidR="00773F5D" w:rsidRPr="004C7F84">
        <w:t>’</w:t>
      </w:r>
      <w:r w:rsidR="0086373A" w:rsidRPr="004C7F84">
        <w:t xml:space="preserve">existe plus de préjugé marqué </w:t>
      </w:r>
      <w:r w:rsidRPr="004C7F84">
        <w:t>en faveur des hommes. À l</w:t>
      </w:r>
      <w:r w:rsidR="00773F5D" w:rsidRPr="004C7F84">
        <w:t>’</w:t>
      </w:r>
      <w:r w:rsidRPr="004C7F84">
        <w:t>heure actuelle, les femmes médecins diplômées de l</w:t>
      </w:r>
      <w:r w:rsidR="00773F5D" w:rsidRPr="004C7F84">
        <w:t>’</w:t>
      </w:r>
      <w:r w:rsidRPr="004C7F84">
        <w:t xml:space="preserve">Université des Indes occidentales </w:t>
      </w:r>
      <w:r w:rsidR="0086373A" w:rsidRPr="004C7F84">
        <w:t xml:space="preserve">sont plus nombreuses que leurs homologues </w:t>
      </w:r>
      <w:r w:rsidRPr="004C7F84">
        <w:t>masculins. Sur les 256</w:t>
      </w:r>
      <w:r w:rsidR="0086373A" w:rsidRPr="004C7F84">
        <w:t> </w:t>
      </w:r>
      <w:r w:rsidRPr="004C7F84">
        <w:t>médecins autorisés à exercer à Antigua-et-Barbuda en 2015, environ 110 (soit 43</w:t>
      </w:r>
      <w:r w:rsidR="0086373A" w:rsidRPr="004C7F84">
        <w:t> %</w:t>
      </w:r>
      <w:r w:rsidRPr="004C7F84">
        <w:t>) sont des femmes. Il convient de noter également que certains de ces médecins sont des spécialistes qui se rendent de temps à autre à Antigua-et-Barbuda. À l</w:t>
      </w:r>
      <w:r w:rsidR="00773F5D" w:rsidRPr="004C7F84">
        <w:t>’</w:t>
      </w:r>
      <w:r w:rsidRPr="004C7F84">
        <w:t>heure actuelle, le chef du service médical du Ministère de la santé est une femme, tout comme son prédécesseur.</w:t>
      </w:r>
      <w:r w:rsidR="0086373A" w:rsidRPr="004C7F84">
        <w:t xml:space="preserve"> </w:t>
      </w:r>
    </w:p>
    <w:p w14:paraId="470BBC70" w14:textId="2848FE57" w:rsidR="00C81FD5" w:rsidRPr="004C7F84" w:rsidRDefault="00C81FD5" w:rsidP="00C81FD5">
      <w:pPr>
        <w:pStyle w:val="SingleTxt"/>
        <w:spacing w:after="0" w:line="120" w:lineRule="exact"/>
        <w:rPr>
          <w:sz w:val="10"/>
        </w:rPr>
      </w:pPr>
    </w:p>
    <w:p w14:paraId="634B6D2B" w14:textId="77777777" w:rsidR="00C663DF" w:rsidRPr="004C7F84" w:rsidRDefault="00C663DF" w:rsidP="00C81FD5">
      <w:pPr>
        <w:pStyle w:val="H4"/>
        <w:ind w:right="1260"/>
      </w:pPr>
      <w:r w:rsidRPr="004C7F84">
        <w:tab/>
      </w:r>
      <w:r w:rsidRPr="004C7F84">
        <w:tab/>
        <w:t>Profession juridique</w:t>
      </w:r>
    </w:p>
    <w:p w14:paraId="4CF3C6CD" w14:textId="3F1E7705" w:rsidR="00C81FD5" w:rsidRPr="004C7F84" w:rsidRDefault="00C81FD5" w:rsidP="00C81FD5">
      <w:pPr>
        <w:pStyle w:val="SingleTxt"/>
        <w:spacing w:after="0" w:line="120" w:lineRule="exact"/>
        <w:rPr>
          <w:i/>
          <w:sz w:val="10"/>
        </w:rPr>
      </w:pPr>
    </w:p>
    <w:p w14:paraId="08D9DFB8" w14:textId="55E1B7ED" w:rsidR="00BF5BEB" w:rsidRPr="004C7F84" w:rsidRDefault="00C663DF" w:rsidP="00514306">
      <w:pPr>
        <w:pStyle w:val="SingleTxt"/>
        <w:numPr>
          <w:ilvl w:val="0"/>
          <w:numId w:val="19"/>
        </w:numPr>
        <w:spacing w:line="240" w:lineRule="exact"/>
        <w:ind w:left="1267" w:firstLine="0"/>
      </w:pPr>
      <w:r w:rsidRPr="004C7F84">
        <w:t>La faculté de droit de l</w:t>
      </w:r>
      <w:r w:rsidR="00773F5D" w:rsidRPr="004C7F84">
        <w:t>’</w:t>
      </w:r>
      <w:r w:rsidRPr="004C7F84">
        <w:t>Université des Indes occidentales compte depuis deux décennies plus de femmes que d</w:t>
      </w:r>
      <w:r w:rsidR="00773F5D" w:rsidRPr="004C7F84">
        <w:t>’</w:t>
      </w:r>
      <w:r w:rsidRPr="004C7F84">
        <w:t>hommes, ce qui se traduit aujourd</w:t>
      </w:r>
      <w:r w:rsidR="00773F5D" w:rsidRPr="004C7F84">
        <w:t>’</w:t>
      </w:r>
      <w:r w:rsidRPr="004C7F84">
        <w:t>hui par le grand nombre de femmes juristes à Antigua-et-Barbuda et dans d</w:t>
      </w:r>
      <w:r w:rsidR="00773F5D" w:rsidRPr="004C7F84">
        <w:t>’</w:t>
      </w:r>
      <w:r w:rsidRPr="004C7F84">
        <w:t xml:space="preserve">autres pays des Caraïbes. </w:t>
      </w:r>
      <w:r w:rsidRPr="004C7F84">
        <w:rPr>
          <w:spacing w:val="2"/>
          <w:w w:val="100"/>
        </w:rPr>
        <w:t>Il n</w:t>
      </w:r>
      <w:r w:rsidR="00773F5D" w:rsidRPr="004C7F84">
        <w:rPr>
          <w:spacing w:val="2"/>
          <w:w w:val="100"/>
        </w:rPr>
        <w:t>’</w:t>
      </w:r>
      <w:r w:rsidRPr="004C7F84">
        <w:rPr>
          <w:spacing w:val="2"/>
          <w:w w:val="100"/>
        </w:rPr>
        <w:t>en a pas toujours été ainsi. En 1980, le ratio hommes-femmes était de 25 pour 8</w:t>
      </w:r>
      <w:r w:rsidR="00773F5D" w:rsidRPr="004C7F84">
        <w:rPr>
          <w:spacing w:val="2"/>
          <w:w w:val="100"/>
        </w:rPr>
        <w:t> ;</w:t>
      </w:r>
      <w:r w:rsidRPr="004C7F84">
        <w:rPr>
          <w:spacing w:val="2"/>
          <w:w w:val="100"/>
        </w:rPr>
        <w:t xml:space="preserve"> en</w:t>
      </w:r>
      <w:r w:rsidRPr="004C7F84">
        <w:t xml:space="preserve"> 1985, il était de 26</w:t>
      </w:r>
      <w:r w:rsidR="0086373A" w:rsidRPr="004C7F84">
        <w:t> </w:t>
      </w:r>
      <w:r w:rsidRPr="004C7F84">
        <w:t>hommes pour 6</w:t>
      </w:r>
      <w:r w:rsidR="0086373A" w:rsidRPr="004C7F84">
        <w:t> </w:t>
      </w:r>
      <w:r w:rsidRPr="004C7F84">
        <w:t>femmes et en 1994, il était de 23</w:t>
      </w:r>
      <w:r w:rsidR="0086373A" w:rsidRPr="004C7F84">
        <w:t> </w:t>
      </w:r>
      <w:r w:rsidRPr="004C7F84">
        <w:t>hommes pour 15</w:t>
      </w:r>
      <w:r w:rsidR="0086373A" w:rsidRPr="004C7F84">
        <w:t> </w:t>
      </w:r>
      <w:r w:rsidRPr="004C7F84">
        <w:t>femmes. En 2015, sur les 130</w:t>
      </w:r>
      <w:r w:rsidR="0086373A" w:rsidRPr="004C7F84">
        <w:t> </w:t>
      </w:r>
      <w:r w:rsidRPr="004C7F84">
        <w:t>avocats en exercice libéral, 72 (soit 55</w:t>
      </w:r>
      <w:r w:rsidR="0086373A" w:rsidRPr="004C7F84">
        <w:t> %</w:t>
      </w:r>
      <w:r w:rsidRPr="004C7F84">
        <w:t>) sont des femmes. Comme l</w:t>
      </w:r>
      <w:r w:rsidR="00773F5D" w:rsidRPr="004C7F84">
        <w:t>’</w:t>
      </w:r>
      <w:r w:rsidRPr="004C7F84">
        <w:t>indique le tableau</w:t>
      </w:r>
      <w:r w:rsidR="0086373A" w:rsidRPr="004C7F84">
        <w:t> </w:t>
      </w:r>
      <w:r w:rsidRPr="004C7F84">
        <w:t>2 ci-après, les femmes juristes sont bien plus nombreuses que leurs homologues masculins dans la fonction publique. Sur les 25</w:t>
      </w:r>
      <w:r w:rsidR="0086373A" w:rsidRPr="004C7F84">
        <w:t> </w:t>
      </w:r>
      <w:r w:rsidRPr="004C7F84">
        <w:t xml:space="preserve">juristes employés par le </w:t>
      </w:r>
      <w:r w:rsidR="0086373A" w:rsidRPr="004C7F84">
        <w:t xml:space="preserve">Gouvernement en 2015, 16 (soit </w:t>
      </w:r>
      <w:r w:rsidRPr="004C7F84">
        <w:t>64</w:t>
      </w:r>
      <w:r w:rsidR="0086373A" w:rsidRPr="004C7F84">
        <w:t> %</w:t>
      </w:r>
      <w:r w:rsidRPr="004C7F84">
        <w:t>) sont des femmes.</w:t>
      </w:r>
      <w:r w:rsidR="00773F5D" w:rsidRPr="004C7F84">
        <w:t xml:space="preserve"> </w:t>
      </w:r>
    </w:p>
    <w:p w14:paraId="4D65CC0A" w14:textId="0F4FB597" w:rsidR="00AC07A9" w:rsidRPr="004C7F84" w:rsidRDefault="00AC07A9" w:rsidP="00AC07A9">
      <w:pPr>
        <w:pStyle w:val="SingleTxt"/>
        <w:spacing w:after="0" w:line="120" w:lineRule="exact"/>
        <w:rPr>
          <w:sz w:val="10"/>
        </w:rPr>
      </w:pPr>
    </w:p>
    <w:p w14:paraId="1B16656A" w14:textId="4B17113E" w:rsidR="00664254" w:rsidRPr="004C7F84" w:rsidRDefault="00AC07A9" w:rsidP="00AC07A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C7F84">
        <w:rPr>
          <w:lang w:val="fr-FR"/>
        </w:rPr>
        <w:tab/>
      </w:r>
      <w:r w:rsidRPr="004C7F84">
        <w:rPr>
          <w:lang w:val="fr-FR"/>
        </w:rPr>
        <w:tab/>
      </w:r>
      <w:r w:rsidR="00BF5BEB" w:rsidRPr="004C7F84">
        <w:rPr>
          <w:b w:val="0"/>
          <w:bCs/>
          <w:lang w:val="fr-FR"/>
        </w:rPr>
        <w:t>Table</w:t>
      </w:r>
      <w:r w:rsidR="00C81FD5" w:rsidRPr="004C7F84">
        <w:rPr>
          <w:b w:val="0"/>
          <w:bCs/>
          <w:lang w:val="fr-FR"/>
        </w:rPr>
        <w:t>au</w:t>
      </w:r>
      <w:r w:rsidR="00BF5BEB" w:rsidRPr="004C7F84">
        <w:rPr>
          <w:b w:val="0"/>
          <w:bCs/>
          <w:lang w:val="fr-FR"/>
        </w:rPr>
        <w:t xml:space="preserve"> 2</w:t>
      </w:r>
    </w:p>
    <w:p w14:paraId="4FD62A84" w14:textId="21EE8383" w:rsidR="00BF5BEB" w:rsidRPr="004C7F84" w:rsidRDefault="00AC07A9" w:rsidP="00AC07A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C7F84">
        <w:rPr>
          <w:lang w:val="fr-FR"/>
        </w:rPr>
        <w:tab/>
      </w:r>
      <w:r w:rsidRPr="004C7F84">
        <w:rPr>
          <w:lang w:val="fr-FR"/>
        </w:rPr>
        <w:tab/>
      </w:r>
      <w:r w:rsidR="00C81FD5" w:rsidRPr="004C7F84">
        <w:rPr>
          <w:lang w:val="fr-FR"/>
        </w:rPr>
        <w:t>Nombre de femmes juristes employées dans la fonction publique en</w:t>
      </w:r>
      <w:r w:rsidR="00BF5BEB" w:rsidRPr="004C7F84">
        <w:rPr>
          <w:lang w:val="fr-FR"/>
        </w:rPr>
        <w:t xml:space="preserve"> 2015</w:t>
      </w:r>
    </w:p>
    <w:p w14:paraId="5C742B67" w14:textId="6FB1F837" w:rsidR="000036EF" w:rsidRPr="004C7F84" w:rsidRDefault="000036EF" w:rsidP="000036EF">
      <w:pPr>
        <w:pStyle w:val="SingleTxt"/>
        <w:spacing w:after="0" w:line="120" w:lineRule="exact"/>
        <w:rPr>
          <w:sz w:val="10"/>
        </w:rPr>
      </w:pPr>
    </w:p>
    <w:p w14:paraId="198C421B" w14:textId="34D0BD7B" w:rsidR="000036EF" w:rsidRPr="004C7F84" w:rsidRDefault="000036EF" w:rsidP="000036EF">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4"/>
        <w:gridCol w:w="1612"/>
        <w:gridCol w:w="1612"/>
        <w:gridCol w:w="1612"/>
      </w:tblGrid>
      <w:tr w:rsidR="00AC07A9" w:rsidRPr="004C7F84" w14:paraId="1AB59B24" w14:textId="77777777" w:rsidTr="0034195A">
        <w:trPr>
          <w:tblHeader/>
        </w:trPr>
        <w:tc>
          <w:tcPr>
            <w:tcW w:w="2484" w:type="dxa"/>
            <w:tcBorders>
              <w:top w:val="single" w:sz="4" w:space="0" w:color="auto"/>
              <w:bottom w:val="single" w:sz="12" w:space="0" w:color="auto"/>
            </w:tcBorders>
            <w:shd w:val="clear" w:color="auto" w:fill="auto"/>
            <w:vAlign w:val="bottom"/>
          </w:tcPr>
          <w:p w14:paraId="72911F58" w14:textId="3E1CAF2C" w:rsidR="00AC07A9" w:rsidRPr="004C7F84" w:rsidRDefault="00C81FD5"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4C7F84">
              <w:rPr>
                <w:i/>
                <w:sz w:val="14"/>
              </w:rPr>
              <w:t>Département</w:t>
            </w:r>
          </w:p>
        </w:tc>
        <w:tc>
          <w:tcPr>
            <w:tcW w:w="1612" w:type="dxa"/>
            <w:tcBorders>
              <w:top w:val="single" w:sz="4" w:space="0" w:color="auto"/>
              <w:bottom w:val="single" w:sz="12" w:space="0" w:color="auto"/>
            </w:tcBorders>
            <w:shd w:val="clear" w:color="auto" w:fill="auto"/>
            <w:vAlign w:val="bottom"/>
          </w:tcPr>
          <w:p w14:paraId="446C57BF" w14:textId="541482D8" w:rsidR="00AC07A9" w:rsidRPr="004C7F84" w:rsidRDefault="00C81FD5"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Hommes</w:t>
            </w:r>
          </w:p>
        </w:tc>
        <w:tc>
          <w:tcPr>
            <w:tcW w:w="1612" w:type="dxa"/>
            <w:tcBorders>
              <w:top w:val="single" w:sz="4" w:space="0" w:color="auto"/>
              <w:bottom w:val="single" w:sz="12" w:space="0" w:color="auto"/>
            </w:tcBorders>
            <w:shd w:val="clear" w:color="auto" w:fill="auto"/>
            <w:vAlign w:val="bottom"/>
          </w:tcPr>
          <w:p w14:paraId="0B6F2011" w14:textId="58DE3BDE" w:rsidR="00AC07A9" w:rsidRPr="004C7F84" w:rsidRDefault="00C81FD5"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Femmes</w:t>
            </w:r>
          </w:p>
        </w:tc>
        <w:tc>
          <w:tcPr>
            <w:tcW w:w="1612" w:type="dxa"/>
            <w:tcBorders>
              <w:top w:val="single" w:sz="4" w:space="0" w:color="auto"/>
              <w:bottom w:val="single" w:sz="12" w:space="0" w:color="auto"/>
            </w:tcBorders>
            <w:shd w:val="clear" w:color="auto" w:fill="auto"/>
            <w:vAlign w:val="bottom"/>
          </w:tcPr>
          <w:p w14:paraId="412DF24F" w14:textId="3214B26D" w:rsidR="00AC07A9" w:rsidRPr="004C7F84" w:rsidRDefault="00C81FD5"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Total</w:t>
            </w:r>
          </w:p>
        </w:tc>
      </w:tr>
      <w:tr w:rsidR="00AC07A9" w:rsidRPr="004C7F84" w14:paraId="29EAB9CA" w14:textId="77777777" w:rsidTr="0034195A">
        <w:trPr>
          <w:trHeight w:hRule="exact" w:val="115"/>
          <w:tblHeader/>
        </w:trPr>
        <w:tc>
          <w:tcPr>
            <w:tcW w:w="2484" w:type="dxa"/>
            <w:tcBorders>
              <w:top w:val="single" w:sz="12" w:space="0" w:color="auto"/>
            </w:tcBorders>
            <w:shd w:val="clear" w:color="auto" w:fill="auto"/>
            <w:vAlign w:val="bottom"/>
          </w:tcPr>
          <w:p w14:paraId="7CB0D34D"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612" w:type="dxa"/>
            <w:tcBorders>
              <w:top w:val="single" w:sz="12" w:space="0" w:color="auto"/>
            </w:tcBorders>
            <w:shd w:val="clear" w:color="auto" w:fill="auto"/>
            <w:vAlign w:val="bottom"/>
          </w:tcPr>
          <w:p w14:paraId="26A72D95"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612" w:type="dxa"/>
            <w:tcBorders>
              <w:top w:val="single" w:sz="12" w:space="0" w:color="auto"/>
            </w:tcBorders>
            <w:shd w:val="clear" w:color="auto" w:fill="auto"/>
            <w:vAlign w:val="bottom"/>
          </w:tcPr>
          <w:p w14:paraId="768C634D"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612" w:type="dxa"/>
            <w:tcBorders>
              <w:top w:val="single" w:sz="12" w:space="0" w:color="auto"/>
            </w:tcBorders>
            <w:shd w:val="clear" w:color="auto" w:fill="auto"/>
            <w:vAlign w:val="bottom"/>
          </w:tcPr>
          <w:p w14:paraId="02CA6754"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AC07A9" w:rsidRPr="004C7F84" w14:paraId="4BF77603" w14:textId="77777777" w:rsidTr="0034195A">
        <w:tc>
          <w:tcPr>
            <w:tcW w:w="2484" w:type="dxa"/>
            <w:shd w:val="clear" w:color="auto" w:fill="auto"/>
            <w:vAlign w:val="bottom"/>
          </w:tcPr>
          <w:p w14:paraId="440D70C5" w14:textId="3CC37782" w:rsidR="00AC07A9" w:rsidRPr="004C7F84" w:rsidRDefault="00C81FD5"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C7F84">
              <w:rPr>
                <w:sz w:val="17"/>
              </w:rPr>
              <w:t>Siège du Ministère</w:t>
            </w:r>
          </w:p>
        </w:tc>
        <w:tc>
          <w:tcPr>
            <w:tcW w:w="1612" w:type="dxa"/>
            <w:shd w:val="clear" w:color="auto" w:fill="auto"/>
            <w:vAlign w:val="bottom"/>
          </w:tcPr>
          <w:p w14:paraId="52AC145A"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4</w:t>
            </w:r>
          </w:p>
        </w:tc>
        <w:tc>
          <w:tcPr>
            <w:tcW w:w="1612" w:type="dxa"/>
            <w:shd w:val="clear" w:color="auto" w:fill="auto"/>
            <w:vAlign w:val="bottom"/>
          </w:tcPr>
          <w:p w14:paraId="2E9591EB"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5</w:t>
            </w:r>
          </w:p>
        </w:tc>
        <w:tc>
          <w:tcPr>
            <w:tcW w:w="1612" w:type="dxa"/>
            <w:shd w:val="clear" w:color="auto" w:fill="auto"/>
            <w:vAlign w:val="bottom"/>
          </w:tcPr>
          <w:p w14:paraId="3B0BBA51"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9</w:t>
            </w:r>
          </w:p>
        </w:tc>
      </w:tr>
      <w:tr w:rsidR="00AC07A9" w:rsidRPr="004C7F84" w14:paraId="545B737C" w14:textId="77777777" w:rsidTr="0034195A">
        <w:tc>
          <w:tcPr>
            <w:tcW w:w="2484" w:type="dxa"/>
            <w:shd w:val="clear" w:color="auto" w:fill="auto"/>
            <w:vAlign w:val="bottom"/>
          </w:tcPr>
          <w:p w14:paraId="6F7740F5" w14:textId="779FDAEE" w:rsidR="00AC07A9" w:rsidRPr="004C7F84" w:rsidRDefault="00C81FD5" w:rsidP="0086373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C7F84">
              <w:rPr>
                <w:sz w:val="17"/>
              </w:rPr>
              <w:t>Centre de conseils juridiques et</w:t>
            </w:r>
            <w:r w:rsidR="0086373A" w:rsidRPr="004C7F84">
              <w:rPr>
                <w:sz w:val="17"/>
              </w:rPr>
              <w:t> </w:t>
            </w:r>
            <w:r w:rsidRPr="004C7F84">
              <w:rPr>
                <w:sz w:val="17"/>
              </w:rPr>
              <w:t>d</w:t>
            </w:r>
            <w:r w:rsidR="00773F5D" w:rsidRPr="004C7F84">
              <w:rPr>
                <w:sz w:val="17"/>
              </w:rPr>
              <w:t>’</w:t>
            </w:r>
            <w:r w:rsidRPr="004C7F84">
              <w:rPr>
                <w:sz w:val="17"/>
              </w:rPr>
              <w:t>aide juridictionnelle</w:t>
            </w:r>
          </w:p>
        </w:tc>
        <w:tc>
          <w:tcPr>
            <w:tcW w:w="1612" w:type="dxa"/>
            <w:shd w:val="clear" w:color="auto" w:fill="auto"/>
            <w:vAlign w:val="bottom"/>
          </w:tcPr>
          <w:p w14:paraId="4D03D81C" w14:textId="46462338"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w:t>
            </w:r>
          </w:p>
        </w:tc>
        <w:tc>
          <w:tcPr>
            <w:tcW w:w="1612" w:type="dxa"/>
            <w:shd w:val="clear" w:color="auto" w:fill="auto"/>
            <w:vAlign w:val="bottom"/>
          </w:tcPr>
          <w:p w14:paraId="27869399"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3</w:t>
            </w:r>
          </w:p>
        </w:tc>
        <w:tc>
          <w:tcPr>
            <w:tcW w:w="1612" w:type="dxa"/>
            <w:shd w:val="clear" w:color="auto" w:fill="auto"/>
            <w:vAlign w:val="bottom"/>
          </w:tcPr>
          <w:p w14:paraId="70D91DDC"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3</w:t>
            </w:r>
          </w:p>
        </w:tc>
      </w:tr>
      <w:tr w:rsidR="00AC07A9" w:rsidRPr="004C7F84" w14:paraId="1A93462E" w14:textId="77777777" w:rsidTr="0034195A">
        <w:tc>
          <w:tcPr>
            <w:tcW w:w="2484" w:type="dxa"/>
            <w:shd w:val="clear" w:color="auto" w:fill="auto"/>
            <w:vAlign w:val="bottom"/>
          </w:tcPr>
          <w:p w14:paraId="536A51E9" w14:textId="2F966CF2" w:rsidR="00AC07A9" w:rsidRPr="004C7F84" w:rsidRDefault="00C81FD5"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C7F84">
              <w:rPr>
                <w:sz w:val="17"/>
              </w:rPr>
              <w:t>Haute Cour</w:t>
            </w:r>
          </w:p>
        </w:tc>
        <w:tc>
          <w:tcPr>
            <w:tcW w:w="1612" w:type="dxa"/>
            <w:shd w:val="clear" w:color="auto" w:fill="auto"/>
            <w:vAlign w:val="bottom"/>
          </w:tcPr>
          <w:p w14:paraId="30D526C5"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2</w:t>
            </w:r>
          </w:p>
        </w:tc>
        <w:tc>
          <w:tcPr>
            <w:tcW w:w="1612" w:type="dxa"/>
            <w:shd w:val="clear" w:color="auto" w:fill="auto"/>
            <w:vAlign w:val="bottom"/>
          </w:tcPr>
          <w:p w14:paraId="7C3D2635"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4</w:t>
            </w:r>
          </w:p>
        </w:tc>
        <w:tc>
          <w:tcPr>
            <w:tcW w:w="1612" w:type="dxa"/>
            <w:shd w:val="clear" w:color="auto" w:fill="auto"/>
            <w:vAlign w:val="bottom"/>
          </w:tcPr>
          <w:p w14:paraId="50EFCCDE"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6</w:t>
            </w:r>
          </w:p>
        </w:tc>
      </w:tr>
      <w:tr w:rsidR="00AC07A9" w:rsidRPr="004C7F84" w14:paraId="32E3AC35" w14:textId="77777777" w:rsidTr="0034195A">
        <w:tc>
          <w:tcPr>
            <w:tcW w:w="2484" w:type="dxa"/>
            <w:shd w:val="clear" w:color="auto" w:fill="auto"/>
            <w:vAlign w:val="bottom"/>
          </w:tcPr>
          <w:p w14:paraId="1EF80AE9" w14:textId="38DE4992" w:rsidR="00AC07A9" w:rsidRPr="004C7F84" w:rsidRDefault="00C81FD5"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C7F84">
              <w:rPr>
                <w:sz w:val="17"/>
              </w:rPr>
              <w:t>Justice de paix</w:t>
            </w:r>
          </w:p>
        </w:tc>
        <w:tc>
          <w:tcPr>
            <w:tcW w:w="1612" w:type="dxa"/>
            <w:shd w:val="clear" w:color="auto" w:fill="auto"/>
            <w:vAlign w:val="bottom"/>
          </w:tcPr>
          <w:p w14:paraId="2CC748F7"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2</w:t>
            </w:r>
          </w:p>
        </w:tc>
        <w:tc>
          <w:tcPr>
            <w:tcW w:w="1612" w:type="dxa"/>
            <w:shd w:val="clear" w:color="auto" w:fill="auto"/>
            <w:vAlign w:val="bottom"/>
          </w:tcPr>
          <w:p w14:paraId="7446E7AC"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3</w:t>
            </w:r>
          </w:p>
        </w:tc>
        <w:tc>
          <w:tcPr>
            <w:tcW w:w="1612" w:type="dxa"/>
            <w:shd w:val="clear" w:color="auto" w:fill="auto"/>
            <w:vAlign w:val="bottom"/>
          </w:tcPr>
          <w:p w14:paraId="5F32974F"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5</w:t>
            </w:r>
          </w:p>
        </w:tc>
      </w:tr>
      <w:tr w:rsidR="00AC07A9" w:rsidRPr="004C7F84" w14:paraId="44736EF8" w14:textId="77777777" w:rsidTr="0034195A">
        <w:tc>
          <w:tcPr>
            <w:tcW w:w="2484" w:type="dxa"/>
            <w:shd w:val="clear" w:color="auto" w:fill="auto"/>
            <w:vAlign w:val="bottom"/>
          </w:tcPr>
          <w:p w14:paraId="6352466B" w14:textId="4C394F6E" w:rsidR="00AC07A9" w:rsidRPr="004C7F84" w:rsidRDefault="00C81FD5"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C7F84">
              <w:rPr>
                <w:sz w:val="17"/>
              </w:rPr>
              <w:t>Conseil de prud</w:t>
            </w:r>
            <w:r w:rsidR="00773F5D" w:rsidRPr="004C7F84">
              <w:rPr>
                <w:sz w:val="17"/>
              </w:rPr>
              <w:t>’</w:t>
            </w:r>
            <w:r w:rsidRPr="004C7F84">
              <w:rPr>
                <w:sz w:val="17"/>
              </w:rPr>
              <w:t>hommes</w:t>
            </w:r>
          </w:p>
        </w:tc>
        <w:tc>
          <w:tcPr>
            <w:tcW w:w="1612" w:type="dxa"/>
            <w:shd w:val="clear" w:color="auto" w:fill="auto"/>
            <w:vAlign w:val="bottom"/>
          </w:tcPr>
          <w:p w14:paraId="6664568D"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1</w:t>
            </w:r>
          </w:p>
        </w:tc>
        <w:tc>
          <w:tcPr>
            <w:tcW w:w="1612" w:type="dxa"/>
            <w:shd w:val="clear" w:color="auto" w:fill="auto"/>
            <w:vAlign w:val="bottom"/>
          </w:tcPr>
          <w:p w14:paraId="32595DB4" w14:textId="22A4848A"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w:t>
            </w:r>
          </w:p>
        </w:tc>
        <w:tc>
          <w:tcPr>
            <w:tcW w:w="1612" w:type="dxa"/>
            <w:shd w:val="clear" w:color="auto" w:fill="auto"/>
            <w:vAlign w:val="bottom"/>
          </w:tcPr>
          <w:p w14:paraId="296C8D3F"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1</w:t>
            </w:r>
          </w:p>
        </w:tc>
      </w:tr>
      <w:tr w:rsidR="00AC07A9" w:rsidRPr="004C7F84" w14:paraId="7CD1FAFC" w14:textId="77777777" w:rsidTr="0034195A">
        <w:tc>
          <w:tcPr>
            <w:tcW w:w="2484" w:type="dxa"/>
            <w:tcBorders>
              <w:bottom w:val="single" w:sz="4" w:space="0" w:color="auto"/>
            </w:tcBorders>
            <w:shd w:val="clear" w:color="auto" w:fill="auto"/>
            <w:vAlign w:val="bottom"/>
          </w:tcPr>
          <w:p w14:paraId="1B750C11" w14:textId="76397ABA" w:rsidR="00AC07A9" w:rsidRPr="004C7F84" w:rsidRDefault="00C81FD5"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4C7F84">
              <w:rPr>
                <w:sz w:val="17"/>
              </w:rPr>
              <w:t>Cadastre</w:t>
            </w:r>
          </w:p>
        </w:tc>
        <w:tc>
          <w:tcPr>
            <w:tcW w:w="1612" w:type="dxa"/>
            <w:tcBorders>
              <w:bottom w:val="single" w:sz="4" w:space="0" w:color="auto"/>
            </w:tcBorders>
            <w:shd w:val="clear" w:color="auto" w:fill="auto"/>
            <w:vAlign w:val="bottom"/>
          </w:tcPr>
          <w:p w14:paraId="745CB832" w14:textId="3E87F0EE"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C7F84">
              <w:rPr>
                <w:sz w:val="17"/>
              </w:rPr>
              <w:t>–</w:t>
            </w:r>
          </w:p>
        </w:tc>
        <w:tc>
          <w:tcPr>
            <w:tcW w:w="1612" w:type="dxa"/>
            <w:tcBorders>
              <w:bottom w:val="single" w:sz="4" w:space="0" w:color="auto"/>
            </w:tcBorders>
            <w:shd w:val="clear" w:color="auto" w:fill="auto"/>
            <w:vAlign w:val="bottom"/>
          </w:tcPr>
          <w:p w14:paraId="24135612"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C7F84">
              <w:rPr>
                <w:sz w:val="17"/>
              </w:rPr>
              <w:t>1</w:t>
            </w:r>
          </w:p>
        </w:tc>
        <w:tc>
          <w:tcPr>
            <w:tcW w:w="1612" w:type="dxa"/>
            <w:tcBorders>
              <w:bottom w:val="single" w:sz="4" w:space="0" w:color="auto"/>
            </w:tcBorders>
            <w:shd w:val="clear" w:color="auto" w:fill="auto"/>
            <w:vAlign w:val="bottom"/>
          </w:tcPr>
          <w:p w14:paraId="14D9A66A"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4C7F84">
              <w:rPr>
                <w:sz w:val="17"/>
              </w:rPr>
              <w:t>1</w:t>
            </w:r>
          </w:p>
        </w:tc>
      </w:tr>
      <w:tr w:rsidR="00AC07A9" w:rsidRPr="004C7F84" w14:paraId="564FA1DB" w14:textId="77777777" w:rsidTr="0034195A">
        <w:tc>
          <w:tcPr>
            <w:tcW w:w="2484" w:type="dxa"/>
            <w:tcBorders>
              <w:top w:val="single" w:sz="4" w:space="0" w:color="auto"/>
              <w:bottom w:val="single" w:sz="12" w:space="0" w:color="auto"/>
            </w:tcBorders>
            <w:shd w:val="clear" w:color="auto" w:fill="auto"/>
            <w:vAlign w:val="bottom"/>
          </w:tcPr>
          <w:p w14:paraId="1E968485" w14:textId="4A11807C"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sidRPr="004C7F84">
              <w:rPr>
                <w:b/>
                <w:sz w:val="17"/>
              </w:rPr>
              <w:tab/>
              <w:t>Total</w:t>
            </w:r>
          </w:p>
        </w:tc>
        <w:tc>
          <w:tcPr>
            <w:tcW w:w="1612" w:type="dxa"/>
            <w:tcBorders>
              <w:top w:val="single" w:sz="4" w:space="0" w:color="auto"/>
              <w:bottom w:val="single" w:sz="12" w:space="0" w:color="auto"/>
            </w:tcBorders>
            <w:shd w:val="clear" w:color="auto" w:fill="auto"/>
            <w:vAlign w:val="bottom"/>
          </w:tcPr>
          <w:p w14:paraId="0F66963F"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C7F84">
              <w:rPr>
                <w:b/>
                <w:sz w:val="17"/>
              </w:rPr>
              <w:t>9</w:t>
            </w:r>
          </w:p>
        </w:tc>
        <w:tc>
          <w:tcPr>
            <w:tcW w:w="1612" w:type="dxa"/>
            <w:tcBorders>
              <w:top w:val="single" w:sz="4" w:space="0" w:color="auto"/>
              <w:bottom w:val="single" w:sz="12" w:space="0" w:color="auto"/>
            </w:tcBorders>
            <w:shd w:val="clear" w:color="auto" w:fill="auto"/>
            <w:vAlign w:val="bottom"/>
          </w:tcPr>
          <w:p w14:paraId="6D9E9DA4"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C7F84">
              <w:rPr>
                <w:b/>
                <w:sz w:val="17"/>
              </w:rPr>
              <w:t>16</w:t>
            </w:r>
          </w:p>
        </w:tc>
        <w:tc>
          <w:tcPr>
            <w:tcW w:w="1612" w:type="dxa"/>
            <w:tcBorders>
              <w:top w:val="single" w:sz="4" w:space="0" w:color="auto"/>
              <w:bottom w:val="single" w:sz="12" w:space="0" w:color="auto"/>
            </w:tcBorders>
            <w:shd w:val="clear" w:color="auto" w:fill="auto"/>
            <w:vAlign w:val="bottom"/>
          </w:tcPr>
          <w:p w14:paraId="7912839A" w14:textId="77777777" w:rsidR="00AC07A9" w:rsidRPr="004C7F84" w:rsidRDefault="00AC07A9" w:rsidP="00AC07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4C7F84">
              <w:rPr>
                <w:b/>
                <w:sz w:val="17"/>
              </w:rPr>
              <w:t>25</w:t>
            </w:r>
          </w:p>
        </w:tc>
      </w:tr>
    </w:tbl>
    <w:p w14:paraId="1E0B3A8C" w14:textId="698253C9" w:rsidR="00AC07A9" w:rsidRPr="004C7F84" w:rsidRDefault="00AC07A9" w:rsidP="00AC07A9">
      <w:pPr>
        <w:pStyle w:val="SingleTxt"/>
        <w:spacing w:after="0" w:line="120" w:lineRule="exact"/>
        <w:rPr>
          <w:sz w:val="10"/>
        </w:rPr>
      </w:pPr>
    </w:p>
    <w:p w14:paraId="17142D06" w14:textId="6F5C92F9" w:rsidR="00AC07A9" w:rsidRPr="004C7F84" w:rsidRDefault="00BF5BEB" w:rsidP="00C81FD5">
      <w:pPr>
        <w:pStyle w:val="FootnoteText"/>
        <w:tabs>
          <w:tab w:val="clear" w:pos="418"/>
          <w:tab w:val="right" w:pos="1476"/>
          <w:tab w:val="left" w:pos="1548"/>
          <w:tab w:val="right" w:pos="1836"/>
          <w:tab w:val="left" w:pos="1908"/>
        </w:tabs>
        <w:ind w:left="1548" w:right="1267" w:hanging="288"/>
      </w:pPr>
      <w:r w:rsidRPr="004C7F84">
        <w:rPr>
          <w:i/>
          <w:iCs/>
        </w:rPr>
        <w:t>Source</w:t>
      </w:r>
      <w:r w:rsidR="00773F5D" w:rsidRPr="004C7F84">
        <w:rPr>
          <w:i/>
          <w:iCs/>
        </w:rPr>
        <w:t> :</w:t>
      </w:r>
      <w:r w:rsidRPr="004C7F84">
        <w:t xml:space="preserve"> </w:t>
      </w:r>
      <w:r w:rsidR="00C81FD5" w:rsidRPr="004C7F84">
        <w:t>Barreau d</w:t>
      </w:r>
      <w:r w:rsidR="00773F5D" w:rsidRPr="004C7F84">
        <w:t>’</w:t>
      </w:r>
      <w:r w:rsidR="00C81FD5" w:rsidRPr="004C7F84">
        <w:t>Antigua-et-Barbuda, statistiques non publiées, 2015</w:t>
      </w:r>
      <w:r w:rsidR="006E7D5E" w:rsidRPr="004C7F84">
        <w:t>.</w:t>
      </w:r>
    </w:p>
    <w:p w14:paraId="056E9AA7" w14:textId="7F2FB0DC" w:rsidR="00C81FD5" w:rsidRPr="004C7F84" w:rsidRDefault="00C81FD5" w:rsidP="00C81FD5">
      <w:pPr>
        <w:pStyle w:val="FootnoteText"/>
        <w:tabs>
          <w:tab w:val="clear" w:pos="418"/>
          <w:tab w:val="right" w:pos="1476"/>
          <w:tab w:val="left" w:pos="1548"/>
          <w:tab w:val="right" w:pos="1836"/>
          <w:tab w:val="left" w:pos="1908"/>
        </w:tabs>
        <w:spacing w:line="120" w:lineRule="exact"/>
        <w:ind w:left="1548" w:right="1267" w:hanging="288"/>
        <w:rPr>
          <w:sz w:val="10"/>
        </w:rPr>
      </w:pPr>
    </w:p>
    <w:p w14:paraId="23AEEBC2" w14:textId="20733C3C" w:rsidR="00C81FD5" w:rsidRPr="004C7F84" w:rsidRDefault="00C81FD5" w:rsidP="00514306">
      <w:pPr>
        <w:pStyle w:val="SingleTxt"/>
        <w:numPr>
          <w:ilvl w:val="0"/>
          <w:numId w:val="19"/>
        </w:numPr>
        <w:spacing w:line="240" w:lineRule="exact"/>
        <w:ind w:left="1267" w:firstLine="0"/>
      </w:pPr>
      <w:r w:rsidRPr="004C7F84">
        <w:lastRenderedPageBreak/>
        <w:t>Aujourd</w:t>
      </w:r>
      <w:r w:rsidR="00773F5D" w:rsidRPr="004C7F84">
        <w:t>’</w:t>
      </w:r>
      <w:r w:rsidRPr="004C7F84">
        <w:t>hui, 2 des 7</w:t>
      </w:r>
      <w:r w:rsidR="0086373A" w:rsidRPr="004C7F84">
        <w:t> </w:t>
      </w:r>
      <w:r w:rsidRPr="004C7F84">
        <w:t>juges de la Cour suprême des Caraïbes orientales sont des femmes, ce qui représente un progrès important par rapport aux années précédentes. En 1980, aucune femme ne siégeait à la Cour suprême. En 2002, Antigua-et-Barbuda a nommé la première femme Procureur général (membre du gouvernement), qui a exercé cette fonction pendant environ 2</w:t>
      </w:r>
      <w:r w:rsidR="0086373A" w:rsidRPr="004C7F84">
        <w:t> </w:t>
      </w:r>
      <w:r w:rsidRPr="004C7F84">
        <w:t xml:space="preserve">ans. Le Président en exercice du barreau est une femme, tout comme le premier magistrat. </w:t>
      </w:r>
    </w:p>
    <w:p w14:paraId="7EE21CF7" w14:textId="437E260B" w:rsidR="00C81FD5" w:rsidRPr="004C7F84" w:rsidRDefault="00C81FD5" w:rsidP="00C81FD5">
      <w:pPr>
        <w:pStyle w:val="SingleTxt"/>
        <w:spacing w:after="0" w:line="120" w:lineRule="exact"/>
        <w:rPr>
          <w:sz w:val="10"/>
        </w:rPr>
      </w:pPr>
    </w:p>
    <w:p w14:paraId="08974566" w14:textId="7D18ABAF" w:rsidR="00C81FD5" w:rsidRPr="004C7F84" w:rsidRDefault="00C81FD5" w:rsidP="00C81FD5">
      <w:pPr>
        <w:pStyle w:val="H4"/>
        <w:ind w:right="1260"/>
      </w:pPr>
      <w:r w:rsidRPr="004C7F84">
        <w:tab/>
      </w:r>
      <w:r w:rsidRPr="004C7F84">
        <w:tab/>
        <w:t>Police royale d</w:t>
      </w:r>
      <w:r w:rsidR="00773F5D" w:rsidRPr="004C7F84">
        <w:t>’</w:t>
      </w:r>
      <w:r w:rsidRPr="004C7F84">
        <w:t xml:space="preserve">Antigua-et-Barbuda </w:t>
      </w:r>
    </w:p>
    <w:p w14:paraId="0F50E8D5" w14:textId="2E00F265" w:rsidR="00C81FD5" w:rsidRPr="004C7F84" w:rsidRDefault="00C81FD5" w:rsidP="00C81FD5">
      <w:pPr>
        <w:pStyle w:val="SingleTxt"/>
        <w:spacing w:after="0" w:line="120" w:lineRule="exact"/>
        <w:rPr>
          <w:sz w:val="10"/>
        </w:rPr>
      </w:pPr>
    </w:p>
    <w:p w14:paraId="2E4E1E51" w14:textId="4651D77F" w:rsidR="00C81FD5" w:rsidRPr="004C7F84" w:rsidRDefault="00C81FD5" w:rsidP="00514306">
      <w:pPr>
        <w:pStyle w:val="SingleTxt"/>
        <w:numPr>
          <w:ilvl w:val="0"/>
          <w:numId w:val="19"/>
        </w:numPr>
        <w:spacing w:line="240" w:lineRule="exact"/>
        <w:ind w:left="1267" w:firstLine="0"/>
      </w:pPr>
      <w:r w:rsidRPr="004C7F84">
        <w:t>Les s</w:t>
      </w:r>
      <w:r w:rsidRPr="004C7F84">
        <w:rPr>
          <w:rStyle w:val="preferred"/>
        </w:rPr>
        <w:t>ervices chargés de l</w:t>
      </w:r>
      <w:r w:rsidR="00773F5D" w:rsidRPr="004C7F84">
        <w:rPr>
          <w:rStyle w:val="preferred"/>
        </w:rPr>
        <w:t>’</w:t>
      </w:r>
      <w:r w:rsidRPr="004C7F84">
        <w:rPr>
          <w:rStyle w:val="preferred"/>
        </w:rPr>
        <w:t>application des lois</w:t>
      </w:r>
      <w:r w:rsidRPr="004C7F84">
        <w:t>, notamment la police, sont des organes importants au sein du Gouvernement. Les femmes sont présentes dans la Police royale d</w:t>
      </w:r>
      <w:r w:rsidR="00773F5D" w:rsidRPr="004C7F84">
        <w:t>’</w:t>
      </w:r>
      <w:r w:rsidRPr="004C7F84">
        <w:t>Antigua-et-Barbuda depuis quelques années mais, comme c</w:t>
      </w:r>
      <w:r w:rsidR="00773F5D" w:rsidRPr="004C7F84">
        <w:t>’</w:t>
      </w:r>
      <w:r w:rsidRPr="004C7F84">
        <w:t xml:space="preserve">est le </w:t>
      </w:r>
      <w:r w:rsidRPr="004C7F84">
        <w:rPr>
          <w:w w:val="100"/>
        </w:rPr>
        <w:t>cas dans de nombreux pays du monde, elles y sont peu nombreuses. La Police royale compte un certain n</w:t>
      </w:r>
      <w:r w:rsidR="000036EF" w:rsidRPr="004C7F84">
        <w:rPr>
          <w:w w:val="100"/>
        </w:rPr>
        <w:t xml:space="preserve">ombre de postes permanents pour </w:t>
      </w:r>
      <w:r w:rsidRPr="004C7F84">
        <w:rPr>
          <w:w w:val="100"/>
        </w:rPr>
        <w:t>les femmes comme pour les hommes. Mais ils ne sont pas tous</w:t>
      </w:r>
      <w:r w:rsidR="0086373A" w:rsidRPr="004C7F84">
        <w:rPr>
          <w:w w:val="100"/>
        </w:rPr>
        <w:t xml:space="preserve"> pourvus, du fait notamment que </w:t>
      </w:r>
      <w:r w:rsidRPr="004C7F84">
        <w:rPr>
          <w:w w:val="100"/>
        </w:rPr>
        <w:t>la Police royale a toujours eu du mal à recruter les jeunes femmes et hommes d</w:t>
      </w:r>
      <w:r w:rsidR="00773F5D" w:rsidRPr="004C7F84">
        <w:rPr>
          <w:w w:val="100"/>
        </w:rPr>
        <w:t>’</w:t>
      </w:r>
      <w:r w:rsidRPr="004C7F84">
        <w:rPr>
          <w:w w:val="100"/>
        </w:rPr>
        <w:t>Antigua-et-Barbuda.</w:t>
      </w:r>
      <w:r w:rsidRPr="004C7F84">
        <w:t xml:space="preserve"> </w:t>
      </w:r>
    </w:p>
    <w:p w14:paraId="38A5AA21" w14:textId="0B8D3E17" w:rsidR="00BF5BEB" w:rsidRPr="004C7F84" w:rsidRDefault="00C81FD5" w:rsidP="00514306">
      <w:pPr>
        <w:pStyle w:val="SingleTxt"/>
        <w:numPr>
          <w:ilvl w:val="0"/>
          <w:numId w:val="19"/>
        </w:numPr>
        <w:spacing w:line="240" w:lineRule="exact"/>
        <w:ind w:left="1267" w:firstLine="0"/>
      </w:pPr>
      <w:r w:rsidRPr="004C7F84">
        <w:t xml:space="preserve">Au fil du </w:t>
      </w:r>
      <w:r w:rsidR="0086373A" w:rsidRPr="004C7F84">
        <w:t xml:space="preserve">temps, les candidats sont venus </w:t>
      </w:r>
      <w:r w:rsidRPr="004C7F84">
        <w:t>d</w:t>
      </w:r>
      <w:r w:rsidR="00773F5D" w:rsidRPr="004C7F84">
        <w:t>’</w:t>
      </w:r>
      <w:r w:rsidRPr="004C7F84">
        <w:t xml:space="preserve">autres pays des Caraïbes, notamment </w:t>
      </w:r>
      <w:r w:rsidRPr="004C7F84">
        <w:rPr>
          <w:rStyle w:val="french"/>
        </w:rPr>
        <w:t>Saint-Vincent-et-les Grenadines</w:t>
      </w:r>
      <w:r w:rsidRPr="004C7F84">
        <w:t>. Le nombre de femmes dans la Police royale a augmenté lentement au cours des dernières décennies. Mais il a fallu 35</w:t>
      </w:r>
      <w:r w:rsidR="0086373A" w:rsidRPr="004C7F84">
        <w:t> </w:t>
      </w:r>
      <w:r w:rsidRPr="004C7F84">
        <w:t>ans pour que leur représentation dans la Police royale double, comme l</w:t>
      </w:r>
      <w:r w:rsidR="00773F5D" w:rsidRPr="004C7F84">
        <w:t>’</w:t>
      </w:r>
      <w:r w:rsidRPr="004C7F84">
        <w:t>indiquent les chiffres ci-après</w:t>
      </w:r>
      <w:r w:rsidR="00BF5BEB" w:rsidRPr="004C7F84">
        <w:t>.</w:t>
      </w:r>
    </w:p>
    <w:p w14:paraId="236D52E4" w14:textId="20B8E0E3" w:rsidR="00AC07A9" w:rsidRPr="004C7F84" w:rsidRDefault="00AC07A9" w:rsidP="00AC07A9">
      <w:pPr>
        <w:pStyle w:val="SingleTxt"/>
        <w:spacing w:after="0" w:line="120" w:lineRule="exact"/>
        <w:rPr>
          <w:sz w:val="10"/>
        </w:rPr>
      </w:pPr>
    </w:p>
    <w:p w14:paraId="31FDFF56" w14:textId="1F5B0739" w:rsidR="00BF5BEB" w:rsidRPr="004C7F84" w:rsidRDefault="006F2F92" w:rsidP="008637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BF5BEB" w:rsidRPr="004C7F84">
        <w:rPr>
          <w:b w:val="0"/>
          <w:lang w:val="fr-FR"/>
        </w:rPr>
        <w:t>Table</w:t>
      </w:r>
      <w:r w:rsidR="00C81FD5" w:rsidRPr="004C7F84">
        <w:rPr>
          <w:b w:val="0"/>
          <w:lang w:val="fr-FR"/>
        </w:rPr>
        <w:t>au</w:t>
      </w:r>
      <w:r w:rsidR="00BF5BEB" w:rsidRPr="004C7F84">
        <w:rPr>
          <w:b w:val="0"/>
          <w:lang w:val="fr-FR"/>
        </w:rPr>
        <w:t xml:space="preserve"> 3</w:t>
      </w:r>
      <w:r w:rsidR="0086373A" w:rsidRPr="004C7F84">
        <w:rPr>
          <w:lang w:val="fr-FR"/>
        </w:rPr>
        <w:br/>
      </w:r>
      <w:r w:rsidR="00C81FD5" w:rsidRPr="004C7F84">
        <w:rPr>
          <w:lang w:val="fr-FR"/>
        </w:rPr>
        <w:t xml:space="preserve">Pourcentage de </w:t>
      </w:r>
      <w:r w:rsidR="000516F8" w:rsidRPr="004C7F84">
        <w:rPr>
          <w:lang w:val="fr-FR"/>
        </w:rPr>
        <w:t>femmes dans la Police royale</w:t>
      </w:r>
      <w:r w:rsidR="00773F5D" w:rsidRPr="004C7F84">
        <w:rPr>
          <w:lang w:val="fr-FR"/>
        </w:rPr>
        <w:t> :</w:t>
      </w:r>
      <w:r w:rsidR="000516F8" w:rsidRPr="004C7F84">
        <w:rPr>
          <w:lang w:val="fr-FR"/>
        </w:rPr>
        <w:t xml:space="preserve"> a</w:t>
      </w:r>
      <w:r w:rsidR="00C81FD5" w:rsidRPr="004C7F84">
        <w:rPr>
          <w:lang w:val="fr-FR"/>
        </w:rPr>
        <w:t>nnées retenues </w:t>
      </w:r>
    </w:p>
    <w:p w14:paraId="007A5A27" w14:textId="305F1612" w:rsidR="006F2F92" w:rsidRPr="004C7F84" w:rsidRDefault="006F2F92" w:rsidP="000036EF">
      <w:pPr>
        <w:pStyle w:val="SingleTxt"/>
        <w:spacing w:after="0" w:line="120" w:lineRule="exact"/>
        <w:rPr>
          <w:sz w:val="10"/>
        </w:rPr>
      </w:pPr>
    </w:p>
    <w:p w14:paraId="4ADE6D61" w14:textId="77777777" w:rsidR="000036EF" w:rsidRPr="004C7F84" w:rsidRDefault="000036EF" w:rsidP="006F2F92">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4"/>
        <w:gridCol w:w="1464"/>
        <w:gridCol w:w="1464"/>
        <w:gridCol w:w="1464"/>
        <w:gridCol w:w="1464"/>
      </w:tblGrid>
      <w:tr w:rsidR="006F2F92" w:rsidRPr="004C7F84" w14:paraId="37D9DAD9" w14:textId="77777777" w:rsidTr="006F2F92">
        <w:trPr>
          <w:tblHeader/>
        </w:trPr>
        <w:tc>
          <w:tcPr>
            <w:tcW w:w="1464" w:type="dxa"/>
            <w:tcBorders>
              <w:top w:val="single" w:sz="4" w:space="0" w:color="auto"/>
              <w:bottom w:val="single" w:sz="12" w:space="0" w:color="auto"/>
            </w:tcBorders>
            <w:shd w:val="clear" w:color="auto" w:fill="auto"/>
            <w:vAlign w:val="bottom"/>
          </w:tcPr>
          <w:p w14:paraId="2268A32C" w14:textId="6D0A64E3" w:rsidR="006F2F92" w:rsidRPr="004C7F84" w:rsidRDefault="00C81FD5" w:rsidP="006F2F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4C7F84">
              <w:rPr>
                <w:i/>
                <w:sz w:val="14"/>
              </w:rPr>
              <w:t>Année</w:t>
            </w:r>
          </w:p>
        </w:tc>
        <w:tc>
          <w:tcPr>
            <w:tcW w:w="1464" w:type="dxa"/>
            <w:tcBorders>
              <w:top w:val="single" w:sz="4" w:space="0" w:color="auto"/>
              <w:bottom w:val="single" w:sz="12" w:space="0" w:color="auto"/>
            </w:tcBorders>
            <w:shd w:val="clear" w:color="auto" w:fill="auto"/>
            <w:vAlign w:val="bottom"/>
          </w:tcPr>
          <w:p w14:paraId="2348A0E2" w14:textId="77777777" w:rsidR="006F2F92" w:rsidRPr="004C7F84" w:rsidRDefault="006F2F92" w:rsidP="006F2F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1980</w:t>
            </w:r>
          </w:p>
        </w:tc>
        <w:tc>
          <w:tcPr>
            <w:tcW w:w="1464" w:type="dxa"/>
            <w:tcBorders>
              <w:top w:val="single" w:sz="4" w:space="0" w:color="auto"/>
              <w:bottom w:val="single" w:sz="12" w:space="0" w:color="auto"/>
            </w:tcBorders>
            <w:shd w:val="clear" w:color="auto" w:fill="auto"/>
            <w:vAlign w:val="bottom"/>
          </w:tcPr>
          <w:p w14:paraId="3450C609" w14:textId="77777777" w:rsidR="006F2F92" w:rsidRPr="004C7F84" w:rsidRDefault="006F2F92" w:rsidP="006F2F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1985</w:t>
            </w:r>
          </w:p>
        </w:tc>
        <w:tc>
          <w:tcPr>
            <w:tcW w:w="1464" w:type="dxa"/>
            <w:tcBorders>
              <w:top w:val="single" w:sz="4" w:space="0" w:color="auto"/>
              <w:bottom w:val="single" w:sz="12" w:space="0" w:color="auto"/>
            </w:tcBorders>
            <w:shd w:val="clear" w:color="auto" w:fill="auto"/>
            <w:vAlign w:val="bottom"/>
          </w:tcPr>
          <w:p w14:paraId="19CA0922" w14:textId="77777777" w:rsidR="006F2F92" w:rsidRPr="004C7F84" w:rsidRDefault="006F2F92" w:rsidP="006F2F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1994</w:t>
            </w:r>
          </w:p>
        </w:tc>
        <w:tc>
          <w:tcPr>
            <w:tcW w:w="1464" w:type="dxa"/>
            <w:tcBorders>
              <w:top w:val="single" w:sz="4" w:space="0" w:color="auto"/>
              <w:bottom w:val="single" w:sz="12" w:space="0" w:color="auto"/>
            </w:tcBorders>
            <w:shd w:val="clear" w:color="auto" w:fill="auto"/>
            <w:vAlign w:val="bottom"/>
          </w:tcPr>
          <w:p w14:paraId="76CD2A3A" w14:textId="77777777" w:rsidR="006F2F92" w:rsidRPr="004C7F84" w:rsidRDefault="006F2F92" w:rsidP="006F2F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2015</w:t>
            </w:r>
          </w:p>
        </w:tc>
      </w:tr>
      <w:tr w:rsidR="006F2F92" w:rsidRPr="004C7F84" w14:paraId="3DFEB61D" w14:textId="77777777" w:rsidTr="006F2F92">
        <w:trPr>
          <w:trHeight w:hRule="exact" w:val="115"/>
          <w:tblHeader/>
        </w:trPr>
        <w:tc>
          <w:tcPr>
            <w:tcW w:w="1464" w:type="dxa"/>
            <w:tcBorders>
              <w:top w:val="single" w:sz="12" w:space="0" w:color="auto"/>
            </w:tcBorders>
            <w:shd w:val="clear" w:color="auto" w:fill="auto"/>
            <w:vAlign w:val="bottom"/>
          </w:tcPr>
          <w:p w14:paraId="4639A172" w14:textId="77777777" w:rsidR="006F2F92" w:rsidRPr="004C7F84" w:rsidRDefault="006F2F92" w:rsidP="006F2F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14:paraId="2BF3697B" w14:textId="77777777" w:rsidR="006F2F92" w:rsidRPr="004C7F84" w:rsidRDefault="006F2F92" w:rsidP="006F2F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34227012" w14:textId="77777777" w:rsidR="006F2F92" w:rsidRPr="004C7F84" w:rsidRDefault="006F2F92" w:rsidP="006F2F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28323AF5" w14:textId="77777777" w:rsidR="006F2F92" w:rsidRPr="004C7F84" w:rsidRDefault="006F2F92" w:rsidP="006F2F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2A0C895E" w14:textId="77777777" w:rsidR="006F2F92" w:rsidRPr="004C7F84" w:rsidRDefault="006F2F92" w:rsidP="006F2F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F2F92" w:rsidRPr="004C7F84" w14:paraId="6D1C3AA2" w14:textId="77777777" w:rsidTr="006F2F92">
        <w:tc>
          <w:tcPr>
            <w:tcW w:w="1464" w:type="dxa"/>
            <w:tcBorders>
              <w:bottom w:val="single" w:sz="12" w:space="0" w:color="auto"/>
            </w:tcBorders>
            <w:shd w:val="clear" w:color="auto" w:fill="auto"/>
            <w:vAlign w:val="bottom"/>
          </w:tcPr>
          <w:p w14:paraId="3BAD8056" w14:textId="77777777" w:rsidR="006F2F92" w:rsidRPr="004C7F84" w:rsidRDefault="006F2F92" w:rsidP="006F2F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C7F84">
              <w:rPr>
                <w:sz w:val="17"/>
              </w:rPr>
              <w:t>%</w:t>
            </w:r>
          </w:p>
        </w:tc>
        <w:tc>
          <w:tcPr>
            <w:tcW w:w="1464" w:type="dxa"/>
            <w:tcBorders>
              <w:bottom w:val="single" w:sz="12" w:space="0" w:color="auto"/>
            </w:tcBorders>
            <w:shd w:val="clear" w:color="auto" w:fill="auto"/>
            <w:vAlign w:val="bottom"/>
          </w:tcPr>
          <w:p w14:paraId="0A21445A" w14:textId="3D2CF829" w:rsidR="006F2F92" w:rsidRPr="004C7F84" w:rsidRDefault="006F2F92" w:rsidP="006F2F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9</w:t>
            </w:r>
            <w:r w:rsidR="008477BC" w:rsidRPr="004C7F84">
              <w:rPr>
                <w:sz w:val="17"/>
              </w:rPr>
              <w:t>,</w:t>
            </w:r>
            <w:r w:rsidRPr="004C7F84">
              <w:rPr>
                <w:sz w:val="17"/>
              </w:rPr>
              <w:t>2</w:t>
            </w:r>
          </w:p>
        </w:tc>
        <w:tc>
          <w:tcPr>
            <w:tcW w:w="1464" w:type="dxa"/>
            <w:tcBorders>
              <w:bottom w:val="single" w:sz="12" w:space="0" w:color="auto"/>
            </w:tcBorders>
            <w:shd w:val="clear" w:color="auto" w:fill="auto"/>
            <w:vAlign w:val="bottom"/>
          </w:tcPr>
          <w:p w14:paraId="3947F3C2" w14:textId="083DCF83" w:rsidR="006F2F92" w:rsidRPr="004C7F84" w:rsidRDefault="006F2F92" w:rsidP="006F2F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10</w:t>
            </w:r>
            <w:r w:rsidR="008477BC" w:rsidRPr="004C7F84">
              <w:rPr>
                <w:sz w:val="17"/>
              </w:rPr>
              <w:t>,</w:t>
            </w:r>
            <w:r w:rsidRPr="004C7F84">
              <w:rPr>
                <w:sz w:val="17"/>
              </w:rPr>
              <w:t>6</w:t>
            </w:r>
          </w:p>
        </w:tc>
        <w:tc>
          <w:tcPr>
            <w:tcW w:w="1464" w:type="dxa"/>
            <w:tcBorders>
              <w:bottom w:val="single" w:sz="12" w:space="0" w:color="auto"/>
            </w:tcBorders>
            <w:shd w:val="clear" w:color="auto" w:fill="auto"/>
            <w:vAlign w:val="bottom"/>
          </w:tcPr>
          <w:p w14:paraId="185F22C2" w14:textId="4D3CD78E" w:rsidR="006F2F92" w:rsidRPr="004C7F84" w:rsidRDefault="006F2F92" w:rsidP="006F2F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13</w:t>
            </w:r>
            <w:r w:rsidR="008477BC" w:rsidRPr="004C7F84">
              <w:rPr>
                <w:sz w:val="17"/>
              </w:rPr>
              <w:t>,</w:t>
            </w:r>
            <w:r w:rsidRPr="004C7F84">
              <w:rPr>
                <w:sz w:val="17"/>
              </w:rPr>
              <w:t>2</w:t>
            </w:r>
          </w:p>
        </w:tc>
        <w:tc>
          <w:tcPr>
            <w:tcW w:w="1464" w:type="dxa"/>
            <w:tcBorders>
              <w:bottom w:val="single" w:sz="12" w:space="0" w:color="auto"/>
            </w:tcBorders>
            <w:shd w:val="clear" w:color="auto" w:fill="auto"/>
            <w:vAlign w:val="bottom"/>
          </w:tcPr>
          <w:p w14:paraId="14C538AE" w14:textId="02F1105B" w:rsidR="006F2F92" w:rsidRPr="004C7F84" w:rsidRDefault="006F2F92" w:rsidP="006F2F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21</w:t>
            </w:r>
            <w:r w:rsidR="008477BC" w:rsidRPr="004C7F84">
              <w:rPr>
                <w:sz w:val="17"/>
              </w:rPr>
              <w:t>,</w:t>
            </w:r>
            <w:r w:rsidRPr="004C7F84">
              <w:rPr>
                <w:sz w:val="17"/>
              </w:rPr>
              <w:t>0</w:t>
            </w:r>
          </w:p>
        </w:tc>
      </w:tr>
    </w:tbl>
    <w:p w14:paraId="0C97AA0E" w14:textId="17711BFD" w:rsidR="006F2F92" w:rsidRPr="004C7F84" w:rsidRDefault="006F2F92" w:rsidP="006F2F92">
      <w:pPr>
        <w:pStyle w:val="SingleTxt"/>
        <w:spacing w:after="0" w:line="120" w:lineRule="exact"/>
        <w:rPr>
          <w:sz w:val="10"/>
        </w:rPr>
      </w:pPr>
    </w:p>
    <w:p w14:paraId="2B8E9934" w14:textId="08D1BC75" w:rsidR="00BF5BEB" w:rsidRPr="004C7F84" w:rsidRDefault="00BF5BEB" w:rsidP="006F2F92">
      <w:pPr>
        <w:pStyle w:val="FootnoteText"/>
        <w:tabs>
          <w:tab w:val="clear" w:pos="418"/>
          <w:tab w:val="right" w:pos="1476"/>
          <w:tab w:val="left" w:pos="1548"/>
          <w:tab w:val="right" w:pos="1836"/>
          <w:tab w:val="left" w:pos="1908"/>
        </w:tabs>
        <w:ind w:left="1548" w:right="1267" w:hanging="288"/>
      </w:pPr>
      <w:r w:rsidRPr="004C7F84">
        <w:rPr>
          <w:i/>
          <w:iCs/>
        </w:rPr>
        <w:t>Source</w:t>
      </w:r>
      <w:r w:rsidR="00773F5D" w:rsidRPr="004C7F84">
        <w:rPr>
          <w:i/>
          <w:iCs/>
        </w:rPr>
        <w:t> :</w:t>
      </w:r>
      <w:r w:rsidRPr="004C7F84">
        <w:t xml:space="preserve"> </w:t>
      </w:r>
      <w:r w:rsidR="00C81FD5" w:rsidRPr="004C7F84">
        <w:t>Police royale d</w:t>
      </w:r>
      <w:r w:rsidR="00773F5D" w:rsidRPr="004C7F84">
        <w:t>’</w:t>
      </w:r>
      <w:r w:rsidR="00C81FD5" w:rsidRPr="004C7F84">
        <w:t>Antigua-et-Barbuda</w:t>
      </w:r>
      <w:r w:rsidR="006E7D5E" w:rsidRPr="004C7F84">
        <w:t>.</w:t>
      </w:r>
    </w:p>
    <w:p w14:paraId="3F975292" w14:textId="754D16A6" w:rsidR="006F2F92" w:rsidRPr="004C7F84" w:rsidRDefault="006F2F92" w:rsidP="006F2F92">
      <w:pPr>
        <w:pStyle w:val="FootnoteText"/>
        <w:tabs>
          <w:tab w:val="clear" w:pos="418"/>
          <w:tab w:val="right" w:pos="1476"/>
          <w:tab w:val="left" w:pos="1548"/>
          <w:tab w:val="right" w:pos="1836"/>
          <w:tab w:val="left" w:pos="1908"/>
        </w:tabs>
        <w:spacing w:line="120" w:lineRule="exact"/>
        <w:ind w:left="1548" w:right="1267" w:hanging="288"/>
        <w:rPr>
          <w:i/>
          <w:iCs/>
          <w:sz w:val="10"/>
        </w:rPr>
      </w:pPr>
    </w:p>
    <w:p w14:paraId="296AC209" w14:textId="17AF66DA" w:rsidR="006F2F92" w:rsidRPr="004C7F84" w:rsidRDefault="006F2F92" w:rsidP="006F2F92">
      <w:pPr>
        <w:pStyle w:val="FootnoteText"/>
        <w:tabs>
          <w:tab w:val="clear" w:pos="418"/>
          <w:tab w:val="right" w:pos="1476"/>
          <w:tab w:val="left" w:pos="1548"/>
          <w:tab w:val="right" w:pos="1836"/>
          <w:tab w:val="left" w:pos="1908"/>
        </w:tabs>
        <w:spacing w:line="120" w:lineRule="exact"/>
        <w:ind w:left="1548" w:right="1267" w:hanging="288"/>
        <w:rPr>
          <w:sz w:val="10"/>
        </w:rPr>
      </w:pPr>
    </w:p>
    <w:p w14:paraId="4FF38BD7" w14:textId="4F5768C6" w:rsidR="00C81FD5" w:rsidRPr="004C7F84" w:rsidRDefault="00C81FD5" w:rsidP="00514306">
      <w:pPr>
        <w:pStyle w:val="SingleTxt"/>
        <w:numPr>
          <w:ilvl w:val="0"/>
          <w:numId w:val="19"/>
        </w:numPr>
        <w:spacing w:line="240" w:lineRule="exact"/>
        <w:ind w:left="1267" w:firstLine="0"/>
      </w:pPr>
      <w:r w:rsidRPr="004C7F84">
        <w:t>La représentation des femmes est faible aux échelons supérieurs de la Police royale étant donné leur petit nombre. Par ailleurs, les possibilités de promotion étaient limitées, un agent de sexe féminin ne pouvant prétendre qu</w:t>
      </w:r>
      <w:r w:rsidR="00773F5D" w:rsidRPr="004C7F84">
        <w:t>’</w:t>
      </w:r>
      <w:r w:rsidRPr="004C7F84">
        <w:t>au grade de commissaire tout au plus. Cette pratique discriminatoire a changé depuis lors et, comme l</w:t>
      </w:r>
      <w:r w:rsidR="00773F5D" w:rsidRPr="004C7F84">
        <w:t>’</w:t>
      </w:r>
      <w:r w:rsidRPr="004C7F84">
        <w:t>indique une des brochures de la Police royale, les femmes peuvent désormais attein</w:t>
      </w:r>
      <w:r w:rsidR="0086373A" w:rsidRPr="004C7F84">
        <w:t xml:space="preserve">dre </w:t>
      </w:r>
      <w:r w:rsidRPr="004C7F84">
        <w:t>le grade de directeur général de la police.</w:t>
      </w:r>
    </w:p>
    <w:p w14:paraId="4D48A64C" w14:textId="3B202C97" w:rsidR="00C81FD5" w:rsidRPr="004C7F84" w:rsidRDefault="00C81FD5" w:rsidP="00514306">
      <w:pPr>
        <w:pStyle w:val="SingleTxt"/>
        <w:numPr>
          <w:ilvl w:val="0"/>
          <w:numId w:val="19"/>
        </w:numPr>
        <w:spacing w:line="240" w:lineRule="exact"/>
        <w:ind w:left="1267" w:firstLine="0"/>
      </w:pPr>
      <w:r w:rsidRPr="004C7F84">
        <w:t>En 1980, le rang le plus élevé que pouvait espérer une femme était celui d</w:t>
      </w:r>
      <w:r w:rsidR="00773F5D" w:rsidRPr="004C7F84">
        <w:t>’</w:t>
      </w:r>
      <w:r w:rsidRPr="004C7F84">
        <w:t>inspecteur. En 1994, 2</w:t>
      </w:r>
      <w:r w:rsidR="0086373A" w:rsidRPr="004C7F84">
        <w:t> </w:t>
      </w:r>
      <w:r w:rsidRPr="004C7F84">
        <w:t>femmes avaient le grade d</w:t>
      </w:r>
      <w:r w:rsidR="00773F5D" w:rsidRPr="004C7F84">
        <w:t>’</w:t>
      </w:r>
      <w:r w:rsidRPr="004C7F84">
        <w:t>inspecteur et 2</w:t>
      </w:r>
      <w:r w:rsidR="0086373A" w:rsidRPr="004C7F84">
        <w:t> </w:t>
      </w:r>
      <w:r w:rsidRPr="004C7F84">
        <w:t>autres celui de commissaire adjoint. En 2003, on comptait 5</w:t>
      </w:r>
      <w:r w:rsidR="0086373A" w:rsidRPr="004C7F84">
        <w:t> </w:t>
      </w:r>
      <w:r w:rsidRPr="004C7F84">
        <w:t>femmes aux postes d</w:t>
      </w:r>
      <w:r w:rsidR="00773F5D" w:rsidRPr="004C7F84">
        <w:t>’</w:t>
      </w:r>
      <w:r w:rsidRPr="004C7F84">
        <w:t xml:space="preserve">inspecteur et </w:t>
      </w:r>
      <w:r w:rsidR="00980A98" w:rsidRPr="004C7F84">
        <w:t>au-dessus</w:t>
      </w:r>
      <w:r w:rsidR="00773F5D" w:rsidRPr="004C7F84">
        <w:t> :</w:t>
      </w:r>
      <w:r w:rsidRPr="004C7F84">
        <w:t xml:space="preserve"> 3</w:t>
      </w:r>
      <w:r w:rsidR="000036EF" w:rsidRPr="004C7F84">
        <w:t> </w:t>
      </w:r>
      <w:r w:rsidRPr="004C7F84">
        <w:t>inspectrices, 1</w:t>
      </w:r>
      <w:r w:rsidR="000036EF" w:rsidRPr="004C7F84">
        <w:t> </w:t>
      </w:r>
      <w:r w:rsidRPr="004C7F84">
        <w:t>commissaire adjointe et 1</w:t>
      </w:r>
      <w:r w:rsidR="000036EF" w:rsidRPr="004C7F84">
        <w:t> </w:t>
      </w:r>
      <w:r w:rsidRPr="004C7F84">
        <w:t>directrice adjointe. Ce n</w:t>
      </w:r>
      <w:r w:rsidR="00773F5D" w:rsidRPr="004C7F84">
        <w:t>’</w:t>
      </w:r>
      <w:r w:rsidRPr="004C7F84">
        <w:t>est qu</w:t>
      </w:r>
      <w:r w:rsidR="00773F5D" w:rsidRPr="004C7F84">
        <w:t>’</w:t>
      </w:r>
      <w:r w:rsidRPr="004C7F84">
        <w:t>en 2004 qu</w:t>
      </w:r>
      <w:r w:rsidR="00773F5D" w:rsidRPr="004C7F84">
        <w:t>’</w:t>
      </w:r>
      <w:r w:rsidRPr="004C7F84">
        <w:t>une femme est devenue Directrice générale de la police pour la première fois. En 2015, la Police royale compte 123</w:t>
      </w:r>
      <w:r w:rsidR="000036EF" w:rsidRPr="004C7F84">
        <w:t> </w:t>
      </w:r>
      <w:r w:rsidRPr="004C7F84">
        <w:t>femmes, soit 21</w:t>
      </w:r>
      <w:r w:rsidR="0086373A" w:rsidRPr="004C7F84">
        <w:t> %</w:t>
      </w:r>
      <w:r w:rsidRPr="004C7F84">
        <w:t xml:space="preserve"> du total des effectifs (583</w:t>
      </w:r>
      <w:r w:rsidR="000036EF" w:rsidRPr="004C7F84">
        <w:t> </w:t>
      </w:r>
      <w:r w:rsidRPr="004C7F84">
        <w:t>policiers). Toutefois, le nombre de femmes aux échelons supérieurs a sensiblement diminué</w:t>
      </w:r>
      <w:r w:rsidR="00773F5D" w:rsidRPr="004C7F84">
        <w:t> :</w:t>
      </w:r>
      <w:r w:rsidRPr="004C7F84">
        <w:t xml:space="preserve"> à l</w:t>
      </w:r>
      <w:r w:rsidR="00773F5D" w:rsidRPr="004C7F84">
        <w:t>’</w:t>
      </w:r>
      <w:r w:rsidRPr="004C7F84">
        <w:t>heure actuelle, 2</w:t>
      </w:r>
      <w:r w:rsidR="000036EF" w:rsidRPr="004C7F84">
        <w:t> </w:t>
      </w:r>
      <w:r w:rsidRPr="004C7F84">
        <w:t>femmes seulement, 1</w:t>
      </w:r>
      <w:r w:rsidR="000036EF" w:rsidRPr="004C7F84">
        <w:t> </w:t>
      </w:r>
      <w:r w:rsidRPr="004C7F84">
        <w:t>inspectrice et 1</w:t>
      </w:r>
      <w:r w:rsidR="000036EF" w:rsidRPr="004C7F84">
        <w:t> </w:t>
      </w:r>
      <w:r w:rsidRPr="004C7F84">
        <w:t>directrice adjointe, ont le grade d</w:t>
      </w:r>
      <w:r w:rsidR="00773F5D" w:rsidRPr="004C7F84">
        <w:t>’</w:t>
      </w:r>
      <w:r w:rsidRPr="004C7F84">
        <w:t>inspecteur et au-dessus. Aucune explication n</w:t>
      </w:r>
      <w:r w:rsidR="00773F5D" w:rsidRPr="004C7F84">
        <w:t>’</w:t>
      </w:r>
      <w:r w:rsidRPr="004C7F84">
        <w:t>a été fournie pour ce recul.</w:t>
      </w:r>
    </w:p>
    <w:p w14:paraId="7720A0BA" w14:textId="5EFB776A" w:rsidR="00C81FD5" w:rsidRPr="004C7F84" w:rsidRDefault="00C81FD5" w:rsidP="00514306">
      <w:pPr>
        <w:pStyle w:val="SingleTxt"/>
        <w:numPr>
          <w:ilvl w:val="0"/>
          <w:numId w:val="19"/>
        </w:numPr>
        <w:spacing w:line="240" w:lineRule="exact"/>
        <w:ind w:left="1267" w:firstLine="0"/>
      </w:pPr>
      <w:r w:rsidRPr="004C7F84">
        <w:t>Les femmes sont également sous-représentées dans le corps des sapeurs-pompiers. En 2015, 24 des 168 membres de ce département (soit 14</w:t>
      </w:r>
      <w:r w:rsidR="0086373A" w:rsidRPr="004C7F84">
        <w:t> %</w:t>
      </w:r>
      <w:r w:rsidRPr="004C7F84">
        <w:t>) étaient des femmes, ce qui n</w:t>
      </w:r>
      <w:r w:rsidR="00773F5D" w:rsidRPr="004C7F84">
        <w:t>’</w:t>
      </w:r>
      <w:r w:rsidRPr="004C7F84">
        <w:t xml:space="preserve">est pas surprenant étant donné que la lutte contre les incendies est </w:t>
      </w:r>
      <w:r w:rsidRPr="004C7F84">
        <w:lastRenderedPageBreak/>
        <w:t>encore considérée comme une profession masculine. Partout dans le monde, on a encore tendance à parler de « pompiers », même lorsqu</w:t>
      </w:r>
      <w:r w:rsidR="00773F5D" w:rsidRPr="004C7F84">
        <w:t>’</w:t>
      </w:r>
      <w:r w:rsidRPr="004C7F84">
        <w:t>il s</w:t>
      </w:r>
      <w:r w:rsidR="00773F5D" w:rsidRPr="004C7F84">
        <w:t>’</w:t>
      </w:r>
      <w:r w:rsidRPr="004C7F84">
        <w:t>agit de femmes.</w:t>
      </w:r>
      <w:r w:rsidRPr="004C7F84">
        <w:rPr>
          <w:color w:val="FF0000"/>
        </w:rPr>
        <w:t xml:space="preserve"> </w:t>
      </w:r>
    </w:p>
    <w:p w14:paraId="5981BBE6" w14:textId="61124257" w:rsidR="00C81FD5" w:rsidRPr="004C7F84" w:rsidRDefault="00C81FD5" w:rsidP="00C81FD5">
      <w:pPr>
        <w:pStyle w:val="SingleTxt"/>
        <w:spacing w:after="0" w:line="120" w:lineRule="exact"/>
        <w:rPr>
          <w:sz w:val="10"/>
        </w:rPr>
      </w:pPr>
    </w:p>
    <w:p w14:paraId="39C2E7B9" w14:textId="6B81E61F" w:rsidR="00C81FD5" w:rsidRPr="004C7F84" w:rsidRDefault="00C81FD5" w:rsidP="00C81FD5">
      <w:pPr>
        <w:pStyle w:val="H4"/>
        <w:ind w:right="1260"/>
      </w:pPr>
      <w:r w:rsidRPr="004C7F84">
        <w:tab/>
      </w:r>
      <w:r w:rsidRPr="004C7F84">
        <w:tab/>
        <w:t xml:space="preserve">Enseignement </w:t>
      </w:r>
    </w:p>
    <w:p w14:paraId="3E356E55" w14:textId="22D68AD9" w:rsidR="00C81FD5" w:rsidRPr="004C7F84" w:rsidRDefault="00C81FD5" w:rsidP="00C81FD5">
      <w:pPr>
        <w:pStyle w:val="SingleTxt"/>
        <w:spacing w:after="0" w:line="120" w:lineRule="exact"/>
        <w:rPr>
          <w:sz w:val="10"/>
        </w:rPr>
      </w:pPr>
    </w:p>
    <w:p w14:paraId="0DC412A7" w14:textId="1730C08B" w:rsidR="00BF5BEB" w:rsidRPr="004C7F84" w:rsidRDefault="00C81FD5" w:rsidP="00514306">
      <w:pPr>
        <w:pStyle w:val="SingleTxt"/>
        <w:numPr>
          <w:ilvl w:val="0"/>
          <w:numId w:val="19"/>
        </w:numPr>
        <w:spacing w:line="240" w:lineRule="exact"/>
        <w:ind w:left="1267" w:firstLine="0"/>
      </w:pPr>
      <w:r w:rsidRPr="004C7F84">
        <w:t>À Antigua-et-Barbuda, les femmes sont majoritaires dans la profession d</w:t>
      </w:r>
      <w:r w:rsidR="00773F5D" w:rsidRPr="004C7F84">
        <w:t>’</w:t>
      </w:r>
      <w:r w:rsidR="000036EF" w:rsidRPr="004C7F84">
        <w:t>enseignant et on s</w:t>
      </w:r>
      <w:r w:rsidR="00773F5D" w:rsidRPr="004C7F84">
        <w:t>’</w:t>
      </w:r>
      <w:r w:rsidR="000036EF" w:rsidRPr="004C7F84">
        <w:t xml:space="preserve">attendrait </w:t>
      </w:r>
      <w:r w:rsidRPr="004C7F84">
        <w:t>à ce qu</w:t>
      </w:r>
      <w:r w:rsidR="00773F5D" w:rsidRPr="004C7F84">
        <w:t>’</w:t>
      </w:r>
      <w:r w:rsidRPr="004C7F84">
        <w:t>elles occupent la plupart des postes de directeur ou de chef d</w:t>
      </w:r>
      <w:r w:rsidR="00773F5D" w:rsidRPr="004C7F84">
        <w:t>’</w:t>
      </w:r>
      <w:r w:rsidRPr="004C7F84">
        <w:t>établissement scolaire. Or, durant l</w:t>
      </w:r>
      <w:r w:rsidR="00773F5D" w:rsidRPr="004C7F84">
        <w:t>’</w:t>
      </w:r>
      <w:r w:rsidRPr="004C7F84">
        <w:t>année scolaire 2013/2014, alors que 91</w:t>
      </w:r>
      <w:r w:rsidR="0086373A" w:rsidRPr="004C7F84">
        <w:t> %</w:t>
      </w:r>
      <w:r w:rsidRPr="004C7F84">
        <w:t xml:space="preserve"> des enseignants du primaire étaient des femmes, les directeurs d</w:t>
      </w:r>
      <w:r w:rsidR="00773F5D" w:rsidRPr="004C7F84">
        <w:t>’</w:t>
      </w:r>
      <w:r w:rsidRPr="004C7F84">
        <w:t>écoles primaires étaient en majorité des hommes. Cette constatation a été notée</w:t>
      </w:r>
      <w:r w:rsidRPr="004C7F84">
        <w:rPr>
          <w:color w:val="FF0000"/>
        </w:rPr>
        <w:t xml:space="preserve"> </w:t>
      </w:r>
      <w:r w:rsidRPr="004C7F84">
        <w:t>dans le dernier numéro d</w:t>
      </w:r>
      <w:r w:rsidR="00773F5D" w:rsidRPr="004C7F84">
        <w:t>’</w:t>
      </w:r>
      <w:r w:rsidRPr="004C7F84">
        <w:t>Antigua and Barbuda Education Statistical Digest (Résumé statistique sur l</w:t>
      </w:r>
      <w:r w:rsidR="00773F5D" w:rsidRPr="004C7F84">
        <w:t>’</w:t>
      </w:r>
      <w:r w:rsidRPr="004C7F84">
        <w:t>enseignement à Antigua-et-Barbuda), publié par le Ministère de l</w:t>
      </w:r>
      <w:r w:rsidR="00773F5D" w:rsidRPr="004C7F84">
        <w:t>’</w:t>
      </w:r>
      <w:r w:rsidRPr="004C7F84">
        <w:t>éducation.</w:t>
      </w:r>
    </w:p>
    <w:p w14:paraId="0F29366B" w14:textId="3B0AE62A" w:rsidR="00BF5BEB" w:rsidRPr="004C7F84" w:rsidRDefault="006F2F92" w:rsidP="000036EF">
      <w:pPr>
        <w:pStyle w:val="H23"/>
        <w:keepNext/>
        <w:keepLines/>
        <w:widowControl w:val="0"/>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4C7F84">
        <w:rPr>
          <w:lang w:val="fr-FR"/>
        </w:rPr>
        <w:tab/>
      </w:r>
      <w:r w:rsidRPr="004C7F84">
        <w:rPr>
          <w:lang w:val="fr-FR"/>
        </w:rPr>
        <w:tab/>
      </w:r>
      <w:r w:rsidR="00BF5BEB" w:rsidRPr="004C7F84">
        <w:rPr>
          <w:b w:val="0"/>
          <w:lang w:val="fr-FR"/>
        </w:rPr>
        <w:t>Table</w:t>
      </w:r>
      <w:r w:rsidR="00C81FD5" w:rsidRPr="004C7F84">
        <w:rPr>
          <w:b w:val="0"/>
          <w:lang w:val="fr-FR"/>
        </w:rPr>
        <w:t>au</w:t>
      </w:r>
      <w:r w:rsidR="00BF5BEB" w:rsidRPr="004C7F84">
        <w:rPr>
          <w:b w:val="0"/>
          <w:lang w:val="fr-FR"/>
        </w:rPr>
        <w:t xml:space="preserve"> 4</w:t>
      </w:r>
      <w:r w:rsidR="000036EF" w:rsidRPr="004C7F84">
        <w:rPr>
          <w:b w:val="0"/>
          <w:lang w:val="fr-FR"/>
        </w:rPr>
        <w:br/>
      </w:r>
      <w:r w:rsidR="00C81FD5" w:rsidRPr="004C7F84">
        <w:rPr>
          <w:lang w:val="fr-FR"/>
        </w:rPr>
        <w:t>Nombre d</w:t>
      </w:r>
      <w:r w:rsidR="00773F5D" w:rsidRPr="004C7F84">
        <w:rPr>
          <w:lang w:val="fr-FR"/>
        </w:rPr>
        <w:t>’</w:t>
      </w:r>
      <w:r w:rsidR="00C81FD5" w:rsidRPr="004C7F84">
        <w:rPr>
          <w:lang w:val="fr-FR"/>
        </w:rPr>
        <w:t>enseignants dans certains établissements d</w:t>
      </w:r>
      <w:r w:rsidR="00773F5D" w:rsidRPr="004C7F84">
        <w:rPr>
          <w:lang w:val="fr-FR"/>
        </w:rPr>
        <w:t>’</w:t>
      </w:r>
      <w:r w:rsidR="00C81FD5" w:rsidRPr="004C7F84">
        <w:rPr>
          <w:lang w:val="fr-FR"/>
        </w:rPr>
        <w:t xml:space="preserve">enseignement, </w:t>
      </w:r>
      <w:r w:rsidR="00C81FD5" w:rsidRPr="004C7F84">
        <w:rPr>
          <w:lang w:val="fr-FR"/>
        </w:rPr>
        <w:br/>
        <w:t>par sexe et par fonction de direction</w:t>
      </w:r>
      <w:r w:rsidR="00773F5D" w:rsidRPr="004C7F84">
        <w:rPr>
          <w:lang w:val="fr-FR"/>
        </w:rPr>
        <w:t> :</w:t>
      </w:r>
      <w:r w:rsidR="00C81FD5" w:rsidRPr="004C7F84">
        <w:rPr>
          <w:lang w:val="fr-FR"/>
        </w:rPr>
        <w:t xml:space="preserve"> 2011–2012</w:t>
      </w:r>
    </w:p>
    <w:p w14:paraId="0F069E51" w14:textId="52170EF5" w:rsidR="006F2F92" w:rsidRPr="004C7F84" w:rsidRDefault="006F2F92" w:rsidP="000036EF">
      <w:pPr>
        <w:pStyle w:val="SingleTxt"/>
        <w:keepNext/>
        <w:keepLines/>
        <w:widowControl w:val="0"/>
        <w:spacing w:after="0" w:line="120" w:lineRule="exact"/>
        <w:rPr>
          <w:sz w:val="10"/>
        </w:rPr>
      </w:pPr>
    </w:p>
    <w:p w14:paraId="59A5BC59" w14:textId="77777777" w:rsidR="000036EF" w:rsidRPr="004C7F84" w:rsidRDefault="000036EF" w:rsidP="00A24ABB">
      <w:pPr>
        <w:pStyle w:val="SingleTxt"/>
        <w:keepNext/>
        <w:keepLines/>
        <w:widowControl w:val="0"/>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4"/>
        <w:gridCol w:w="1343"/>
        <w:gridCol w:w="1282"/>
        <w:gridCol w:w="1282"/>
        <w:gridCol w:w="2010"/>
      </w:tblGrid>
      <w:tr w:rsidR="00A24ABB" w:rsidRPr="004C7F84" w14:paraId="4FE7BF31" w14:textId="77777777" w:rsidTr="00A24ABB">
        <w:trPr>
          <w:tblHeader/>
        </w:trPr>
        <w:tc>
          <w:tcPr>
            <w:tcW w:w="1464" w:type="dxa"/>
            <w:tcBorders>
              <w:top w:val="single" w:sz="4" w:space="0" w:color="auto"/>
              <w:bottom w:val="single" w:sz="12" w:space="0" w:color="auto"/>
            </w:tcBorders>
            <w:shd w:val="clear" w:color="auto" w:fill="auto"/>
            <w:vAlign w:val="bottom"/>
          </w:tcPr>
          <w:p w14:paraId="42B69B78" w14:textId="17981235" w:rsidR="006F2F92" w:rsidRPr="004C7F84" w:rsidRDefault="00C81FD5"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4C7F84">
              <w:rPr>
                <w:i/>
                <w:sz w:val="14"/>
              </w:rPr>
              <w:t>Niveau d</w:t>
            </w:r>
            <w:r w:rsidR="00773F5D" w:rsidRPr="004C7F84">
              <w:rPr>
                <w:i/>
                <w:sz w:val="14"/>
              </w:rPr>
              <w:t>’</w:t>
            </w:r>
            <w:r w:rsidRPr="004C7F84">
              <w:rPr>
                <w:i/>
                <w:sz w:val="14"/>
              </w:rPr>
              <w:t>enseignement</w:t>
            </w:r>
          </w:p>
        </w:tc>
        <w:tc>
          <w:tcPr>
            <w:tcW w:w="1282" w:type="dxa"/>
            <w:tcBorders>
              <w:top w:val="single" w:sz="4" w:space="0" w:color="auto"/>
              <w:bottom w:val="single" w:sz="12" w:space="0" w:color="auto"/>
            </w:tcBorders>
            <w:shd w:val="clear" w:color="auto" w:fill="auto"/>
            <w:vAlign w:val="bottom"/>
          </w:tcPr>
          <w:p w14:paraId="72772986" w14:textId="78DAC8FB" w:rsidR="006F2F92" w:rsidRPr="004C7F84" w:rsidRDefault="00C81FD5" w:rsidP="00970230">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4C7F84">
              <w:rPr>
                <w:i/>
                <w:sz w:val="14"/>
              </w:rPr>
              <w:t>Statut</w:t>
            </w:r>
          </w:p>
        </w:tc>
        <w:tc>
          <w:tcPr>
            <w:tcW w:w="1282" w:type="dxa"/>
            <w:tcBorders>
              <w:top w:val="single" w:sz="4" w:space="0" w:color="auto"/>
              <w:bottom w:val="single" w:sz="12" w:space="0" w:color="auto"/>
            </w:tcBorders>
            <w:shd w:val="clear" w:color="auto" w:fill="auto"/>
            <w:vAlign w:val="bottom"/>
          </w:tcPr>
          <w:p w14:paraId="6080FF33" w14:textId="2186755A" w:rsidR="006F2F92" w:rsidRPr="004C7F84" w:rsidRDefault="00C81FD5"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Hommes</w:t>
            </w:r>
          </w:p>
        </w:tc>
        <w:tc>
          <w:tcPr>
            <w:tcW w:w="1282" w:type="dxa"/>
            <w:tcBorders>
              <w:top w:val="single" w:sz="4" w:space="0" w:color="auto"/>
              <w:bottom w:val="single" w:sz="12" w:space="0" w:color="auto"/>
            </w:tcBorders>
            <w:shd w:val="clear" w:color="auto" w:fill="auto"/>
            <w:vAlign w:val="bottom"/>
          </w:tcPr>
          <w:p w14:paraId="4FCB3BBE" w14:textId="3AD75D91" w:rsidR="006F2F92" w:rsidRPr="004C7F84" w:rsidRDefault="00C81FD5"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Femmes</w:t>
            </w:r>
          </w:p>
        </w:tc>
        <w:tc>
          <w:tcPr>
            <w:tcW w:w="2010" w:type="dxa"/>
            <w:tcBorders>
              <w:top w:val="single" w:sz="4" w:space="0" w:color="auto"/>
              <w:bottom w:val="single" w:sz="12" w:space="0" w:color="auto"/>
            </w:tcBorders>
            <w:shd w:val="clear" w:color="auto" w:fill="auto"/>
            <w:vAlign w:val="bottom"/>
          </w:tcPr>
          <w:p w14:paraId="42BFB74C"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4C7F84">
              <w:rPr>
                <w:b/>
                <w:bCs/>
                <w:i/>
                <w:sz w:val="14"/>
              </w:rPr>
              <w:t>Total</w:t>
            </w:r>
          </w:p>
        </w:tc>
      </w:tr>
      <w:tr w:rsidR="00A24ABB" w:rsidRPr="004C7F84" w14:paraId="3F53BEE9" w14:textId="77777777" w:rsidTr="00A24ABB">
        <w:trPr>
          <w:trHeight w:hRule="exact" w:val="115"/>
          <w:tblHeader/>
        </w:trPr>
        <w:tc>
          <w:tcPr>
            <w:tcW w:w="1464" w:type="dxa"/>
            <w:tcBorders>
              <w:top w:val="single" w:sz="12" w:space="0" w:color="auto"/>
            </w:tcBorders>
            <w:shd w:val="clear" w:color="auto" w:fill="auto"/>
            <w:vAlign w:val="bottom"/>
          </w:tcPr>
          <w:p w14:paraId="5D4974DE"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282" w:type="dxa"/>
            <w:tcBorders>
              <w:top w:val="single" w:sz="12" w:space="0" w:color="auto"/>
            </w:tcBorders>
            <w:shd w:val="clear" w:color="auto" w:fill="auto"/>
            <w:vAlign w:val="bottom"/>
          </w:tcPr>
          <w:p w14:paraId="6615622E" w14:textId="77777777" w:rsidR="006F2F92" w:rsidRPr="004C7F84" w:rsidRDefault="006F2F92" w:rsidP="00970230">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1282" w:type="dxa"/>
            <w:tcBorders>
              <w:top w:val="single" w:sz="12" w:space="0" w:color="auto"/>
            </w:tcBorders>
            <w:shd w:val="clear" w:color="auto" w:fill="auto"/>
            <w:vAlign w:val="bottom"/>
          </w:tcPr>
          <w:p w14:paraId="5D647060"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82" w:type="dxa"/>
            <w:tcBorders>
              <w:top w:val="single" w:sz="12" w:space="0" w:color="auto"/>
            </w:tcBorders>
            <w:shd w:val="clear" w:color="auto" w:fill="auto"/>
            <w:vAlign w:val="bottom"/>
          </w:tcPr>
          <w:p w14:paraId="713801C4"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010" w:type="dxa"/>
            <w:tcBorders>
              <w:top w:val="single" w:sz="12" w:space="0" w:color="auto"/>
            </w:tcBorders>
            <w:shd w:val="clear" w:color="auto" w:fill="auto"/>
            <w:vAlign w:val="bottom"/>
          </w:tcPr>
          <w:p w14:paraId="0CA8B5D1"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r>
      <w:tr w:rsidR="00A24ABB" w:rsidRPr="004C7F84" w14:paraId="7C5C14EA" w14:textId="77777777" w:rsidTr="00A24ABB">
        <w:tc>
          <w:tcPr>
            <w:tcW w:w="1464" w:type="dxa"/>
            <w:shd w:val="clear" w:color="auto" w:fill="auto"/>
            <w:vAlign w:val="bottom"/>
          </w:tcPr>
          <w:p w14:paraId="089E99D0" w14:textId="0DB25500" w:rsidR="006F2F92" w:rsidRPr="004C7F84" w:rsidRDefault="00A82B2E"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C7F84">
              <w:rPr>
                <w:sz w:val="17"/>
              </w:rPr>
              <w:t>Primaire</w:t>
            </w:r>
          </w:p>
        </w:tc>
        <w:tc>
          <w:tcPr>
            <w:tcW w:w="1282" w:type="dxa"/>
            <w:shd w:val="clear" w:color="auto" w:fill="auto"/>
            <w:vAlign w:val="bottom"/>
          </w:tcPr>
          <w:p w14:paraId="477F8054" w14:textId="77777777" w:rsidR="006F2F92" w:rsidRPr="004C7F84" w:rsidRDefault="006F2F92" w:rsidP="00970230">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p>
        </w:tc>
        <w:tc>
          <w:tcPr>
            <w:tcW w:w="1282" w:type="dxa"/>
            <w:shd w:val="clear" w:color="auto" w:fill="auto"/>
            <w:vAlign w:val="bottom"/>
          </w:tcPr>
          <w:p w14:paraId="016AE019"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57</w:t>
            </w:r>
          </w:p>
        </w:tc>
        <w:tc>
          <w:tcPr>
            <w:tcW w:w="1282" w:type="dxa"/>
            <w:shd w:val="clear" w:color="auto" w:fill="auto"/>
            <w:vAlign w:val="bottom"/>
          </w:tcPr>
          <w:p w14:paraId="7C23E0CA"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339</w:t>
            </w:r>
          </w:p>
        </w:tc>
        <w:tc>
          <w:tcPr>
            <w:tcW w:w="2010" w:type="dxa"/>
            <w:shd w:val="clear" w:color="auto" w:fill="auto"/>
            <w:vAlign w:val="bottom"/>
          </w:tcPr>
          <w:p w14:paraId="0773B10E" w14:textId="163AB499" w:rsidR="006F2F92" w:rsidRPr="004C7F84" w:rsidRDefault="006F2F92" w:rsidP="00A82B2E">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396 (</w:t>
            </w:r>
            <w:r w:rsidR="00A82B2E" w:rsidRPr="004C7F84">
              <w:rPr>
                <w:b/>
                <w:bCs/>
                <w:sz w:val="17"/>
              </w:rPr>
              <w:t>établissements publics uniquement</w:t>
            </w:r>
            <w:r w:rsidRPr="004C7F84">
              <w:rPr>
                <w:b/>
                <w:bCs/>
                <w:sz w:val="17"/>
              </w:rPr>
              <w:t>)</w:t>
            </w:r>
          </w:p>
        </w:tc>
      </w:tr>
      <w:tr w:rsidR="00A24ABB" w:rsidRPr="004C7F84" w14:paraId="61AC4DEF" w14:textId="77777777" w:rsidTr="00A24ABB">
        <w:tc>
          <w:tcPr>
            <w:tcW w:w="1464" w:type="dxa"/>
            <w:shd w:val="clear" w:color="auto" w:fill="auto"/>
            <w:vAlign w:val="bottom"/>
          </w:tcPr>
          <w:p w14:paraId="739B4300"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282" w:type="dxa"/>
            <w:shd w:val="clear" w:color="auto" w:fill="auto"/>
            <w:vAlign w:val="bottom"/>
          </w:tcPr>
          <w:p w14:paraId="266649B8" w14:textId="3C3A8766" w:rsidR="006F2F92" w:rsidRPr="004C7F84" w:rsidRDefault="00A82B2E" w:rsidP="00970230">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rPr>
            </w:pPr>
            <w:r w:rsidRPr="004C7F84">
              <w:rPr>
                <w:sz w:val="17"/>
                <w:szCs w:val="17"/>
              </w:rPr>
              <w:t>Chef d</w:t>
            </w:r>
            <w:r w:rsidR="00773F5D" w:rsidRPr="004C7F84">
              <w:rPr>
                <w:sz w:val="17"/>
                <w:szCs w:val="17"/>
              </w:rPr>
              <w:t>’</w:t>
            </w:r>
            <w:r w:rsidRPr="004C7F84">
              <w:rPr>
                <w:sz w:val="17"/>
                <w:szCs w:val="17"/>
              </w:rPr>
              <w:t>établissement</w:t>
            </w:r>
          </w:p>
        </w:tc>
        <w:tc>
          <w:tcPr>
            <w:tcW w:w="1282" w:type="dxa"/>
            <w:shd w:val="clear" w:color="auto" w:fill="auto"/>
            <w:vAlign w:val="bottom"/>
          </w:tcPr>
          <w:p w14:paraId="3D26CEEB"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5</w:t>
            </w:r>
          </w:p>
        </w:tc>
        <w:tc>
          <w:tcPr>
            <w:tcW w:w="1282" w:type="dxa"/>
            <w:shd w:val="clear" w:color="auto" w:fill="auto"/>
            <w:vAlign w:val="bottom"/>
          </w:tcPr>
          <w:p w14:paraId="14DCD442"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26</w:t>
            </w:r>
          </w:p>
        </w:tc>
        <w:tc>
          <w:tcPr>
            <w:tcW w:w="2010" w:type="dxa"/>
            <w:shd w:val="clear" w:color="auto" w:fill="auto"/>
            <w:vAlign w:val="bottom"/>
          </w:tcPr>
          <w:p w14:paraId="76C79501"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31</w:t>
            </w:r>
          </w:p>
        </w:tc>
      </w:tr>
      <w:tr w:rsidR="00A24ABB" w:rsidRPr="004C7F84" w14:paraId="4804A289" w14:textId="77777777" w:rsidTr="00A24ABB">
        <w:tc>
          <w:tcPr>
            <w:tcW w:w="1464" w:type="dxa"/>
            <w:shd w:val="clear" w:color="auto" w:fill="auto"/>
            <w:vAlign w:val="bottom"/>
          </w:tcPr>
          <w:p w14:paraId="2A36AC5B" w14:textId="2A1E8B1A" w:rsidR="006F2F92" w:rsidRPr="004C7F84" w:rsidRDefault="006F2F92" w:rsidP="00A82B2E">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C7F84">
              <w:rPr>
                <w:sz w:val="17"/>
              </w:rPr>
              <w:t>S</w:t>
            </w:r>
            <w:r w:rsidR="00A82B2E" w:rsidRPr="004C7F84">
              <w:rPr>
                <w:sz w:val="17"/>
              </w:rPr>
              <w:t>econdaire</w:t>
            </w:r>
          </w:p>
        </w:tc>
        <w:tc>
          <w:tcPr>
            <w:tcW w:w="1282" w:type="dxa"/>
            <w:shd w:val="clear" w:color="auto" w:fill="auto"/>
            <w:vAlign w:val="bottom"/>
          </w:tcPr>
          <w:p w14:paraId="0E7EF36E" w14:textId="77777777" w:rsidR="006F2F92" w:rsidRPr="004C7F84" w:rsidRDefault="006F2F92" w:rsidP="00970230">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rPr>
            </w:pPr>
          </w:p>
        </w:tc>
        <w:tc>
          <w:tcPr>
            <w:tcW w:w="1282" w:type="dxa"/>
            <w:shd w:val="clear" w:color="auto" w:fill="auto"/>
            <w:vAlign w:val="bottom"/>
          </w:tcPr>
          <w:p w14:paraId="374D8AAB"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114</w:t>
            </w:r>
          </w:p>
        </w:tc>
        <w:tc>
          <w:tcPr>
            <w:tcW w:w="1282" w:type="dxa"/>
            <w:shd w:val="clear" w:color="auto" w:fill="auto"/>
            <w:vAlign w:val="bottom"/>
          </w:tcPr>
          <w:p w14:paraId="34CD9571"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174</w:t>
            </w:r>
          </w:p>
        </w:tc>
        <w:tc>
          <w:tcPr>
            <w:tcW w:w="2010" w:type="dxa"/>
            <w:shd w:val="clear" w:color="auto" w:fill="auto"/>
            <w:vAlign w:val="bottom"/>
          </w:tcPr>
          <w:p w14:paraId="4DEAE94A" w14:textId="579165BE" w:rsidR="006F2F92" w:rsidRPr="004C7F84" w:rsidRDefault="006F2F92" w:rsidP="00A82B2E">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228 (</w:t>
            </w:r>
            <w:r w:rsidR="00A82B2E" w:rsidRPr="004C7F84">
              <w:rPr>
                <w:b/>
                <w:bCs/>
                <w:sz w:val="17"/>
              </w:rPr>
              <w:t>établissements publics et privés</w:t>
            </w:r>
            <w:r w:rsidRPr="004C7F84">
              <w:rPr>
                <w:b/>
                <w:bCs/>
                <w:sz w:val="17"/>
              </w:rPr>
              <w:t>)</w:t>
            </w:r>
          </w:p>
        </w:tc>
      </w:tr>
      <w:tr w:rsidR="00A24ABB" w:rsidRPr="004C7F84" w14:paraId="59E551B9" w14:textId="77777777" w:rsidTr="00A24ABB">
        <w:tc>
          <w:tcPr>
            <w:tcW w:w="1464" w:type="dxa"/>
            <w:shd w:val="clear" w:color="auto" w:fill="auto"/>
            <w:vAlign w:val="bottom"/>
          </w:tcPr>
          <w:p w14:paraId="74DC35C3"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282" w:type="dxa"/>
            <w:shd w:val="clear" w:color="auto" w:fill="auto"/>
            <w:vAlign w:val="bottom"/>
          </w:tcPr>
          <w:p w14:paraId="3F076B6E" w14:textId="591B46FC" w:rsidR="006F2F92" w:rsidRPr="004C7F84" w:rsidRDefault="00A82B2E" w:rsidP="00970230">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rPr>
            </w:pPr>
            <w:r w:rsidRPr="004C7F84">
              <w:rPr>
                <w:sz w:val="17"/>
                <w:szCs w:val="17"/>
              </w:rPr>
              <w:t>Chef d</w:t>
            </w:r>
            <w:r w:rsidR="00773F5D" w:rsidRPr="004C7F84">
              <w:rPr>
                <w:sz w:val="17"/>
                <w:szCs w:val="17"/>
              </w:rPr>
              <w:t>’</w:t>
            </w:r>
            <w:r w:rsidRPr="004C7F84">
              <w:rPr>
                <w:sz w:val="17"/>
                <w:szCs w:val="17"/>
              </w:rPr>
              <w:t>établissement</w:t>
            </w:r>
          </w:p>
        </w:tc>
        <w:tc>
          <w:tcPr>
            <w:tcW w:w="1282" w:type="dxa"/>
            <w:shd w:val="clear" w:color="auto" w:fill="auto"/>
            <w:vAlign w:val="bottom"/>
          </w:tcPr>
          <w:p w14:paraId="1AB142E4"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4</w:t>
            </w:r>
          </w:p>
        </w:tc>
        <w:tc>
          <w:tcPr>
            <w:tcW w:w="1282" w:type="dxa"/>
            <w:shd w:val="clear" w:color="auto" w:fill="auto"/>
            <w:vAlign w:val="bottom"/>
          </w:tcPr>
          <w:p w14:paraId="1D5FD5D5"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8</w:t>
            </w:r>
          </w:p>
        </w:tc>
        <w:tc>
          <w:tcPr>
            <w:tcW w:w="2010" w:type="dxa"/>
            <w:shd w:val="clear" w:color="auto" w:fill="auto"/>
            <w:vAlign w:val="bottom"/>
          </w:tcPr>
          <w:p w14:paraId="009B1E48"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12</w:t>
            </w:r>
          </w:p>
        </w:tc>
      </w:tr>
      <w:tr w:rsidR="00A24ABB" w:rsidRPr="004C7F84" w14:paraId="3D1B958E" w14:textId="77777777" w:rsidTr="00A24ABB">
        <w:tc>
          <w:tcPr>
            <w:tcW w:w="1464" w:type="dxa"/>
            <w:shd w:val="clear" w:color="auto" w:fill="auto"/>
            <w:vAlign w:val="bottom"/>
          </w:tcPr>
          <w:p w14:paraId="4D7D0E6F" w14:textId="3E2A3ED3" w:rsidR="006F2F92" w:rsidRPr="004C7F84" w:rsidRDefault="00A82B2E" w:rsidP="00A82B2E">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C7F84">
              <w:rPr>
                <w:sz w:val="17"/>
              </w:rPr>
              <w:t>Antigua State College</w:t>
            </w:r>
          </w:p>
        </w:tc>
        <w:tc>
          <w:tcPr>
            <w:tcW w:w="1282" w:type="dxa"/>
            <w:shd w:val="clear" w:color="auto" w:fill="auto"/>
            <w:vAlign w:val="bottom"/>
          </w:tcPr>
          <w:p w14:paraId="519F90AA" w14:textId="77777777" w:rsidR="006F2F92" w:rsidRPr="004C7F84" w:rsidRDefault="006F2F92" w:rsidP="00970230">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rPr>
            </w:pPr>
          </w:p>
        </w:tc>
        <w:tc>
          <w:tcPr>
            <w:tcW w:w="1282" w:type="dxa"/>
            <w:shd w:val="clear" w:color="auto" w:fill="auto"/>
            <w:vAlign w:val="bottom"/>
          </w:tcPr>
          <w:p w14:paraId="717DA983"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44</w:t>
            </w:r>
          </w:p>
        </w:tc>
        <w:tc>
          <w:tcPr>
            <w:tcW w:w="1282" w:type="dxa"/>
            <w:shd w:val="clear" w:color="auto" w:fill="auto"/>
            <w:vAlign w:val="bottom"/>
          </w:tcPr>
          <w:p w14:paraId="7CDD0C09"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48</w:t>
            </w:r>
          </w:p>
        </w:tc>
        <w:tc>
          <w:tcPr>
            <w:tcW w:w="2010" w:type="dxa"/>
            <w:shd w:val="clear" w:color="auto" w:fill="auto"/>
            <w:vAlign w:val="bottom"/>
          </w:tcPr>
          <w:p w14:paraId="4723A271"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92</w:t>
            </w:r>
          </w:p>
        </w:tc>
      </w:tr>
      <w:tr w:rsidR="00A24ABB" w:rsidRPr="004C7F84" w14:paraId="53E59504" w14:textId="77777777" w:rsidTr="00A24ABB">
        <w:tc>
          <w:tcPr>
            <w:tcW w:w="1464" w:type="dxa"/>
            <w:shd w:val="clear" w:color="auto" w:fill="auto"/>
            <w:vAlign w:val="bottom"/>
          </w:tcPr>
          <w:p w14:paraId="66452D85"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282" w:type="dxa"/>
            <w:shd w:val="clear" w:color="auto" w:fill="auto"/>
            <w:vAlign w:val="bottom"/>
          </w:tcPr>
          <w:p w14:paraId="06F0255B" w14:textId="543217A2" w:rsidR="006F2F92" w:rsidRPr="004C7F84" w:rsidRDefault="00A82B2E" w:rsidP="00970230">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rPr>
            </w:pPr>
            <w:r w:rsidRPr="004C7F84">
              <w:rPr>
                <w:sz w:val="17"/>
                <w:szCs w:val="17"/>
              </w:rPr>
              <w:t>Chef d</w:t>
            </w:r>
            <w:r w:rsidR="00773F5D" w:rsidRPr="004C7F84">
              <w:rPr>
                <w:sz w:val="17"/>
                <w:szCs w:val="17"/>
              </w:rPr>
              <w:t>’</w:t>
            </w:r>
            <w:r w:rsidRPr="004C7F84">
              <w:rPr>
                <w:sz w:val="17"/>
                <w:szCs w:val="17"/>
              </w:rPr>
              <w:t xml:space="preserve">établissement </w:t>
            </w:r>
          </w:p>
        </w:tc>
        <w:tc>
          <w:tcPr>
            <w:tcW w:w="1282" w:type="dxa"/>
            <w:shd w:val="clear" w:color="auto" w:fill="auto"/>
            <w:vAlign w:val="bottom"/>
          </w:tcPr>
          <w:p w14:paraId="45D5C5F6"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1</w:t>
            </w:r>
          </w:p>
        </w:tc>
        <w:tc>
          <w:tcPr>
            <w:tcW w:w="1282" w:type="dxa"/>
            <w:shd w:val="clear" w:color="auto" w:fill="auto"/>
            <w:vAlign w:val="bottom"/>
          </w:tcPr>
          <w:p w14:paraId="35184729" w14:textId="064CF993" w:rsidR="006F2F92" w:rsidRPr="004C7F84" w:rsidRDefault="00A24ABB"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w:t>
            </w:r>
          </w:p>
        </w:tc>
        <w:tc>
          <w:tcPr>
            <w:tcW w:w="2010" w:type="dxa"/>
            <w:shd w:val="clear" w:color="auto" w:fill="auto"/>
            <w:vAlign w:val="bottom"/>
          </w:tcPr>
          <w:p w14:paraId="7F6EACBC" w14:textId="77777777" w:rsidR="006F2F92" w:rsidRPr="004C7F84" w:rsidRDefault="006F2F92" w:rsidP="00A24ABB">
            <w:pPr>
              <w:pStyle w:val="SingleTxt"/>
              <w:keepNext/>
              <w:keepLines/>
              <w:widowControl w:val="0"/>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1</w:t>
            </w:r>
          </w:p>
        </w:tc>
      </w:tr>
      <w:tr w:rsidR="00A24ABB" w:rsidRPr="004C7F84" w14:paraId="36420162" w14:textId="77777777" w:rsidTr="00A24ABB">
        <w:tc>
          <w:tcPr>
            <w:tcW w:w="1464" w:type="dxa"/>
            <w:shd w:val="clear" w:color="auto" w:fill="auto"/>
            <w:vAlign w:val="bottom"/>
          </w:tcPr>
          <w:p w14:paraId="2992A9E0" w14:textId="53D18769" w:rsidR="006F2F92" w:rsidRPr="00F05573" w:rsidRDefault="00A82B2E" w:rsidP="00A82B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US"/>
              </w:rPr>
            </w:pPr>
            <w:r w:rsidRPr="00F05573">
              <w:rPr>
                <w:sz w:val="17"/>
                <w:lang w:val="en-US"/>
              </w:rPr>
              <w:t>Antigua and Barbuda Hospitality Training Institute</w:t>
            </w:r>
          </w:p>
        </w:tc>
        <w:tc>
          <w:tcPr>
            <w:tcW w:w="1282" w:type="dxa"/>
            <w:shd w:val="clear" w:color="auto" w:fill="auto"/>
            <w:vAlign w:val="bottom"/>
          </w:tcPr>
          <w:p w14:paraId="7A8BADAB" w14:textId="77777777" w:rsidR="006F2F92" w:rsidRPr="00F05573" w:rsidRDefault="006F2F92" w:rsidP="009702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lang w:val="en-US"/>
              </w:rPr>
            </w:pPr>
          </w:p>
        </w:tc>
        <w:tc>
          <w:tcPr>
            <w:tcW w:w="1282" w:type="dxa"/>
            <w:shd w:val="clear" w:color="auto" w:fill="auto"/>
            <w:vAlign w:val="bottom"/>
          </w:tcPr>
          <w:p w14:paraId="5B927B45" w14:textId="77777777" w:rsidR="006F2F92" w:rsidRPr="004C7F84" w:rsidRDefault="006F2F92" w:rsidP="00A2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6</w:t>
            </w:r>
          </w:p>
        </w:tc>
        <w:tc>
          <w:tcPr>
            <w:tcW w:w="1282" w:type="dxa"/>
            <w:shd w:val="clear" w:color="auto" w:fill="auto"/>
            <w:vAlign w:val="bottom"/>
          </w:tcPr>
          <w:p w14:paraId="1D8FF38A" w14:textId="77777777" w:rsidR="006F2F92" w:rsidRPr="004C7F84" w:rsidRDefault="006F2F92" w:rsidP="00A2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8</w:t>
            </w:r>
          </w:p>
        </w:tc>
        <w:tc>
          <w:tcPr>
            <w:tcW w:w="2010" w:type="dxa"/>
            <w:shd w:val="clear" w:color="auto" w:fill="auto"/>
            <w:vAlign w:val="bottom"/>
          </w:tcPr>
          <w:p w14:paraId="367EB712" w14:textId="77777777" w:rsidR="006F2F92" w:rsidRPr="004C7F84" w:rsidRDefault="006F2F92" w:rsidP="00A2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14</w:t>
            </w:r>
          </w:p>
        </w:tc>
      </w:tr>
      <w:tr w:rsidR="00A24ABB" w:rsidRPr="004C7F84" w14:paraId="492D845D" w14:textId="77777777" w:rsidTr="00A24ABB">
        <w:tc>
          <w:tcPr>
            <w:tcW w:w="1464" w:type="dxa"/>
            <w:shd w:val="clear" w:color="auto" w:fill="auto"/>
            <w:vAlign w:val="bottom"/>
          </w:tcPr>
          <w:p w14:paraId="1D3BF042" w14:textId="77777777" w:rsidR="006F2F92" w:rsidRPr="004C7F84" w:rsidRDefault="006F2F92" w:rsidP="00A2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282" w:type="dxa"/>
            <w:shd w:val="clear" w:color="auto" w:fill="auto"/>
            <w:vAlign w:val="bottom"/>
          </w:tcPr>
          <w:p w14:paraId="1F7CDDC9" w14:textId="3CBB240E" w:rsidR="006F2F92" w:rsidRPr="004C7F84" w:rsidRDefault="00A82B2E" w:rsidP="009702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rPr>
            </w:pPr>
            <w:r w:rsidRPr="004C7F84">
              <w:rPr>
                <w:sz w:val="17"/>
                <w:szCs w:val="17"/>
              </w:rPr>
              <w:t>Chef d</w:t>
            </w:r>
            <w:r w:rsidR="00773F5D" w:rsidRPr="004C7F84">
              <w:rPr>
                <w:sz w:val="17"/>
                <w:szCs w:val="17"/>
              </w:rPr>
              <w:t>’</w:t>
            </w:r>
            <w:r w:rsidRPr="004C7F84">
              <w:rPr>
                <w:sz w:val="17"/>
                <w:szCs w:val="17"/>
              </w:rPr>
              <w:t>établissement</w:t>
            </w:r>
          </w:p>
        </w:tc>
        <w:tc>
          <w:tcPr>
            <w:tcW w:w="1282" w:type="dxa"/>
            <w:shd w:val="clear" w:color="auto" w:fill="auto"/>
            <w:vAlign w:val="bottom"/>
          </w:tcPr>
          <w:p w14:paraId="14551847" w14:textId="77777777" w:rsidR="006F2F92" w:rsidRPr="004C7F84" w:rsidRDefault="006F2F92" w:rsidP="00A2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1</w:t>
            </w:r>
          </w:p>
        </w:tc>
        <w:tc>
          <w:tcPr>
            <w:tcW w:w="1282" w:type="dxa"/>
            <w:shd w:val="clear" w:color="auto" w:fill="auto"/>
            <w:vAlign w:val="bottom"/>
          </w:tcPr>
          <w:p w14:paraId="1F910E5F" w14:textId="2D9E9735" w:rsidR="006F2F92" w:rsidRPr="004C7F84" w:rsidRDefault="00A24ABB" w:rsidP="00A2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w:t>
            </w:r>
          </w:p>
        </w:tc>
        <w:tc>
          <w:tcPr>
            <w:tcW w:w="2010" w:type="dxa"/>
            <w:shd w:val="clear" w:color="auto" w:fill="auto"/>
            <w:vAlign w:val="bottom"/>
          </w:tcPr>
          <w:p w14:paraId="1AE11D4B" w14:textId="77777777" w:rsidR="006F2F92" w:rsidRPr="004C7F84" w:rsidRDefault="006F2F92" w:rsidP="00A2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1</w:t>
            </w:r>
          </w:p>
        </w:tc>
      </w:tr>
      <w:tr w:rsidR="00A24ABB" w:rsidRPr="004C7F84" w14:paraId="245C8B57" w14:textId="77777777" w:rsidTr="00A24ABB">
        <w:tc>
          <w:tcPr>
            <w:tcW w:w="1464" w:type="dxa"/>
            <w:shd w:val="clear" w:color="auto" w:fill="auto"/>
            <w:vAlign w:val="bottom"/>
          </w:tcPr>
          <w:p w14:paraId="723BAD83" w14:textId="6F44CE29" w:rsidR="006F2F92" w:rsidRPr="004C7F84" w:rsidRDefault="00A82B2E" w:rsidP="00A82B2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4C7F84">
              <w:rPr>
                <w:sz w:val="17"/>
              </w:rPr>
              <w:t>Université des Indes occidentales</w:t>
            </w:r>
            <w:r w:rsidR="006F2F92" w:rsidRPr="004C7F84">
              <w:rPr>
                <w:sz w:val="17"/>
              </w:rPr>
              <w:t xml:space="preserve"> (Antigua)</w:t>
            </w:r>
          </w:p>
        </w:tc>
        <w:tc>
          <w:tcPr>
            <w:tcW w:w="1282" w:type="dxa"/>
            <w:shd w:val="clear" w:color="auto" w:fill="auto"/>
            <w:vAlign w:val="bottom"/>
          </w:tcPr>
          <w:p w14:paraId="767C7099" w14:textId="77777777" w:rsidR="006F2F92" w:rsidRPr="004C7F84" w:rsidRDefault="006F2F92" w:rsidP="009702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rPr>
            </w:pPr>
          </w:p>
        </w:tc>
        <w:tc>
          <w:tcPr>
            <w:tcW w:w="1282" w:type="dxa"/>
            <w:shd w:val="clear" w:color="auto" w:fill="auto"/>
            <w:vAlign w:val="bottom"/>
          </w:tcPr>
          <w:p w14:paraId="1EF8A115" w14:textId="77777777" w:rsidR="006F2F92" w:rsidRPr="004C7F84" w:rsidRDefault="006F2F92" w:rsidP="00A2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8</w:t>
            </w:r>
          </w:p>
        </w:tc>
        <w:tc>
          <w:tcPr>
            <w:tcW w:w="1282" w:type="dxa"/>
            <w:shd w:val="clear" w:color="auto" w:fill="auto"/>
            <w:vAlign w:val="bottom"/>
          </w:tcPr>
          <w:p w14:paraId="43487413" w14:textId="77777777" w:rsidR="006F2F92" w:rsidRPr="004C7F84" w:rsidRDefault="006F2F92" w:rsidP="00A2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12</w:t>
            </w:r>
          </w:p>
        </w:tc>
        <w:tc>
          <w:tcPr>
            <w:tcW w:w="2010" w:type="dxa"/>
            <w:shd w:val="clear" w:color="auto" w:fill="auto"/>
            <w:vAlign w:val="bottom"/>
          </w:tcPr>
          <w:p w14:paraId="4D99E7C0" w14:textId="77777777" w:rsidR="006F2F92" w:rsidRPr="004C7F84" w:rsidRDefault="006F2F92" w:rsidP="00A2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20</w:t>
            </w:r>
          </w:p>
        </w:tc>
      </w:tr>
      <w:tr w:rsidR="00A24ABB" w:rsidRPr="004C7F84" w14:paraId="0CB9C28A" w14:textId="77777777" w:rsidTr="00A24ABB">
        <w:tc>
          <w:tcPr>
            <w:tcW w:w="1464" w:type="dxa"/>
            <w:tcBorders>
              <w:bottom w:val="single" w:sz="12" w:space="0" w:color="auto"/>
            </w:tcBorders>
            <w:shd w:val="clear" w:color="auto" w:fill="auto"/>
            <w:vAlign w:val="bottom"/>
          </w:tcPr>
          <w:p w14:paraId="0D5A533D" w14:textId="77777777" w:rsidR="006F2F92" w:rsidRPr="004C7F84" w:rsidRDefault="006F2F92" w:rsidP="00A2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282" w:type="dxa"/>
            <w:tcBorders>
              <w:bottom w:val="single" w:sz="12" w:space="0" w:color="auto"/>
            </w:tcBorders>
            <w:shd w:val="clear" w:color="auto" w:fill="auto"/>
            <w:vAlign w:val="bottom"/>
          </w:tcPr>
          <w:p w14:paraId="5D37FB56" w14:textId="5BF684CE" w:rsidR="006F2F92" w:rsidRPr="004C7F84" w:rsidRDefault="00A82B2E" w:rsidP="009702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szCs w:val="17"/>
              </w:rPr>
            </w:pPr>
            <w:r w:rsidRPr="004C7F84">
              <w:rPr>
                <w:sz w:val="17"/>
                <w:szCs w:val="17"/>
              </w:rPr>
              <w:t>Chef d</w:t>
            </w:r>
            <w:r w:rsidR="00773F5D" w:rsidRPr="004C7F84">
              <w:rPr>
                <w:sz w:val="17"/>
                <w:szCs w:val="17"/>
              </w:rPr>
              <w:t>’</w:t>
            </w:r>
            <w:r w:rsidRPr="004C7F84">
              <w:rPr>
                <w:sz w:val="17"/>
                <w:szCs w:val="17"/>
              </w:rPr>
              <w:t>établissement</w:t>
            </w:r>
          </w:p>
        </w:tc>
        <w:tc>
          <w:tcPr>
            <w:tcW w:w="1282" w:type="dxa"/>
            <w:tcBorders>
              <w:bottom w:val="single" w:sz="12" w:space="0" w:color="auto"/>
            </w:tcBorders>
            <w:shd w:val="clear" w:color="auto" w:fill="auto"/>
            <w:vAlign w:val="bottom"/>
          </w:tcPr>
          <w:p w14:paraId="47B20A94" w14:textId="77777777" w:rsidR="006F2F92" w:rsidRPr="004C7F84" w:rsidRDefault="006F2F92" w:rsidP="00A2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1</w:t>
            </w:r>
          </w:p>
        </w:tc>
        <w:tc>
          <w:tcPr>
            <w:tcW w:w="1282" w:type="dxa"/>
            <w:tcBorders>
              <w:bottom w:val="single" w:sz="12" w:space="0" w:color="auto"/>
            </w:tcBorders>
            <w:shd w:val="clear" w:color="auto" w:fill="auto"/>
            <w:vAlign w:val="bottom"/>
          </w:tcPr>
          <w:p w14:paraId="144C9EAB" w14:textId="11C8029E" w:rsidR="006F2F92" w:rsidRPr="004C7F84" w:rsidRDefault="00A24ABB" w:rsidP="00A2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w:t>
            </w:r>
          </w:p>
        </w:tc>
        <w:tc>
          <w:tcPr>
            <w:tcW w:w="2010" w:type="dxa"/>
            <w:tcBorders>
              <w:bottom w:val="single" w:sz="12" w:space="0" w:color="auto"/>
            </w:tcBorders>
            <w:shd w:val="clear" w:color="auto" w:fill="auto"/>
            <w:vAlign w:val="bottom"/>
          </w:tcPr>
          <w:p w14:paraId="5A6FC3DC" w14:textId="77777777" w:rsidR="006F2F92" w:rsidRPr="004C7F84" w:rsidRDefault="006F2F92" w:rsidP="00A2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1</w:t>
            </w:r>
          </w:p>
        </w:tc>
      </w:tr>
    </w:tbl>
    <w:p w14:paraId="5B3CE688" w14:textId="4493030F" w:rsidR="00A24ABB" w:rsidRPr="004C7F84" w:rsidRDefault="00A24ABB" w:rsidP="00A24ABB">
      <w:pPr>
        <w:pStyle w:val="SingleTxt"/>
        <w:spacing w:after="0" w:line="120" w:lineRule="exact"/>
        <w:rPr>
          <w:sz w:val="10"/>
        </w:rPr>
      </w:pPr>
    </w:p>
    <w:p w14:paraId="080D05FD" w14:textId="4ABFCDAB" w:rsidR="00BF5BEB" w:rsidRPr="004C7F84" w:rsidRDefault="00BF5BEB" w:rsidP="00A24ABB">
      <w:pPr>
        <w:pStyle w:val="FootnoteText"/>
        <w:tabs>
          <w:tab w:val="clear" w:pos="418"/>
          <w:tab w:val="right" w:pos="1476"/>
          <w:tab w:val="left" w:pos="1548"/>
          <w:tab w:val="right" w:pos="1836"/>
          <w:tab w:val="left" w:pos="1908"/>
        </w:tabs>
        <w:ind w:left="1548" w:right="1267" w:hanging="288"/>
      </w:pPr>
      <w:r w:rsidRPr="004C7F84">
        <w:rPr>
          <w:i/>
          <w:iCs/>
        </w:rPr>
        <w:t>Source</w:t>
      </w:r>
      <w:r w:rsidR="00773F5D" w:rsidRPr="004C7F84">
        <w:rPr>
          <w:i/>
          <w:iCs/>
        </w:rPr>
        <w:t> :</w:t>
      </w:r>
      <w:r w:rsidRPr="004C7F84">
        <w:t xml:space="preserve"> </w:t>
      </w:r>
      <w:r w:rsidR="00A82B2E" w:rsidRPr="004C7F84">
        <w:t>Statistiques non publiées, Ministère de l</w:t>
      </w:r>
      <w:r w:rsidR="00773F5D" w:rsidRPr="004C7F84">
        <w:t>’</w:t>
      </w:r>
      <w:r w:rsidR="00A82B2E" w:rsidRPr="004C7F84">
        <w:t>éducation et Université des Indes occidentales, Antigua-et-Barbuda</w:t>
      </w:r>
      <w:r w:rsidR="00A24ABB" w:rsidRPr="004C7F84">
        <w:t>.</w:t>
      </w:r>
    </w:p>
    <w:p w14:paraId="229A435C" w14:textId="4BC9253C" w:rsidR="00A24ABB" w:rsidRPr="004C7F84" w:rsidRDefault="00A24ABB" w:rsidP="00A24ABB">
      <w:pPr>
        <w:pStyle w:val="SingleTxt"/>
        <w:spacing w:after="0" w:line="120" w:lineRule="exact"/>
        <w:rPr>
          <w:sz w:val="10"/>
        </w:rPr>
      </w:pPr>
    </w:p>
    <w:p w14:paraId="7EA64B08" w14:textId="3A0CEB9A" w:rsidR="00A24ABB" w:rsidRPr="004C7F84" w:rsidRDefault="00A24ABB" w:rsidP="00A24ABB">
      <w:pPr>
        <w:pStyle w:val="SingleTxt"/>
        <w:spacing w:after="0" w:line="120" w:lineRule="exact"/>
        <w:rPr>
          <w:sz w:val="10"/>
        </w:rPr>
      </w:pPr>
    </w:p>
    <w:p w14:paraId="0DCB7F3F" w14:textId="69D3B2E7" w:rsidR="00A82B2E" w:rsidRPr="004C7F84" w:rsidRDefault="00970230" w:rsidP="00514306">
      <w:pPr>
        <w:pStyle w:val="SingleTxt"/>
        <w:numPr>
          <w:ilvl w:val="0"/>
          <w:numId w:val="19"/>
        </w:numPr>
        <w:spacing w:line="240" w:lineRule="exact"/>
        <w:ind w:left="1267" w:firstLine="0"/>
      </w:pPr>
      <w:r w:rsidRPr="004C7F84">
        <w:t>Comme l</w:t>
      </w:r>
      <w:r w:rsidR="00773F5D" w:rsidRPr="004C7F84">
        <w:t>’</w:t>
      </w:r>
      <w:r w:rsidRPr="004C7F84">
        <w:t xml:space="preserve">indique </w:t>
      </w:r>
      <w:r w:rsidR="00A82B2E" w:rsidRPr="004C7F84">
        <w:t>le tableau 4, au cours de l</w:t>
      </w:r>
      <w:r w:rsidR="00773F5D" w:rsidRPr="004C7F84">
        <w:t>’</w:t>
      </w:r>
      <w:r w:rsidR="00A82B2E" w:rsidRPr="004C7F84">
        <w:t>an</w:t>
      </w:r>
      <w:r w:rsidR="000036EF" w:rsidRPr="004C7F84">
        <w:t>née scolaire 2011-</w:t>
      </w:r>
      <w:r w:rsidR="00A82B2E" w:rsidRPr="004C7F84">
        <w:t>2012, les femmes chefs d</w:t>
      </w:r>
      <w:r w:rsidR="00773F5D" w:rsidRPr="004C7F84">
        <w:t>’</w:t>
      </w:r>
      <w:r w:rsidR="00A82B2E" w:rsidRPr="004C7F84">
        <w:t>établissement étaient plus nombreuses que les hommes dans l</w:t>
      </w:r>
      <w:r w:rsidR="00773F5D" w:rsidRPr="004C7F84">
        <w:t>’</w:t>
      </w:r>
      <w:r w:rsidR="00A82B2E" w:rsidRPr="004C7F84">
        <w:t>enseignement primaire et secondaire,</w:t>
      </w:r>
      <w:r w:rsidR="000036EF" w:rsidRPr="004C7F84">
        <w:t xml:space="preserve"> mais pas au niveau tertiaire</w:t>
      </w:r>
      <w:r w:rsidR="00773F5D" w:rsidRPr="004C7F84">
        <w:t> :</w:t>
      </w:r>
      <w:r w:rsidR="000036EF" w:rsidRPr="004C7F84">
        <w:t xml:space="preserve"> </w:t>
      </w:r>
      <w:r w:rsidR="00A82B2E" w:rsidRPr="004C7F84">
        <w:t>Antigua State College, Antigua and Barbuda Hospitality Training Institute et l</w:t>
      </w:r>
      <w:r w:rsidR="00773F5D" w:rsidRPr="004C7F84">
        <w:t>’</w:t>
      </w:r>
      <w:r w:rsidR="00A82B2E" w:rsidRPr="004C7F84">
        <w:t>Université des Indes occidentales (Centre d</w:t>
      </w:r>
      <w:r w:rsidR="00773F5D" w:rsidRPr="004C7F84">
        <w:t>’</w:t>
      </w:r>
      <w:r w:rsidR="00A82B2E" w:rsidRPr="004C7F84">
        <w:t>éducation permanente) étaient tous dirigés par des hommes. Dans le passé, cependant, des femmes avaient été à la tête de l</w:t>
      </w:r>
      <w:r w:rsidR="00773F5D" w:rsidRPr="004C7F84">
        <w:t>’</w:t>
      </w:r>
      <w:r w:rsidR="00A82B2E" w:rsidRPr="004C7F84">
        <w:t xml:space="preserve">Antigua </w:t>
      </w:r>
      <w:r w:rsidR="00A82B2E" w:rsidRPr="004C7F84">
        <w:lastRenderedPageBreak/>
        <w:t>State College et de l</w:t>
      </w:r>
      <w:r w:rsidR="00773F5D" w:rsidRPr="004C7F84">
        <w:t>’</w:t>
      </w:r>
      <w:r w:rsidR="00A82B2E" w:rsidRPr="004C7F84">
        <w:t>Université des Indes occidentales. En 2015, les chefs de tous les établissements d</w:t>
      </w:r>
      <w:r w:rsidR="00773F5D" w:rsidRPr="004C7F84">
        <w:t>’</w:t>
      </w:r>
      <w:r w:rsidR="00A82B2E" w:rsidRPr="004C7F84">
        <w:t>enseignement tertiaire mentionnés sont des hommes.</w:t>
      </w:r>
    </w:p>
    <w:p w14:paraId="6A6F9E9C" w14:textId="5724BF15" w:rsidR="00A82B2E" w:rsidRPr="004C7F84" w:rsidRDefault="00A82B2E" w:rsidP="00A82B2E">
      <w:pPr>
        <w:pStyle w:val="SingleTxt"/>
        <w:spacing w:after="0" w:line="120" w:lineRule="exact"/>
        <w:rPr>
          <w:sz w:val="10"/>
        </w:rPr>
      </w:pPr>
    </w:p>
    <w:p w14:paraId="5D0D0E1E" w14:textId="6BB30D1F" w:rsidR="00A82B2E" w:rsidRPr="004C7F84" w:rsidRDefault="000036EF" w:rsidP="000036EF">
      <w:pPr>
        <w:pStyle w:val="H4"/>
        <w:ind w:right="1260"/>
      </w:pPr>
      <w:r w:rsidRPr="004C7F84">
        <w:tab/>
      </w:r>
      <w:r w:rsidRPr="004C7F84">
        <w:tab/>
      </w:r>
      <w:r w:rsidR="00A82B2E" w:rsidRPr="004C7F84">
        <w:t>Entreprises et activités commerciales</w:t>
      </w:r>
    </w:p>
    <w:p w14:paraId="46377906" w14:textId="592ABB16" w:rsidR="000036EF" w:rsidRPr="004C7F84" w:rsidRDefault="000036EF" w:rsidP="000036EF">
      <w:pPr>
        <w:pStyle w:val="SingleTxt"/>
        <w:spacing w:after="0" w:line="120" w:lineRule="exact"/>
        <w:rPr>
          <w:i/>
          <w:sz w:val="10"/>
        </w:rPr>
      </w:pPr>
    </w:p>
    <w:p w14:paraId="103DD2FC" w14:textId="396A81DA" w:rsidR="00A82B2E" w:rsidRPr="004C7F84" w:rsidRDefault="00A82B2E" w:rsidP="00514306">
      <w:pPr>
        <w:pStyle w:val="SingleTxt"/>
        <w:numPr>
          <w:ilvl w:val="0"/>
          <w:numId w:val="19"/>
        </w:numPr>
        <w:spacing w:line="240" w:lineRule="exact"/>
        <w:ind w:left="1267" w:firstLine="0"/>
      </w:pPr>
      <w:r w:rsidRPr="004C7F84">
        <w:t>Il n</w:t>
      </w:r>
      <w:r w:rsidR="00773F5D" w:rsidRPr="004C7F84">
        <w:t>’</w:t>
      </w:r>
      <w:r w:rsidRPr="004C7F84">
        <w:t>est pas possible d</w:t>
      </w:r>
      <w:r w:rsidR="00773F5D" w:rsidRPr="004C7F84">
        <w:t>’</w:t>
      </w:r>
      <w:r w:rsidRPr="004C7F84">
        <w:t>examiner dans le présent rapport l</w:t>
      </w:r>
      <w:r w:rsidR="000036EF" w:rsidRPr="004C7F84">
        <w:t xml:space="preserve">a participation </w:t>
      </w:r>
      <w:r w:rsidR="00970230" w:rsidRPr="004C7F84">
        <w:t xml:space="preserve">des femmes dans </w:t>
      </w:r>
      <w:r w:rsidRPr="004C7F84">
        <w:t>toutes les catégories d</w:t>
      </w:r>
      <w:r w:rsidR="00773F5D" w:rsidRPr="004C7F84">
        <w:t>’</w:t>
      </w:r>
      <w:r w:rsidRPr="004C7F84">
        <w:t>organisation et d</w:t>
      </w:r>
      <w:r w:rsidR="00773F5D" w:rsidRPr="004C7F84">
        <w:t>’</w:t>
      </w:r>
      <w:r w:rsidRPr="004C7F84">
        <w:t>activité commerciales. Toutefois, il convient de noter que la plupart des entreprises détenues et gérées par des femmes se trouvent dans le secteur non structuré de l</w:t>
      </w:r>
      <w:r w:rsidR="00773F5D" w:rsidRPr="004C7F84">
        <w:t>’</w:t>
      </w:r>
      <w:r w:rsidRPr="004C7F84">
        <w:t>économie. Elles sont majoritaires dans les microentreprises, telles que la vente de souvenirs et de vêtements, de produits alimentaires sur le bord des routes et de fruits et légumes au marché. Leurs activités dans l</w:t>
      </w:r>
      <w:r w:rsidR="00773F5D" w:rsidRPr="004C7F84">
        <w:t>’</w:t>
      </w:r>
      <w:r w:rsidRPr="004C7F84">
        <w:t>économie parallèle sont souvent insuffisamment prise</w:t>
      </w:r>
      <w:r w:rsidR="000036EF" w:rsidRPr="004C7F84">
        <w:t xml:space="preserve">s en compte et considérablement </w:t>
      </w:r>
      <w:r w:rsidRPr="004C7F84">
        <w:t>sous-évaluées dans les statistiques et enquêtes économiques nationales. Les femmes sont également majoritaires dans le secteur du tourisme, principalement dans les métiers mo</w:t>
      </w:r>
      <w:r w:rsidR="00970230" w:rsidRPr="004C7F84">
        <w:t>ins bien rémunérés</w:t>
      </w:r>
      <w:r w:rsidR="00773F5D" w:rsidRPr="004C7F84">
        <w:t> :</w:t>
      </w:r>
      <w:r w:rsidR="00970230" w:rsidRPr="004C7F84">
        <w:t xml:space="preserve"> elles sont </w:t>
      </w:r>
      <w:r w:rsidRPr="004C7F84">
        <w:t>serveuses, femmes de ménage, blanchisseuses, etc. Les statistiques, ventilées par sexe, de l</w:t>
      </w:r>
      <w:r w:rsidR="00773F5D" w:rsidRPr="004C7F84">
        <w:t>’</w:t>
      </w:r>
      <w:r w:rsidRPr="004C7F84">
        <w:t>emploi dans ce secteur, n</w:t>
      </w:r>
      <w:r w:rsidR="00773F5D" w:rsidRPr="004C7F84">
        <w:t>’</w:t>
      </w:r>
      <w:r w:rsidR="00970230" w:rsidRPr="004C7F84">
        <w:t xml:space="preserve">étaient pas disponibles. </w:t>
      </w:r>
      <w:r w:rsidRPr="004C7F84">
        <w:t>Le travail dans le secteur du tourisme est généralement saisonnier. De nombreux hôtels ne sont ouverts qu</w:t>
      </w:r>
      <w:r w:rsidR="00773F5D" w:rsidRPr="004C7F84">
        <w:t>’</w:t>
      </w:r>
      <w:r w:rsidRPr="004C7F84">
        <w:t>environ six mois par an, période qui correspond aux saisons inclémentes dans les pays tempérés. Il est indéniable que le caractère saisonnier du travail nuit à la capacité des femmes à subvenir aux besoins de leur famille.</w:t>
      </w:r>
    </w:p>
    <w:p w14:paraId="493887C8" w14:textId="66FF053E" w:rsidR="0034195A" w:rsidRPr="004C7F84" w:rsidRDefault="00A82B2E" w:rsidP="00514306">
      <w:pPr>
        <w:pStyle w:val="SingleTxt"/>
        <w:numPr>
          <w:ilvl w:val="0"/>
          <w:numId w:val="19"/>
        </w:numPr>
        <w:spacing w:line="240" w:lineRule="exact"/>
        <w:ind w:left="1267" w:firstLine="0"/>
        <w:rPr>
          <w:rFonts w:asciiTheme="majorBidi" w:hAnsiTheme="majorBidi" w:cstheme="majorBidi"/>
        </w:rPr>
      </w:pPr>
      <w:r w:rsidRPr="004C7F84">
        <w:t>La partie ci-après sera consacrée essentiellement au secteur bancaire, en particulier à l</w:t>
      </w:r>
      <w:r w:rsidR="00773F5D" w:rsidRPr="004C7F84">
        <w:t>’</w:t>
      </w:r>
      <w:r w:rsidRPr="004C7F84">
        <w:t>Antigua Commercial Bank, première banque du pays et établissement bancaire le plus important d</w:t>
      </w:r>
      <w:r w:rsidR="00773F5D" w:rsidRPr="004C7F84">
        <w:t>’</w:t>
      </w:r>
      <w:r w:rsidRPr="004C7F84">
        <w:t>Antigua-et-Barbuda. Les femmes sont généralement caissières et employées de banque dans les institutions bancaires. Comme on peut le voir dans le tableau 5 ci-après, les femmes sont nombreuses aux échelons inférieurs, mais elles ne parviennent pas à être promues aux postes de responsabilité</w:t>
      </w:r>
    </w:p>
    <w:p w14:paraId="18BDD4CE" w14:textId="77777777" w:rsidR="0034195A" w:rsidRPr="004C7F84" w:rsidRDefault="0034195A" w:rsidP="0034195A">
      <w:pPr>
        <w:pStyle w:val="SingleTxt"/>
        <w:spacing w:after="0" w:line="120" w:lineRule="exact"/>
        <w:rPr>
          <w:rFonts w:asciiTheme="majorBidi" w:hAnsiTheme="majorBidi" w:cstheme="majorBidi"/>
          <w:sz w:val="10"/>
        </w:rPr>
      </w:pPr>
    </w:p>
    <w:p w14:paraId="34473D46" w14:textId="31264576" w:rsidR="0034195A" w:rsidRPr="004C7F84" w:rsidRDefault="0034195A" w:rsidP="005562C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rFonts w:asciiTheme="majorBidi" w:hAnsiTheme="majorBidi" w:cstheme="majorBidi"/>
          <w:lang w:val="fr-FR"/>
        </w:rPr>
      </w:pPr>
      <w:r w:rsidRPr="004C7F84">
        <w:rPr>
          <w:rFonts w:asciiTheme="majorBidi" w:hAnsiTheme="majorBidi" w:cstheme="majorBidi"/>
          <w:b w:val="0"/>
          <w:bCs/>
          <w:lang w:val="fr-FR"/>
        </w:rPr>
        <w:tab/>
      </w:r>
      <w:r w:rsidRPr="004C7F84">
        <w:rPr>
          <w:rFonts w:asciiTheme="majorBidi" w:hAnsiTheme="majorBidi" w:cstheme="majorBidi"/>
          <w:b w:val="0"/>
          <w:bCs/>
          <w:lang w:val="fr-FR"/>
        </w:rPr>
        <w:tab/>
        <w:t>Table</w:t>
      </w:r>
      <w:r w:rsidR="00A82B2E" w:rsidRPr="004C7F84">
        <w:rPr>
          <w:rFonts w:asciiTheme="majorBidi" w:hAnsiTheme="majorBidi" w:cstheme="majorBidi"/>
          <w:b w:val="0"/>
          <w:bCs/>
          <w:lang w:val="fr-FR"/>
        </w:rPr>
        <w:t>au</w:t>
      </w:r>
      <w:r w:rsidRPr="004C7F84">
        <w:rPr>
          <w:rFonts w:asciiTheme="majorBidi" w:hAnsiTheme="majorBidi" w:cstheme="majorBidi"/>
          <w:b w:val="0"/>
          <w:bCs/>
          <w:lang w:val="fr-FR"/>
        </w:rPr>
        <w:t xml:space="preserve"> 5</w:t>
      </w:r>
      <w:r w:rsidR="000036EF" w:rsidRPr="004C7F84">
        <w:rPr>
          <w:rFonts w:asciiTheme="majorBidi" w:hAnsiTheme="majorBidi" w:cstheme="majorBidi"/>
          <w:b w:val="0"/>
          <w:bCs/>
          <w:lang w:val="fr-FR"/>
        </w:rPr>
        <w:br/>
      </w:r>
      <w:r w:rsidR="00970230" w:rsidRPr="004C7F84">
        <w:rPr>
          <w:lang w:val="fr-FR"/>
        </w:rPr>
        <w:t>Personnel de certaines banques commerciales d</w:t>
      </w:r>
      <w:r w:rsidR="00773F5D" w:rsidRPr="004C7F84">
        <w:rPr>
          <w:lang w:val="fr-FR"/>
        </w:rPr>
        <w:t>’</w:t>
      </w:r>
      <w:r w:rsidR="00970230" w:rsidRPr="004C7F84">
        <w:rPr>
          <w:lang w:val="fr-FR"/>
        </w:rPr>
        <w:t xml:space="preserve">Antigua-et-Barbuda, </w:t>
      </w:r>
      <w:r w:rsidR="00970230" w:rsidRPr="004C7F84">
        <w:rPr>
          <w:lang w:val="fr-FR"/>
        </w:rPr>
        <w:br/>
      </w:r>
      <w:r w:rsidR="000036EF" w:rsidRPr="004C7F84">
        <w:rPr>
          <w:lang w:val="fr-FR"/>
        </w:rPr>
        <w:t>par sexe et par niveau d</w:t>
      </w:r>
      <w:r w:rsidR="00773F5D" w:rsidRPr="004C7F84">
        <w:rPr>
          <w:lang w:val="fr-FR"/>
        </w:rPr>
        <w:t>’</w:t>
      </w:r>
      <w:r w:rsidR="00970230" w:rsidRPr="004C7F84">
        <w:rPr>
          <w:lang w:val="fr-FR"/>
        </w:rPr>
        <w:t>emploi</w:t>
      </w:r>
      <w:r w:rsidR="00773F5D" w:rsidRPr="004C7F84">
        <w:rPr>
          <w:lang w:val="fr-FR"/>
        </w:rPr>
        <w:t> :</w:t>
      </w:r>
      <w:r w:rsidR="00970230" w:rsidRPr="004C7F84">
        <w:rPr>
          <w:lang w:val="fr-FR"/>
        </w:rPr>
        <w:t xml:space="preserve"> 2003</w:t>
      </w:r>
    </w:p>
    <w:p w14:paraId="2C066F90" w14:textId="3FA0CF56" w:rsidR="0034195A" w:rsidRPr="004C7F84" w:rsidRDefault="0034195A" w:rsidP="000036EF">
      <w:pPr>
        <w:pStyle w:val="SingleTxt"/>
        <w:spacing w:after="0" w:line="120" w:lineRule="exact"/>
        <w:rPr>
          <w:rFonts w:asciiTheme="majorBidi" w:hAnsiTheme="majorBidi" w:cstheme="majorBidi"/>
          <w:sz w:val="10"/>
        </w:rPr>
      </w:pPr>
    </w:p>
    <w:p w14:paraId="173EF0AF" w14:textId="77777777" w:rsidR="000036EF" w:rsidRPr="004C7F84" w:rsidRDefault="000036EF" w:rsidP="0034195A">
      <w:pPr>
        <w:pStyle w:val="SingleTxt"/>
        <w:spacing w:after="0" w:line="120" w:lineRule="exact"/>
        <w:rPr>
          <w:rFonts w:asciiTheme="majorBidi" w:hAnsiTheme="majorBidi" w:cstheme="majorBidi"/>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620"/>
        <w:gridCol w:w="474"/>
        <w:gridCol w:w="475"/>
        <w:gridCol w:w="475"/>
        <w:gridCol w:w="61"/>
        <w:gridCol w:w="414"/>
        <w:gridCol w:w="475"/>
        <w:gridCol w:w="475"/>
        <w:gridCol w:w="67"/>
        <w:gridCol w:w="408"/>
        <w:gridCol w:w="475"/>
        <w:gridCol w:w="475"/>
        <w:gridCol w:w="64"/>
        <w:gridCol w:w="411"/>
        <w:gridCol w:w="475"/>
        <w:gridCol w:w="475"/>
      </w:tblGrid>
      <w:tr w:rsidR="0034195A" w:rsidRPr="004C7F84" w14:paraId="60B3D059" w14:textId="77777777" w:rsidTr="0034195A">
        <w:trPr>
          <w:tblHeader/>
        </w:trPr>
        <w:tc>
          <w:tcPr>
            <w:tcW w:w="1620" w:type="dxa"/>
            <w:tcBorders>
              <w:top w:val="single" w:sz="4" w:space="0" w:color="auto"/>
            </w:tcBorders>
            <w:shd w:val="clear" w:color="auto" w:fill="auto"/>
            <w:vAlign w:val="bottom"/>
          </w:tcPr>
          <w:p w14:paraId="0DF2A595" w14:textId="77777777" w:rsidR="0034195A" w:rsidRPr="004C7F84" w:rsidRDefault="0034195A" w:rsidP="0034195A">
            <w:pPr>
              <w:spacing w:before="81" w:after="81" w:line="160" w:lineRule="exact"/>
              <w:ind w:right="40"/>
              <w:rPr>
                <w:rFonts w:asciiTheme="majorBidi" w:hAnsiTheme="majorBidi" w:cstheme="majorBidi"/>
                <w:i/>
                <w:sz w:val="14"/>
              </w:rPr>
            </w:pPr>
          </w:p>
        </w:tc>
        <w:tc>
          <w:tcPr>
            <w:tcW w:w="1424" w:type="dxa"/>
            <w:gridSpan w:val="3"/>
            <w:tcBorders>
              <w:top w:val="single" w:sz="4" w:space="0" w:color="auto"/>
              <w:bottom w:val="single" w:sz="4" w:space="0" w:color="auto"/>
            </w:tcBorders>
            <w:shd w:val="clear" w:color="auto" w:fill="auto"/>
            <w:vAlign w:val="bottom"/>
          </w:tcPr>
          <w:p w14:paraId="30C6F66F" w14:textId="3A5542A8" w:rsidR="0034195A" w:rsidRPr="004C7F84" w:rsidRDefault="00A82B2E" w:rsidP="0034195A">
            <w:pPr>
              <w:spacing w:before="81" w:after="81" w:line="160" w:lineRule="exact"/>
              <w:ind w:right="40"/>
              <w:jc w:val="center"/>
              <w:rPr>
                <w:rFonts w:asciiTheme="majorBidi" w:hAnsiTheme="majorBidi" w:cstheme="majorBidi"/>
                <w:i/>
                <w:sz w:val="14"/>
              </w:rPr>
            </w:pPr>
            <w:r w:rsidRPr="004C7F84">
              <w:rPr>
                <w:rFonts w:asciiTheme="majorBidi" w:hAnsiTheme="majorBidi" w:cstheme="majorBidi"/>
                <w:i/>
                <w:sz w:val="14"/>
              </w:rPr>
              <w:t>Employés</w:t>
            </w:r>
          </w:p>
        </w:tc>
        <w:tc>
          <w:tcPr>
            <w:tcW w:w="61" w:type="dxa"/>
            <w:tcBorders>
              <w:top w:val="single" w:sz="4" w:space="0" w:color="auto"/>
            </w:tcBorders>
            <w:shd w:val="clear" w:color="auto" w:fill="auto"/>
            <w:vAlign w:val="bottom"/>
          </w:tcPr>
          <w:p w14:paraId="5BE8C7BB" w14:textId="77777777" w:rsidR="0034195A" w:rsidRPr="004C7F84" w:rsidRDefault="0034195A" w:rsidP="0034195A">
            <w:pPr>
              <w:spacing w:before="81" w:after="81" w:line="160" w:lineRule="exact"/>
              <w:ind w:right="40"/>
              <w:jc w:val="center"/>
              <w:rPr>
                <w:rFonts w:asciiTheme="majorBidi" w:hAnsiTheme="majorBidi" w:cstheme="majorBidi"/>
                <w:i/>
                <w:sz w:val="14"/>
              </w:rPr>
            </w:pPr>
          </w:p>
        </w:tc>
        <w:tc>
          <w:tcPr>
            <w:tcW w:w="1364" w:type="dxa"/>
            <w:gridSpan w:val="3"/>
            <w:tcBorders>
              <w:top w:val="single" w:sz="4" w:space="0" w:color="auto"/>
              <w:bottom w:val="single" w:sz="4" w:space="0" w:color="auto"/>
            </w:tcBorders>
            <w:shd w:val="clear" w:color="auto" w:fill="auto"/>
            <w:vAlign w:val="bottom"/>
          </w:tcPr>
          <w:p w14:paraId="0C432EBF" w14:textId="16BE9D05" w:rsidR="0034195A" w:rsidRPr="004C7F84" w:rsidRDefault="00A82B2E" w:rsidP="0034195A">
            <w:pPr>
              <w:spacing w:before="81" w:after="81" w:line="160" w:lineRule="exact"/>
              <w:ind w:right="40"/>
              <w:jc w:val="center"/>
              <w:rPr>
                <w:rFonts w:asciiTheme="majorBidi" w:hAnsiTheme="majorBidi" w:cstheme="majorBidi"/>
                <w:i/>
                <w:sz w:val="14"/>
              </w:rPr>
            </w:pPr>
            <w:r w:rsidRPr="004C7F84">
              <w:rPr>
                <w:rFonts w:asciiTheme="majorBidi" w:hAnsiTheme="majorBidi" w:cstheme="majorBidi"/>
                <w:i/>
                <w:sz w:val="14"/>
              </w:rPr>
              <w:t>Agents de supervision</w:t>
            </w:r>
          </w:p>
        </w:tc>
        <w:tc>
          <w:tcPr>
            <w:tcW w:w="67" w:type="dxa"/>
            <w:tcBorders>
              <w:top w:val="single" w:sz="4" w:space="0" w:color="auto"/>
            </w:tcBorders>
            <w:shd w:val="clear" w:color="auto" w:fill="auto"/>
            <w:vAlign w:val="bottom"/>
          </w:tcPr>
          <w:p w14:paraId="086518C0" w14:textId="77777777" w:rsidR="0034195A" w:rsidRPr="004C7F84" w:rsidRDefault="0034195A" w:rsidP="0034195A">
            <w:pPr>
              <w:spacing w:before="81" w:after="81" w:line="160" w:lineRule="exact"/>
              <w:ind w:right="40"/>
              <w:jc w:val="center"/>
              <w:rPr>
                <w:rFonts w:asciiTheme="majorBidi" w:hAnsiTheme="majorBidi" w:cstheme="majorBidi"/>
                <w:i/>
                <w:sz w:val="14"/>
              </w:rPr>
            </w:pPr>
          </w:p>
        </w:tc>
        <w:tc>
          <w:tcPr>
            <w:tcW w:w="1358" w:type="dxa"/>
            <w:gridSpan w:val="3"/>
            <w:tcBorders>
              <w:top w:val="single" w:sz="4" w:space="0" w:color="auto"/>
              <w:bottom w:val="single" w:sz="4" w:space="0" w:color="auto"/>
            </w:tcBorders>
            <w:shd w:val="clear" w:color="auto" w:fill="auto"/>
            <w:vAlign w:val="bottom"/>
          </w:tcPr>
          <w:p w14:paraId="29733C8B" w14:textId="25B92544" w:rsidR="0034195A" w:rsidRPr="004C7F84" w:rsidRDefault="00A82B2E" w:rsidP="0034195A">
            <w:pPr>
              <w:spacing w:before="81" w:after="81" w:line="160" w:lineRule="exact"/>
              <w:ind w:right="40"/>
              <w:jc w:val="center"/>
              <w:rPr>
                <w:rFonts w:asciiTheme="majorBidi" w:hAnsiTheme="majorBidi" w:cstheme="majorBidi"/>
                <w:i/>
                <w:sz w:val="14"/>
              </w:rPr>
            </w:pPr>
            <w:r w:rsidRPr="004C7F84">
              <w:rPr>
                <w:rFonts w:asciiTheme="majorBidi" w:hAnsiTheme="majorBidi" w:cstheme="majorBidi"/>
                <w:i/>
                <w:sz w:val="14"/>
              </w:rPr>
              <w:t>Cadres moyens</w:t>
            </w:r>
          </w:p>
        </w:tc>
        <w:tc>
          <w:tcPr>
            <w:tcW w:w="64" w:type="dxa"/>
            <w:tcBorders>
              <w:top w:val="single" w:sz="4" w:space="0" w:color="auto"/>
            </w:tcBorders>
            <w:shd w:val="clear" w:color="auto" w:fill="auto"/>
            <w:vAlign w:val="bottom"/>
          </w:tcPr>
          <w:p w14:paraId="44E65C37" w14:textId="77777777" w:rsidR="0034195A" w:rsidRPr="004C7F84" w:rsidRDefault="0034195A" w:rsidP="0034195A">
            <w:pPr>
              <w:spacing w:before="81" w:after="81" w:line="160" w:lineRule="exact"/>
              <w:ind w:right="40"/>
              <w:jc w:val="center"/>
              <w:rPr>
                <w:rFonts w:asciiTheme="majorBidi" w:hAnsiTheme="majorBidi" w:cstheme="majorBidi"/>
                <w:i/>
                <w:sz w:val="14"/>
              </w:rPr>
            </w:pPr>
          </w:p>
        </w:tc>
        <w:tc>
          <w:tcPr>
            <w:tcW w:w="1361" w:type="dxa"/>
            <w:gridSpan w:val="3"/>
            <w:tcBorders>
              <w:top w:val="single" w:sz="4" w:space="0" w:color="auto"/>
              <w:bottom w:val="single" w:sz="4" w:space="0" w:color="auto"/>
            </w:tcBorders>
            <w:shd w:val="clear" w:color="auto" w:fill="auto"/>
            <w:vAlign w:val="bottom"/>
          </w:tcPr>
          <w:p w14:paraId="546C7AE7" w14:textId="454430D8" w:rsidR="0034195A" w:rsidRPr="004C7F84" w:rsidRDefault="00A82B2E" w:rsidP="0034195A">
            <w:pPr>
              <w:spacing w:before="81" w:after="81" w:line="160" w:lineRule="exact"/>
              <w:ind w:right="40"/>
              <w:jc w:val="center"/>
              <w:rPr>
                <w:rFonts w:asciiTheme="majorBidi" w:hAnsiTheme="majorBidi" w:cstheme="majorBidi"/>
                <w:i/>
                <w:spacing w:val="2"/>
                <w:w w:val="100"/>
                <w:sz w:val="14"/>
              </w:rPr>
            </w:pPr>
            <w:r w:rsidRPr="004C7F84">
              <w:rPr>
                <w:rFonts w:asciiTheme="majorBidi" w:hAnsiTheme="majorBidi" w:cstheme="majorBidi"/>
                <w:i/>
                <w:sz w:val="14"/>
              </w:rPr>
              <w:t xml:space="preserve">Cadres </w:t>
            </w:r>
            <w:r w:rsidRPr="004C7F84">
              <w:rPr>
                <w:rFonts w:asciiTheme="majorBidi" w:hAnsiTheme="majorBidi" w:cstheme="majorBidi"/>
                <w:i/>
                <w:spacing w:val="2"/>
                <w:w w:val="100"/>
                <w:sz w:val="14"/>
              </w:rPr>
              <w:t>supérieurs</w:t>
            </w:r>
            <w:r w:rsidRPr="004C7F84">
              <w:rPr>
                <w:rFonts w:asciiTheme="majorBidi" w:hAnsiTheme="majorBidi" w:cstheme="majorBidi"/>
                <w:i/>
                <w:sz w:val="14"/>
              </w:rPr>
              <w:t>/Directeurs</w:t>
            </w:r>
          </w:p>
        </w:tc>
      </w:tr>
      <w:tr w:rsidR="0034195A" w:rsidRPr="004C7F84" w14:paraId="68064D96" w14:textId="77777777" w:rsidTr="0034195A">
        <w:trPr>
          <w:tblHeader/>
        </w:trPr>
        <w:tc>
          <w:tcPr>
            <w:tcW w:w="1620" w:type="dxa"/>
            <w:tcBorders>
              <w:bottom w:val="single" w:sz="12" w:space="0" w:color="auto"/>
            </w:tcBorders>
            <w:shd w:val="clear" w:color="auto" w:fill="auto"/>
            <w:vAlign w:val="bottom"/>
          </w:tcPr>
          <w:p w14:paraId="6D4CDDC4" w14:textId="09C8CCA8" w:rsidR="0034195A" w:rsidRPr="004C7F84" w:rsidRDefault="00A82B2E" w:rsidP="0034195A">
            <w:pPr>
              <w:spacing w:before="81" w:after="81" w:line="160" w:lineRule="exact"/>
              <w:ind w:right="40"/>
              <w:rPr>
                <w:rFonts w:asciiTheme="majorBidi" w:hAnsiTheme="majorBidi" w:cstheme="majorBidi"/>
                <w:i/>
                <w:sz w:val="14"/>
              </w:rPr>
            </w:pPr>
            <w:r w:rsidRPr="004C7F84">
              <w:rPr>
                <w:rFonts w:asciiTheme="majorBidi" w:hAnsiTheme="majorBidi" w:cstheme="majorBidi"/>
                <w:i/>
                <w:sz w:val="14"/>
              </w:rPr>
              <w:t>Nom de la banque</w:t>
            </w:r>
          </w:p>
        </w:tc>
        <w:tc>
          <w:tcPr>
            <w:tcW w:w="474" w:type="dxa"/>
            <w:tcBorders>
              <w:top w:val="single" w:sz="4" w:space="0" w:color="auto"/>
              <w:bottom w:val="single" w:sz="12" w:space="0" w:color="auto"/>
            </w:tcBorders>
            <w:shd w:val="clear" w:color="auto" w:fill="auto"/>
            <w:vAlign w:val="bottom"/>
          </w:tcPr>
          <w:p w14:paraId="38E49693" w14:textId="3AAD31EC" w:rsidR="0034195A" w:rsidRPr="004C7F84" w:rsidRDefault="00A82B2E" w:rsidP="0034195A">
            <w:pPr>
              <w:spacing w:before="81" w:after="81" w:line="160" w:lineRule="exact"/>
              <w:ind w:left="72" w:right="40"/>
              <w:jc w:val="right"/>
              <w:rPr>
                <w:rFonts w:asciiTheme="majorBidi" w:hAnsiTheme="majorBidi" w:cstheme="majorBidi"/>
                <w:i/>
                <w:sz w:val="14"/>
              </w:rPr>
            </w:pPr>
            <w:r w:rsidRPr="004C7F84">
              <w:rPr>
                <w:rFonts w:asciiTheme="majorBidi" w:hAnsiTheme="majorBidi" w:cstheme="majorBidi"/>
                <w:i/>
                <w:sz w:val="14"/>
              </w:rPr>
              <w:t>H</w:t>
            </w:r>
          </w:p>
        </w:tc>
        <w:tc>
          <w:tcPr>
            <w:tcW w:w="475" w:type="dxa"/>
            <w:tcBorders>
              <w:top w:val="single" w:sz="4" w:space="0" w:color="auto"/>
              <w:bottom w:val="single" w:sz="12" w:space="0" w:color="auto"/>
            </w:tcBorders>
            <w:shd w:val="clear" w:color="auto" w:fill="auto"/>
            <w:vAlign w:val="bottom"/>
          </w:tcPr>
          <w:p w14:paraId="34714E4F" w14:textId="77777777" w:rsidR="0034195A" w:rsidRPr="004C7F84" w:rsidRDefault="0034195A" w:rsidP="0034195A">
            <w:pPr>
              <w:spacing w:before="81" w:after="81" w:line="160" w:lineRule="exact"/>
              <w:ind w:left="72" w:right="40"/>
              <w:jc w:val="right"/>
              <w:rPr>
                <w:rFonts w:asciiTheme="majorBidi" w:hAnsiTheme="majorBidi" w:cstheme="majorBidi"/>
                <w:i/>
                <w:sz w:val="14"/>
              </w:rPr>
            </w:pPr>
            <w:r w:rsidRPr="004C7F84">
              <w:rPr>
                <w:rFonts w:asciiTheme="majorBidi" w:hAnsiTheme="majorBidi" w:cstheme="majorBidi"/>
                <w:i/>
                <w:sz w:val="14"/>
              </w:rPr>
              <w:t>F</w:t>
            </w:r>
          </w:p>
        </w:tc>
        <w:tc>
          <w:tcPr>
            <w:tcW w:w="475" w:type="dxa"/>
            <w:tcBorders>
              <w:top w:val="single" w:sz="4" w:space="0" w:color="auto"/>
              <w:bottom w:val="single" w:sz="12" w:space="0" w:color="auto"/>
            </w:tcBorders>
            <w:shd w:val="clear" w:color="auto" w:fill="auto"/>
            <w:vAlign w:val="bottom"/>
          </w:tcPr>
          <w:p w14:paraId="79D5FC6B" w14:textId="77777777" w:rsidR="0034195A" w:rsidRPr="004C7F84" w:rsidRDefault="0034195A" w:rsidP="0034195A">
            <w:pPr>
              <w:spacing w:before="81" w:after="81" w:line="160" w:lineRule="exact"/>
              <w:ind w:left="72" w:right="40"/>
              <w:jc w:val="right"/>
              <w:rPr>
                <w:rFonts w:asciiTheme="majorBidi" w:hAnsiTheme="majorBidi" w:cstheme="majorBidi"/>
                <w:b/>
                <w:bCs/>
                <w:i/>
                <w:sz w:val="14"/>
              </w:rPr>
            </w:pPr>
            <w:r w:rsidRPr="004C7F84">
              <w:rPr>
                <w:rFonts w:asciiTheme="majorBidi" w:hAnsiTheme="majorBidi" w:cstheme="majorBidi"/>
                <w:b/>
                <w:bCs/>
                <w:i/>
                <w:sz w:val="14"/>
              </w:rPr>
              <w:t>T</w:t>
            </w:r>
          </w:p>
        </w:tc>
        <w:tc>
          <w:tcPr>
            <w:tcW w:w="475" w:type="dxa"/>
            <w:gridSpan w:val="2"/>
            <w:tcBorders>
              <w:bottom w:val="single" w:sz="12" w:space="0" w:color="auto"/>
            </w:tcBorders>
            <w:shd w:val="clear" w:color="auto" w:fill="auto"/>
            <w:vAlign w:val="bottom"/>
          </w:tcPr>
          <w:p w14:paraId="21419F44" w14:textId="23917AB6" w:rsidR="0034195A" w:rsidRPr="004C7F84" w:rsidRDefault="00A82B2E" w:rsidP="0034195A">
            <w:pPr>
              <w:spacing w:before="81" w:after="81" w:line="160" w:lineRule="exact"/>
              <w:ind w:left="72" w:right="40"/>
              <w:jc w:val="right"/>
              <w:rPr>
                <w:rFonts w:asciiTheme="majorBidi" w:hAnsiTheme="majorBidi" w:cstheme="majorBidi"/>
                <w:i/>
                <w:sz w:val="14"/>
              </w:rPr>
            </w:pPr>
            <w:r w:rsidRPr="004C7F84">
              <w:rPr>
                <w:rFonts w:asciiTheme="majorBidi" w:hAnsiTheme="majorBidi" w:cstheme="majorBidi"/>
                <w:i/>
                <w:sz w:val="14"/>
              </w:rPr>
              <w:t>H</w:t>
            </w:r>
          </w:p>
        </w:tc>
        <w:tc>
          <w:tcPr>
            <w:tcW w:w="475" w:type="dxa"/>
            <w:tcBorders>
              <w:bottom w:val="single" w:sz="12" w:space="0" w:color="auto"/>
            </w:tcBorders>
            <w:shd w:val="clear" w:color="auto" w:fill="auto"/>
            <w:vAlign w:val="bottom"/>
          </w:tcPr>
          <w:p w14:paraId="6D87BA0F" w14:textId="77777777" w:rsidR="0034195A" w:rsidRPr="004C7F84" w:rsidRDefault="0034195A" w:rsidP="0034195A">
            <w:pPr>
              <w:spacing w:before="81" w:after="81" w:line="160" w:lineRule="exact"/>
              <w:ind w:left="72" w:right="40"/>
              <w:jc w:val="right"/>
              <w:rPr>
                <w:rFonts w:asciiTheme="majorBidi" w:hAnsiTheme="majorBidi" w:cstheme="majorBidi"/>
                <w:i/>
                <w:sz w:val="14"/>
              </w:rPr>
            </w:pPr>
            <w:r w:rsidRPr="004C7F84">
              <w:rPr>
                <w:rFonts w:asciiTheme="majorBidi" w:hAnsiTheme="majorBidi" w:cstheme="majorBidi"/>
                <w:i/>
                <w:sz w:val="14"/>
              </w:rPr>
              <w:t>F</w:t>
            </w:r>
          </w:p>
        </w:tc>
        <w:tc>
          <w:tcPr>
            <w:tcW w:w="475" w:type="dxa"/>
            <w:tcBorders>
              <w:bottom w:val="single" w:sz="12" w:space="0" w:color="auto"/>
            </w:tcBorders>
            <w:shd w:val="clear" w:color="auto" w:fill="auto"/>
            <w:vAlign w:val="bottom"/>
          </w:tcPr>
          <w:p w14:paraId="0AF9C0CC" w14:textId="77777777" w:rsidR="0034195A" w:rsidRPr="004C7F84" w:rsidRDefault="0034195A" w:rsidP="0034195A">
            <w:pPr>
              <w:spacing w:before="81" w:after="81" w:line="160" w:lineRule="exact"/>
              <w:ind w:left="72" w:right="40"/>
              <w:jc w:val="right"/>
              <w:rPr>
                <w:rFonts w:asciiTheme="majorBidi" w:hAnsiTheme="majorBidi" w:cstheme="majorBidi"/>
                <w:b/>
                <w:bCs/>
                <w:i/>
                <w:sz w:val="14"/>
              </w:rPr>
            </w:pPr>
            <w:r w:rsidRPr="004C7F84">
              <w:rPr>
                <w:rFonts w:asciiTheme="majorBidi" w:hAnsiTheme="majorBidi" w:cstheme="majorBidi"/>
                <w:b/>
                <w:bCs/>
                <w:i/>
                <w:sz w:val="14"/>
              </w:rPr>
              <w:t>T</w:t>
            </w:r>
          </w:p>
        </w:tc>
        <w:tc>
          <w:tcPr>
            <w:tcW w:w="475" w:type="dxa"/>
            <w:gridSpan w:val="2"/>
            <w:tcBorders>
              <w:bottom w:val="single" w:sz="12" w:space="0" w:color="auto"/>
            </w:tcBorders>
            <w:shd w:val="clear" w:color="auto" w:fill="auto"/>
            <w:vAlign w:val="bottom"/>
          </w:tcPr>
          <w:p w14:paraId="2A660297" w14:textId="26F13A8B" w:rsidR="0034195A" w:rsidRPr="004C7F84" w:rsidRDefault="00A82B2E" w:rsidP="0034195A">
            <w:pPr>
              <w:spacing w:before="81" w:after="81" w:line="160" w:lineRule="exact"/>
              <w:ind w:left="72" w:right="40"/>
              <w:jc w:val="right"/>
              <w:rPr>
                <w:rFonts w:asciiTheme="majorBidi" w:hAnsiTheme="majorBidi" w:cstheme="majorBidi"/>
                <w:i/>
                <w:sz w:val="14"/>
              </w:rPr>
            </w:pPr>
            <w:r w:rsidRPr="004C7F84">
              <w:rPr>
                <w:rFonts w:asciiTheme="majorBidi" w:hAnsiTheme="majorBidi" w:cstheme="majorBidi"/>
                <w:i/>
                <w:sz w:val="14"/>
              </w:rPr>
              <w:t>H</w:t>
            </w:r>
          </w:p>
        </w:tc>
        <w:tc>
          <w:tcPr>
            <w:tcW w:w="475" w:type="dxa"/>
            <w:tcBorders>
              <w:bottom w:val="single" w:sz="12" w:space="0" w:color="auto"/>
            </w:tcBorders>
            <w:shd w:val="clear" w:color="auto" w:fill="auto"/>
            <w:vAlign w:val="bottom"/>
          </w:tcPr>
          <w:p w14:paraId="267E2257" w14:textId="77777777" w:rsidR="0034195A" w:rsidRPr="004C7F84" w:rsidRDefault="0034195A" w:rsidP="0034195A">
            <w:pPr>
              <w:spacing w:before="81" w:after="81" w:line="160" w:lineRule="exact"/>
              <w:ind w:left="72" w:right="40"/>
              <w:jc w:val="right"/>
              <w:rPr>
                <w:rFonts w:asciiTheme="majorBidi" w:hAnsiTheme="majorBidi" w:cstheme="majorBidi"/>
                <w:i/>
                <w:sz w:val="14"/>
              </w:rPr>
            </w:pPr>
            <w:r w:rsidRPr="004C7F84">
              <w:rPr>
                <w:rFonts w:asciiTheme="majorBidi" w:hAnsiTheme="majorBidi" w:cstheme="majorBidi"/>
                <w:i/>
                <w:sz w:val="14"/>
              </w:rPr>
              <w:t>F</w:t>
            </w:r>
          </w:p>
        </w:tc>
        <w:tc>
          <w:tcPr>
            <w:tcW w:w="475" w:type="dxa"/>
            <w:tcBorders>
              <w:bottom w:val="single" w:sz="12" w:space="0" w:color="auto"/>
            </w:tcBorders>
            <w:shd w:val="clear" w:color="auto" w:fill="auto"/>
            <w:vAlign w:val="bottom"/>
          </w:tcPr>
          <w:p w14:paraId="4FF82205" w14:textId="77777777" w:rsidR="0034195A" w:rsidRPr="004C7F84" w:rsidRDefault="0034195A" w:rsidP="0034195A">
            <w:pPr>
              <w:spacing w:before="81" w:after="81" w:line="160" w:lineRule="exact"/>
              <w:ind w:left="72" w:right="40"/>
              <w:jc w:val="right"/>
              <w:rPr>
                <w:rFonts w:asciiTheme="majorBidi" w:hAnsiTheme="majorBidi" w:cstheme="majorBidi"/>
                <w:b/>
                <w:bCs/>
                <w:i/>
                <w:sz w:val="14"/>
              </w:rPr>
            </w:pPr>
            <w:r w:rsidRPr="004C7F84">
              <w:rPr>
                <w:rFonts w:asciiTheme="majorBidi" w:hAnsiTheme="majorBidi" w:cstheme="majorBidi"/>
                <w:b/>
                <w:bCs/>
                <w:i/>
                <w:sz w:val="14"/>
              </w:rPr>
              <w:t>T</w:t>
            </w:r>
          </w:p>
        </w:tc>
        <w:tc>
          <w:tcPr>
            <w:tcW w:w="475" w:type="dxa"/>
            <w:gridSpan w:val="2"/>
            <w:tcBorders>
              <w:bottom w:val="single" w:sz="12" w:space="0" w:color="auto"/>
            </w:tcBorders>
            <w:shd w:val="clear" w:color="auto" w:fill="auto"/>
            <w:vAlign w:val="bottom"/>
          </w:tcPr>
          <w:p w14:paraId="7D3DFF6A" w14:textId="6257CEFB" w:rsidR="0034195A" w:rsidRPr="004C7F84" w:rsidRDefault="00A82B2E" w:rsidP="0034195A">
            <w:pPr>
              <w:spacing w:before="81" w:after="81" w:line="160" w:lineRule="exact"/>
              <w:ind w:left="72" w:right="40"/>
              <w:jc w:val="right"/>
              <w:rPr>
                <w:rFonts w:asciiTheme="majorBidi" w:hAnsiTheme="majorBidi" w:cstheme="majorBidi"/>
                <w:i/>
                <w:sz w:val="14"/>
              </w:rPr>
            </w:pPr>
            <w:r w:rsidRPr="004C7F84">
              <w:rPr>
                <w:rFonts w:asciiTheme="majorBidi" w:hAnsiTheme="majorBidi" w:cstheme="majorBidi"/>
                <w:i/>
                <w:sz w:val="14"/>
              </w:rPr>
              <w:t>H</w:t>
            </w:r>
          </w:p>
        </w:tc>
        <w:tc>
          <w:tcPr>
            <w:tcW w:w="475" w:type="dxa"/>
            <w:tcBorders>
              <w:bottom w:val="single" w:sz="12" w:space="0" w:color="auto"/>
            </w:tcBorders>
            <w:shd w:val="clear" w:color="auto" w:fill="auto"/>
            <w:vAlign w:val="bottom"/>
          </w:tcPr>
          <w:p w14:paraId="4E7C9166" w14:textId="77777777" w:rsidR="0034195A" w:rsidRPr="004C7F84" w:rsidRDefault="0034195A" w:rsidP="0034195A">
            <w:pPr>
              <w:spacing w:before="81" w:after="81" w:line="160" w:lineRule="exact"/>
              <w:ind w:left="72" w:right="40"/>
              <w:jc w:val="right"/>
              <w:rPr>
                <w:rFonts w:asciiTheme="majorBidi" w:hAnsiTheme="majorBidi" w:cstheme="majorBidi"/>
                <w:i/>
                <w:sz w:val="14"/>
              </w:rPr>
            </w:pPr>
            <w:r w:rsidRPr="004C7F84">
              <w:rPr>
                <w:rFonts w:asciiTheme="majorBidi" w:hAnsiTheme="majorBidi" w:cstheme="majorBidi"/>
                <w:i/>
                <w:sz w:val="14"/>
              </w:rPr>
              <w:t>F</w:t>
            </w:r>
          </w:p>
        </w:tc>
        <w:tc>
          <w:tcPr>
            <w:tcW w:w="475" w:type="dxa"/>
            <w:tcBorders>
              <w:bottom w:val="single" w:sz="12" w:space="0" w:color="auto"/>
            </w:tcBorders>
            <w:shd w:val="clear" w:color="auto" w:fill="auto"/>
            <w:vAlign w:val="bottom"/>
          </w:tcPr>
          <w:p w14:paraId="1BE2D4B1" w14:textId="77777777" w:rsidR="0034195A" w:rsidRPr="004C7F84" w:rsidRDefault="0034195A" w:rsidP="0034195A">
            <w:pPr>
              <w:spacing w:before="81" w:after="81" w:line="160" w:lineRule="exact"/>
              <w:ind w:left="72" w:right="40"/>
              <w:jc w:val="right"/>
              <w:rPr>
                <w:rFonts w:asciiTheme="majorBidi" w:hAnsiTheme="majorBidi" w:cstheme="majorBidi"/>
                <w:b/>
                <w:bCs/>
                <w:i/>
                <w:sz w:val="14"/>
              </w:rPr>
            </w:pPr>
            <w:r w:rsidRPr="004C7F84">
              <w:rPr>
                <w:rFonts w:asciiTheme="majorBidi" w:hAnsiTheme="majorBidi" w:cstheme="majorBidi"/>
                <w:b/>
                <w:bCs/>
                <w:i/>
                <w:sz w:val="14"/>
              </w:rPr>
              <w:t>T</w:t>
            </w:r>
          </w:p>
        </w:tc>
      </w:tr>
      <w:tr w:rsidR="0034195A" w:rsidRPr="004C7F84" w14:paraId="01F4F9E4" w14:textId="77777777" w:rsidTr="0034195A">
        <w:trPr>
          <w:trHeight w:hRule="exact" w:val="115"/>
          <w:tblHeader/>
        </w:trPr>
        <w:tc>
          <w:tcPr>
            <w:tcW w:w="1620" w:type="dxa"/>
            <w:tcBorders>
              <w:top w:val="single" w:sz="12" w:space="0" w:color="auto"/>
            </w:tcBorders>
            <w:shd w:val="clear" w:color="auto" w:fill="auto"/>
            <w:vAlign w:val="bottom"/>
          </w:tcPr>
          <w:p w14:paraId="54DB51AD" w14:textId="77777777" w:rsidR="0034195A" w:rsidRPr="004C7F84" w:rsidRDefault="0034195A" w:rsidP="0034195A">
            <w:pPr>
              <w:spacing w:before="40" w:after="40" w:line="210" w:lineRule="exact"/>
              <w:ind w:right="40"/>
              <w:rPr>
                <w:rFonts w:asciiTheme="majorBidi" w:hAnsiTheme="majorBidi" w:cstheme="majorBidi"/>
                <w:sz w:val="17"/>
              </w:rPr>
            </w:pPr>
          </w:p>
        </w:tc>
        <w:tc>
          <w:tcPr>
            <w:tcW w:w="474" w:type="dxa"/>
            <w:tcBorders>
              <w:top w:val="single" w:sz="12" w:space="0" w:color="auto"/>
            </w:tcBorders>
            <w:shd w:val="clear" w:color="auto" w:fill="auto"/>
            <w:vAlign w:val="bottom"/>
          </w:tcPr>
          <w:p w14:paraId="7CD9400C" w14:textId="77777777" w:rsidR="0034195A" w:rsidRPr="004C7F84" w:rsidRDefault="0034195A" w:rsidP="0034195A">
            <w:pPr>
              <w:spacing w:before="40" w:after="40" w:line="210" w:lineRule="exact"/>
              <w:ind w:left="72" w:right="40"/>
              <w:jc w:val="right"/>
              <w:rPr>
                <w:rFonts w:asciiTheme="majorBidi" w:hAnsiTheme="majorBidi" w:cstheme="majorBidi"/>
                <w:sz w:val="17"/>
              </w:rPr>
            </w:pPr>
          </w:p>
        </w:tc>
        <w:tc>
          <w:tcPr>
            <w:tcW w:w="475" w:type="dxa"/>
            <w:tcBorders>
              <w:top w:val="single" w:sz="12" w:space="0" w:color="auto"/>
            </w:tcBorders>
            <w:shd w:val="clear" w:color="auto" w:fill="auto"/>
            <w:vAlign w:val="bottom"/>
          </w:tcPr>
          <w:p w14:paraId="357B0346" w14:textId="77777777" w:rsidR="0034195A" w:rsidRPr="004C7F84" w:rsidRDefault="0034195A" w:rsidP="0034195A">
            <w:pPr>
              <w:spacing w:before="40" w:after="40" w:line="210" w:lineRule="exact"/>
              <w:ind w:left="72" w:right="40"/>
              <w:jc w:val="right"/>
              <w:rPr>
                <w:rFonts w:asciiTheme="majorBidi" w:hAnsiTheme="majorBidi" w:cstheme="majorBidi"/>
                <w:sz w:val="17"/>
              </w:rPr>
            </w:pPr>
          </w:p>
        </w:tc>
        <w:tc>
          <w:tcPr>
            <w:tcW w:w="475" w:type="dxa"/>
            <w:tcBorders>
              <w:top w:val="single" w:sz="12" w:space="0" w:color="auto"/>
            </w:tcBorders>
            <w:shd w:val="clear" w:color="auto" w:fill="auto"/>
            <w:vAlign w:val="bottom"/>
          </w:tcPr>
          <w:p w14:paraId="4B395218" w14:textId="77777777" w:rsidR="0034195A" w:rsidRPr="004C7F84" w:rsidRDefault="0034195A" w:rsidP="0034195A">
            <w:pPr>
              <w:spacing w:before="40" w:after="40" w:line="210" w:lineRule="exact"/>
              <w:ind w:left="72" w:right="40"/>
              <w:jc w:val="right"/>
              <w:rPr>
                <w:rFonts w:asciiTheme="majorBidi" w:hAnsiTheme="majorBidi" w:cstheme="majorBidi"/>
                <w:b/>
                <w:bCs/>
                <w:sz w:val="17"/>
              </w:rPr>
            </w:pPr>
          </w:p>
        </w:tc>
        <w:tc>
          <w:tcPr>
            <w:tcW w:w="475" w:type="dxa"/>
            <w:gridSpan w:val="2"/>
            <w:tcBorders>
              <w:top w:val="single" w:sz="12" w:space="0" w:color="auto"/>
            </w:tcBorders>
            <w:shd w:val="clear" w:color="auto" w:fill="auto"/>
            <w:vAlign w:val="bottom"/>
          </w:tcPr>
          <w:p w14:paraId="710F4F5D" w14:textId="77777777" w:rsidR="0034195A" w:rsidRPr="004C7F84" w:rsidRDefault="0034195A" w:rsidP="0034195A">
            <w:pPr>
              <w:spacing w:before="40" w:after="40" w:line="210" w:lineRule="exact"/>
              <w:ind w:left="72" w:right="40"/>
              <w:jc w:val="right"/>
              <w:rPr>
                <w:rFonts w:asciiTheme="majorBidi" w:hAnsiTheme="majorBidi" w:cstheme="majorBidi"/>
                <w:sz w:val="17"/>
              </w:rPr>
            </w:pPr>
          </w:p>
        </w:tc>
        <w:tc>
          <w:tcPr>
            <w:tcW w:w="475" w:type="dxa"/>
            <w:tcBorders>
              <w:top w:val="single" w:sz="12" w:space="0" w:color="auto"/>
            </w:tcBorders>
            <w:shd w:val="clear" w:color="auto" w:fill="auto"/>
            <w:vAlign w:val="bottom"/>
          </w:tcPr>
          <w:p w14:paraId="73648B28" w14:textId="77777777" w:rsidR="0034195A" w:rsidRPr="004C7F84" w:rsidRDefault="0034195A" w:rsidP="0034195A">
            <w:pPr>
              <w:spacing w:before="40" w:after="40" w:line="210" w:lineRule="exact"/>
              <w:ind w:left="72" w:right="40"/>
              <w:jc w:val="right"/>
              <w:rPr>
                <w:rFonts w:asciiTheme="majorBidi" w:hAnsiTheme="majorBidi" w:cstheme="majorBidi"/>
                <w:sz w:val="17"/>
              </w:rPr>
            </w:pPr>
          </w:p>
        </w:tc>
        <w:tc>
          <w:tcPr>
            <w:tcW w:w="475" w:type="dxa"/>
            <w:tcBorders>
              <w:top w:val="single" w:sz="12" w:space="0" w:color="auto"/>
            </w:tcBorders>
            <w:shd w:val="clear" w:color="auto" w:fill="auto"/>
            <w:vAlign w:val="bottom"/>
          </w:tcPr>
          <w:p w14:paraId="733B7EC8" w14:textId="77777777" w:rsidR="0034195A" w:rsidRPr="004C7F84" w:rsidRDefault="0034195A" w:rsidP="0034195A">
            <w:pPr>
              <w:spacing w:before="40" w:after="40" w:line="210" w:lineRule="exact"/>
              <w:ind w:left="72" w:right="40"/>
              <w:jc w:val="right"/>
              <w:rPr>
                <w:rFonts w:asciiTheme="majorBidi" w:hAnsiTheme="majorBidi" w:cstheme="majorBidi"/>
                <w:b/>
                <w:bCs/>
                <w:sz w:val="17"/>
              </w:rPr>
            </w:pPr>
          </w:p>
        </w:tc>
        <w:tc>
          <w:tcPr>
            <w:tcW w:w="475" w:type="dxa"/>
            <w:gridSpan w:val="2"/>
            <w:tcBorders>
              <w:top w:val="single" w:sz="12" w:space="0" w:color="auto"/>
            </w:tcBorders>
            <w:shd w:val="clear" w:color="auto" w:fill="auto"/>
            <w:vAlign w:val="bottom"/>
          </w:tcPr>
          <w:p w14:paraId="4C7BA53C" w14:textId="77777777" w:rsidR="0034195A" w:rsidRPr="004C7F84" w:rsidRDefault="0034195A" w:rsidP="0034195A">
            <w:pPr>
              <w:spacing w:before="40" w:after="40" w:line="210" w:lineRule="exact"/>
              <w:ind w:left="72" w:right="40"/>
              <w:jc w:val="right"/>
              <w:rPr>
                <w:rFonts w:asciiTheme="majorBidi" w:hAnsiTheme="majorBidi" w:cstheme="majorBidi"/>
                <w:sz w:val="17"/>
              </w:rPr>
            </w:pPr>
          </w:p>
        </w:tc>
        <w:tc>
          <w:tcPr>
            <w:tcW w:w="475" w:type="dxa"/>
            <w:tcBorders>
              <w:top w:val="single" w:sz="12" w:space="0" w:color="auto"/>
            </w:tcBorders>
            <w:shd w:val="clear" w:color="auto" w:fill="auto"/>
            <w:vAlign w:val="bottom"/>
          </w:tcPr>
          <w:p w14:paraId="3E7EBBE6" w14:textId="77777777" w:rsidR="0034195A" w:rsidRPr="004C7F84" w:rsidRDefault="0034195A" w:rsidP="0034195A">
            <w:pPr>
              <w:spacing w:before="40" w:after="40" w:line="210" w:lineRule="exact"/>
              <w:ind w:left="72" w:right="40"/>
              <w:jc w:val="right"/>
              <w:rPr>
                <w:rFonts w:asciiTheme="majorBidi" w:hAnsiTheme="majorBidi" w:cstheme="majorBidi"/>
                <w:sz w:val="17"/>
              </w:rPr>
            </w:pPr>
          </w:p>
        </w:tc>
        <w:tc>
          <w:tcPr>
            <w:tcW w:w="475" w:type="dxa"/>
            <w:tcBorders>
              <w:top w:val="single" w:sz="12" w:space="0" w:color="auto"/>
            </w:tcBorders>
            <w:shd w:val="clear" w:color="auto" w:fill="auto"/>
            <w:vAlign w:val="bottom"/>
          </w:tcPr>
          <w:p w14:paraId="1EFB3CE0" w14:textId="77777777" w:rsidR="0034195A" w:rsidRPr="004C7F84" w:rsidRDefault="0034195A" w:rsidP="0034195A">
            <w:pPr>
              <w:spacing w:before="40" w:after="40" w:line="210" w:lineRule="exact"/>
              <w:ind w:left="72" w:right="40"/>
              <w:jc w:val="right"/>
              <w:rPr>
                <w:rFonts w:asciiTheme="majorBidi" w:hAnsiTheme="majorBidi" w:cstheme="majorBidi"/>
                <w:b/>
                <w:bCs/>
                <w:sz w:val="17"/>
              </w:rPr>
            </w:pPr>
          </w:p>
        </w:tc>
        <w:tc>
          <w:tcPr>
            <w:tcW w:w="475" w:type="dxa"/>
            <w:gridSpan w:val="2"/>
            <w:tcBorders>
              <w:top w:val="single" w:sz="12" w:space="0" w:color="auto"/>
            </w:tcBorders>
            <w:shd w:val="clear" w:color="auto" w:fill="auto"/>
            <w:vAlign w:val="bottom"/>
          </w:tcPr>
          <w:p w14:paraId="275B1A72" w14:textId="77777777" w:rsidR="0034195A" w:rsidRPr="004C7F84" w:rsidRDefault="0034195A" w:rsidP="0034195A">
            <w:pPr>
              <w:spacing w:before="40" w:after="40" w:line="210" w:lineRule="exact"/>
              <w:ind w:left="72" w:right="40"/>
              <w:jc w:val="right"/>
              <w:rPr>
                <w:rFonts w:asciiTheme="majorBidi" w:hAnsiTheme="majorBidi" w:cstheme="majorBidi"/>
                <w:sz w:val="17"/>
              </w:rPr>
            </w:pPr>
          </w:p>
        </w:tc>
        <w:tc>
          <w:tcPr>
            <w:tcW w:w="475" w:type="dxa"/>
            <w:tcBorders>
              <w:top w:val="single" w:sz="12" w:space="0" w:color="auto"/>
            </w:tcBorders>
            <w:shd w:val="clear" w:color="auto" w:fill="auto"/>
            <w:vAlign w:val="bottom"/>
          </w:tcPr>
          <w:p w14:paraId="6D123C50" w14:textId="77777777" w:rsidR="0034195A" w:rsidRPr="004C7F84" w:rsidRDefault="0034195A" w:rsidP="0034195A">
            <w:pPr>
              <w:spacing w:before="40" w:after="40" w:line="210" w:lineRule="exact"/>
              <w:ind w:left="72" w:right="40"/>
              <w:jc w:val="right"/>
              <w:rPr>
                <w:rFonts w:asciiTheme="majorBidi" w:hAnsiTheme="majorBidi" w:cstheme="majorBidi"/>
                <w:sz w:val="17"/>
              </w:rPr>
            </w:pPr>
          </w:p>
        </w:tc>
        <w:tc>
          <w:tcPr>
            <w:tcW w:w="475" w:type="dxa"/>
            <w:tcBorders>
              <w:top w:val="single" w:sz="12" w:space="0" w:color="auto"/>
            </w:tcBorders>
            <w:shd w:val="clear" w:color="auto" w:fill="auto"/>
            <w:vAlign w:val="bottom"/>
          </w:tcPr>
          <w:p w14:paraId="6FA0AC0A" w14:textId="77777777" w:rsidR="0034195A" w:rsidRPr="004C7F84" w:rsidRDefault="0034195A" w:rsidP="0034195A">
            <w:pPr>
              <w:spacing w:before="40" w:after="40" w:line="210" w:lineRule="exact"/>
              <w:ind w:left="72" w:right="40"/>
              <w:jc w:val="right"/>
              <w:rPr>
                <w:rFonts w:asciiTheme="majorBidi" w:hAnsiTheme="majorBidi" w:cstheme="majorBidi"/>
                <w:b/>
                <w:bCs/>
                <w:sz w:val="17"/>
              </w:rPr>
            </w:pPr>
          </w:p>
        </w:tc>
      </w:tr>
      <w:tr w:rsidR="0034195A" w:rsidRPr="004C7F84" w14:paraId="5E65726B" w14:textId="77777777" w:rsidTr="0034195A">
        <w:tc>
          <w:tcPr>
            <w:tcW w:w="1620" w:type="dxa"/>
            <w:shd w:val="clear" w:color="auto" w:fill="auto"/>
            <w:vAlign w:val="bottom"/>
          </w:tcPr>
          <w:p w14:paraId="2E2355DA" w14:textId="77777777" w:rsidR="0034195A" w:rsidRPr="004C7F84" w:rsidRDefault="0034195A" w:rsidP="0034195A">
            <w:pPr>
              <w:tabs>
                <w:tab w:val="left" w:pos="288"/>
                <w:tab w:val="left" w:pos="576"/>
                <w:tab w:val="left" w:pos="864"/>
                <w:tab w:val="left" w:pos="1152"/>
              </w:tabs>
              <w:spacing w:before="40" w:after="40" w:line="210" w:lineRule="exact"/>
              <w:ind w:right="40"/>
              <w:rPr>
                <w:rFonts w:asciiTheme="majorBidi" w:hAnsiTheme="majorBidi" w:cstheme="majorBidi"/>
                <w:sz w:val="17"/>
              </w:rPr>
            </w:pPr>
            <w:r w:rsidRPr="004C7F84">
              <w:rPr>
                <w:rFonts w:asciiTheme="majorBidi" w:hAnsiTheme="majorBidi" w:cstheme="majorBidi"/>
                <w:sz w:val="17"/>
              </w:rPr>
              <w:t>A&amp;B Invest. Bank</w:t>
            </w:r>
          </w:p>
        </w:tc>
        <w:tc>
          <w:tcPr>
            <w:tcW w:w="474" w:type="dxa"/>
            <w:shd w:val="clear" w:color="auto" w:fill="auto"/>
            <w:vAlign w:val="bottom"/>
          </w:tcPr>
          <w:p w14:paraId="1CA1649E"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20</w:t>
            </w:r>
          </w:p>
        </w:tc>
        <w:tc>
          <w:tcPr>
            <w:tcW w:w="475" w:type="dxa"/>
            <w:shd w:val="clear" w:color="auto" w:fill="auto"/>
            <w:vAlign w:val="bottom"/>
          </w:tcPr>
          <w:p w14:paraId="769DB266"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60</w:t>
            </w:r>
          </w:p>
        </w:tc>
        <w:tc>
          <w:tcPr>
            <w:tcW w:w="475" w:type="dxa"/>
            <w:shd w:val="clear" w:color="auto" w:fill="auto"/>
            <w:vAlign w:val="bottom"/>
          </w:tcPr>
          <w:p w14:paraId="1AD1EB51"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86</w:t>
            </w:r>
          </w:p>
        </w:tc>
        <w:tc>
          <w:tcPr>
            <w:tcW w:w="475" w:type="dxa"/>
            <w:gridSpan w:val="2"/>
            <w:shd w:val="clear" w:color="auto" w:fill="auto"/>
            <w:vAlign w:val="bottom"/>
          </w:tcPr>
          <w:p w14:paraId="023D4A70"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8</w:t>
            </w:r>
          </w:p>
        </w:tc>
        <w:tc>
          <w:tcPr>
            <w:tcW w:w="475" w:type="dxa"/>
            <w:shd w:val="clear" w:color="auto" w:fill="auto"/>
            <w:vAlign w:val="bottom"/>
          </w:tcPr>
          <w:p w14:paraId="045D4D29"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24</w:t>
            </w:r>
          </w:p>
        </w:tc>
        <w:tc>
          <w:tcPr>
            <w:tcW w:w="475" w:type="dxa"/>
            <w:shd w:val="clear" w:color="auto" w:fill="auto"/>
            <w:vAlign w:val="bottom"/>
          </w:tcPr>
          <w:p w14:paraId="0A65C04B"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32</w:t>
            </w:r>
          </w:p>
        </w:tc>
        <w:tc>
          <w:tcPr>
            <w:tcW w:w="475" w:type="dxa"/>
            <w:gridSpan w:val="2"/>
            <w:shd w:val="clear" w:color="auto" w:fill="auto"/>
            <w:vAlign w:val="bottom"/>
          </w:tcPr>
          <w:p w14:paraId="7C8EAFA9"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2</w:t>
            </w:r>
          </w:p>
        </w:tc>
        <w:tc>
          <w:tcPr>
            <w:tcW w:w="475" w:type="dxa"/>
            <w:shd w:val="clear" w:color="auto" w:fill="auto"/>
            <w:vAlign w:val="bottom"/>
          </w:tcPr>
          <w:p w14:paraId="08F5E0B6"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6</w:t>
            </w:r>
          </w:p>
        </w:tc>
        <w:tc>
          <w:tcPr>
            <w:tcW w:w="475" w:type="dxa"/>
            <w:shd w:val="clear" w:color="auto" w:fill="auto"/>
            <w:vAlign w:val="bottom"/>
          </w:tcPr>
          <w:p w14:paraId="5BBA4B81"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8</w:t>
            </w:r>
          </w:p>
        </w:tc>
        <w:tc>
          <w:tcPr>
            <w:tcW w:w="475" w:type="dxa"/>
            <w:gridSpan w:val="2"/>
            <w:shd w:val="clear" w:color="auto" w:fill="auto"/>
            <w:vAlign w:val="bottom"/>
          </w:tcPr>
          <w:p w14:paraId="14EF8635"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8</w:t>
            </w:r>
          </w:p>
        </w:tc>
        <w:tc>
          <w:tcPr>
            <w:tcW w:w="475" w:type="dxa"/>
            <w:shd w:val="clear" w:color="auto" w:fill="auto"/>
            <w:vAlign w:val="bottom"/>
          </w:tcPr>
          <w:p w14:paraId="43FC59C6"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3</w:t>
            </w:r>
          </w:p>
        </w:tc>
        <w:tc>
          <w:tcPr>
            <w:tcW w:w="475" w:type="dxa"/>
            <w:shd w:val="clear" w:color="auto" w:fill="auto"/>
            <w:vAlign w:val="bottom"/>
          </w:tcPr>
          <w:p w14:paraId="430CD573"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11</w:t>
            </w:r>
          </w:p>
        </w:tc>
      </w:tr>
      <w:tr w:rsidR="0034195A" w:rsidRPr="004C7F84" w14:paraId="50D01610" w14:textId="77777777" w:rsidTr="0034195A">
        <w:tc>
          <w:tcPr>
            <w:tcW w:w="1620" w:type="dxa"/>
            <w:shd w:val="clear" w:color="auto" w:fill="auto"/>
            <w:vAlign w:val="bottom"/>
          </w:tcPr>
          <w:p w14:paraId="74E3644F" w14:textId="77777777" w:rsidR="0034195A" w:rsidRPr="004C7F84" w:rsidRDefault="0034195A" w:rsidP="0034195A">
            <w:pPr>
              <w:tabs>
                <w:tab w:val="left" w:pos="288"/>
                <w:tab w:val="left" w:pos="576"/>
                <w:tab w:val="left" w:pos="864"/>
                <w:tab w:val="left" w:pos="1152"/>
              </w:tabs>
              <w:spacing w:before="40" w:after="40" w:line="210" w:lineRule="exact"/>
              <w:ind w:right="40"/>
              <w:rPr>
                <w:rFonts w:asciiTheme="majorBidi" w:hAnsiTheme="majorBidi" w:cstheme="majorBidi"/>
                <w:sz w:val="17"/>
              </w:rPr>
            </w:pPr>
            <w:r w:rsidRPr="004C7F84">
              <w:rPr>
                <w:rFonts w:asciiTheme="majorBidi" w:hAnsiTheme="majorBidi" w:cstheme="majorBidi"/>
                <w:sz w:val="17"/>
              </w:rPr>
              <w:t>Bank of Antigua</w:t>
            </w:r>
          </w:p>
        </w:tc>
        <w:tc>
          <w:tcPr>
            <w:tcW w:w="474" w:type="dxa"/>
            <w:shd w:val="clear" w:color="auto" w:fill="auto"/>
            <w:vAlign w:val="bottom"/>
          </w:tcPr>
          <w:p w14:paraId="528C2B0D"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2</w:t>
            </w:r>
          </w:p>
        </w:tc>
        <w:tc>
          <w:tcPr>
            <w:tcW w:w="475" w:type="dxa"/>
            <w:shd w:val="clear" w:color="auto" w:fill="auto"/>
            <w:vAlign w:val="bottom"/>
          </w:tcPr>
          <w:p w14:paraId="665C7167"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43</w:t>
            </w:r>
          </w:p>
        </w:tc>
        <w:tc>
          <w:tcPr>
            <w:tcW w:w="475" w:type="dxa"/>
            <w:shd w:val="clear" w:color="auto" w:fill="auto"/>
            <w:vAlign w:val="bottom"/>
          </w:tcPr>
          <w:p w14:paraId="03777AE7"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63</w:t>
            </w:r>
          </w:p>
        </w:tc>
        <w:tc>
          <w:tcPr>
            <w:tcW w:w="475" w:type="dxa"/>
            <w:gridSpan w:val="2"/>
            <w:shd w:val="clear" w:color="auto" w:fill="auto"/>
            <w:vAlign w:val="bottom"/>
          </w:tcPr>
          <w:p w14:paraId="19B29469"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9</w:t>
            </w:r>
          </w:p>
        </w:tc>
        <w:tc>
          <w:tcPr>
            <w:tcW w:w="475" w:type="dxa"/>
            <w:shd w:val="clear" w:color="auto" w:fill="auto"/>
            <w:vAlign w:val="bottom"/>
          </w:tcPr>
          <w:p w14:paraId="72F4453A"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21</w:t>
            </w:r>
          </w:p>
        </w:tc>
        <w:tc>
          <w:tcPr>
            <w:tcW w:w="475" w:type="dxa"/>
            <w:shd w:val="clear" w:color="auto" w:fill="auto"/>
            <w:vAlign w:val="bottom"/>
          </w:tcPr>
          <w:p w14:paraId="2010AE0B"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30</w:t>
            </w:r>
          </w:p>
        </w:tc>
        <w:tc>
          <w:tcPr>
            <w:tcW w:w="475" w:type="dxa"/>
            <w:gridSpan w:val="2"/>
            <w:shd w:val="clear" w:color="auto" w:fill="auto"/>
            <w:vAlign w:val="bottom"/>
          </w:tcPr>
          <w:p w14:paraId="3AF1AC18"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4</w:t>
            </w:r>
          </w:p>
        </w:tc>
        <w:tc>
          <w:tcPr>
            <w:tcW w:w="475" w:type="dxa"/>
            <w:shd w:val="clear" w:color="auto" w:fill="auto"/>
            <w:vAlign w:val="bottom"/>
          </w:tcPr>
          <w:p w14:paraId="6463F539"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3</w:t>
            </w:r>
          </w:p>
        </w:tc>
        <w:tc>
          <w:tcPr>
            <w:tcW w:w="475" w:type="dxa"/>
            <w:shd w:val="clear" w:color="auto" w:fill="auto"/>
            <w:vAlign w:val="bottom"/>
          </w:tcPr>
          <w:p w14:paraId="69C38A1C"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7</w:t>
            </w:r>
          </w:p>
        </w:tc>
        <w:tc>
          <w:tcPr>
            <w:tcW w:w="475" w:type="dxa"/>
            <w:gridSpan w:val="2"/>
            <w:shd w:val="clear" w:color="auto" w:fill="auto"/>
            <w:vAlign w:val="bottom"/>
          </w:tcPr>
          <w:p w14:paraId="0D963E6C"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3</w:t>
            </w:r>
          </w:p>
        </w:tc>
        <w:tc>
          <w:tcPr>
            <w:tcW w:w="475" w:type="dxa"/>
            <w:shd w:val="clear" w:color="auto" w:fill="auto"/>
            <w:vAlign w:val="bottom"/>
          </w:tcPr>
          <w:p w14:paraId="57E57E70"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w:t>
            </w:r>
          </w:p>
        </w:tc>
        <w:tc>
          <w:tcPr>
            <w:tcW w:w="475" w:type="dxa"/>
            <w:shd w:val="clear" w:color="auto" w:fill="auto"/>
            <w:vAlign w:val="bottom"/>
          </w:tcPr>
          <w:p w14:paraId="1A307A4A"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3</w:t>
            </w:r>
          </w:p>
        </w:tc>
      </w:tr>
      <w:tr w:rsidR="0034195A" w:rsidRPr="004C7F84" w14:paraId="32C8ABC0" w14:textId="77777777" w:rsidTr="0034195A">
        <w:tc>
          <w:tcPr>
            <w:tcW w:w="1620" w:type="dxa"/>
            <w:shd w:val="clear" w:color="auto" w:fill="auto"/>
            <w:vAlign w:val="bottom"/>
          </w:tcPr>
          <w:p w14:paraId="59EB51F5" w14:textId="77777777" w:rsidR="0034195A" w:rsidRPr="004C7F84" w:rsidRDefault="0034195A" w:rsidP="0034195A">
            <w:pPr>
              <w:tabs>
                <w:tab w:val="left" w:pos="288"/>
                <w:tab w:val="left" w:pos="576"/>
                <w:tab w:val="left" w:pos="864"/>
                <w:tab w:val="left" w:pos="1152"/>
              </w:tabs>
              <w:spacing w:before="40" w:after="40" w:line="210" w:lineRule="exact"/>
              <w:ind w:right="40"/>
              <w:rPr>
                <w:rFonts w:asciiTheme="majorBidi" w:hAnsiTheme="majorBidi" w:cstheme="majorBidi"/>
                <w:sz w:val="17"/>
              </w:rPr>
            </w:pPr>
            <w:r w:rsidRPr="004C7F84">
              <w:rPr>
                <w:rFonts w:asciiTheme="majorBidi" w:hAnsiTheme="majorBidi" w:cstheme="majorBidi"/>
                <w:sz w:val="17"/>
              </w:rPr>
              <w:t>Antigua Com. Bank</w:t>
            </w:r>
          </w:p>
        </w:tc>
        <w:tc>
          <w:tcPr>
            <w:tcW w:w="474" w:type="dxa"/>
            <w:shd w:val="clear" w:color="auto" w:fill="auto"/>
            <w:vAlign w:val="bottom"/>
          </w:tcPr>
          <w:p w14:paraId="33B3FE4B"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46</w:t>
            </w:r>
          </w:p>
        </w:tc>
        <w:tc>
          <w:tcPr>
            <w:tcW w:w="475" w:type="dxa"/>
            <w:shd w:val="clear" w:color="auto" w:fill="auto"/>
            <w:vAlign w:val="bottom"/>
          </w:tcPr>
          <w:p w14:paraId="1B2F585E"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78</w:t>
            </w:r>
          </w:p>
        </w:tc>
        <w:tc>
          <w:tcPr>
            <w:tcW w:w="475" w:type="dxa"/>
            <w:shd w:val="clear" w:color="auto" w:fill="auto"/>
            <w:vAlign w:val="bottom"/>
          </w:tcPr>
          <w:p w14:paraId="025DCED1"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124</w:t>
            </w:r>
          </w:p>
        </w:tc>
        <w:tc>
          <w:tcPr>
            <w:tcW w:w="475" w:type="dxa"/>
            <w:gridSpan w:val="2"/>
            <w:shd w:val="clear" w:color="auto" w:fill="auto"/>
            <w:vAlign w:val="bottom"/>
          </w:tcPr>
          <w:p w14:paraId="63D3D209"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10</w:t>
            </w:r>
          </w:p>
        </w:tc>
        <w:tc>
          <w:tcPr>
            <w:tcW w:w="475" w:type="dxa"/>
            <w:shd w:val="clear" w:color="auto" w:fill="auto"/>
            <w:vAlign w:val="bottom"/>
          </w:tcPr>
          <w:p w14:paraId="502D8042"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6</w:t>
            </w:r>
          </w:p>
        </w:tc>
        <w:tc>
          <w:tcPr>
            <w:tcW w:w="475" w:type="dxa"/>
            <w:shd w:val="clear" w:color="auto" w:fill="auto"/>
            <w:vAlign w:val="bottom"/>
          </w:tcPr>
          <w:p w14:paraId="7C9E3E69"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16</w:t>
            </w:r>
          </w:p>
        </w:tc>
        <w:tc>
          <w:tcPr>
            <w:tcW w:w="475" w:type="dxa"/>
            <w:gridSpan w:val="2"/>
            <w:shd w:val="clear" w:color="auto" w:fill="auto"/>
            <w:vAlign w:val="bottom"/>
          </w:tcPr>
          <w:p w14:paraId="5DCD4B90"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4</w:t>
            </w:r>
          </w:p>
        </w:tc>
        <w:tc>
          <w:tcPr>
            <w:tcW w:w="475" w:type="dxa"/>
            <w:shd w:val="clear" w:color="auto" w:fill="auto"/>
            <w:vAlign w:val="bottom"/>
          </w:tcPr>
          <w:p w14:paraId="27D8B240"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5</w:t>
            </w:r>
          </w:p>
        </w:tc>
        <w:tc>
          <w:tcPr>
            <w:tcW w:w="475" w:type="dxa"/>
            <w:shd w:val="clear" w:color="auto" w:fill="auto"/>
            <w:vAlign w:val="bottom"/>
          </w:tcPr>
          <w:p w14:paraId="3F3AFA0C"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9</w:t>
            </w:r>
          </w:p>
        </w:tc>
        <w:tc>
          <w:tcPr>
            <w:tcW w:w="475" w:type="dxa"/>
            <w:gridSpan w:val="2"/>
            <w:shd w:val="clear" w:color="auto" w:fill="auto"/>
            <w:vAlign w:val="bottom"/>
          </w:tcPr>
          <w:p w14:paraId="54976C0F"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4</w:t>
            </w:r>
          </w:p>
        </w:tc>
        <w:tc>
          <w:tcPr>
            <w:tcW w:w="475" w:type="dxa"/>
            <w:shd w:val="clear" w:color="auto" w:fill="auto"/>
            <w:vAlign w:val="bottom"/>
          </w:tcPr>
          <w:p w14:paraId="50196326"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5</w:t>
            </w:r>
          </w:p>
        </w:tc>
        <w:tc>
          <w:tcPr>
            <w:tcW w:w="475" w:type="dxa"/>
            <w:shd w:val="clear" w:color="auto" w:fill="auto"/>
            <w:vAlign w:val="bottom"/>
          </w:tcPr>
          <w:p w14:paraId="78FD91A0"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9</w:t>
            </w:r>
          </w:p>
        </w:tc>
      </w:tr>
      <w:tr w:rsidR="0034195A" w:rsidRPr="004C7F84" w14:paraId="66AAFE8A" w14:textId="77777777" w:rsidTr="0034195A">
        <w:tc>
          <w:tcPr>
            <w:tcW w:w="1620" w:type="dxa"/>
            <w:shd w:val="clear" w:color="auto" w:fill="auto"/>
            <w:vAlign w:val="bottom"/>
          </w:tcPr>
          <w:p w14:paraId="5771ABB5" w14:textId="77777777" w:rsidR="0034195A" w:rsidRPr="004C7F84" w:rsidRDefault="0034195A" w:rsidP="0034195A">
            <w:pPr>
              <w:tabs>
                <w:tab w:val="left" w:pos="288"/>
                <w:tab w:val="left" w:pos="576"/>
                <w:tab w:val="left" w:pos="864"/>
                <w:tab w:val="left" w:pos="1152"/>
              </w:tabs>
              <w:spacing w:before="40" w:after="40" w:line="210" w:lineRule="exact"/>
              <w:ind w:right="40"/>
              <w:rPr>
                <w:rFonts w:asciiTheme="majorBidi" w:hAnsiTheme="majorBidi" w:cstheme="majorBidi"/>
                <w:sz w:val="17"/>
              </w:rPr>
            </w:pPr>
            <w:r w:rsidRPr="004C7F84">
              <w:rPr>
                <w:rFonts w:asciiTheme="majorBidi" w:hAnsiTheme="majorBidi" w:cstheme="majorBidi"/>
                <w:sz w:val="17"/>
              </w:rPr>
              <w:t>1st Carib Int. Bank*</w:t>
            </w:r>
          </w:p>
        </w:tc>
        <w:tc>
          <w:tcPr>
            <w:tcW w:w="474" w:type="dxa"/>
            <w:shd w:val="clear" w:color="auto" w:fill="auto"/>
            <w:vAlign w:val="bottom"/>
          </w:tcPr>
          <w:p w14:paraId="3ED5191E"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16</w:t>
            </w:r>
          </w:p>
        </w:tc>
        <w:tc>
          <w:tcPr>
            <w:tcW w:w="475" w:type="dxa"/>
            <w:shd w:val="clear" w:color="auto" w:fill="auto"/>
            <w:vAlign w:val="bottom"/>
          </w:tcPr>
          <w:p w14:paraId="10316FFD"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47</w:t>
            </w:r>
          </w:p>
        </w:tc>
        <w:tc>
          <w:tcPr>
            <w:tcW w:w="475" w:type="dxa"/>
            <w:shd w:val="clear" w:color="auto" w:fill="auto"/>
            <w:vAlign w:val="bottom"/>
          </w:tcPr>
          <w:p w14:paraId="53A1F974"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63</w:t>
            </w:r>
          </w:p>
        </w:tc>
        <w:tc>
          <w:tcPr>
            <w:tcW w:w="475" w:type="dxa"/>
            <w:gridSpan w:val="2"/>
            <w:shd w:val="clear" w:color="auto" w:fill="auto"/>
            <w:vAlign w:val="bottom"/>
          </w:tcPr>
          <w:p w14:paraId="07EBA7FE"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5</w:t>
            </w:r>
          </w:p>
        </w:tc>
        <w:tc>
          <w:tcPr>
            <w:tcW w:w="475" w:type="dxa"/>
            <w:shd w:val="clear" w:color="auto" w:fill="auto"/>
            <w:vAlign w:val="bottom"/>
          </w:tcPr>
          <w:p w14:paraId="76986E5F"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20</w:t>
            </w:r>
          </w:p>
        </w:tc>
        <w:tc>
          <w:tcPr>
            <w:tcW w:w="475" w:type="dxa"/>
            <w:shd w:val="clear" w:color="auto" w:fill="auto"/>
            <w:vAlign w:val="bottom"/>
          </w:tcPr>
          <w:p w14:paraId="50CF2E11"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25</w:t>
            </w:r>
          </w:p>
        </w:tc>
        <w:tc>
          <w:tcPr>
            <w:tcW w:w="475" w:type="dxa"/>
            <w:gridSpan w:val="2"/>
            <w:shd w:val="clear" w:color="auto" w:fill="auto"/>
            <w:vAlign w:val="bottom"/>
          </w:tcPr>
          <w:p w14:paraId="3727303F"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2</w:t>
            </w:r>
          </w:p>
        </w:tc>
        <w:tc>
          <w:tcPr>
            <w:tcW w:w="475" w:type="dxa"/>
            <w:shd w:val="clear" w:color="auto" w:fill="auto"/>
            <w:vAlign w:val="bottom"/>
          </w:tcPr>
          <w:p w14:paraId="7572B434"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4</w:t>
            </w:r>
          </w:p>
        </w:tc>
        <w:tc>
          <w:tcPr>
            <w:tcW w:w="475" w:type="dxa"/>
            <w:shd w:val="clear" w:color="auto" w:fill="auto"/>
            <w:vAlign w:val="bottom"/>
          </w:tcPr>
          <w:p w14:paraId="4C782E7E"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6</w:t>
            </w:r>
          </w:p>
        </w:tc>
        <w:tc>
          <w:tcPr>
            <w:tcW w:w="475" w:type="dxa"/>
            <w:gridSpan w:val="2"/>
            <w:shd w:val="clear" w:color="auto" w:fill="auto"/>
            <w:vAlign w:val="bottom"/>
          </w:tcPr>
          <w:p w14:paraId="399C7E80"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3</w:t>
            </w:r>
          </w:p>
        </w:tc>
        <w:tc>
          <w:tcPr>
            <w:tcW w:w="475" w:type="dxa"/>
            <w:shd w:val="clear" w:color="auto" w:fill="auto"/>
            <w:vAlign w:val="bottom"/>
          </w:tcPr>
          <w:p w14:paraId="43ADCF77"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3</w:t>
            </w:r>
          </w:p>
        </w:tc>
        <w:tc>
          <w:tcPr>
            <w:tcW w:w="475" w:type="dxa"/>
            <w:shd w:val="clear" w:color="auto" w:fill="auto"/>
            <w:vAlign w:val="bottom"/>
          </w:tcPr>
          <w:p w14:paraId="7DFCCF55"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6</w:t>
            </w:r>
          </w:p>
        </w:tc>
      </w:tr>
      <w:tr w:rsidR="0034195A" w:rsidRPr="004C7F84" w14:paraId="29E7911B" w14:textId="77777777" w:rsidTr="0034195A">
        <w:tc>
          <w:tcPr>
            <w:tcW w:w="1620" w:type="dxa"/>
            <w:tcBorders>
              <w:bottom w:val="single" w:sz="12" w:space="0" w:color="auto"/>
            </w:tcBorders>
            <w:shd w:val="clear" w:color="auto" w:fill="auto"/>
            <w:vAlign w:val="bottom"/>
          </w:tcPr>
          <w:p w14:paraId="48F3EE57" w14:textId="77777777" w:rsidR="0034195A" w:rsidRPr="004C7F84" w:rsidRDefault="0034195A" w:rsidP="0034195A">
            <w:pPr>
              <w:tabs>
                <w:tab w:val="left" w:pos="288"/>
                <w:tab w:val="left" w:pos="576"/>
                <w:tab w:val="left" w:pos="864"/>
                <w:tab w:val="left" w:pos="1152"/>
              </w:tabs>
              <w:spacing w:before="40" w:after="40" w:line="210" w:lineRule="exact"/>
              <w:ind w:right="40"/>
              <w:rPr>
                <w:rFonts w:asciiTheme="majorBidi" w:hAnsiTheme="majorBidi" w:cstheme="majorBidi"/>
                <w:sz w:val="17"/>
              </w:rPr>
            </w:pPr>
            <w:r w:rsidRPr="004C7F84">
              <w:rPr>
                <w:rFonts w:asciiTheme="majorBidi" w:hAnsiTheme="majorBidi" w:cstheme="majorBidi"/>
                <w:sz w:val="17"/>
              </w:rPr>
              <w:t>Royal Bank of Can.</w:t>
            </w:r>
          </w:p>
        </w:tc>
        <w:tc>
          <w:tcPr>
            <w:tcW w:w="474" w:type="dxa"/>
            <w:tcBorders>
              <w:bottom w:val="single" w:sz="12" w:space="0" w:color="auto"/>
            </w:tcBorders>
            <w:shd w:val="clear" w:color="auto" w:fill="auto"/>
            <w:vAlign w:val="bottom"/>
          </w:tcPr>
          <w:p w14:paraId="510B6342"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6</w:t>
            </w:r>
          </w:p>
        </w:tc>
        <w:tc>
          <w:tcPr>
            <w:tcW w:w="475" w:type="dxa"/>
            <w:tcBorders>
              <w:bottom w:val="single" w:sz="12" w:space="0" w:color="auto"/>
            </w:tcBorders>
            <w:shd w:val="clear" w:color="auto" w:fill="auto"/>
            <w:vAlign w:val="bottom"/>
          </w:tcPr>
          <w:p w14:paraId="3CEBCB25"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32</w:t>
            </w:r>
          </w:p>
        </w:tc>
        <w:tc>
          <w:tcPr>
            <w:tcW w:w="475" w:type="dxa"/>
            <w:tcBorders>
              <w:bottom w:val="single" w:sz="12" w:space="0" w:color="auto"/>
            </w:tcBorders>
            <w:shd w:val="clear" w:color="auto" w:fill="auto"/>
            <w:vAlign w:val="bottom"/>
          </w:tcPr>
          <w:p w14:paraId="3CDD210F"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38</w:t>
            </w:r>
          </w:p>
        </w:tc>
        <w:tc>
          <w:tcPr>
            <w:tcW w:w="475" w:type="dxa"/>
            <w:gridSpan w:val="2"/>
            <w:tcBorders>
              <w:bottom w:val="single" w:sz="12" w:space="0" w:color="auto"/>
            </w:tcBorders>
            <w:shd w:val="clear" w:color="auto" w:fill="auto"/>
            <w:vAlign w:val="bottom"/>
          </w:tcPr>
          <w:p w14:paraId="0A4A1565"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w:t>
            </w:r>
          </w:p>
        </w:tc>
        <w:tc>
          <w:tcPr>
            <w:tcW w:w="475" w:type="dxa"/>
            <w:tcBorders>
              <w:bottom w:val="single" w:sz="12" w:space="0" w:color="auto"/>
            </w:tcBorders>
            <w:shd w:val="clear" w:color="auto" w:fill="auto"/>
            <w:vAlign w:val="bottom"/>
          </w:tcPr>
          <w:p w14:paraId="5723681B"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10</w:t>
            </w:r>
          </w:p>
        </w:tc>
        <w:tc>
          <w:tcPr>
            <w:tcW w:w="475" w:type="dxa"/>
            <w:tcBorders>
              <w:bottom w:val="single" w:sz="12" w:space="0" w:color="auto"/>
            </w:tcBorders>
            <w:shd w:val="clear" w:color="auto" w:fill="auto"/>
            <w:vAlign w:val="bottom"/>
          </w:tcPr>
          <w:p w14:paraId="045DB84B"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10</w:t>
            </w:r>
          </w:p>
        </w:tc>
        <w:tc>
          <w:tcPr>
            <w:tcW w:w="475" w:type="dxa"/>
            <w:gridSpan w:val="2"/>
            <w:tcBorders>
              <w:bottom w:val="single" w:sz="12" w:space="0" w:color="auto"/>
            </w:tcBorders>
            <w:shd w:val="clear" w:color="auto" w:fill="auto"/>
            <w:vAlign w:val="bottom"/>
          </w:tcPr>
          <w:p w14:paraId="1A73B89D"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w:t>
            </w:r>
          </w:p>
        </w:tc>
        <w:tc>
          <w:tcPr>
            <w:tcW w:w="475" w:type="dxa"/>
            <w:tcBorders>
              <w:bottom w:val="single" w:sz="12" w:space="0" w:color="auto"/>
            </w:tcBorders>
            <w:shd w:val="clear" w:color="auto" w:fill="auto"/>
            <w:vAlign w:val="bottom"/>
          </w:tcPr>
          <w:p w14:paraId="647E2EAF"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5</w:t>
            </w:r>
          </w:p>
        </w:tc>
        <w:tc>
          <w:tcPr>
            <w:tcW w:w="475" w:type="dxa"/>
            <w:tcBorders>
              <w:bottom w:val="single" w:sz="12" w:space="0" w:color="auto"/>
            </w:tcBorders>
            <w:shd w:val="clear" w:color="auto" w:fill="auto"/>
            <w:vAlign w:val="bottom"/>
          </w:tcPr>
          <w:p w14:paraId="57D1CCA2"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5</w:t>
            </w:r>
          </w:p>
        </w:tc>
        <w:tc>
          <w:tcPr>
            <w:tcW w:w="475" w:type="dxa"/>
            <w:gridSpan w:val="2"/>
            <w:tcBorders>
              <w:bottom w:val="single" w:sz="12" w:space="0" w:color="auto"/>
            </w:tcBorders>
            <w:shd w:val="clear" w:color="auto" w:fill="auto"/>
            <w:vAlign w:val="bottom"/>
          </w:tcPr>
          <w:p w14:paraId="26A4539F"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w:t>
            </w:r>
          </w:p>
        </w:tc>
        <w:tc>
          <w:tcPr>
            <w:tcW w:w="475" w:type="dxa"/>
            <w:tcBorders>
              <w:bottom w:val="single" w:sz="12" w:space="0" w:color="auto"/>
            </w:tcBorders>
            <w:shd w:val="clear" w:color="auto" w:fill="auto"/>
            <w:vAlign w:val="bottom"/>
          </w:tcPr>
          <w:p w14:paraId="0928BC67"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sz w:val="17"/>
              </w:rPr>
            </w:pPr>
            <w:r w:rsidRPr="004C7F84">
              <w:rPr>
                <w:rFonts w:asciiTheme="majorBidi" w:hAnsiTheme="majorBidi" w:cstheme="majorBidi"/>
                <w:sz w:val="17"/>
              </w:rPr>
              <w:t>3</w:t>
            </w:r>
          </w:p>
        </w:tc>
        <w:tc>
          <w:tcPr>
            <w:tcW w:w="475" w:type="dxa"/>
            <w:tcBorders>
              <w:bottom w:val="single" w:sz="12" w:space="0" w:color="auto"/>
            </w:tcBorders>
            <w:shd w:val="clear" w:color="auto" w:fill="auto"/>
            <w:vAlign w:val="bottom"/>
          </w:tcPr>
          <w:p w14:paraId="7AD07363" w14:textId="77777777" w:rsidR="0034195A" w:rsidRPr="004C7F84" w:rsidRDefault="0034195A" w:rsidP="0034195A">
            <w:pPr>
              <w:tabs>
                <w:tab w:val="left" w:pos="288"/>
                <w:tab w:val="left" w:pos="576"/>
                <w:tab w:val="left" w:pos="864"/>
                <w:tab w:val="left" w:pos="1152"/>
              </w:tabs>
              <w:spacing w:before="40" w:after="40" w:line="210" w:lineRule="exact"/>
              <w:ind w:left="72" w:right="40"/>
              <w:jc w:val="right"/>
              <w:rPr>
                <w:rFonts w:asciiTheme="majorBidi" w:hAnsiTheme="majorBidi" w:cstheme="majorBidi"/>
                <w:b/>
                <w:bCs/>
                <w:sz w:val="17"/>
              </w:rPr>
            </w:pPr>
            <w:r w:rsidRPr="004C7F84">
              <w:rPr>
                <w:rFonts w:asciiTheme="majorBidi" w:hAnsiTheme="majorBidi" w:cstheme="majorBidi"/>
                <w:b/>
                <w:bCs/>
                <w:sz w:val="17"/>
              </w:rPr>
              <w:t>3</w:t>
            </w:r>
          </w:p>
        </w:tc>
      </w:tr>
    </w:tbl>
    <w:p w14:paraId="33B68144" w14:textId="77777777" w:rsidR="0034195A" w:rsidRPr="004C7F84" w:rsidRDefault="0034195A" w:rsidP="0034195A">
      <w:pPr>
        <w:pStyle w:val="SingleTxt"/>
        <w:spacing w:after="0" w:line="120" w:lineRule="exact"/>
        <w:rPr>
          <w:rFonts w:asciiTheme="majorBidi" w:hAnsiTheme="majorBidi" w:cstheme="majorBidi"/>
          <w:sz w:val="10"/>
        </w:rPr>
      </w:pPr>
    </w:p>
    <w:p w14:paraId="7B89D9FA" w14:textId="4F5BD3CF" w:rsidR="0034195A" w:rsidRPr="004C7F84" w:rsidRDefault="0034195A" w:rsidP="0034195A">
      <w:pPr>
        <w:pStyle w:val="FootnoteText"/>
        <w:tabs>
          <w:tab w:val="clear" w:pos="418"/>
          <w:tab w:val="right" w:pos="1476"/>
          <w:tab w:val="left" w:pos="1548"/>
          <w:tab w:val="right" w:pos="1836"/>
          <w:tab w:val="left" w:pos="1908"/>
        </w:tabs>
        <w:ind w:left="1548" w:right="1267" w:hanging="288"/>
        <w:rPr>
          <w:rFonts w:asciiTheme="majorBidi" w:hAnsiTheme="majorBidi" w:cstheme="majorBidi"/>
        </w:rPr>
      </w:pPr>
      <w:r w:rsidRPr="004C7F84">
        <w:rPr>
          <w:rFonts w:asciiTheme="majorBidi" w:hAnsiTheme="majorBidi" w:cstheme="majorBidi"/>
          <w:i/>
          <w:iCs/>
        </w:rPr>
        <w:t>Source</w:t>
      </w:r>
      <w:r w:rsidR="00773F5D" w:rsidRPr="004C7F84">
        <w:rPr>
          <w:rFonts w:asciiTheme="majorBidi" w:hAnsiTheme="majorBidi" w:cstheme="majorBidi"/>
          <w:i/>
          <w:iCs/>
        </w:rPr>
        <w:t> :</w:t>
      </w:r>
      <w:r w:rsidRPr="004C7F84">
        <w:rPr>
          <w:rFonts w:asciiTheme="majorBidi" w:hAnsiTheme="majorBidi" w:cstheme="majorBidi"/>
        </w:rPr>
        <w:t xml:space="preserve"> </w:t>
      </w:r>
      <w:r w:rsidR="000036EF" w:rsidRPr="004C7F84">
        <w:t xml:space="preserve">Statistiques fournies par les </w:t>
      </w:r>
      <w:r w:rsidR="00A82B2E" w:rsidRPr="004C7F84">
        <w:t>banques commerciales, Antigua-et-Barbuda (recueillies par Osoba, 2004)</w:t>
      </w:r>
      <w:r w:rsidR="006E7D5E" w:rsidRPr="004C7F84">
        <w:t>.</w:t>
      </w:r>
    </w:p>
    <w:p w14:paraId="727C4893" w14:textId="1989F655" w:rsidR="0034195A" w:rsidRPr="004C7F84" w:rsidRDefault="0034195A" w:rsidP="0034195A">
      <w:pPr>
        <w:pStyle w:val="FootnoteText"/>
        <w:tabs>
          <w:tab w:val="clear" w:pos="418"/>
          <w:tab w:val="right" w:pos="1476"/>
          <w:tab w:val="left" w:pos="1548"/>
          <w:tab w:val="right" w:pos="1836"/>
          <w:tab w:val="left" w:pos="1908"/>
        </w:tabs>
        <w:ind w:left="1548" w:right="1267" w:hanging="288"/>
        <w:rPr>
          <w:rFonts w:asciiTheme="majorBidi" w:hAnsiTheme="majorBidi" w:cstheme="majorBidi"/>
        </w:rPr>
      </w:pPr>
      <w:r w:rsidRPr="004C7F84">
        <w:rPr>
          <w:rFonts w:asciiTheme="majorBidi" w:hAnsiTheme="majorBidi" w:cstheme="majorBidi"/>
        </w:rPr>
        <w:tab/>
        <w:t>*</w:t>
      </w:r>
      <w:r w:rsidRPr="004C7F84">
        <w:rPr>
          <w:rFonts w:asciiTheme="majorBidi" w:hAnsiTheme="majorBidi" w:cstheme="majorBidi"/>
        </w:rPr>
        <w:tab/>
      </w:r>
      <w:r w:rsidR="00A82B2E" w:rsidRPr="004C7F84">
        <w:t>Cette banque résulte de la fusion en 2002 de la Barclays Bank avec Canadian Imperial Bank of Commerce</w:t>
      </w:r>
      <w:r w:rsidRPr="004C7F84">
        <w:rPr>
          <w:rFonts w:asciiTheme="majorBidi" w:hAnsiTheme="majorBidi" w:cstheme="majorBidi"/>
        </w:rPr>
        <w:t xml:space="preserve">. </w:t>
      </w:r>
    </w:p>
    <w:p w14:paraId="24F919E1" w14:textId="77777777" w:rsidR="0034195A" w:rsidRPr="004C7F84" w:rsidRDefault="0034195A" w:rsidP="0034195A">
      <w:pPr>
        <w:pStyle w:val="SingleTxt"/>
        <w:spacing w:after="0" w:line="120" w:lineRule="exact"/>
        <w:rPr>
          <w:rFonts w:asciiTheme="majorBidi" w:hAnsiTheme="majorBidi" w:cstheme="majorBidi"/>
          <w:sz w:val="10"/>
        </w:rPr>
      </w:pPr>
    </w:p>
    <w:p w14:paraId="03628490" w14:textId="77777777" w:rsidR="0034195A" w:rsidRPr="004C7F84" w:rsidRDefault="0034195A" w:rsidP="0034195A">
      <w:pPr>
        <w:pStyle w:val="SingleTxt"/>
        <w:spacing w:after="0" w:line="120" w:lineRule="exact"/>
        <w:rPr>
          <w:rFonts w:asciiTheme="majorBidi" w:hAnsiTheme="majorBidi" w:cstheme="majorBidi"/>
          <w:sz w:val="10"/>
        </w:rPr>
      </w:pPr>
    </w:p>
    <w:p w14:paraId="75844826" w14:textId="523B40EB" w:rsidR="0034195A" w:rsidRPr="004C7F84" w:rsidRDefault="00A82B2E" w:rsidP="00514306">
      <w:pPr>
        <w:pStyle w:val="SingleTxt"/>
        <w:numPr>
          <w:ilvl w:val="0"/>
          <w:numId w:val="19"/>
        </w:numPr>
        <w:spacing w:line="240" w:lineRule="exact"/>
        <w:ind w:left="1267" w:firstLine="0"/>
        <w:rPr>
          <w:rFonts w:asciiTheme="majorBidi" w:hAnsiTheme="majorBidi" w:cstheme="majorBidi"/>
        </w:rPr>
      </w:pPr>
      <w:r w:rsidRPr="004C7F84">
        <w:t>Des statistiques détaillées plus récentes sur les taux d</w:t>
      </w:r>
      <w:r w:rsidR="00773F5D" w:rsidRPr="004C7F84">
        <w:t>’</w:t>
      </w:r>
      <w:r w:rsidRPr="004C7F84">
        <w:t>emploi sont disponibles pour l</w:t>
      </w:r>
      <w:r w:rsidR="00773F5D" w:rsidRPr="004C7F84">
        <w:t>’</w:t>
      </w:r>
      <w:r w:rsidRPr="004C7F84">
        <w:t>Antigua Commercial Bank. Comme le montre le tableau</w:t>
      </w:r>
      <w:r w:rsidR="000036EF" w:rsidRPr="004C7F84">
        <w:t> </w:t>
      </w:r>
      <w:r w:rsidRPr="004C7F84">
        <w:t>6 ci-après, bien que les femmes représentent 74,4</w:t>
      </w:r>
      <w:r w:rsidR="0086373A" w:rsidRPr="004C7F84">
        <w:t> %</w:t>
      </w:r>
      <w:r w:rsidRPr="004C7F84">
        <w:t xml:space="preserve"> des employés, 50</w:t>
      </w:r>
      <w:r w:rsidR="0086373A" w:rsidRPr="004C7F84">
        <w:t> %</w:t>
      </w:r>
      <w:r w:rsidRPr="004C7F84">
        <w:t xml:space="preserve"> seulement d</w:t>
      </w:r>
      <w:r w:rsidR="00773F5D" w:rsidRPr="004C7F84">
        <w:t>’</w:t>
      </w:r>
      <w:r w:rsidRPr="004C7F84">
        <w:t>entre elles sont cadres supérieurs et directrices. À l</w:t>
      </w:r>
      <w:r w:rsidR="00773F5D" w:rsidRPr="004C7F84">
        <w:t>’</w:t>
      </w:r>
      <w:r w:rsidRPr="004C7F84">
        <w:t>heure actuelle, une femme est à la tête de l</w:t>
      </w:r>
      <w:r w:rsidR="00773F5D" w:rsidRPr="004C7F84">
        <w:t>’</w:t>
      </w:r>
      <w:r w:rsidRPr="004C7F84">
        <w:t>Antigua Commercial Bank. C</w:t>
      </w:r>
      <w:r w:rsidR="00773F5D" w:rsidRPr="004C7F84">
        <w:t>’</w:t>
      </w:r>
      <w:r w:rsidRPr="004C7F84">
        <w:t>est la première fois qu</w:t>
      </w:r>
      <w:r w:rsidR="00773F5D" w:rsidRPr="004C7F84">
        <w:t>’</w:t>
      </w:r>
      <w:r w:rsidRPr="004C7F84">
        <w:t xml:space="preserve">une femme dirige cette </w:t>
      </w:r>
      <w:r w:rsidR="000036EF" w:rsidRPr="004C7F84">
        <w:lastRenderedPageBreak/>
        <w:t xml:space="preserve">banque au cours </w:t>
      </w:r>
      <w:r w:rsidRPr="004C7F84">
        <w:t>de ses 60</w:t>
      </w:r>
      <w:r w:rsidR="000036EF" w:rsidRPr="004C7F84">
        <w:t> </w:t>
      </w:r>
      <w:r w:rsidRPr="004C7F84">
        <w:t>années d</w:t>
      </w:r>
      <w:r w:rsidR="00773F5D" w:rsidRPr="004C7F84">
        <w:t>’</w:t>
      </w:r>
      <w:r w:rsidRPr="004C7F84">
        <w:t>existence. Mais l</w:t>
      </w:r>
      <w:r w:rsidR="00773F5D" w:rsidRPr="004C7F84">
        <w:t>’</w:t>
      </w:r>
      <w:r w:rsidRPr="004C7F84">
        <w:t>Antigua Commercial Bank était la première banque où une femme présidait le conseil d</w:t>
      </w:r>
      <w:r w:rsidR="00773F5D" w:rsidRPr="004C7F84">
        <w:t>’</w:t>
      </w:r>
      <w:r w:rsidRPr="004C7F84">
        <w:t>administration, composé de 10</w:t>
      </w:r>
      <w:r w:rsidR="000036EF" w:rsidRPr="004C7F84">
        <w:t> </w:t>
      </w:r>
      <w:r w:rsidRPr="004C7F84">
        <w:t>membres. Élue à ce poste par les actionnaires en 1999, elle l</w:t>
      </w:r>
      <w:r w:rsidR="00773F5D" w:rsidRPr="004C7F84">
        <w:t>’</w:t>
      </w:r>
      <w:r w:rsidRPr="004C7F84">
        <w:t xml:space="preserve">a </w:t>
      </w:r>
      <w:r w:rsidRPr="004C7F84">
        <w:rPr>
          <w:spacing w:val="2"/>
          <w:w w:val="100"/>
        </w:rPr>
        <w:t>conservé pendant 3</w:t>
      </w:r>
      <w:r w:rsidR="000036EF" w:rsidRPr="004C7F84">
        <w:rPr>
          <w:spacing w:val="2"/>
          <w:w w:val="100"/>
        </w:rPr>
        <w:t> </w:t>
      </w:r>
      <w:r w:rsidRPr="004C7F84">
        <w:rPr>
          <w:spacing w:val="2"/>
          <w:w w:val="100"/>
        </w:rPr>
        <w:t>ans. À ce jour, elle est la seule femme présidente du conseil d</w:t>
      </w:r>
      <w:r w:rsidR="00773F5D" w:rsidRPr="004C7F84">
        <w:rPr>
          <w:spacing w:val="2"/>
          <w:w w:val="100"/>
        </w:rPr>
        <w:t>’</w:t>
      </w:r>
      <w:r w:rsidRPr="004C7F84">
        <w:rPr>
          <w:spacing w:val="2"/>
          <w:w w:val="100"/>
        </w:rPr>
        <w:t>administration. En 2015, 5 des 10</w:t>
      </w:r>
      <w:r w:rsidR="002D4787" w:rsidRPr="004C7F84">
        <w:rPr>
          <w:spacing w:val="2"/>
          <w:w w:val="100"/>
        </w:rPr>
        <w:t> </w:t>
      </w:r>
      <w:r w:rsidRPr="004C7F84">
        <w:rPr>
          <w:spacing w:val="2"/>
          <w:w w:val="100"/>
        </w:rPr>
        <w:t>membres (soit</w:t>
      </w:r>
      <w:r w:rsidR="002D4787" w:rsidRPr="004C7F84">
        <w:rPr>
          <w:spacing w:val="2"/>
          <w:w w:val="100"/>
        </w:rPr>
        <w:t> </w:t>
      </w:r>
      <w:r w:rsidRPr="004C7F84">
        <w:rPr>
          <w:spacing w:val="2"/>
          <w:w w:val="100"/>
        </w:rPr>
        <w:t>50</w:t>
      </w:r>
      <w:r w:rsidR="0086373A" w:rsidRPr="004C7F84">
        <w:rPr>
          <w:spacing w:val="2"/>
          <w:w w:val="100"/>
        </w:rPr>
        <w:t> %</w:t>
      </w:r>
      <w:r w:rsidRPr="004C7F84">
        <w:rPr>
          <w:spacing w:val="2"/>
          <w:w w:val="100"/>
        </w:rPr>
        <w:t>) du conseil d</w:t>
      </w:r>
      <w:r w:rsidR="00773F5D" w:rsidRPr="004C7F84">
        <w:rPr>
          <w:spacing w:val="2"/>
          <w:w w:val="100"/>
        </w:rPr>
        <w:t>’</w:t>
      </w:r>
      <w:r w:rsidRPr="004C7F84">
        <w:rPr>
          <w:spacing w:val="2"/>
          <w:w w:val="100"/>
        </w:rPr>
        <w:t>administration sont des femmes</w:t>
      </w:r>
      <w:r w:rsidRPr="004C7F84">
        <w:t>.</w:t>
      </w:r>
    </w:p>
    <w:p w14:paraId="6ED0D0B7" w14:textId="77777777" w:rsidR="0034195A" w:rsidRPr="004C7F84" w:rsidRDefault="0034195A" w:rsidP="0034195A">
      <w:pPr>
        <w:pStyle w:val="SingleTxt"/>
        <w:spacing w:after="0" w:line="120" w:lineRule="exact"/>
        <w:rPr>
          <w:rFonts w:asciiTheme="majorBidi" w:hAnsiTheme="majorBidi" w:cstheme="majorBidi"/>
          <w:sz w:val="10"/>
        </w:rPr>
      </w:pPr>
    </w:p>
    <w:p w14:paraId="5028C7F2" w14:textId="30EE47B6" w:rsidR="0034195A" w:rsidRPr="004C7F84" w:rsidRDefault="0034195A" w:rsidP="002D47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lang w:val="fr-FR"/>
        </w:rPr>
      </w:pPr>
      <w:r w:rsidRPr="004C7F84">
        <w:rPr>
          <w:rFonts w:asciiTheme="majorBidi" w:hAnsiTheme="majorBidi" w:cstheme="majorBidi"/>
          <w:bCs/>
          <w:lang w:val="fr-FR"/>
        </w:rPr>
        <w:tab/>
      </w:r>
      <w:r w:rsidRPr="004C7F84">
        <w:rPr>
          <w:rFonts w:asciiTheme="majorBidi" w:hAnsiTheme="majorBidi" w:cstheme="majorBidi"/>
          <w:bCs/>
          <w:lang w:val="fr-FR"/>
        </w:rPr>
        <w:tab/>
      </w:r>
      <w:r w:rsidRPr="004C7F84">
        <w:rPr>
          <w:rFonts w:asciiTheme="majorBidi" w:hAnsiTheme="majorBidi" w:cstheme="majorBidi"/>
          <w:b w:val="0"/>
          <w:bCs/>
          <w:lang w:val="fr-FR"/>
        </w:rPr>
        <w:t>Table</w:t>
      </w:r>
      <w:r w:rsidR="00A82B2E" w:rsidRPr="004C7F84">
        <w:rPr>
          <w:rFonts w:asciiTheme="majorBidi" w:hAnsiTheme="majorBidi" w:cstheme="majorBidi"/>
          <w:b w:val="0"/>
          <w:bCs/>
          <w:lang w:val="fr-FR"/>
        </w:rPr>
        <w:t>au</w:t>
      </w:r>
      <w:r w:rsidRPr="004C7F84">
        <w:rPr>
          <w:rFonts w:asciiTheme="majorBidi" w:hAnsiTheme="majorBidi" w:cstheme="majorBidi"/>
          <w:b w:val="0"/>
          <w:bCs/>
          <w:lang w:val="fr-FR"/>
        </w:rPr>
        <w:t xml:space="preserve"> 6</w:t>
      </w:r>
      <w:r w:rsidR="002D4787" w:rsidRPr="004C7F84">
        <w:rPr>
          <w:rFonts w:asciiTheme="majorBidi" w:hAnsiTheme="majorBidi" w:cstheme="majorBidi"/>
          <w:bCs/>
          <w:lang w:val="fr-FR"/>
        </w:rPr>
        <w:br/>
      </w:r>
      <w:r w:rsidR="00A82B2E" w:rsidRPr="004C7F84">
        <w:rPr>
          <w:lang w:val="fr-FR"/>
        </w:rPr>
        <w:t>Personnel d</w:t>
      </w:r>
      <w:r w:rsidR="00773F5D" w:rsidRPr="004C7F84">
        <w:rPr>
          <w:lang w:val="fr-FR"/>
        </w:rPr>
        <w:t>’</w:t>
      </w:r>
      <w:r w:rsidR="00A82B2E" w:rsidRPr="004C7F84">
        <w:rPr>
          <w:lang w:val="fr-FR"/>
        </w:rPr>
        <w:t xml:space="preserve">Antigua Commercial Bank, par sexe </w:t>
      </w:r>
      <w:r w:rsidR="002D4787" w:rsidRPr="004C7F84">
        <w:rPr>
          <w:lang w:val="fr-FR"/>
        </w:rPr>
        <w:br/>
      </w:r>
      <w:r w:rsidR="00A82B2E" w:rsidRPr="004C7F84">
        <w:rPr>
          <w:lang w:val="fr-FR"/>
        </w:rPr>
        <w:t>et par niveau d</w:t>
      </w:r>
      <w:r w:rsidR="00773F5D" w:rsidRPr="004C7F84">
        <w:rPr>
          <w:lang w:val="fr-FR"/>
        </w:rPr>
        <w:t>’</w:t>
      </w:r>
      <w:r w:rsidR="00A82B2E" w:rsidRPr="004C7F84">
        <w:rPr>
          <w:lang w:val="fr-FR"/>
        </w:rPr>
        <w:t>emploi</w:t>
      </w:r>
      <w:r w:rsidR="00773F5D" w:rsidRPr="004C7F84">
        <w:rPr>
          <w:lang w:val="fr-FR"/>
        </w:rPr>
        <w:t> :</w:t>
      </w:r>
      <w:r w:rsidR="00A82B2E" w:rsidRPr="004C7F84">
        <w:rPr>
          <w:lang w:val="fr-FR"/>
        </w:rPr>
        <w:t xml:space="preserve"> 2015</w:t>
      </w:r>
    </w:p>
    <w:p w14:paraId="478B7E42" w14:textId="7F061ADE" w:rsidR="0034195A" w:rsidRPr="004C7F84" w:rsidRDefault="0034195A" w:rsidP="002D4787">
      <w:pPr>
        <w:pStyle w:val="SingleTxt"/>
        <w:spacing w:after="0" w:line="120" w:lineRule="exact"/>
        <w:rPr>
          <w:rFonts w:asciiTheme="majorBidi" w:hAnsiTheme="majorBidi" w:cstheme="majorBidi"/>
          <w:sz w:val="10"/>
        </w:rPr>
      </w:pPr>
    </w:p>
    <w:p w14:paraId="2841B966" w14:textId="77777777" w:rsidR="002D4787" w:rsidRPr="004C7F84" w:rsidRDefault="002D4787" w:rsidP="0034195A">
      <w:pPr>
        <w:pStyle w:val="SingleTxt"/>
        <w:spacing w:after="0" w:line="120" w:lineRule="exact"/>
        <w:rPr>
          <w:rFonts w:asciiTheme="majorBidi" w:hAnsiTheme="majorBidi" w:cstheme="majorBidi"/>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00"/>
        <w:gridCol w:w="1104"/>
        <w:gridCol w:w="1104"/>
        <w:gridCol w:w="1104"/>
        <w:gridCol w:w="1104"/>
        <w:gridCol w:w="1104"/>
      </w:tblGrid>
      <w:tr w:rsidR="0034195A" w:rsidRPr="004C7F84" w14:paraId="3112815F" w14:textId="77777777" w:rsidTr="0034195A">
        <w:trPr>
          <w:tblHeader/>
        </w:trPr>
        <w:tc>
          <w:tcPr>
            <w:tcW w:w="1800" w:type="dxa"/>
            <w:tcBorders>
              <w:top w:val="single" w:sz="4" w:space="0" w:color="auto"/>
              <w:bottom w:val="single" w:sz="12" w:space="0" w:color="auto"/>
            </w:tcBorders>
            <w:shd w:val="clear" w:color="auto" w:fill="auto"/>
            <w:vAlign w:val="bottom"/>
          </w:tcPr>
          <w:p w14:paraId="4D7780AB" w14:textId="5C625D6F" w:rsidR="0034195A" w:rsidRPr="004C7F84" w:rsidRDefault="007B2844" w:rsidP="0034195A">
            <w:pPr>
              <w:spacing w:before="81" w:after="81" w:line="160" w:lineRule="exact"/>
              <w:ind w:right="40"/>
              <w:rPr>
                <w:rFonts w:asciiTheme="majorBidi" w:hAnsiTheme="majorBidi" w:cstheme="majorBidi"/>
                <w:i/>
                <w:sz w:val="14"/>
              </w:rPr>
            </w:pPr>
            <w:r w:rsidRPr="004C7F84">
              <w:rPr>
                <w:rFonts w:asciiTheme="majorBidi" w:hAnsiTheme="majorBidi" w:cstheme="majorBidi"/>
                <w:i/>
                <w:sz w:val="14"/>
              </w:rPr>
              <w:t>Niveau d</w:t>
            </w:r>
            <w:r w:rsidR="00773F5D" w:rsidRPr="004C7F84">
              <w:rPr>
                <w:rFonts w:asciiTheme="majorBidi" w:hAnsiTheme="majorBidi" w:cstheme="majorBidi"/>
                <w:i/>
                <w:sz w:val="14"/>
              </w:rPr>
              <w:t>’</w:t>
            </w:r>
            <w:r w:rsidRPr="004C7F84">
              <w:rPr>
                <w:rFonts w:asciiTheme="majorBidi" w:hAnsiTheme="majorBidi" w:cstheme="majorBidi"/>
                <w:i/>
                <w:sz w:val="14"/>
              </w:rPr>
              <w:t>emploi</w:t>
            </w:r>
          </w:p>
        </w:tc>
        <w:tc>
          <w:tcPr>
            <w:tcW w:w="1104" w:type="dxa"/>
            <w:tcBorders>
              <w:top w:val="single" w:sz="4" w:space="0" w:color="auto"/>
              <w:bottom w:val="single" w:sz="12" w:space="0" w:color="auto"/>
            </w:tcBorders>
            <w:shd w:val="clear" w:color="auto" w:fill="auto"/>
            <w:vAlign w:val="bottom"/>
          </w:tcPr>
          <w:p w14:paraId="7C900007" w14:textId="183E08E2" w:rsidR="0034195A" w:rsidRPr="004C7F84" w:rsidRDefault="007B2844" w:rsidP="0034195A">
            <w:pPr>
              <w:spacing w:before="81" w:after="81" w:line="160" w:lineRule="exact"/>
              <w:ind w:left="144" w:right="40"/>
              <w:jc w:val="right"/>
              <w:rPr>
                <w:rFonts w:asciiTheme="majorBidi" w:hAnsiTheme="majorBidi" w:cstheme="majorBidi"/>
                <w:i/>
                <w:sz w:val="14"/>
              </w:rPr>
            </w:pPr>
            <w:r w:rsidRPr="004C7F84">
              <w:rPr>
                <w:rFonts w:asciiTheme="majorBidi" w:hAnsiTheme="majorBidi" w:cstheme="majorBidi"/>
                <w:i/>
                <w:sz w:val="14"/>
              </w:rPr>
              <w:t>Hommes</w:t>
            </w:r>
          </w:p>
        </w:tc>
        <w:tc>
          <w:tcPr>
            <w:tcW w:w="1104" w:type="dxa"/>
            <w:tcBorders>
              <w:top w:val="single" w:sz="4" w:space="0" w:color="auto"/>
              <w:bottom w:val="single" w:sz="12" w:space="0" w:color="auto"/>
            </w:tcBorders>
            <w:shd w:val="clear" w:color="auto" w:fill="auto"/>
            <w:vAlign w:val="bottom"/>
          </w:tcPr>
          <w:p w14:paraId="3B5DF990" w14:textId="77777777" w:rsidR="0034195A" w:rsidRPr="004C7F84" w:rsidRDefault="0034195A" w:rsidP="0034195A">
            <w:pPr>
              <w:spacing w:before="81" w:after="81" w:line="160" w:lineRule="exact"/>
              <w:ind w:left="144" w:right="40"/>
              <w:jc w:val="right"/>
              <w:rPr>
                <w:rFonts w:asciiTheme="majorBidi" w:hAnsiTheme="majorBidi" w:cstheme="majorBidi"/>
                <w:i/>
                <w:sz w:val="14"/>
              </w:rPr>
            </w:pPr>
            <w:r w:rsidRPr="004C7F84">
              <w:rPr>
                <w:rFonts w:asciiTheme="majorBidi" w:hAnsiTheme="majorBidi" w:cstheme="majorBidi"/>
                <w:i/>
                <w:sz w:val="14"/>
              </w:rPr>
              <w:t>%</w:t>
            </w:r>
          </w:p>
        </w:tc>
        <w:tc>
          <w:tcPr>
            <w:tcW w:w="1104" w:type="dxa"/>
            <w:tcBorders>
              <w:top w:val="single" w:sz="4" w:space="0" w:color="auto"/>
              <w:bottom w:val="single" w:sz="12" w:space="0" w:color="auto"/>
            </w:tcBorders>
            <w:shd w:val="clear" w:color="auto" w:fill="auto"/>
            <w:vAlign w:val="bottom"/>
          </w:tcPr>
          <w:p w14:paraId="1F3BEE3E" w14:textId="3049FEC9" w:rsidR="0034195A" w:rsidRPr="004C7F84" w:rsidRDefault="007B2844" w:rsidP="0034195A">
            <w:pPr>
              <w:spacing w:before="81" w:after="81" w:line="160" w:lineRule="exact"/>
              <w:ind w:left="144" w:right="40"/>
              <w:jc w:val="right"/>
              <w:rPr>
                <w:rFonts w:asciiTheme="majorBidi" w:hAnsiTheme="majorBidi" w:cstheme="majorBidi"/>
                <w:i/>
                <w:sz w:val="14"/>
              </w:rPr>
            </w:pPr>
            <w:r w:rsidRPr="004C7F84">
              <w:rPr>
                <w:rFonts w:asciiTheme="majorBidi" w:hAnsiTheme="majorBidi" w:cstheme="majorBidi"/>
                <w:i/>
                <w:sz w:val="14"/>
              </w:rPr>
              <w:t>Femmes</w:t>
            </w:r>
          </w:p>
        </w:tc>
        <w:tc>
          <w:tcPr>
            <w:tcW w:w="1104" w:type="dxa"/>
            <w:tcBorders>
              <w:top w:val="single" w:sz="4" w:space="0" w:color="auto"/>
              <w:bottom w:val="single" w:sz="12" w:space="0" w:color="auto"/>
            </w:tcBorders>
            <w:shd w:val="clear" w:color="auto" w:fill="auto"/>
            <w:vAlign w:val="bottom"/>
          </w:tcPr>
          <w:p w14:paraId="592F8DB3" w14:textId="77777777" w:rsidR="0034195A" w:rsidRPr="004C7F84" w:rsidRDefault="0034195A" w:rsidP="0034195A">
            <w:pPr>
              <w:spacing w:before="81" w:after="81" w:line="160" w:lineRule="exact"/>
              <w:ind w:left="144" w:right="40"/>
              <w:jc w:val="right"/>
              <w:rPr>
                <w:rFonts w:asciiTheme="majorBidi" w:hAnsiTheme="majorBidi" w:cstheme="majorBidi"/>
                <w:i/>
                <w:sz w:val="14"/>
              </w:rPr>
            </w:pPr>
            <w:r w:rsidRPr="004C7F84">
              <w:rPr>
                <w:rFonts w:asciiTheme="majorBidi" w:hAnsiTheme="majorBidi" w:cstheme="majorBidi"/>
                <w:i/>
                <w:sz w:val="14"/>
              </w:rPr>
              <w:t>%</w:t>
            </w:r>
          </w:p>
        </w:tc>
        <w:tc>
          <w:tcPr>
            <w:tcW w:w="1104" w:type="dxa"/>
            <w:tcBorders>
              <w:top w:val="single" w:sz="4" w:space="0" w:color="auto"/>
              <w:bottom w:val="single" w:sz="12" w:space="0" w:color="auto"/>
            </w:tcBorders>
            <w:shd w:val="clear" w:color="auto" w:fill="auto"/>
            <w:vAlign w:val="bottom"/>
          </w:tcPr>
          <w:p w14:paraId="105BE951" w14:textId="64D12B44" w:rsidR="0034195A" w:rsidRPr="004C7F84" w:rsidRDefault="007B2844" w:rsidP="0034195A">
            <w:pPr>
              <w:spacing w:before="81" w:after="81" w:line="160" w:lineRule="exact"/>
              <w:ind w:left="144" w:right="40"/>
              <w:jc w:val="right"/>
              <w:rPr>
                <w:rFonts w:asciiTheme="majorBidi" w:hAnsiTheme="majorBidi" w:cstheme="majorBidi"/>
                <w:b/>
                <w:sz w:val="14"/>
              </w:rPr>
            </w:pPr>
            <w:r w:rsidRPr="004C7F84">
              <w:rPr>
                <w:rFonts w:asciiTheme="majorBidi" w:hAnsiTheme="majorBidi" w:cstheme="majorBidi"/>
                <w:b/>
                <w:sz w:val="14"/>
              </w:rPr>
              <w:t>Total</w:t>
            </w:r>
          </w:p>
        </w:tc>
      </w:tr>
      <w:tr w:rsidR="0034195A" w:rsidRPr="004C7F84" w14:paraId="6EA8EFBD" w14:textId="77777777" w:rsidTr="0034195A">
        <w:trPr>
          <w:trHeight w:hRule="exact" w:val="115"/>
          <w:tblHeader/>
        </w:trPr>
        <w:tc>
          <w:tcPr>
            <w:tcW w:w="1800" w:type="dxa"/>
            <w:tcBorders>
              <w:top w:val="single" w:sz="12" w:space="0" w:color="auto"/>
            </w:tcBorders>
            <w:shd w:val="clear" w:color="auto" w:fill="auto"/>
            <w:vAlign w:val="bottom"/>
          </w:tcPr>
          <w:p w14:paraId="2DF9F527" w14:textId="77777777" w:rsidR="0034195A" w:rsidRPr="004C7F84" w:rsidRDefault="0034195A" w:rsidP="0034195A">
            <w:pPr>
              <w:spacing w:before="40" w:after="40" w:line="210" w:lineRule="exact"/>
              <w:ind w:right="40"/>
              <w:rPr>
                <w:rFonts w:asciiTheme="majorBidi" w:hAnsiTheme="majorBidi" w:cstheme="majorBidi"/>
                <w:sz w:val="17"/>
              </w:rPr>
            </w:pPr>
          </w:p>
        </w:tc>
        <w:tc>
          <w:tcPr>
            <w:tcW w:w="1104" w:type="dxa"/>
            <w:tcBorders>
              <w:top w:val="single" w:sz="12" w:space="0" w:color="auto"/>
            </w:tcBorders>
            <w:shd w:val="clear" w:color="auto" w:fill="auto"/>
            <w:vAlign w:val="bottom"/>
          </w:tcPr>
          <w:p w14:paraId="693E9243" w14:textId="77777777" w:rsidR="0034195A" w:rsidRPr="004C7F84" w:rsidRDefault="0034195A" w:rsidP="0034195A">
            <w:pPr>
              <w:spacing w:before="40" w:after="40" w:line="210" w:lineRule="exact"/>
              <w:ind w:left="144" w:right="40"/>
              <w:jc w:val="right"/>
              <w:rPr>
                <w:rFonts w:asciiTheme="majorBidi" w:hAnsiTheme="majorBidi" w:cstheme="majorBidi"/>
                <w:sz w:val="17"/>
              </w:rPr>
            </w:pPr>
          </w:p>
        </w:tc>
        <w:tc>
          <w:tcPr>
            <w:tcW w:w="1104" w:type="dxa"/>
            <w:tcBorders>
              <w:top w:val="single" w:sz="12" w:space="0" w:color="auto"/>
            </w:tcBorders>
            <w:shd w:val="clear" w:color="auto" w:fill="auto"/>
            <w:vAlign w:val="bottom"/>
          </w:tcPr>
          <w:p w14:paraId="207DFDEB" w14:textId="77777777" w:rsidR="0034195A" w:rsidRPr="004C7F84" w:rsidRDefault="0034195A" w:rsidP="0034195A">
            <w:pPr>
              <w:spacing w:before="40" w:after="40" w:line="210" w:lineRule="exact"/>
              <w:ind w:left="144" w:right="40"/>
              <w:jc w:val="right"/>
              <w:rPr>
                <w:rFonts w:asciiTheme="majorBidi" w:hAnsiTheme="majorBidi" w:cstheme="majorBidi"/>
                <w:sz w:val="17"/>
              </w:rPr>
            </w:pPr>
          </w:p>
        </w:tc>
        <w:tc>
          <w:tcPr>
            <w:tcW w:w="1104" w:type="dxa"/>
            <w:tcBorders>
              <w:top w:val="single" w:sz="12" w:space="0" w:color="auto"/>
            </w:tcBorders>
            <w:shd w:val="clear" w:color="auto" w:fill="auto"/>
            <w:vAlign w:val="bottom"/>
          </w:tcPr>
          <w:p w14:paraId="1C82D13A" w14:textId="77777777" w:rsidR="0034195A" w:rsidRPr="004C7F84" w:rsidRDefault="0034195A" w:rsidP="0034195A">
            <w:pPr>
              <w:spacing w:before="40" w:after="40" w:line="210" w:lineRule="exact"/>
              <w:ind w:left="144" w:right="40"/>
              <w:jc w:val="right"/>
              <w:rPr>
                <w:rFonts w:asciiTheme="majorBidi" w:hAnsiTheme="majorBidi" w:cstheme="majorBidi"/>
                <w:sz w:val="17"/>
              </w:rPr>
            </w:pPr>
          </w:p>
        </w:tc>
        <w:tc>
          <w:tcPr>
            <w:tcW w:w="1104" w:type="dxa"/>
            <w:tcBorders>
              <w:top w:val="single" w:sz="12" w:space="0" w:color="auto"/>
            </w:tcBorders>
            <w:shd w:val="clear" w:color="auto" w:fill="auto"/>
            <w:vAlign w:val="bottom"/>
          </w:tcPr>
          <w:p w14:paraId="61A16207" w14:textId="77777777" w:rsidR="0034195A" w:rsidRPr="004C7F84" w:rsidRDefault="0034195A" w:rsidP="0034195A">
            <w:pPr>
              <w:spacing w:before="40" w:after="40" w:line="210" w:lineRule="exact"/>
              <w:ind w:left="144" w:right="40"/>
              <w:jc w:val="right"/>
              <w:rPr>
                <w:rFonts w:asciiTheme="majorBidi" w:hAnsiTheme="majorBidi" w:cstheme="majorBidi"/>
                <w:sz w:val="17"/>
              </w:rPr>
            </w:pPr>
          </w:p>
        </w:tc>
        <w:tc>
          <w:tcPr>
            <w:tcW w:w="1104" w:type="dxa"/>
            <w:tcBorders>
              <w:top w:val="single" w:sz="12" w:space="0" w:color="auto"/>
            </w:tcBorders>
            <w:shd w:val="clear" w:color="auto" w:fill="auto"/>
            <w:vAlign w:val="bottom"/>
          </w:tcPr>
          <w:p w14:paraId="073A9D15" w14:textId="77777777" w:rsidR="0034195A" w:rsidRPr="004C7F84" w:rsidRDefault="0034195A" w:rsidP="0034195A">
            <w:pPr>
              <w:spacing w:before="40" w:after="40" w:line="210" w:lineRule="exact"/>
              <w:ind w:left="144" w:right="40"/>
              <w:jc w:val="right"/>
              <w:rPr>
                <w:rFonts w:asciiTheme="majorBidi" w:hAnsiTheme="majorBidi" w:cstheme="majorBidi"/>
                <w:sz w:val="17"/>
              </w:rPr>
            </w:pPr>
          </w:p>
        </w:tc>
      </w:tr>
      <w:tr w:rsidR="0034195A" w:rsidRPr="004C7F84" w14:paraId="4935FEA0" w14:textId="77777777" w:rsidTr="0034195A">
        <w:tc>
          <w:tcPr>
            <w:tcW w:w="1800" w:type="dxa"/>
            <w:shd w:val="clear" w:color="auto" w:fill="auto"/>
            <w:vAlign w:val="bottom"/>
          </w:tcPr>
          <w:p w14:paraId="62021FF1" w14:textId="0D934A82" w:rsidR="0034195A" w:rsidRPr="004C7F84" w:rsidRDefault="007B2844" w:rsidP="0034195A">
            <w:pPr>
              <w:tabs>
                <w:tab w:val="left" w:pos="288"/>
                <w:tab w:val="left" w:pos="576"/>
                <w:tab w:val="left" w:pos="864"/>
                <w:tab w:val="left" w:pos="1152"/>
              </w:tabs>
              <w:spacing w:before="40" w:after="40" w:line="210" w:lineRule="exact"/>
              <w:ind w:right="40"/>
              <w:rPr>
                <w:rFonts w:asciiTheme="majorBidi" w:hAnsiTheme="majorBidi" w:cstheme="majorBidi"/>
                <w:sz w:val="17"/>
              </w:rPr>
            </w:pPr>
            <w:r w:rsidRPr="004C7F84">
              <w:rPr>
                <w:rFonts w:asciiTheme="majorBidi" w:hAnsiTheme="majorBidi" w:cstheme="majorBidi"/>
                <w:sz w:val="17"/>
              </w:rPr>
              <w:t>Personnel administratif</w:t>
            </w:r>
          </w:p>
        </w:tc>
        <w:tc>
          <w:tcPr>
            <w:tcW w:w="1104" w:type="dxa"/>
            <w:shd w:val="clear" w:color="auto" w:fill="auto"/>
            <w:vAlign w:val="bottom"/>
          </w:tcPr>
          <w:p w14:paraId="06904B2D"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4C7F84">
              <w:rPr>
                <w:rFonts w:asciiTheme="majorBidi" w:hAnsiTheme="majorBidi" w:cstheme="majorBidi"/>
                <w:sz w:val="17"/>
              </w:rPr>
              <w:t>21</w:t>
            </w:r>
          </w:p>
        </w:tc>
        <w:tc>
          <w:tcPr>
            <w:tcW w:w="1104" w:type="dxa"/>
            <w:shd w:val="clear" w:color="auto" w:fill="auto"/>
            <w:vAlign w:val="bottom"/>
          </w:tcPr>
          <w:p w14:paraId="68A0C307" w14:textId="1475287B" w:rsidR="0034195A" w:rsidRPr="004C7F84" w:rsidRDefault="0034195A" w:rsidP="0034195A">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4C7F84">
              <w:rPr>
                <w:rFonts w:asciiTheme="majorBidi" w:hAnsiTheme="majorBidi" w:cstheme="majorBidi"/>
                <w:sz w:val="17"/>
              </w:rPr>
              <w:t>25</w:t>
            </w:r>
            <w:r w:rsidR="008477BC" w:rsidRPr="004C7F84">
              <w:rPr>
                <w:rFonts w:asciiTheme="majorBidi" w:hAnsiTheme="majorBidi" w:cstheme="majorBidi"/>
                <w:sz w:val="17"/>
              </w:rPr>
              <w:t>,</w:t>
            </w:r>
            <w:r w:rsidRPr="004C7F84">
              <w:rPr>
                <w:rFonts w:asciiTheme="majorBidi" w:hAnsiTheme="majorBidi" w:cstheme="majorBidi"/>
                <w:sz w:val="17"/>
              </w:rPr>
              <w:t>6</w:t>
            </w:r>
          </w:p>
        </w:tc>
        <w:tc>
          <w:tcPr>
            <w:tcW w:w="1104" w:type="dxa"/>
            <w:shd w:val="clear" w:color="auto" w:fill="auto"/>
            <w:vAlign w:val="bottom"/>
          </w:tcPr>
          <w:p w14:paraId="7A66E0E5"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4C7F84">
              <w:rPr>
                <w:rFonts w:asciiTheme="majorBidi" w:hAnsiTheme="majorBidi" w:cstheme="majorBidi"/>
                <w:sz w:val="17"/>
              </w:rPr>
              <w:t>61</w:t>
            </w:r>
          </w:p>
        </w:tc>
        <w:tc>
          <w:tcPr>
            <w:tcW w:w="1104" w:type="dxa"/>
            <w:shd w:val="clear" w:color="auto" w:fill="auto"/>
            <w:vAlign w:val="bottom"/>
          </w:tcPr>
          <w:p w14:paraId="57CEACF9" w14:textId="7D821B14" w:rsidR="0034195A" w:rsidRPr="004C7F84" w:rsidRDefault="0034195A" w:rsidP="0034195A">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4C7F84">
              <w:rPr>
                <w:rFonts w:asciiTheme="majorBidi" w:hAnsiTheme="majorBidi" w:cstheme="majorBidi"/>
                <w:sz w:val="17"/>
              </w:rPr>
              <w:t>74</w:t>
            </w:r>
            <w:r w:rsidR="008477BC" w:rsidRPr="004C7F84">
              <w:rPr>
                <w:rFonts w:asciiTheme="majorBidi" w:hAnsiTheme="majorBidi" w:cstheme="majorBidi"/>
                <w:sz w:val="17"/>
              </w:rPr>
              <w:t>,</w:t>
            </w:r>
            <w:r w:rsidRPr="004C7F84">
              <w:rPr>
                <w:rFonts w:asciiTheme="majorBidi" w:hAnsiTheme="majorBidi" w:cstheme="majorBidi"/>
                <w:sz w:val="17"/>
              </w:rPr>
              <w:t>4</w:t>
            </w:r>
          </w:p>
        </w:tc>
        <w:tc>
          <w:tcPr>
            <w:tcW w:w="1104" w:type="dxa"/>
            <w:shd w:val="clear" w:color="auto" w:fill="auto"/>
            <w:vAlign w:val="bottom"/>
          </w:tcPr>
          <w:p w14:paraId="2ECEA8FF"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4C7F84">
              <w:rPr>
                <w:rFonts w:asciiTheme="majorBidi" w:hAnsiTheme="majorBidi" w:cstheme="majorBidi"/>
                <w:sz w:val="17"/>
              </w:rPr>
              <w:t>82</w:t>
            </w:r>
          </w:p>
        </w:tc>
      </w:tr>
      <w:tr w:rsidR="0034195A" w:rsidRPr="004C7F84" w14:paraId="085D7E99" w14:textId="77777777" w:rsidTr="0034195A">
        <w:tc>
          <w:tcPr>
            <w:tcW w:w="1800" w:type="dxa"/>
            <w:shd w:val="clear" w:color="auto" w:fill="auto"/>
            <w:vAlign w:val="bottom"/>
          </w:tcPr>
          <w:p w14:paraId="37761E9C" w14:textId="5A8BC8B2" w:rsidR="0034195A" w:rsidRPr="004C7F84" w:rsidRDefault="007B2844" w:rsidP="0034195A">
            <w:pPr>
              <w:tabs>
                <w:tab w:val="left" w:pos="288"/>
                <w:tab w:val="left" w:pos="576"/>
                <w:tab w:val="left" w:pos="864"/>
                <w:tab w:val="left" w:pos="1152"/>
              </w:tabs>
              <w:spacing w:before="40" w:after="40" w:line="210" w:lineRule="exact"/>
              <w:ind w:right="40"/>
              <w:rPr>
                <w:rFonts w:asciiTheme="majorBidi" w:hAnsiTheme="majorBidi" w:cstheme="majorBidi"/>
                <w:sz w:val="17"/>
              </w:rPr>
            </w:pPr>
            <w:r w:rsidRPr="004C7F84">
              <w:rPr>
                <w:rFonts w:asciiTheme="majorBidi" w:hAnsiTheme="majorBidi" w:cstheme="majorBidi"/>
                <w:sz w:val="17"/>
              </w:rPr>
              <w:t>Agents de supervision</w:t>
            </w:r>
          </w:p>
        </w:tc>
        <w:tc>
          <w:tcPr>
            <w:tcW w:w="1104" w:type="dxa"/>
            <w:shd w:val="clear" w:color="auto" w:fill="auto"/>
            <w:vAlign w:val="bottom"/>
          </w:tcPr>
          <w:p w14:paraId="49812262"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4C7F84">
              <w:rPr>
                <w:rFonts w:asciiTheme="majorBidi" w:hAnsiTheme="majorBidi" w:cstheme="majorBidi"/>
                <w:sz w:val="17"/>
              </w:rPr>
              <w:t>2</w:t>
            </w:r>
          </w:p>
        </w:tc>
        <w:tc>
          <w:tcPr>
            <w:tcW w:w="1104" w:type="dxa"/>
            <w:shd w:val="clear" w:color="auto" w:fill="auto"/>
            <w:vAlign w:val="bottom"/>
          </w:tcPr>
          <w:p w14:paraId="7A10F006" w14:textId="0AF904B6" w:rsidR="0034195A" w:rsidRPr="004C7F84" w:rsidRDefault="0034195A" w:rsidP="0034195A">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4C7F84">
              <w:rPr>
                <w:rFonts w:asciiTheme="majorBidi" w:hAnsiTheme="majorBidi" w:cstheme="majorBidi"/>
                <w:sz w:val="17"/>
              </w:rPr>
              <w:t>28</w:t>
            </w:r>
            <w:r w:rsidR="008477BC" w:rsidRPr="004C7F84">
              <w:rPr>
                <w:rFonts w:asciiTheme="majorBidi" w:hAnsiTheme="majorBidi" w:cstheme="majorBidi"/>
                <w:sz w:val="17"/>
              </w:rPr>
              <w:t>,</w:t>
            </w:r>
            <w:r w:rsidRPr="004C7F84">
              <w:rPr>
                <w:rFonts w:asciiTheme="majorBidi" w:hAnsiTheme="majorBidi" w:cstheme="majorBidi"/>
                <w:sz w:val="17"/>
              </w:rPr>
              <w:t>6</w:t>
            </w:r>
          </w:p>
        </w:tc>
        <w:tc>
          <w:tcPr>
            <w:tcW w:w="1104" w:type="dxa"/>
            <w:shd w:val="clear" w:color="auto" w:fill="auto"/>
            <w:vAlign w:val="bottom"/>
          </w:tcPr>
          <w:p w14:paraId="76D521FE"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4C7F84">
              <w:rPr>
                <w:rFonts w:asciiTheme="majorBidi" w:hAnsiTheme="majorBidi" w:cstheme="majorBidi"/>
                <w:sz w:val="17"/>
              </w:rPr>
              <w:t>5</w:t>
            </w:r>
          </w:p>
        </w:tc>
        <w:tc>
          <w:tcPr>
            <w:tcW w:w="1104" w:type="dxa"/>
            <w:shd w:val="clear" w:color="auto" w:fill="auto"/>
            <w:vAlign w:val="bottom"/>
          </w:tcPr>
          <w:p w14:paraId="69860B60" w14:textId="586D9985" w:rsidR="0034195A" w:rsidRPr="004C7F84" w:rsidRDefault="0034195A" w:rsidP="0034195A">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4C7F84">
              <w:rPr>
                <w:rFonts w:asciiTheme="majorBidi" w:hAnsiTheme="majorBidi" w:cstheme="majorBidi"/>
                <w:sz w:val="17"/>
              </w:rPr>
              <w:t>71</w:t>
            </w:r>
            <w:r w:rsidR="008477BC" w:rsidRPr="004C7F84">
              <w:rPr>
                <w:rFonts w:asciiTheme="majorBidi" w:hAnsiTheme="majorBidi" w:cstheme="majorBidi"/>
                <w:sz w:val="17"/>
              </w:rPr>
              <w:t>,</w:t>
            </w:r>
            <w:r w:rsidRPr="004C7F84">
              <w:rPr>
                <w:rFonts w:asciiTheme="majorBidi" w:hAnsiTheme="majorBidi" w:cstheme="majorBidi"/>
                <w:sz w:val="17"/>
              </w:rPr>
              <w:t>4</w:t>
            </w:r>
          </w:p>
        </w:tc>
        <w:tc>
          <w:tcPr>
            <w:tcW w:w="1104" w:type="dxa"/>
            <w:shd w:val="clear" w:color="auto" w:fill="auto"/>
            <w:vAlign w:val="bottom"/>
          </w:tcPr>
          <w:p w14:paraId="566F56B0"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4C7F84">
              <w:rPr>
                <w:rFonts w:asciiTheme="majorBidi" w:hAnsiTheme="majorBidi" w:cstheme="majorBidi"/>
                <w:sz w:val="17"/>
              </w:rPr>
              <w:t>7</w:t>
            </w:r>
          </w:p>
        </w:tc>
      </w:tr>
      <w:tr w:rsidR="0034195A" w:rsidRPr="004C7F84" w14:paraId="52A6C1AD" w14:textId="77777777" w:rsidTr="0034195A">
        <w:tc>
          <w:tcPr>
            <w:tcW w:w="1800" w:type="dxa"/>
            <w:shd w:val="clear" w:color="auto" w:fill="auto"/>
            <w:vAlign w:val="bottom"/>
          </w:tcPr>
          <w:p w14:paraId="05CE7333" w14:textId="5D00ABE8" w:rsidR="0034195A" w:rsidRPr="004C7F84" w:rsidRDefault="007B2844" w:rsidP="0034195A">
            <w:pPr>
              <w:tabs>
                <w:tab w:val="left" w:pos="288"/>
                <w:tab w:val="left" w:pos="576"/>
                <w:tab w:val="left" w:pos="864"/>
                <w:tab w:val="left" w:pos="1152"/>
              </w:tabs>
              <w:spacing w:before="40" w:after="40" w:line="210" w:lineRule="exact"/>
              <w:ind w:right="40"/>
              <w:rPr>
                <w:rFonts w:asciiTheme="majorBidi" w:hAnsiTheme="majorBidi" w:cstheme="majorBidi"/>
                <w:sz w:val="17"/>
              </w:rPr>
            </w:pPr>
            <w:r w:rsidRPr="004C7F84">
              <w:rPr>
                <w:rFonts w:asciiTheme="majorBidi" w:hAnsiTheme="majorBidi" w:cstheme="majorBidi"/>
                <w:sz w:val="17"/>
              </w:rPr>
              <w:t>Cadres moyens</w:t>
            </w:r>
          </w:p>
        </w:tc>
        <w:tc>
          <w:tcPr>
            <w:tcW w:w="1104" w:type="dxa"/>
            <w:shd w:val="clear" w:color="auto" w:fill="auto"/>
            <w:vAlign w:val="bottom"/>
          </w:tcPr>
          <w:p w14:paraId="5C26272B"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4C7F84">
              <w:rPr>
                <w:rFonts w:asciiTheme="majorBidi" w:hAnsiTheme="majorBidi" w:cstheme="majorBidi"/>
                <w:sz w:val="17"/>
              </w:rPr>
              <w:t>2</w:t>
            </w:r>
          </w:p>
        </w:tc>
        <w:tc>
          <w:tcPr>
            <w:tcW w:w="1104" w:type="dxa"/>
            <w:shd w:val="clear" w:color="auto" w:fill="auto"/>
            <w:vAlign w:val="bottom"/>
          </w:tcPr>
          <w:p w14:paraId="3EB98CF0" w14:textId="548DA39B" w:rsidR="0034195A" w:rsidRPr="004C7F84" w:rsidRDefault="0034195A" w:rsidP="0034195A">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4C7F84">
              <w:rPr>
                <w:rFonts w:asciiTheme="majorBidi" w:hAnsiTheme="majorBidi" w:cstheme="majorBidi"/>
                <w:sz w:val="17"/>
              </w:rPr>
              <w:t>28</w:t>
            </w:r>
            <w:r w:rsidR="008477BC" w:rsidRPr="004C7F84">
              <w:rPr>
                <w:rFonts w:asciiTheme="majorBidi" w:hAnsiTheme="majorBidi" w:cstheme="majorBidi"/>
                <w:sz w:val="17"/>
              </w:rPr>
              <w:t>,</w:t>
            </w:r>
            <w:r w:rsidRPr="004C7F84">
              <w:rPr>
                <w:rFonts w:asciiTheme="majorBidi" w:hAnsiTheme="majorBidi" w:cstheme="majorBidi"/>
                <w:sz w:val="17"/>
              </w:rPr>
              <w:t>6</w:t>
            </w:r>
          </w:p>
        </w:tc>
        <w:tc>
          <w:tcPr>
            <w:tcW w:w="1104" w:type="dxa"/>
            <w:shd w:val="clear" w:color="auto" w:fill="auto"/>
            <w:vAlign w:val="bottom"/>
          </w:tcPr>
          <w:p w14:paraId="6F60B7BD"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4C7F84">
              <w:rPr>
                <w:rFonts w:asciiTheme="majorBidi" w:hAnsiTheme="majorBidi" w:cstheme="majorBidi"/>
                <w:sz w:val="17"/>
              </w:rPr>
              <w:t>5</w:t>
            </w:r>
          </w:p>
        </w:tc>
        <w:tc>
          <w:tcPr>
            <w:tcW w:w="1104" w:type="dxa"/>
            <w:shd w:val="clear" w:color="auto" w:fill="auto"/>
            <w:vAlign w:val="bottom"/>
          </w:tcPr>
          <w:p w14:paraId="6C75C4B8" w14:textId="63FC7F1D" w:rsidR="0034195A" w:rsidRPr="004C7F84" w:rsidRDefault="0034195A" w:rsidP="0034195A">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4C7F84">
              <w:rPr>
                <w:rFonts w:asciiTheme="majorBidi" w:hAnsiTheme="majorBidi" w:cstheme="majorBidi"/>
                <w:sz w:val="17"/>
              </w:rPr>
              <w:t>71</w:t>
            </w:r>
            <w:r w:rsidR="008477BC" w:rsidRPr="004C7F84">
              <w:rPr>
                <w:rFonts w:asciiTheme="majorBidi" w:hAnsiTheme="majorBidi" w:cstheme="majorBidi"/>
                <w:sz w:val="17"/>
              </w:rPr>
              <w:t>,</w:t>
            </w:r>
            <w:r w:rsidRPr="004C7F84">
              <w:rPr>
                <w:rFonts w:asciiTheme="majorBidi" w:hAnsiTheme="majorBidi" w:cstheme="majorBidi"/>
                <w:sz w:val="17"/>
              </w:rPr>
              <w:t>4</w:t>
            </w:r>
          </w:p>
        </w:tc>
        <w:tc>
          <w:tcPr>
            <w:tcW w:w="1104" w:type="dxa"/>
            <w:shd w:val="clear" w:color="auto" w:fill="auto"/>
            <w:vAlign w:val="bottom"/>
          </w:tcPr>
          <w:p w14:paraId="7D08B8CE"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4C7F84">
              <w:rPr>
                <w:rFonts w:asciiTheme="majorBidi" w:hAnsiTheme="majorBidi" w:cstheme="majorBidi"/>
                <w:sz w:val="17"/>
              </w:rPr>
              <w:t>7</w:t>
            </w:r>
          </w:p>
        </w:tc>
      </w:tr>
      <w:tr w:rsidR="0034195A" w:rsidRPr="004C7F84" w14:paraId="50DFF276" w14:textId="77777777" w:rsidTr="0034195A">
        <w:tc>
          <w:tcPr>
            <w:tcW w:w="1800" w:type="dxa"/>
            <w:tcBorders>
              <w:bottom w:val="single" w:sz="4" w:space="0" w:color="auto"/>
            </w:tcBorders>
            <w:shd w:val="clear" w:color="auto" w:fill="auto"/>
            <w:vAlign w:val="bottom"/>
          </w:tcPr>
          <w:p w14:paraId="6260FA03" w14:textId="01DB7FC3" w:rsidR="0034195A" w:rsidRPr="004C7F84" w:rsidRDefault="007B2844" w:rsidP="0034195A">
            <w:pPr>
              <w:tabs>
                <w:tab w:val="left" w:pos="288"/>
                <w:tab w:val="left" w:pos="576"/>
                <w:tab w:val="left" w:pos="864"/>
                <w:tab w:val="left" w:pos="1152"/>
              </w:tabs>
              <w:spacing w:before="40" w:after="81" w:line="210" w:lineRule="exact"/>
              <w:ind w:right="40"/>
              <w:rPr>
                <w:rFonts w:asciiTheme="majorBidi" w:hAnsiTheme="majorBidi" w:cstheme="majorBidi"/>
                <w:sz w:val="17"/>
              </w:rPr>
            </w:pPr>
            <w:r w:rsidRPr="004C7F84">
              <w:rPr>
                <w:rFonts w:asciiTheme="majorBidi" w:hAnsiTheme="majorBidi" w:cstheme="majorBidi"/>
                <w:sz w:val="17"/>
              </w:rPr>
              <w:t>Cadres supérieurs/ Directeurs</w:t>
            </w:r>
          </w:p>
        </w:tc>
        <w:tc>
          <w:tcPr>
            <w:tcW w:w="1104" w:type="dxa"/>
            <w:tcBorders>
              <w:bottom w:val="single" w:sz="4" w:space="0" w:color="auto"/>
            </w:tcBorders>
            <w:shd w:val="clear" w:color="auto" w:fill="auto"/>
            <w:vAlign w:val="bottom"/>
          </w:tcPr>
          <w:p w14:paraId="3D644212" w14:textId="77777777" w:rsidR="0034195A" w:rsidRPr="004C7F84" w:rsidRDefault="0034195A" w:rsidP="0034195A">
            <w:pPr>
              <w:tabs>
                <w:tab w:val="left" w:pos="288"/>
                <w:tab w:val="left" w:pos="576"/>
                <w:tab w:val="left" w:pos="864"/>
                <w:tab w:val="left" w:pos="1152"/>
              </w:tabs>
              <w:spacing w:before="40" w:after="81" w:line="210" w:lineRule="exact"/>
              <w:ind w:left="144" w:right="40"/>
              <w:jc w:val="right"/>
              <w:rPr>
                <w:rFonts w:asciiTheme="majorBidi" w:hAnsiTheme="majorBidi" w:cstheme="majorBidi"/>
                <w:sz w:val="17"/>
              </w:rPr>
            </w:pPr>
            <w:r w:rsidRPr="004C7F84">
              <w:rPr>
                <w:rFonts w:asciiTheme="majorBidi" w:hAnsiTheme="majorBidi" w:cstheme="majorBidi"/>
                <w:sz w:val="17"/>
              </w:rPr>
              <w:t>5</w:t>
            </w:r>
          </w:p>
        </w:tc>
        <w:tc>
          <w:tcPr>
            <w:tcW w:w="1104" w:type="dxa"/>
            <w:tcBorders>
              <w:bottom w:val="single" w:sz="4" w:space="0" w:color="auto"/>
            </w:tcBorders>
            <w:shd w:val="clear" w:color="auto" w:fill="auto"/>
            <w:vAlign w:val="bottom"/>
          </w:tcPr>
          <w:p w14:paraId="4A47857B" w14:textId="2AE8889E" w:rsidR="0034195A" w:rsidRPr="004C7F84" w:rsidRDefault="0034195A" w:rsidP="0034195A">
            <w:pPr>
              <w:tabs>
                <w:tab w:val="left" w:pos="288"/>
                <w:tab w:val="left" w:pos="576"/>
                <w:tab w:val="left" w:pos="864"/>
                <w:tab w:val="left" w:pos="1152"/>
              </w:tabs>
              <w:spacing w:before="40" w:after="81" w:line="210" w:lineRule="exact"/>
              <w:ind w:left="144" w:right="40"/>
              <w:jc w:val="right"/>
              <w:rPr>
                <w:rFonts w:asciiTheme="majorBidi" w:hAnsiTheme="majorBidi" w:cstheme="majorBidi"/>
                <w:sz w:val="17"/>
              </w:rPr>
            </w:pPr>
            <w:r w:rsidRPr="004C7F84">
              <w:rPr>
                <w:rFonts w:asciiTheme="majorBidi" w:hAnsiTheme="majorBidi" w:cstheme="majorBidi"/>
                <w:sz w:val="17"/>
              </w:rPr>
              <w:t>50</w:t>
            </w:r>
            <w:r w:rsidR="008477BC" w:rsidRPr="004C7F84">
              <w:rPr>
                <w:rFonts w:asciiTheme="majorBidi" w:hAnsiTheme="majorBidi" w:cstheme="majorBidi"/>
                <w:sz w:val="17"/>
              </w:rPr>
              <w:t>,</w:t>
            </w:r>
            <w:r w:rsidRPr="004C7F84">
              <w:rPr>
                <w:rFonts w:asciiTheme="majorBidi" w:hAnsiTheme="majorBidi" w:cstheme="majorBidi"/>
                <w:sz w:val="17"/>
              </w:rPr>
              <w:t>0</w:t>
            </w:r>
          </w:p>
        </w:tc>
        <w:tc>
          <w:tcPr>
            <w:tcW w:w="1104" w:type="dxa"/>
            <w:tcBorders>
              <w:bottom w:val="single" w:sz="4" w:space="0" w:color="auto"/>
            </w:tcBorders>
            <w:shd w:val="clear" w:color="auto" w:fill="auto"/>
            <w:vAlign w:val="bottom"/>
          </w:tcPr>
          <w:p w14:paraId="34D88A77" w14:textId="77777777" w:rsidR="0034195A" w:rsidRPr="004C7F84" w:rsidRDefault="0034195A" w:rsidP="0034195A">
            <w:pPr>
              <w:tabs>
                <w:tab w:val="left" w:pos="288"/>
                <w:tab w:val="left" w:pos="576"/>
                <w:tab w:val="left" w:pos="864"/>
                <w:tab w:val="left" w:pos="1152"/>
              </w:tabs>
              <w:spacing w:before="40" w:after="81" w:line="210" w:lineRule="exact"/>
              <w:ind w:left="144" w:right="40"/>
              <w:jc w:val="right"/>
              <w:rPr>
                <w:rFonts w:asciiTheme="majorBidi" w:hAnsiTheme="majorBidi" w:cstheme="majorBidi"/>
                <w:sz w:val="17"/>
              </w:rPr>
            </w:pPr>
            <w:r w:rsidRPr="004C7F84">
              <w:rPr>
                <w:rFonts w:asciiTheme="majorBidi" w:hAnsiTheme="majorBidi" w:cstheme="majorBidi"/>
                <w:sz w:val="17"/>
              </w:rPr>
              <w:t>5</w:t>
            </w:r>
          </w:p>
        </w:tc>
        <w:tc>
          <w:tcPr>
            <w:tcW w:w="1104" w:type="dxa"/>
            <w:tcBorders>
              <w:bottom w:val="single" w:sz="4" w:space="0" w:color="auto"/>
            </w:tcBorders>
            <w:shd w:val="clear" w:color="auto" w:fill="auto"/>
            <w:vAlign w:val="bottom"/>
          </w:tcPr>
          <w:p w14:paraId="7244B558" w14:textId="340A3AC1" w:rsidR="0034195A" w:rsidRPr="004C7F84" w:rsidRDefault="0034195A" w:rsidP="0034195A">
            <w:pPr>
              <w:tabs>
                <w:tab w:val="left" w:pos="288"/>
                <w:tab w:val="left" w:pos="576"/>
                <w:tab w:val="left" w:pos="864"/>
                <w:tab w:val="left" w:pos="1152"/>
              </w:tabs>
              <w:spacing w:before="40" w:after="81" w:line="210" w:lineRule="exact"/>
              <w:ind w:left="144" w:right="40"/>
              <w:jc w:val="right"/>
              <w:rPr>
                <w:rFonts w:asciiTheme="majorBidi" w:hAnsiTheme="majorBidi" w:cstheme="majorBidi"/>
                <w:sz w:val="17"/>
              </w:rPr>
            </w:pPr>
            <w:r w:rsidRPr="004C7F84">
              <w:rPr>
                <w:rFonts w:asciiTheme="majorBidi" w:hAnsiTheme="majorBidi" w:cstheme="majorBidi"/>
                <w:sz w:val="17"/>
              </w:rPr>
              <w:t>50</w:t>
            </w:r>
            <w:r w:rsidR="008477BC" w:rsidRPr="004C7F84">
              <w:rPr>
                <w:rFonts w:asciiTheme="majorBidi" w:hAnsiTheme="majorBidi" w:cstheme="majorBidi"/>
                <w:sz w:val="17"/>
              </w:rPr>
              <w:t>,</w:t>
            </w:r>
            <w:r w:rsidRPr="004C7F84">
              <w:rPr>
                <w:rFonts w:asciiTheme="majorBidi" w:hAnsiTheme="majorBidi" w:cstheme="majorBidi"/>
                <w:sz w:val="17"/>
              </w:rPr>
              <w:t>0</w:t>
            </w:r>
          </w:p>
        </w:tc>
        <w:tc>
          <w:tcPr>
            <w:tcW w:w="1104" w:type="dxa"/>
            <w:tcBorders>
              <w:bottom w:val="single" w:sz="4" w:space="0" w:color="auto"/>
            </w:tcBorders>
            <w:shd w:val="clear" w:color="auto" w:fill="auto"/>
            <w:vAlign w:val="bottom"/>
          </w:tcPr>
          <w:p w14:paraId="50EDE110" w14:textId="77777777" w:rsidR="0034195A" w:rsidRPr="004C7F84" w:rsidRDefault="0034195A" w:rsidP="0034195A">
            <w:pPr>
              <w:tabs>
                <w:tab w:val="left" w:pos="288"/>
                <w:tab w:val="left" w:pos="576"/>
                <w:tab w:val="left" w:pos="864"/>
                <w:tab w:val="left" w:pos="1152"/>
              </w:tabs>
              <w:spacing w:before="40" w:after="81" w:line="210" w:lineRule="exact"/>
              <w:ind w:left="144" w:right="40"/>
              <w:jc w:val="right"/>
              <w:rPr>
                <w:rFonts w:asciiTheme="majorBidi" w:hAnsiTheme="majorBidi" w:cstheme="majorBidi"/>
                <w:sz w:val="17"/>
              </w:rPr>
            </w:pPr>
            <w:r w:rsidRPr="004C7F84">
              <w:rPr>
                <w:rFonts w:asciiTheme="majorBidi" w:hAnsiTheme="majorBidi" w:cstheme="majorBidi"/>
                <w:sz w:val="17"/>
              </w:rPr>
              <w:t>10</w:t>
            </w:r>
          </w:p>
        </w:tc>
      </w:tr>
      <w:tr w:rsidR="0034195A" w:rsidRPr="004C7F84" w14:paraId="4D739290" w14:textId="77777777" w:rsidTr="0034195A">
        <w:tc>
          <w:tcPr>
            <w:tcW w:w="1800" w:type="dxa"/>
            <w:tcBorders>
              <w:top w:val="single" w:sz="4" w:space="0" w:color="auto"/>
              <w:bottom w:val="single" w:sz="12" w:space="0" w:color="auto"/>
            </w:tcBorders>
            <w:shd w:val="clear" w:color="auto" w:fill="auto"/>
            <w:vAlign w:val="bottom"/>
          </w:tcPr>
          <w:p w14:paraId="3A6575EE" w14:textId="77777777" w:rsidR="0034195A" w:rsidRPr="004C7F84" w:rsidRDefault="0034195A" w:rsidP="0034195A">
            <w:pPr>
              <w:tabs>
                <w:tab w:val="left" w:pos="288"/>
                <w:tab w:val="left" w:pos="576"/>
                <w:tab w:val="left" w:pos="864"/>
                <w:tab w:val="left" w:pos="1152"/>
              </w:tabs>
              <w:spacing w:before="81" w:after="81" w:line="210" w:lineRule="exact"/>
              <w:ind w:right="40"/>
              <w:rPr>
                <w:rFonts w:asciiTheme="majorBidi" w:hAnsiTheme="majorBidi" w:cstheme="majorBidi"/>
                <w:b/>
                <w:sz w:val="17"/>
              </w:rPr>
            </w:pPr>
            <w:r w:rsidRPr="004C7F84">
              <w:rPr>
                <w:rFonts w:asciiTheme="majorBidi" w:hAnsiTheme="majorBidi" w:cstheme="majorBidi"/>
                <w:b/>
                <w:sz w:val="17"/>
              </w:rPr>
              <w:tab/>
              <w:t>Total</w:t>
            </w:r>
          </w:p>
        </w:tc>
        <w:tc>
          <w:tcPr>
            <w:tcW w:w="1104" w:type="dxa"/>
            <w:tcBorders>
              <w:top w:val="single" w:sz="4" w:space="0" w:color="auto"/>
              <w:bottom w:val="single" w:sz="12" w:space="0" w:color="auto"/>
            </w:tcBorders>
            <w:shd w:val="clear" w:color="auto" w:fill="auto"/>
            <w:vAlign w:val="bottom"/>
          </w:tcPr>
          <w:p w14:paraId="6169F5DD" w14:textId="77777777" w:rsidR="0034195A" w:rsidRPr="004C7F84" w:rsidRDefault="0034195A" w:rsidP="0034195A">
            <w:pPr>
              <w:tabs>
                <w:tab w:val="left" w:pos="288"/>
                <w:tab w:val="left" w:pos="576"/>
                <w:tab w:val="left" w:pos="864"/>
                <w:tab w:val="left" w:pos="1152"/>
              </w:tabs>
              <w:spacing w:before="81" w:after="81" w:line="210" w:lineRule="exact"/>
              <w:ind w:left="144" w:right="40"/>
              <w:jc w:val="right"/>
              <w:rPr>
                <w:rFonts w:asciiTheme="majorBidi" w:hAnsiTheme="majorBidi" w:cstheme="majorBidi"/>
                <w:b/>
                <w:sz w:val="17"/>
              </w:rPr>
            </w:pPr>
            <w:r w:rsidRPr="004C7F84">
              <w:rPr>
                <w:rFonts w:asciiTheme="majorBidi" w:hAnsiTheme="majorBidi" w:cstheme="majorBidi"/>
                <w:b/>
                <w:sz w:val="17"/>
              </w:rPr>
              <w:t>30</w:t>
            </w:r>
          </w:p>
        </w:tc>
        <w:tc>
          <w:tcPr>
            <w:tcW w:w="1104" w:type="dxa"/>
            <w:tcBorders>
              <w:top w:val="single" w:sz="4" w:space="0" w:color="auto"/>
              <w:bottom w:val="single" w:sz="12" w:space="0" w:color="auto"/>
            </w:tcBorders>
            <w:shd w:val="clear" w:color="auto" w:fill="auto"/>
            <w:vAlign w:val="bottom"/>
          </w:tcPr>
          <w:p w14:paraId="390A0749" w14:textId="5850A186" w:rsidR="0034195A" w:rsidRPr="004C7F84" w:rsidRDefault="0034195A" w:rsidP="0034195A">
            <w:pPr>
              <w:tabs>
                <w:tab w:val="left" w:pos="288"/>
                <w:tab w:val="left" w:pos="576"/>
                <w:tab w:val="left" w:pos="864"/>
                <w:tab w:val="left" w:pos="1152"/>
              </w:tabs>
              <w:spacing w:before="81" w:after="81" w:line="210" w:lineRule="exact"/>
              <w:ind w:left="144" w:right="40"/>
              <w:jc w:val="right"/>
              <w:rPr>
                <w:rFonts w:asciiTheme="majorBidi" w:hAnsiTheme="majorBidi" w:cstheme="majorBidi"/>
                <w:b/>
                <w:sz w:val="17"/>
              </w:rPr>
            </w:pPr>
            <w:r w:rsidRPr="004C7F84">
              <w:rPr>
                <w:rFonts w:asciiTheme="majorBidi" w:hAnsiTheme="majorBidi" w:cstheme="majorBidi"/>
                <w:b/>
                <w:sz w:val="17"/>
              </w:rPr>
              <w:t>28</w:t>
            </w:r>
            <w:r w:rsidR="008477BC" w:rsidRPr="004C7F84">
              <w:rPr>
                <w:rFonts w:asciiTheme="majorBidi" w:hAnsiTheme="majorBidi" w:cstheme="majorBidi"/>
                <w:b/>
                <w:sz w:val="17"/>
              </w:rPr>
              <w:t>,</w:t>
            </w:r>
            <w:r w:rsidRPr="004C7F84">
              <w:rPr>
                <w:rFonts w:asciiTheme="majorBidi" w:hAnsiTheme="majorBidi" w:cstheme="majorBidi"/>
                <w:b/>
                <w:sz w:val="17"/>
              </w:rPr>
              <w:t>3</w:t>
            </w:r>
          </w:p>
        </w:tc>
        <w:tc>
          <w:tcPr>
            <w:tcW w:w="1104" w:type="dxa"/>
            <w:tcBorders>
              <w:top w:val="single" w:sz="4" w:space="0" w:color="auto"/>
              <w:bottom w:val="single" w:sz="12" w:space="0" w:color="auto"/>
            </w:tcBorders>
            <w:shd w:val="clear" w:color="auto" w:fill="auto"/>
            <w:vAlign w:val="bottom"/>
          </w:tcPr>
          <w:p w14:paraId="50C659DB" w14:textId="77777777" w:rsidR="0034195A" w:rsidRPr="004C7F84" w:rsidRDefault="0034195A" w:rsidP="0034195A">
            <w:pPr>
              <w:tabs>
                <w:tab w:val="left" w:pos="288"/>
                <w:tab w:val="left" w:pos="576"/>
                <w:tab w:val="left" w:pos="864"/>
                <w:tab w:val="left" w:pos="1152"/>
              </w:tabs>
              <w:spacing w:before="81" w:after="81" w:line="210" w:lineRule="exact"/>
              <w:ind w:left="144" w:right="40"/>
              <w:jc w:val="right"/>
              <w:rPr>
                <w:rFonts w:asciiTheme="majorBidi" w:hAnsiTheme="majorBidi" w:cstheme="majorBidi"/>
                <w:b/>
                <w:sz w:val="17"/>
              </w:rPr>
            </w:pPr>
            <w:r w:rsidRPr="004C7F84">
              <w:rPr>
                <w:rFonts w:asciiTheme="majorBidi" w:hAnsiTheme="majorBidi" w:cstheme="majorBidi"/>
                <w:b/>
                <w:sz w:val="17"/>
              </w:rPr>
              <w:t>76</w:t>
            </w:r>
          </w:p>
        </w:tc>
        <w:tc>
          <w:tcPr>
            <w:tcW w:w="1104" w:type="dxa"/>
            <w:tcBorders>
              <w:top w:val="single" w:sz="4" w:space="0" w:color="auto"/>
              <w:bottom w:val="single" w:sz="12" w:space="0" w:color="auto"/>
            </w:tcBorders>
            <w:shd w:val="clear" w:color="auto" w:fill="auto"/>
            <w:vAlign w:val="bottom"/>
          </w:tcPr>
          <w:p w14:paraId="6471F455" w14:textId="56F85A97" w:rsidR="0034195A" w:rsidRPr="004C7F84" w:rsidRDefault="0034195A" w:rsidP="0034195A">
            <w:pPr>
              <w:tabs>
                <w:tab w:val="left" w:pos="288"/>
                <w:tab w:val="left" w:pos="576"/>
                <w:tab w:val="left" w:pos="864"/>
                <w:tab w:val="left" w:pos="1152"/>
              </w:tabs>
              <w:spacing w:before="81" w:after="81" w:line="210" w:lineRule="exact"/>
              <w:ind w:left="144" w:right="40"/>
              <w:jc w:val="right"/>
              <w:rPr>
                <w:rFonts w:asciiTheme="majorBidi" w:hAnsiTheme="majorBidi" w:cstheme="majorBidi"/>
                <w:b/>
                <w:sz w:val="17"/>
              </w:rPr>
            </w:pPr>
            <w:r w:rsidRPr="004C7F84">
              <w:rPr>
                <w:rFonts w:asciiTheme="majorBidi" w:hAnsiTheme="majorBidi" w:cstheme="majorBidi"/>
                <w:b/>
                <w:sz w:val="17"/>
              </w:rPr>
              <w:t>71</w:t>
            </w:r>
            <w:r w:rsidR="008477BC" w:rsidRPr="004C7F84">
              <w:rPr>
                <w:rFonts w:asciiTheme="majorBidi" w:hAnsiTheme="majorBidi" w:cstheme="majorBidi"/>
                <w:b/>
                <w:sz w:val="17"/>
              </w:rPr>
              <w:t>,</w:t>
            </w:r>
            <w:r w:rsidRPr="004C7F84">
              <w:rPr>
                <w:rFonts w:asciiTheme="majorBidi" w:hAnsiTheme="majorBidi" w:cstheme="majorBidi"/>
                <w:b/>
                <w:sz w:val="17"/>
              </w:rPr>
              <w:t>7</w:t>
            </w:r>
          </w:p>
        </w:tc>
        <w:tc>
          <w:tcPr>
            <w:tcW w:w="1104" w:type="dxa"/>
            <w:tcBorders>
              <w:top w:val="single" w:sz="4" w:space="0" w:color="auto"/>
              <w:bottom w:val="single" w:sz="12" w:space="0" w:color="auto"/>
            </w:tcBorders>
            <w:shd w:val="clear" w:color="auto" w:fill="auto"/>
            <w:vAlign w:val="bottom"/>
          </w:tcPr>
          <w:p w14:paraId="02B74F8D" w14:textId="77777777" w:rsidR="0034195A" w:rsidRPr="004C7F84" w:rsidRDefault="0034195A" w:rsidP="0034195A">
            <w:pPr>
              <w:tabs>
                <w:tab w:val="left" w:pos="288"/>
                <w:tab w:val="left" w:pos="576"/>
                <w:tab w:val="left" w:pos="864"/>
                <w:tab w:val="left" w:pos="1152"/>
              </w:tabs>
              <w:spacing w:before="81" w:after="81" w:line="210" w:lineRule="exact"/>
              <w:ind w:left="144" w:right="40"/>
              <w:jc w:val="right"/>
              <w:rPr>
                <w:rFonts w:asciiTheme="majorBidi" w:hAnsiTheme="majorBidi" w:cstheme="majorBidi"/>
                <w:b/>
                <w:sz w:val="17"/>
              </w:rPr>
            </w:pPr>
            <w:r w:rsidRPr="004C7F84">
              <w:rPr>
                <w:rFonts w:asciiTheme="majorBidi" w:hAnsiTheme="majorBidi" w:cstheme="majorBidi"/>
                <w:b/>
                <w:sz w:val="17"/>
              </w:rPr>
              <w:t>106</w:t>
            </w:r>
          </w:p>
        </w:tc>
      </w:tr>
    </w:tbl>
    <w:p w14:paraId="65CA7CF3" w14:textId="77777777" w:rsidR="0034195A" w:rsidRPr="004C7F84" w:rsidRDefault="0034195A" w:rsidP="0034195A">
      <w:pPr>
        <w:pStyle w:val="SingleTxt"/>
        <w:spacing w:after="0" w:line="120" w:lineRule="exact"/>
        <w:rPr>
          <w:rFonts w:asciiTheme="majorBidi" w:hAnsiTheme="majorBidi" w:cstheme="majorBidi"/>
          <w:sz w:val="10"/>
        </w:rPr>
      </w:pPr>
    </w:p>
    <w:p w14:paraId="24285091" w14:textId="2E205056" w:rsidR="0034195A" w:rsidRPr="004C7F84" w:rsidRDefault="0034195A" w:rsidP="0034195A">
      <w:pPr>
        <w:pStyle w:val="FootnoteText"/>
        <w:tabs>
          <w:tab w:val="clear" w:pos="418"/>
          <w:tab w:val="right" w:pos="1476"/>
          <w:tab w:val="left" w:pos="1548"/>
          <w:tab w:val="right" w:pos="1836"/>
          <w:tab w:val="left" w:pos="1908"/>
        </w:tabs>
        <w:ind w:left="1548" w:right="1267" w:hanging="288"/>
        <w:rPr>
          <w:rFonts w:asciiTheme="majorBidi" w:hAnsiTheme="majorBidi" w:cstheme="majorBidi"/>
        </w:rPr>
      </w:pPr>
      <w:r w:rsidRPr="004C7F84">
        <w:rPr>
          <w:rFonts w:asciiTheme="majorBidi" w:hAnsiTheme="majorBidi" w:cstheme="majorBidi"/>
          <w:i/>
          <w:iCs/>
        </w:rPr>
        <w:t>Source</w:t>
      </w:r>
      <w:r w:rsidR="00773F5D" w:rsidRPr="004C7F84">
        <w:rPr>
          <w:rFonts w:asciiTheme="majorBidi" w:hAnsiTheme="majorBidi" w:cstheme="majorBidi"/>
          <w:i/>
          <w:iCs/>
        </w:rPr>
        <w:t> :</w:t>
      </w:r>
      <w:r w:rsidRPr="004C7F84">
        <w:rPr>
          <w:rFonts w:asciiTheme="majorBidi" w:hAnsiTheme="majorBidi" w:cstheme="majorBidi"/>
        </w:rPr>
        <w:t xml:space="preserve"> Antigua Commercial Bank, </w:t>
      </w:r>
      <w:r w:rsidR="007B2844" w:rsidRPr="004C7F84">
        <w:t>statistiques non publiées</w:t>
      </w:r>
      <w:r w:rsidR="00773F5D" w:rsidRPr="004C7F84">
        <w:t> :</w:t>
      </w:r>
      <w:r w:rsidRPr="004C7F84">
        <w:rPr>
          <w:rFonts w:asciiTheme="majorBidi" w:hAnsiTheme="majorBidi" w:cstheme="majorBidi"/>
        </w:rPr>
        <w:t xml:space="preserve"> 2015</w:t>
      </w:r>
      <w:r w:rsidR="006E7D5E" w:rsidRPr="004C7F84">
        <w:rPr>
          <w:rFonts w:asciiTheme="majorBidi" w:hAnsiTheme="majorBidi" w:cstheme="majorBidi"/>
        </w:rPr>
        <w:t>.</w:t>
      </w:r>
      <w:r w:rsidRPr="004C7F84">
        <w:rPr>
          <w:rFonts w:asciiTheme="majorBidi" w:hAnsiTheme="majorBidi" w:cstheme="majorBidi"/>
        </w:rPr>
        <w:t xml:space="preserve"> </w:t>
      </w:r>
    </w:p>
    <w:p w14:paraId="39A79FCC" w14:textId="77777777" w:rsidR="0034195A" w:rsidRPr="004C7F84" w:rsidRDefault="0034195A" w:rsidP="0034195A">
      <w:pPr>
        <w:pStyle w:val="SingleTxt"/>
        <w:spacing w:after="0" w:line="120" w:lineRule="exact"/>
        <w:rPr>
          <w:rFonts w:asciiTheme="majorBidi" w:hAnsiTheme="majorBidi" w:cstheme="majorBidi"/>
          <w:sz w:val="10"/>
        </w:rPr>
      </w:pPr>
    </w:p>
    <w:p w14:paraId="6EAA15C5" w14:textId="77777777" w:rsidR="0034195A" w:rsidRPr="004C7F84" w:rsidRDefault="0034195A" w:rsidP="0034195A">
      <w:pPr>
        <w:pStyle w:val="SingleTxt"/>
        <w:spacing w:after="0" w:line="120" w:lineRule="exact"/>
        <w:rPr>
          <w:rFonts w:asciiTheme="majorBidi" w:hAnsiTheme="majorBidi" w:cstheme="majorBidi"/>
          <w:sz w:val="10"/>
        </w:rPr>
      </w:pPr>
    </w:p>
    <w:p w14:paraId="0E121D68" w14:textId="237E01AE" w:rsidR="0034195A" w:rsidRPr="004C7F84" w:rsidRDefault="0034195A" w:rsidP="0034195A">
      <w:pPr>
        <w:pStyle w:val="H4"/>
        <w:ind w:right="1260"/>
        <w:rPr>
          <w:rFonts w:asciiTheme="majorBidi" w:hAnsiTheme="majorBidi" w:cstheme="majorBidi"/>
        </w:rPr>
      </w:pPr>
      <w:r w:rsidRPr="004C7F84">
        <w:rPr>
          <w:rFonts w:asciiTheme="majorBidi" w:hAnsiTheme="majorBidi" w:cstheme="majorBidi"/>
        </w:rPr>
        <w:tab/>
      </w:r>
      <w:r w:rsidRPr="004C7F84">
        <w:rPr>
          <w:rFonts w:asciiTheme="majorBidi" w:hAnsiTheme="majorBidi" w:cstheme="majorBidi"/>
        </w:rPr>
        <w:tab/>
      </w:r>
      <w:r w:rsidR="002729C4" w:rsidRPr="004C7F84">
        <w:t>Organisations de la société civile</w:t>
      </w:r>
    </w:p>
    <w:p w14:paraId="67FED58D" w14:textId="77777777" w:rsidR="0034195A" w:rsidRPr="004C7F84" w:rsidRDefault="0034195A" w:rsidP="0034195A">
      <w:pPr>
        <w:pStyle w:val="SingleTxt"/>
        <w:spacing w:after="0" w:line="120" w:lineRule="exact"/>
        <w:rPr>
          <w:rFonts w:asciiTheme="majorBidi" w:hAnsiTheme="majorBidi" w:cstheme="majorBidi"/>
          <w:sz w:val="10"/>
        </w:rPr>
      </w:pPr>
    </w:p>
    <w:p w14:paraId="365379F5" w14:textId="6B42AB34" w:rsidR="0034195A" w:rsidRPr="004C7F84" w:rsidRDefault="002729C4" w:rsidP="00514306">
      <w:pPr>
        <w:pStyle w:val="SingleTxt"/>
        <w:numPr>
          <w:ilvl w:val="0"/>
          <w:numId w:val="19"/>
        </w:numPr>
        <w:spacing w:line="240" w:lineRule="exact"/>
        <w:ind w:left="1267" w:firstLine="0"/>
        <w:rPr>
          <w:rFonts w:asciiTheme="majorBidi" w:hAnsiTheme="majorBidi" w:cstheme="majorBidi"/>
        </w:rPr>
      </w:pPr>
      <w:r w:rsidRPr="004C7F84">
        <w:t>Depuis la présentation du rapport de l</w:t>
      </w:r>
      <w:r w:rsidR="00773F5D" w:rsidRPr="004C7F84">
        <w:t>’</w:t>
      </w:r>
      <w:r w:rsidRPr="004C7F84">
        <w:t>État partie en 1995, des groupes et organisations de la société civile qui défendent les droits des femmes et luttent pour l</w:t>
      </w:r>
      <w:r w:rsidR="00773F5D" w:rsidRPr="004C7F84">
        <w:t>’</w:t>
      </w:r>
      <w:r w:rsidRPr="004C7F84">
        <w:t>élimination de la discrimination à l</w:t>
      </w:r>
      <w:r w:rsidR="00773F5D" w:rsidRPr="004C7F84">
        <w:t>’</w:t>
      </w:r>
      <w:r w:rsidRPr="004C7F84">
        <w:t>égard des femmes ont été créés. La place manque ici pour</w:t>
      </w:r>
      <w:r w:rsidR="002D4787" w:rsidRPr="004C7F84">
        <w:rPr>
          <w:color w:val="FF0000"/>
        </w:rPr>
        <w:t xml:space="preserve"> </w:t>
      </w:r>
      <w:r w:rsidRPr="004C7F84">
        <w:t>les</w:t>
      </w:r>
      <w:r w:rsidRPr="004C7F84">
        <w:rPr>
          <w:color w:val="FF0000"/>
        </w:rPr>
        <w:t xml:space="preserve"> </w:t>
      </w:r>
      <w:r w:rsidRPr="004C7F84">
        <w:t>examiner toutes</w:t>
      </w:r>
      <w:r w:rsidR="00773F5D" w:rsidRPr="004C7F84">
        <w:t> ;</w:t>
      </w:r>
      <w:r w:rsidRPr="004C7F84">
        <w:t xml:space="preserve"> seules les activités des organisati</w:t>
      </w:r>
      <w:r w:rsidR="002D4787" w:rsidRPr="004C7F84">
        <w:t xml:space="preserve">ons les plus importantes </w:t>
      </w:r>
      <w:r w:rsidR="00455FBE" w:rsidRPr="004C7F84">
        <w:t>seront décrites</w:t>
      </w:r>
      <w:r w:rsidRPr="004C7F84">
        <w:t xml:space="preserve"> ci-après.</w:t>
      </w:r>
    </w:p>
    <w:p w14:paraId="3B7A8FE2" w14:textId="77777777" w:rsidR="0034195A" w:rsidRPr="004C7F84" w:rsidRDefault="0034195A" w:rsidP="0034195A">
      <w:pPr>
        <w:pStyle w:val="SingleTxt"/>
        <w:spacing w:after="0" w:line="120" w:lineRule="exact"/>
        <w:rPr>
          <w:rFonts w:asciiTheme="majorBidi" w:hAnsiTheme="majorBidi" w:cstheme="majorBidi"/>
          <w:sz w:val="10"/>
        </w:rPr>
      </w:pPr>
    </w:p>
    <w:p w14:paraId="67EEAFCF" w14:textId="4D7BBA08" w:rsidR="0034195A" w:rsidRPr="00F05573"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rPr>
      </w:pPr>
      <w:r w:rsidRPr="004C7F84">
        <w:rPr>
          <w:rFonts w:asciiTheme="majorBidi" w:hAnsiTheme="majorBidi" w:cstheme="majorBidi"/>
          <w:lang w:val="fr-FR"/>
        </w:rPr>
        <w:tab/>
      </w:r>
      <w:r w:rsidRPr="004C7F84">
        <w:rPr>
          <w:rFonts w:asciiTheme="majorBidi" w:hAnsiTheme="majorBidi" w:cstheme="majorBidi"/>
          <w:lang w:val="fr-FR"/>
        </w:rPr>
        <w:tab/>
      </w:r>
      <w:r w:rsidR="002729C4" w:rsidRPr="00F05573">
        <w:t>Professional Organization of Women in Antigua (POWA)</w:t>
      </w:r>
      <w:r w:rsidRPr="00F05573">
        <w:rPr>
          <w:rFonts w:asciiTheme="majorBidi" w:hAnsiTheme="majorBidi" w:cstheme="majorBidi"/>
        </w:rPr>
        <w:t xml:space="preserve"> </w:t>
      </w:r>
    </w:p>
    <w:p w14:paraId="4ADB88D1" w14:textId="77777777" w:rsidR="0034195A" w:rsidRPr="00F05573" w:rsidRDefault="0034195A" w:rsidP="0034195A">
      <w:pPr>
        <w:pStyle w:val="SingleTxt"/>
        <w:spacing w:after="0" w:line="120" w:lineRule="exact"/>
        <w:rPr>
          <w:rFonts w:asciiTheme="majorBidi" w:hAnsiTheme="majorBidi" w:cstheme="majorBidi"/>
          <w:sz w:val="10"/>
          <w:lang w:val="en-US"/>
        </w:rPr>
      </w:pPr>
    </w:p>
    <w:p w14:paraId="631C93FD" w14:textId="6A3AAF3A" w:rsidR="0034195A" w:rsidRPr="004C7F84" w:rsidRDefault="002729C4" w:rsidP="00514306">
      <w:pPr>
        <w:pStyle w:val="SingleTxt"/>
        <w:numPr>
          <w:ilvl w:val="0"/>
          <w:numId w:val="19"/>
        </w:numPr>
        <w:spacing w:line="240" w:lineRule="exact"/>
        <w:ind w:left="1267" w:firstLine="0"/>
        <w:rPr>
          <w:rFonts w:asciiTheme="majorBidi" w:hAnsiTheme="majorBidi" w:cstheme="majorBidi"/>
        </w:rPr>
      </w:pPr>
      <w:r w:rsidRPr="004C7F84">
        <w:t>Cette organisation a activement encouragé et soutenu la candidature de plusieurs femmes aux élections générales de 2003. Par ailleurs, elle représente une force dont il faut tenir compte dans la défense des droits des femmes et des filles. Ses membres sont des personnalités éminentes qui continuent de se prononcer sur les questions qui concernent la santé, les intérêts et le statut politique des femmes.</w:t>
      </w:r>
      <w:r w:rsidR="0034195A" w:rsidRPr="004C7F84">
        <w:rPr>
          <w:rFonts w:asciiTheme="majorBidi" w:hAnsiTheme="majorBidi" w:cstheme="majorBidi"/>
        </w:rPr>
        <w:t xml:space="preserve"> </w:t>
      </w:r>
    </w:p>
    <w:p w14:paraId="5A66377C" w14:textId="77777777" w:rsidR="0034195A" w:rsidRPr="004C7F84" w:rsidRDefault="0034195A" w:rsidP="0034195A">
      <w:pPr>
        <w:pStyle w:val="SingleTxt"/>
        <w:spacing w:after="0" w:line="120" w:lineRule="exact"/>
        <w:rPr>
          <w:rFonts w:asciiTheme="majorBidi" w:hAnsiTheme="majorBidi" w:cstheme="majorBidi"/>
          <w:sz w:val="10"/>
        </w:rPr>
      </w:pPr>
    </w:p>
    <w:p w14:paraId="1E6B8370" w14:textId="47F21DAF"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lang w:val="fr-FR"/>
        </w:rPr>
      </w:pPr>
      <w:r w:rsidRPr="004C7F84">
        <w:rPr>
          <w:rFonts w:asciiTheme="majorBidi" w:hAnsiTheme="majorBidi" w:cstheme="majorBidi"/>
          <w:lang w:val="fr-FR"/>
        </w:rPr>
        <w:tab/>
      </w:r>
      <w:r w:rsidRPr="004C7F84">
        <w:rPr>
          <w:rFonts w:asciiTheme="majorBidi" w:hAnsiTheme="majorBidi" w:cstheme="majorBidi"/>
          <w:lang w:val="fr-FR"/>
        </w:rPr>
        <w:tab/>
      </w:r>
      <w:r w:rsidR="002729C4" w:rsidRPr="004C7F84">
        <w:rPr>
          <w:lang w:val="fr-FR"/>
        </w:rPr>
        <w:t>Women against Rape (WAR)</w:t>
      </w:r>
      <w:r w:rsidR="00773F5D" w:rsidRPr="004C7F84">
        <w:rPr>
          <w:lang w:val="fr-FR"/>
        </w:rPr>
        <w:t xml:space="preserve"> </w:t>
      </w:r>
    </w:p>
    <w:p w14:paraId="1D9E2F0A" w14:textId="77777777" w:rsidR="0034195A" w:rsidRPr="004C7F84" w:rsidRDefault="0034195A" w:rsidP="0034195A">
      <w:pPr>
        <w:pStyle w:val="SingleTxt"/>
        <w:spacing w:after="0" w:line="120" w:lineRule="exact"/>
        <w:rPr>
          <w:rFonts w:asciiTheme="majorBidi" w:hAnsiTheme="majorBidi" w:cstheme="majorBidi"/>
          <w:sz w:val="10"/>
        </w:rPr>
      </w:pPr>
    </w:p>
    <w:p w14:paraId="3BB5B0A0" w14:textId="623AEAEC" w:rsidR="002729C4" w:rsidRPr="004C7F84" w:rsidRDefault="002729C4" w:rsidP="00514306">
      <w:pPr>
        <w:pStyle w:val="SingleTxt"/>
        <w:numPr>
          <w:ilvl w:val="0"/>
          <w:numId w:val="19"/>
        </w:numPr>
        <w:spacing w:line="240" w:lineRule="exact"/>
        <w:ind w:left="1267" w:firstLine="0"/>
      </w:pPr>
      <w:r w:rsidRPr="004C7F84">
        <w:t>Au début du XXI</w:t>
      </w:r>
      <w:r w:rsidRPr="004C7F84">
        <w:rPr>
          <w:vertAlign w:val="superscript"/>
        </w:rPr>
        <w:t>e</w:t>
      </w:r>
      <w:r w:rsidRPr="004C7F84">
        <w:t xml:space="preserve"> si</w:t>
      </w:r>
      <w:r w:rsidR="002D4787" w:rsidRPr="004C7F84">
        <w:t xml:space="preserve">ècle, plusieurs viols de femmes </w:t>
      </w:r>
      <w:r w:rsidRPr="004C7F84">
        <w:t>non élucidés ont secoué le pays et conduit à la création en 2006 de l</w:t>
      </w:r>
      <w:r w:rsidR="00773F5D" w:rsidRPr="004C7F84">
        <w:t>’</w:t>
      </w:r>
      <w:r w:rsidRPr="004C7F84">
        <w:t>organisation Women Against Rape (WAR). Celle-ci a organisé</w:t>
      </w:r>
      <w:r w:rsidR="002D4787" w:rsidRPr="004C7F84">
        <w:t xml:space="preserve"> </w:t>
      </w:r>
      <w:r w:rsidRPr="004C7F84">
        <w:t>des veillées aux bougies et fait pression sur le Gouvernement et la Police royale pour que l</w:t>
      </w:r>
      <w:r w:rsidR="002D4787" w:rsidRPr="004C7F84">
        <w:t xml:space="preserve">es affaires soient poursuivies </w:t>
      </w:r>
      <w:r w:rsidRPr="004C7F84">
        <w:t>avec plus de vigueur et que les auteurs de ces viols soient traduits en justice.</w:t>
      </w:r>
    </w:p>
    <w:p w14:paraId="27BF7A2E" w14:textId="366E0628" w:rsidR="0034195A" w:rsidRPr="004C7F84" w:rsidRDefault="002729C4" w:rsidP="00514306">
      <w:pPr>
        <w:pStyle w:val="SingleTxt"/>
        <w:numPr>
          <w:ilvl w:val="0"/>
          <w:numId w:val="19"/>
        </w:numPr>
        <w:spacing w:line="240" w:lineRule="exact"/>
        <w:ind w:left="1267" w:firstLine="0"/>
        <w:rPr>
          <w:rFonts w:asciiTheme="majorBidi" w:hAnsiTheme="majorBidi" w:cstheme="majorBidi"/>
        </w:rPr>
      </w:pPr>
      <w:r w:rsidRPr="004C7F84">
        <w:t>Bien que les activités menées par cette organisation n</w:t>
      </w:r>
      <w:r w:rsidR="00773F5D" w:rsidRPr="004C7F84">
        <w:t>’</w:t>
      </w:r>
      <w:r w:rsidRPr="004C7F84">
        <w:t>aient pas nécessairement abouti à un plus grand nombre de condamnations, la question du droit des femmes à être protégées de toute violence, indépendamment de la manière dont elles s</w:t>
      </w:r>
      <w:r w:rsidR="00773F5D" w:rsidRPr="004C7F84">
        <w:t>’</w:t>
      </w:r>
      <w:r w:rsidR="002D4787" w:rsidRPr="004C7F84">
        <w:t xml:space="preserve">habillent et se présentent </w:t>
      </w:r>
      <w:r w:rsidRPr="004C7F84">
        <w:t>ou de l</w:t>
      </w:r>
      <w:r w:rsidR="00773F5D" w:rsidRPr="004C7F84">
        <w:t>’</w:t>
      </w:r>
      <w:r w:rsidRPr="004C7F84">
        <w:t>endroit où elles se rendent, a fait l</w:t>
      </w:r>
      <w:r w:rsidR="00773F5D" w:rsidRPr="004C7F84">
        <w:t>’</w:t>
      </w:r>
      <w:r w:rsidRPr="004C7F84">
        <w:t>objet de débats animés dans les médias pendant plusieurs mois. L</w:t>
      </w:r>
      <w:r w:rsidR="00773F5D" w:rsidRPr="004C7F84">
        <w:t>’</w:t>
      </w:r>
      <w:r w:rsidRPr="004C7F84">
        <w:t>organisation continue de promouvoir activement les droits des femmes.</w:t>
      </w:r>
    </w:p>
    <w:p w14:paraId="77BEF6D9" w14:textId="77777777" w:rsidR="0034195A" w:rsidRPr="004C7F84" w:rsidRDefault="0034195A" w:rsidP="0034195A">
      <w:pPr>
        <w:pStyle w:val="SingleTxt"/>
        <w:spacing w:after="0" w:line="120" w:lineRule="exact"/>
        <w:rPr>
          <w:rFonts w:asciiTheme="majorBidi" w:hAnsiTheme="majorBidi" w:cstheme="majorBidi"/>
          <w:sz w:val="10"/>
        </w:rPr>
      </w:pPr>
    </w:p>
    <w:p w14:paraId="7410CF40" w14:textId="77777777" w:rsidR="0034195A" w:rsidRPr="004C7F84" w:rsidRDefault="0034195A" w:rsidP="006E7D5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lang w:val="fr-FR"/>
        </w:rPr>
      </w:pPr>
      <w:r w:rsidRPr="004C7F84">
        <w:rPr>
          <w:rFonts w:asciiTheme="majorBidi" w:hAnsiTheme="majorBidi" w:cstheme="majorBidi"/>
          <w:lang w:val="fr-FR"/>
        </w:rPr>
        <w:lastRenderedPageBreak/>
        <w:tab/>
      </w:r>
      <w:r w:rsidRPr="004C7F84">
        <w:rPr>
          <w:rFonts w:asciiTheme="majorBidi" w:hAnsiTheme="majorBidi" w:cstheme="majorBidi"/>
          <w:lang w:val="fr-FR"/>
        </w:rPr>
        <w:tab/>
        <w:t xml:space="preserve">Intersect </w:t>
      </w:r>
    </w:p>
    <w:p w14:paraId="43EBC429" w14:textId="77777777" w:rsidR="0034195A" w:rsidRPr="004C7F84" w:rsidRDefault="0034195A" w:rsidP="006E7D5E">
      <w:pPr>
        <w:pStyle w:val="SingleTxt"/>
        <w:keepNext/>
        <w:keepLines/>
        <w:spacing w:after="0" w:line="120" w:lineRule="exact"/>
        <w:rPr>
          <w:rFonts w:asciiTheme="majorBidi" w:hAnsiTheme="majorBidi" w:cstheme="majorBidi"/>
          <w:sz w:val="10"/>
        </w:rPr>
      </w:pPr>
    </w:p>
    <w:p w14:paraId="46D120C0" w14:textId="234F2F71" w:rsidR="0034195A" w:rsidRPr="004C7F84" w:rsidRDefault="002729C4" w:rsidP="00514306">
      <w:pPr>
        <w:pStyle w:val="SingleTxt"/>
        <w:numPr>
          <w:ilvl w:val="0"/>
          <w:numId w:val="19"/>
        </w:numPr>
        <w:spacing w:line="240" w:lineRule="exact"/>
        <w:ind w:left="1267" w:firstLine="0"/>
        <w:rPr>
          <w:rFonts w:asciiTheme="majorBidi" w:hAnsiTheme="majorBidi" w:cstheme="majorBidi"/>
        </w:rPr>
      </w:pPr>
      <w:r w:rsidRPr="004C7F84">
        <w:t>La création en 2014 de cette organisation est une évolution prometteuse dans l</w:t>
      </w:r>
      <w:r w:rsidR="00773F5D" w:rsidRPr="004C7F84">
        <w:t>’</w:t>
      </w:r>
      <w:r w:rsidRPr="004C7F84">
        <w:t>action de soutien des activités et études féministes. Cette organisation n</w:t>
      </w:r>
      <w:r w:rsidR="00773F5D" w:rsidRPr="004C7F84">
        <w:t>’</w:t>
      </w:r>
      <w:r w:rsidRPr="004C7F84">
        <w:t>a pas hésité à aborder des questions</w:t>
      </w:r>
      <w:r w:rsidRPr="004C7F84">
        <w:rPr>
          <w:color w:val="FF0000"/>
        </w:rPr>
        <w:t xml:space="preserve"> </w:t>
      </w:r>
      <w:r w:rsidRPr="004C7F84">
        <w:t>délica</w:t>
      </w:r>
      <w:r w:rsidR="002D4787" w:rsidRPr="004C7F84">
        <w:t>tes d</w:t>
      </w:r>
      <w:r w:rsidR="00773F5D" w:rsidRPr="004C7F84">
        <w:t>’</w:t>
      </w:r>
      <w:r w:rsidR="002D4787" w:rsidRPr="004C7F84">
        <w:t xml:space="preserve">un point de vue culturel, </w:t>
      </w:r>
      <w:r w:rsidRPr="004C7F84">
        <w:t>telles que les droits des homosexuels, des lesbiennes et des personnes transge</w:t>
      </w:r>
      <w:r w:rsidR="002D4787" w:rsidRPr="004C7F84">
        <w:t>nres. À l</w:t>
      </w:r>
      <w:r w:rsidR="00773F5D" w:rsidRPr="004C7F84">
        <w:t>’</w:t>
      </w:r>
      <w:r w:rsidR="002D4787" w:rsidRPr="004C7F84">
        <w:t xml:space="preserve">origine, elle offrait </w:t>
      </w:r>
      <w:r w:rsidRPr="004C7F84">
        <w:t>un espace sûr en ligne où pouvaient s</w:t>
      </w:r>
      <w:r w:rsidR="00773F5D" w:rsidRPr="004C7F84">
        <w:t>’</w:t>
      </w:r>
      <w:r w:rsidRPr="004C7F84">
        <w:t>exprimer les personnes opprimées et marginalisées.</w:t>
      </w:r>
      <w:r w:rsidR="00773F5D" w:rsidRPr="004C7F84">
        <w:t xml:space="preserve"> </w:t>
      </w:r>
    </w:p>
    <w:p w14:paraId="5FE24701" w14:textId="77777777" w:rsidR="0034195A" w:rsidRPr="004C7F84" w:rsidRDefault="0034195A" w:rsidP="0034195A">
      <w:pPr>
        <w:pStyle w:val="SingleTxt"/>
        <w:spacing w:after="0" w:line="120" w:lineRule="exact"/>
        <w:rPr>
          <w:rFonts w:asciiTheme="majorBidi" w:eastAsiaTheme="minorEastAsia" w:hAnsiTheme="majorBidi" w:cstheme="majorBidi"/>
          <w:sz w:val="10"/>
          <w:lang w:eastAsia="zh-CN"/>
        </w:rPr>
      </w:pPr>
    </w:p>
    <w:p w14:paraId="06CAE8BA" w14:textId="77777777" w:rsidR="0034195A" w:rsidRPr="004C7F84" w:rsidRDefault="0034195A" w:rsidP="0034195A">
      <w:pPr>
        <w:pStyle w:val="SingleTxt"/>
        <w:spacing w:after="0" w:line="120" w:lineRule="exact"/>
        <w:rPr>
          <w:rFonts w:asciiTheme="majorBidi" w:hAnsiTheme="majorBidi" w:cstheme="majorBidi"/>
          <w:sz w:val="10"/>
        </w:rPr>
      </w:pPr>
    </w:p>
    <w:p w14:paraId="314EE89C" w14:textId="7814941F" w:rsidR="0034195A" w:rsidRPr="004C7F84" w:rsidRDefault="0034195A" w:rsidP="0034195A">
      <w:pPr>
        <w:pStyle w:val="H1"/>
        <w:ind w:right="1260"/>
        <w:rPr>
          <w:rFonts w:asciiTheme="majorBidi" w:hAnsiTheme="majorBidi" w:cstheme="majorBidi"/>
        </w:rPr>
      </w:pPr>
      <w:r w:rsidRPr="004C7F84">
        <w:rPr>
          <w:rFonts w:asciiTheme="majorBidi" w:hAnsiTheme="majorBidi" w:cstheme="majorBidi"/>
        </w:rPr>
        <w:tab/>
      </w:r>
      <w:r w:rsidRPr="004C7F84">
        <w:rPr>
          <w:rFonts w:asciiTheme="majorBidi" w:hAnsiTheme="majorBidi" w:cstheme="majorBidi"/>
        </w:rPr>
        <w:tab/>
        <w:t>Article 8</w:t>
      </w:r>
      <w:r w:rsidR="00773F5D" w:rsidRPr="004C7F84">
        <w:rPr>
          <w:rFonts w:asciiTheme="majorBidi" w:hAnsiTheme="majorBidi" w:cstheme="majorBidi"/>
        </w:rPr>
        <w:t> :</w:t>
      </w:r>
      <w:r w:rsidRPr="004C7F84">
        <w:rPr>
          <w:rFonts w:asciiTheme="majorBidi" w:hAnsiTheme="majorBidi" w:cstheme="majorBidi"/>
        </w:rPr>
        <w:t xml:space="preserve"> </w:t>
      </w:r>
      <w:r w:rsidR="002729C4" w:rsidRPr="004C7F84">
        <w:t xml:space="preserve">Participation des femmes aux travaux </w:t>
      </w:r>
      <w:r w:rsidR="002729C4" w:rsidRPr="004C7F84">
        <w:br/>
        <w:t>des organisations internationales</w:t>
      </w:r>
    </w:p>
    <w:p w14:paraId="3B3E75A0" w14:textId="77777777" w:rsidR="0034195A" w:rsidRPr="004C7F84" w:rsidRDefault="0034195A" w:rsidP="0034195A">
      <w:pPr>
        <w:pStyle w:val="SingleTxt"/>
        <w:spacing w:after="0" w:line="120" w:lineRule="exact"/>
        <w:rPr>
          <w:rFonts w:asciiTheme="majorBidi" w:hAnsiTheme="majorBidi" w:cstheme="majorBidi"/>
          <w:sz w:val="10"/>
        </w:rPr>
      </w:pPr>
    </w:p>
    <w:p w14:paraId="66334381" w14:textId="77777777" w:rsidR="0034195A" w:rsidRPr="004C7F84" w:rsidRDefault="0034195A" w:rsidP="0034195A">
      <w:pPr>
        <w:pStyle w:val="SingleTxt"/>
        <w:spacing w:after="0" w:line="120" w:lineRule="exact"/>
        <w:rPr>
          <w:rFonts w:asciiTheme="majorBidi" w:hAnsiTheme="majorBidi" w:cstheme="majorBidi"/>
          <w:sz w:val="10"/>
        </w:rPr>
      </w:pPr>
    </w:p>
    <w:p w14:paraId="57B19789" w14:textId="64F7E156" w:rsidR="0034195A" w:rsidRPr="004C7F84" w:rsidRDefault="002729C4" w:rsidP="00514306">
      <w:pPr>
        <w:pStyle w:val="SingleTxt"/>
        <w:numPr>
          <w:ilvl w:val="0"/>
          <w:numId w:val="19"/>
        </w:numPr>
        <w:spacing w:line="240" w:lineRule="exact"/>
        <w:ind w:left="1267" w:firstLine="0"/>
        <w:rPr>
          <w:rFonts w:asciiTheme="majorBidi" w:hAnsiTheme="majorBidi" w:cstheme="majorBidi"/>
        </w:rPr>
      </w:pPr>
      <w:r w:rsidRPr="004C7F84">
        <w:t>Il est regrettable que les femmes soient encore n</w:t>
      </w:r>
      <w:r w:rsidR="002D4787" w:rsidRPr="004C7F84">
        <w:t xml:space="preserve">ettement sous-représentées dans </w:t>
      </w:r>
      <w:r w:rsidRPr="004C7F84">
        <w:t>les travaux des organisa</w:t>
      </w:r>
      <w:r w:rsidR="002D4787" w:rsidRPr="004C7F84">
        <w:t>tions internationales. L</w:t>
      </w:r>
      <w:r w:rsidR="00773F5D" w:rsidRPr="004C7F84">
        <w:t>’</w:t>
      </w:r>
      <w:r w:rsidR="002D4787" w:rsidRPr="004C7F84">
        <w:t xml:space="preserve">actuel </w:t>
      </w:r>
      <w:r w:rsidRPr="004C7F84">
        <w:t>représentant permanent d</w:t>
      </w:r>
      <w:r w:rsidR="00773F5D" w:rsidRPr="004C7F84">
        <w:t>’</w:t>
      </w:r>
      <w:r w:rsidRPr="004C7F84">
        <w:t>Antigua-et-Barbuda auprès de l</w:t>
      </w:r>
      <w:r w:rsidR="00773F5D" w:rsidRPr="004C7F84">
        <w:t>’</w:t>
      </w:r>
      <w:r w:rsidRPr="004C7F84">
        <w:t>Organisation des Nations Unies est un homme. Son prédécesseur était une femme. En 2015, sur les 33</w:t>
      </w:r>
      <w:r w:rsidR="002D4787" w:rsidRPr="004C7F84">
        <w:t> </w:t>
      </w:r>
      <w:r w:rsidRPr="004C7F84">
        <w:t>postes d</w:t>
      </w:r>
      <w:r w:rsidR="00773F5D" w:rsidRPr="004C7F84">
        <w:t>’</w:t>
      </w:r>
      <w:r w:rsidRPr="004C7F84">
        <w:t>ambassadeur, les femmes n</w:t>
      </w:r>
      <w:r w:rsidR="00773F5D" w:rsidRPr="004C7F84">
        <w:t>’</w:t>
      </w:r>
      <w:r w:rsidRPr="004C7F84">
        <w:t>en occupent que 5 (soit 15</w:t>
      </w:r>
      <w:r w:rsidR="0086373A" w:rsidRPr="004C7F84">
        <w:t> %</w:t>
      </w:r>
      <w:r w:rsidRPr="004C7F84">
        <w:t>). La situation est un peu meilleure en ce qui concerne les nominations de chef de mission à l</w:t>
      </w:r>
      <w:r w:rsidR="00773F5D" w:rsidRPr="004C7F84">
        <w:t>’</w:t>
      </w:r>
      <w:r w:rsidRPr="004C7F84">
        <w:t>étranger et de consul, les femmes occupant 2</w:t>
      </w:r>
      <w:r w:rsidR="006E7D5E" w:rsidRPr="004C7F84">
        <w:t> </w:t>
      </w:r>
      <w:r w:rsidRPr="004C7F84">
        <w:t>des 6</w:t>
      </w:r>
      <w:r w:rsidR="002D4787" w:rsidRPr="004C7F84">
        <w:t> </w:t>
      </w:r>
      <w:r w:rsidRPr="004C7F84">
        <w:t>postes (soit 33,3</w:t>
      </w:r>
      <w:r w:rsidR="0086373A" w:rsidRPr="004C7F84">
        <w:t> %</w:t>
      </w:r>
      <w:r w:rsidRPr="004C7F84">
        <w:t>).</w:t>
      </w:r>
    </w:p>
    <w:p w14:paraId="530F3D48" w14:textId="77777777" w:rsidR="0034195A" w:rsidRPr="004C7F84" w:rsidRDefault="0034195A" w:rsidP="0034195A">
      <w:pPr>
        <w:pStyle w:val="SingleTxt"/>
        <w:spacing w:after="0" w:line="120" w:lineRule="exact"/>
        <w:rPr>
          <w:rFonts w:asciiTheme="majorBidi" w:hAnsiTheme="majorBidi" w:cstheme="majorBidi"/>
          <w:sz w:val="10"/>
        </w:rPr>
      </w:pPr>
    </w:p>
    <w:p w14:paraId="0AAEDD2F" w14:textId="77777777" w:rsidR="0034195A" w:rsidRPr="004C7F84" w:rsidRDefault="0034195A" w:rsidP="0034195A">
      <w:pPr>
        <w:pStyle w:val="SingleTxt"/>
        <w:spacing w:after="0" w:line="120" w:lineRule="exact"/>
        <w:rPr>
          <w:rFonts w:asciiTheme="majorBidi" w:hAnsiTheme="majorBidi" w:cstheme="majorBidi"/>
          <w:sz w:val="10"/>
        </w:rPr>
      </w:pPr>
    </w:p>
    <w:p w14:paraId="7168085F" w14:textId="7294A171" w:rsidR="0034195A" w:rsidRPr="004C7F84" w:rsidRDefault="0034195A" w:rsidP="0034195A">
      <w:pPr>
        <w:pStyle w:val="H1"/>
        <w:ind w:right="1260"/>
        <w:rPr>
          <w:rFonts w:asciiTheme="majorBidi" w:hAnsiTheme="majorBidi" w:cstheme="majorBidi"/>
        </w:rPr>
      </w:pPr>
      <w:r w:rsidRPr="004C7F84">
        <w:rPr>
          <w:rFonts w:asciiTheme="majorBidi" w:hAnsiTheme="majorBidi" w:cstheme="majorBidi"/>
        </w:rPr>
        <w:tab/>
      </w:r>
      <w:r w:rsidRPr="004C7F84">
        <w:rPr>
          <w:rFonts w:asciiTheme="majorBidi" w:hAnsiTheme="majorBidi" w:cstheme="majorBidi"/>
        </w:rPr>
        <w:tab/>
        <w:t>Article 9</w:t>
      </w:r>
      <w:r w:rsidR="00773F5D" w:rsidRPr="004C7F84">
        <w:rPr>
          <w:rFonts w:asciiTheme="majorBidi" w:hAnsiTheme="majorBidi" w:cstheme="majorBidi"/>
        </w:rPr>
        <w:t> :</w:t>
      </w:r>
      <w:r w:rsidRPr="004C7F84">
        <w:rPr>
          <w:rFonts w:asciiTheme="majorBidi" w:hAnsiTheme="majorBidi" w:cstheme="majorBidi"/>
        </w:rPr>
        <w:t xml:space="preserve"> </w:t>
      </w:r>
      <w:r w:rsidR="002729C4" w:rsidRPr="004C7F84">
        <w:t>Conservation de la nationalité de la femme</w:t>
      </w:r>
    </w:p>
    <w:p w14:paraId="3F161C79" w14:textId="77777777" w:rsidR="0034195A" w:rsidRPr="004C7F84" w:rsidRDefault="0034195A" w:rsidP="0034195A">
      <w:pPr>
        <w:pStyle w:val="SingleTxt"/>
        <w:spacing w:after="0" w:line="120" w:lineRule="exact"/>
        <w:rPr>
          <w:rFonts w:asciiTheme="majorBidi" w:hAnsiTheme="majorBidi" w:cstheme="majorBidi"/>
          <w:sz w:val="10"/>
        </w:rPr>
      </w:pPr>
    </w:p>
    <w:p w14:paraId="4E4F2074" w14:textId="77777777" w:rsidR="0034195A" w:rsidRPr="004C7F84" w:rsidRDefault="0034195A" w:rsidP="0034195A">
      <w:pPr>
        <w:pStyle w:val="SingleTxt"/>
        <w:spacing w:after="0" w:line="120" w:lineRule="exact"/>
        <w:rPr>
          <w:rFonts w:asciiTheme="majorBidi" w:hAnsiTheme="majorBidi" w:cstheme="majorBidi"/>
          <w:sz w:val="10"/>
        </w:rPr>
      </w:pPr>
    </w:p>
    <w:p w14:paraId="4B3D0483" w14:textId="1EA121BF" w:rsidR="002729C4" w:rsidRPr="004C7F84" w:rsidRDefault="002729C4" w:rsidP="00514306">
      <w:pPr>
        <w:pStyle w:val="SingleTxt"/>
        <w:numPr>
          <w:ilvl w:val="0"/>
          <w:numId w:val="19"/>
        </w:numPr>
        <w:spacing w:line="240" w:lineRule="exact"/>
        <w:ind w:left="1267" w:firstLine="0"/>
      </w:pPr>
      <w:r w:rsidRPr="004C7F84">
        <w:t>Les dispositions de la Constitution d</w:t>
      </w:r>
      <w:r w:rsidR="00773F5D" w:rsidRPr="004C7F84">
        <w:t>’</w:t>
      </w:r>
      <w:r w:rsidRPr="004C7F84">
        <w:t>Antig</w:t>
      </w:r>
      <w:r w:rsidR="002D4787" w:rsidRPr="004C7F84">
        <w:t xml:space="preserve">ua-et-Barbuda sont entièrement </w:t>
      </w:r>
      <w:r w:rsidRPr="004C7F84">
        <w:t>conformes à l</w:t>
      </w:r>
      <w:r w:rsidR="00773F5D" w:rsidRPr="004C7F84">
        <w:t>’</w:t>
      </w:r>
      <w:r w:rsidRPr="004C7F84">
        <w:t xml:space="preserve">article 9 de la Convention. Le chapitre VIII (article 114) de la Constitution prévoit la double nationalité, et les droits des étrangers </w:t>
      </w:r>
      <w:r w:rsidR="002D4787" w:rsidRPr="004C7F84">
        <w:t xml:space="preserve">qui épousent des ressortissants </w:t>
      </w:r>
      <w:r w:rsidRPr="004C7F84">
        <w:t>d</w:t>
      </w:r>
      <w:r w:rsidR="00773F5D" w:rsidRPr="004C7F84">
        <w:t>’</w:t>
      </w:r>
      <w:r w:rsidRPr="004C7F84">
        <w:t>Antigua-et-Barbuda ne sont donc pas violés. La législation accorde aux femmes non ressortissantes la possibilité d</w:t>
      </w:r>
      <w:r w:rsidR="00773F5D" w:rsidRPr="004C7F84">
        <w:t>’</w:t>
      </w:r>
      <w:r w:rsidRPr="004C7F84">
        <w:t>acquérir la nationalité de leur co</w:t>
      </w:r>
      <w:r w:rsidR="002D4787" w:rsidRPr="004C7F84">
        <w:t>njoint au moment du mariage</w:t>
      </w:r>
      <w:r w:rsidR="00773F5D" w:rsidRPr="004C7F84">
        <w:t> ;</w:t>
      </w:r>
      <w:r w:rsidR="002D4787" w:rsidRPr="004C7F84">
        <w:t xml:space="preserve"> si </w:t>
      </w:r>
      <w:r w:rsidRPr="004C7F84">
        <w:t>la nationalité du mari change, le statut de son épouse demeure inchangé. En outre, aux termes de la loi sur la citoyenneté, les hommes et les femmes ont les mêmes droits d</w:t>
      </w:r>
      <w:r w:rsidR="00773F5D" w:rsidRPr="004C7F84">
        <w:t>’</w:t>
      </w:r>
      <w:r w:rsidRPr="004C7F84">
        <w:t>acquérir la nationalité d</w:t>
      </w:r>
      <w:r w:rsidR="00773F5D" w:rsidRPr="004C7F84">
        <w:t>’</w:t>
      </w:r>
      <w:r w:rsidRPr="004C7F84">
        <w:t>Antigua-et-Barbuda ou d</w:t>
      </w:r>
      <w:r w:rsidR="00773F5D" w:rsidRPr="004C7F84">
        <w:t>’</w:t>
      </w:r>
      <w:r w:rsidRPr="004C7F84">
        <w:t>en changer.</w:t>
      </w:r>
      <w:r w:rsidR="00773F5D" w:rsidRPr="004C7F84">
        <w:t xml:space="preserve"> </w:t>
      </w:r>
    </w:p>
    <w:p w14:paraId="7EE2EA8F" w14:textId="27605D63" w:rsidR="002729C4" w:rsidRPr="004C7F84" w:rsidRDefault="002729C4" w:rsidP="00514306">
      <w:pPr>
        <w:pStyle w:val="SingleTxt"/>
        <w:numPr>
          <w:ilvl w:val="0"/>
          <w:numId w:val="19"/>
        </w:numPr>
        <w:spacing w:line="240" w:lineRule="exact"/>
        <w:ind w:left="1267" w:firstLine="0"/>
      </w:pPr>
      <w:r w:rsidRPr="004C7F84">
        <w:t>Conformément au Chapitre VIII (article 112</w:t>
      </w:r>
      <w:r w:rsidR="002D4787" w:rsidRPr="004C7F84">
        <w:t> </w:t>
      </w:r>
      <w:r w:rsidRPr="004C7F84">
        <w:t>b) de la Constitution, toute personne née hors d</w:t>
      </w:r>
      <w:r w:rsidR="00773F5D" w:rsidRPr="004C7F84">
        <w:t>’</w:t>
      </w:r>
      <w:r w:rsidRPr="004C7F84">
        <w:t>Antigua peut demander la nation</w:t>
      </w:r>
      <w:r w:rsidR="002D4787" w:rsidRPr="004C7F84">
        <w:t xml:space="preserve">alité par filiation si </w:t>
      </w:r>
      <w:r w:rsidRPr="004C7F84">
        <w:t>l</w:t>
      </w:r>
      <w:r w:rsidR="00773F5D" w:rsidRPr="004C7F84">
        <w:t>’</w:t>
      </w:r>
      <w:r w:rsidRPr="004C7F84">
        <w:t>un de ses parents (que ce soit le père ou la mère) ou grands-parents est né à Antigua ou qu</w:t>
      </w:r>
      <w:r w:rsidR="00773F5D" w:rsidRPr="004C7F84">
        <w:t>’</w:t>
      </w:r>
      <w:r w:rsidRPr="004C7F84">
        <w:t>il y a été enregistré ou naturalisé pendant qu</w:t>
      </w:r>
      <w:r w:rsidR="00773F5D" w:rsidRPr="004C7F84">
        <w:t>’</w:t>
      </w:r>
      <w:r w:rsidR="002D4787" w:rsidRPr="004C7F84">
        <w:t xml:space="preserve">il y </w:t>
      </w:r>
      <w:r w:rsidRPr="004C7F84">
        <w:t>résidait. La citoyenneté est donc octroyée en fonction de l</w:t>
      </w:r>
      <w:r w:rsidR="00773F5D" w:rsidRPr="004C7F84">
        <w:t>’</w:t>
      </w:r>
      <w:r w:rsidRPr="004C7F84">
        <w:t>ascendance paternelle ou maternelle. Toutefois, dans le cas d</w:t>
      </w:r>
      <w:r w:rsidR="00773F5D" w:rsidRPr="004C7F84">
        <w:t>’</w:t>
      </w:r>
      <w:r w:rsidRPr="004C7F84">
        <w:t>un enfant non ressortissant adopté par des parents de nationalité différente, la partie II (article 4) de la loi sur la citoyenneté permet à cet enfant de devenir citoyen à compter de la date de l</w:t>
      </w:r>
      <w:r w:rsidR="00773F5D" w:rsidRPr="004C7F84">
        <w:t>’</w:t>
      </w:r>
      <w:r w:rsidRPr="004C7F84">
        <w:t>ordonnance d</w:t>
      </w:r>
      <w:r w:rsidR="00773F5D" w:rsidRPr="004C7F84">
        <w:t>’</w:t>
      </w:r>
      <w:r w:rsidRPr="004C7F84">
        <w:t>adoption si le père adoptif est ressortissant d</w:t>
      </w:r>
      <w:r w:rsidR="00773F5D" w:rsidRPr="004C7F84">
        <w:t>’</w:t>
      </w:r>
      <w:r w:rsidRPr="004C7F84">
        <w:t>Antigua. Mais la loi est muette sur les droits de l</w:t>
      </w:r>
      <w:r w:rsidR="00773F5D" w:rsidRPr="004C7F84">
        <w:t>’</w:t>
      </w:r>
      <w:r w:rsidRPr="004C7F84">
        <w:t>enfant si la mère adoptive est ressortissante.</w:t>
      </w:r>
    </w:p>
    <w:p w14:paraId="624D600A" w14:textId="7640F688" w:rsidR="002729C4" w:rsidRPr="004C7F84" w:rsidRDefault="002729C4" w:rsidP="00514306">
      <w:pPr>
        <w:pStyle w:val="SingleTxt"/>
        <w:numPr>
          <w:ilvl w:val="0"/>
          <w:numId w:val="20"/>
        </w:numPr>
        <w:spacing w:line="240" w:lineRule="exact"/>
        <w:ind w:left="1267" w:firstLine="0"/>
      </w:pPr>
      <w:r w:rsidRPr="004C7F84">
        <w:t>Tous les enfants d</w:t>
      </w:r>
      <w:r w:rsidR="00773F5D" w:rsidRPr="004C7F84">
        <w:t>’</w:t>
      </w:r>
      <w:r w:rsidRPr="004C7F84">
        <w:t>Antig</w:t>
      </w:r>
      <w:r w:rsidR="002D4787" w:rsidRPr="004C7F84">
        <w:t xml:space="preserve">ua-et-Barbuda doivent posséder </w:t>
      </w:r>
      <w:r w:rsidRPr="004C7F84">
        <w:t>un passeport. Dans le cas des parents célibataires, le consentement de la mère est requis. Le mari et la femme ont le droit d</w:t>
      </w:r>
      <w:r w:rsidR="00773F5D" w:rsidRPr="004C7F84">
        <w:t>’</w:t>
      </w:r>
      <w:r w:rsidRPr="004C7F84">
        <w:t xml:space="preserve">obtenir chacun un passeport et de voyager sans le consentement de leur conjoint. </w:t>
      </w:r>
    </w:p>
    <w:p w14:paraId="5DE46E15" w14:textId="4CCC4CCB" w:rsidR="0034195A" w:rsidRPr="004C7F84" w:rsidRDefault="002729C4" w:rsidP="00514306">
      <w:pPr>
        <w:pStyle w:val="SingleTxt"/>
        <w:numPr>
          <w:ilvl w:val="0"/>
          <w:numId w:val="20"/>
        </w:numPr>
        <w:spacing w:line="240" w:lineRule="exact"/>
        <w:ind w:left="1267" w:firstLine="0"/>
      </w:pPr>
      <w:r w:rsidRPr="004C7F84">
        <w:t>Conformément à la Constitution, les hommes et les femmes ont les mêmes droits en ce qui concerne l</w:t>
      </w:r>
      <w:r w:rsidR="00773F5D" w:rsidRPr="004C7F84">
        <w:t>’</w:t>
      </w:r>
      <w:r w:rsidRPr="004C7F84">
        <w:t>obtention d</w:t>
      </w:r>
      <w:r w:rsidR="00773F5D" w:rsidRPr="004C7F84">
        <w:t>’</w:t>
      </w:r>
      <w:r w:rsidRPr="004C7F84">
        <w:t xml:space="preserve">un permis de </w:t>
      </w:r>
      <w:r w:rsidR="002D4787" w:rsidRPr="004C7F84">
        <w:t xml:space="preserve">séjour. Toutefois, en vertu de </w:t>
      </w:r>
      <w:r w:rsidRPr="004C7F84">
        <w:t>procédures discrétionnaires en matière d</w:t>
      </w:r>
      <w:r w:rsidR="00773F5D" w:rsidRPr="004C7F84">
        <w:t>’</w:t>
      </w:r>
      <w:r w:rsidRPr="004C7F84">
        <w:t>emploi, les conjoints non ressortissants, quel que soit leur sexe, ont le droit de travailler, qu</w:t>
      </w:r>
      <w:r w:rsidR="00773F5D" w:rsidRPr="004C7F84">
        <w:t>’</w:t>
      </w:r>
      <w:r w:rsidRPr="004C7F84">
        <w:t>ils remplissent ou non les critères de résidence.</w:t>
      </w:r>
    </w:p>
    <w:p w14:paraId="40EE1C08" w14:textId="77777777" w:rsidR="0034195A" w:rsidRPr="004C7F84" w:rsidRDefault="0034195A" w:rsidP="0034195A">
      <w:pPr>
        <w:pStyle w:val="SingleTxt"/>
        <w:spacing w:after="0" w:line="120" w:lineRule="exact"/>
        <w:rPr>
          <w:rFonts w:asciiTheme="majorBidi" w:hAnsiTheme="majorBidi" w:cstheme="majorBidi"/>
          <w:sz w:val="10"/>
        </w:rPr>
      </w:pPr>
    </w:p>
    <w:p w14:paraId="09B632AE" w14:textId="3702AB28" w:rsidR="0034195A" w:rsidRPr="004C7F84" w:rsidRDefault="0034195A" w:rsidP="0034195A">
      <w:pPr>
        <w:pStyle w:val="H1"/>
        <w:ind w:right="1260"/>
        <w:rPr>
          <w:rFonts w:asciiTheme="majorBidi" w:hAnsiTheme="majorBidi" w:cstheme="majorBidi"/>
        </w:rPr>
      </w:pPr>
      <w:r w:rsidRPr="004C7F84">
        <w:rPr>
          <w:rFonts w:asciiTheme="majorBidi" w:hAnsiTheme="majorBidi" w:cstheme="majorBidi"/>
        </w:rPr>
        <w:tab/>
      </w:r>
      <w:r w:rsidRPr="004C7F84">
        <w:rPr>
          <w:rFonts w:asciiTheme="majorBidi" w:hAnsiTheme="majorBidi" w:cstheme="majorBidi"/>
        </w:rPr>
        <w:tab/>
        <w:t>Article 10</w:t>
      </w:r>
      <w:r w:rsidR="00773F5D" w:rsidRPr="004C7F84">
        <w:rPr>
          <w:rFonts w:asciiTheme="majorBidi" w:hAnsiTheme="majorBidi" w:cstheme="majorBidi"/>
        </w:rPr>
        <w:t> :</w:t>
      </w:r>
      <w:r w:rsidRPr="004C7F84">
        <w:rPr>
          <w:rFonts w:asciiTheme="majorBidi" w:hAnsiTheme="majorBidi" w:cstheme="majorBidi"/>
        </w:rPr>
        <w:t xml:space="preserve"> </w:t>
      </w:r>
      <w:r w:rsidR="002729C4" w:rsidRPr="004C7F84">
        <w:rPr>
          <w:rFonts w:asciiTheme="majorBidi" w:hAnsiTheme="majorBidi" w:cstheme="majorBidi"/>
        </w:rPr>
        <w:t>É</w:t>
      </w:r>
      <w:r w:rsidRPr="004C7F84">
        <w:rPr>
          <w:rFonts w:asciiTheme="majorBidi" w:hAnsiTheme="majorBidi" w:cstheme="majorBidi"/>
        </w:rPr>
        <w:t>ducation</w:t>
      </w:r>
      <w:r w:rsidRPr="004C7F84">
        <w:rPr>
          <w:rFonts w:asciiTheme="majorBidi" w:eastAsiaTheme="minorEastAsia" w:hAnsiTheme="majorBidi" w:cstheme="majorBidi"/>
          <w:lang w:eastAsia="zh-CN"/>
        </w:rPr>
        <w:t xml:space="preserve"> </w:t>
      </w:r>
    </w:p>
    <w:p w14:paraId="2DC2F389" w14:textId="77777777" w:rsidR="0034195A" w:rsidRPr="004C7F84" w:rsidRDefault="0034195A" w:rsidP="0034195A">
      <w:pPr>
        <w:pStyle w:val="SingleTxt"/>
        <w:spacing w:after="0" w:line="120" w:lineRule="exact"/>
        <w:rPr>
          <w:rFonts w:asciiTheme="majorBidi" w:hAnsiTheme="majorBidi" w:cstheme="majorBidi"/>
          <w:sz w:val="10"/>
        </w:rPr>
      </w:pPr>
    </w:p>
    <w:p w14:paraId="2B059CB2" w14:textId="77777777" w:rsidR="0034195A" w:rsidRPr="004C7F84" w:rsidRDefault="0034195A" w:rsidP="0034195A">
      <w:pPr>
        <w:pStyle w:val="SingleTxt"/>
        <w:spacing w:after="0" w:line="120" w:lineRule="exact"/>
        <w:rPr>
          <w:rFonts w:asciiTheme="majorBidi" w:hAnsiTheme="majorBidi" w:cstheme="majorBidi"/>
          <w:sz w:val="10"/>
        </w:rPr>
      </w:pPr>
    </w:p>
    <w:p w14:paraId="11592EE9" w14:textId="3A244E99"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ajorBidi" w:hAnsiTheme="majorBidi" w:cstheme="majorBidi"/>
          <w:lang w:val="fr-FR"/>
        </w:rPr>
      </w:pPr>
      <w:r w:rsidRPr="004C7F84">
        <w:rPr>
          <w:rFonts w:asciiTheme="majorBidi" w:hAnsiTheme="majorBidi" w:cstheme="majorBidi"/>
          <w:lang w:val="fr-FR"/>
        </w:rPr>
        <w:tab/>
      </w:r>
      <w:r w:rsidRPr="004C7F84">
        <w:rPr>
          <w:rFonts w:asciiTheme="majorBidi" w:hAnsiTheme="majorBidi" w:cstheme="majorBidi"/>
          <w:lang w:val="fr-FR"/>
        </w:rPr>
        <w:tab/>
      </w:r>
      <w:r w:rsidR="002729C4" w:rsidRPr="004C7F84">
        <w:rPr>
          <w:rFonts w:asciiTheme="majorBidi" w:hAnsiTheme="majorBidi" w:cstheme="majorBidi"/>
          <w:lang w:val="fr-FR"/>
        </w:rPr>
        <w:t>Accès à l</w:t>
      </w:r>
      <w:r w:rsidR="00773F5D" w:rsidRPr="004C7F84">
        <w:rPr>
          <w:rFonts w:asciiTheme="majorBidi" w:hAnsiTheme="majorBidi" w:cstheme="majorBidi"/>
          <w:lang w:val="fr-FR"/>
        </w:rPr>
        <w:t>’</w:t>
      </w:r>
      <w:r w:rsidR="002729C4" w:rsidRPr="004C7F84">
        <w:rPr>
          <w:rFonts w:asciiTheme="majorBidi" w:hAnsiTheme="majorBidi" w:cstheme="majorBidi"/>
          <w:lang w:val="fr-FR"/>
        </w:rPr>
        <w:t>éducation</w:t>
      </w:r>
      <w:r w:rsidRPr="004C7F84">
        <w:rPr>
          <w:rFonts w:asciiTheme="majorBidi" w:eastAsiaTheme="minorEastAsia" w:hAnsiTheme="majorBidi" w:cstheme="majorBidi"/>
          <w:lang w:val="fr-FR" w:eastAsia="zh-CN"/>
        </w:rPr>
        <w:t xml:space="preserve"> </w:t>
      </w:r>
    </w:p>
    <w:p w14:paraId="256956BF" w14:textId="77777777" w:rsidR="0034195A" w:rsidRPr="004C7F84" w:rsidRDefault="0034195A" w:rsidP="0034195A">
      <w:pPr>
        <w:pStyle w:val="SingleTxt"/>
        <w:spacing w:after="0" w:line="120" w:lineRule="exact"/>
        <w:rPr>
          <w:rFonts w:asciiTheme="majorBidi" w:hAnsiTheme="majorBidi" w:cstheme="majorBidi"/>
          <w:sz w:val="10"/>
        </w:rPr>
      </w:pPr>
    </w:p>
    <w:p w14:paraId="28057F2D" w14:textId="6D358834" w:rsidR="002729C4" w:rsidRPr="004C7F84" w:rsidRDefault="002729C4" w:rsidP="00514306">
      <w:pPr>
        <w:pStyle w:val="SingleTxt"/>
        <w:numPr>
          <w:ilvl w:val="0"/>
          <w:numId w:val="20"/>
        </w:numPr>
        <w:spacing w:line="240" w:lineRule="exact"/>
        <w:ind w:left="1267" w:firstLine="0"/>
      </w:pPr>
      <w:r w:rsidRPr="004C7F84">
        <w:t>Une nouvelle loi sur l</w:t>
      </w:r>
      <w:r w:rsidR="00773F5D" w:rsidRPr="004C7F84">
        <w:t>’</w:t>
      </w:r>
      <w:r w:rsidRPr="004C7F84">
        <w:t>enseignement, adoptée en 2008, confirme les dispos</w:t>
      </w:r>
      <w:r w:rsidR="002D4787" w:rsidRPr="004C7F84">
        <w:t>itions de la loi précédente sur l</w:t>
      </w:r>
      <w:r w:rsidR="00773F5D" w:rsidRPr="004C7F84">
        <w:t>’</w:t>
      </w:r>
      <w:r w:rsidR="002D4787" w:rsidRPr="004C7F84">
        <w:t xml:space="preserve">enseignement obligatoire. </w:t>
      </w:r>
      <w:r w:rsidRPr="004C7F84">
        <w:t xml:space="preserve">En vertu de </w:t>
      </w:r>
      <w:r w:rsidR="002D4787" w:rsidRPr="004C7F84">
        <w:t>l</w:t>
      </w:r>
      <w:r w:rsidR="00773F5D" w:rsidRPr="004C7F84">
        <w:t>’</w:t>
      </w:r>
      <w:r w:rsidR="002D4787" w:rsidRPr="004C7F84">
        <w:t>article (43) (1) de la loi n</w:t>
      </w:r>
      <w:r w:rsidR="002D4787" w:rsidRPr="004C7F84">
        <w:rPr>
          <w:vertAlign w:val="superscript"/>
        </w:rPr>
        <w:t>o</w:t>
      </w:r>
      <w:r w:rsidR="002D4787" w:rsidRPr="004C7F84">
        <w:t> </w:t>
      </w:r>
      <w:r w:rsidRPr="004C7F84">
        <w:t>7 de 1973 sur l</w:t>
      </w:r>
      <w:r w:rsidR="00773F5D" w:rsidRPr="004C7F84">
        <w:t>’</w:t>
      </w:r>
      <w:r w:rsidRPr="004C7F84">
        <w:t>enseignement, tous les enfants âgés de 5 à 16</w:t>
      </w:r>
      <w:r w:rsidR="002D4787" w:rsidRPr="004C7F84">
        <w:t xml:space="preserve"> ans doivent </w:t>
      </w:r>
      <w:r w:rsidRPr="004C7F84">
        <w:t>être scolarisés. L</w:t>
      </w:r>
      <w:r w:rsidR="00773F5D" w:rsidRPr="004C7F84">
        <w:t>’</w:t>
      </w:r>
      <w:r w:rsidRPr="004C7F84">
        <w:t>article 7 de cette loi institue une politique d</w:t>
      </w:r>
      <w:r w:rsidR="00773F5D" w:rsidRPr="004C7F84">
        <w:t>’</w:t>
      </w:r>
      <w:r w:rsidRPr="004C7F84">
        <w:t>éducation non discriminatoire en vertu de laquelle nul ne peut se voir refuser l</w:t>
      </w:r>
      <w:r w:rsidR="00773F5D" w:rsidRPr="004C7F84">
        <w:t>’</w:t>
      </w:r>
      <w:r w:rsidRPr="004C7F84">
        <w:t>admission dans un établissement d</w:t>
      </w:r>
      <w:r w:rsidR="00773F5D" w:rsidRPr="004C7F84">
        <w:t>’</w:t>
      </w:r>
      <w:r w:rsidRPr="004C7F84">
        <w:t>enseignement public en raison des convictions religieuses ou politiques, de la race ou de la situation sociale de cette personne ou de ses parents. L</w:t>
      </w:r>
      <w:r w:rsidR="00773F5D" w:rsidRPr="004C7F84">
        <w:t>’</w:t>
      </w:r>
      <w:r w:rsidRPr="004C7F84">
        <w:t>État assure aux garçons comme aux filles l</w:t>
      </w:r>
      <w:r w:rsidR="00773F5D" w:rsidRPr="004C7F84">
        <w:t>’</w:t>
      </w:r>
      <w:r w:rsidRPr="004C7F84">
        <w:t>égalité d</w:t>
      </w:r>
      <w:r w:rsidR="00773F5D" w:rsidRPr="004C7F84">
        <w:t>’</w:t>
      </w:r>
      <w:r w:rsidRPr="004C7F84">
        <w:t>accès à l</w:t>
      </w:r>
      <w:r w:rsidR="00773F5D" w:rsidRPr="004C7F84">
        <w:t>’</w:t>
      </w:r>
      <w:r w:rsidRPr="004C7F84">
        <w:t>éducation et prévoit la gratuité des études à tous les niveaux du système d</w:t>
      </w:r>
      <w:r w:rsidR="00773F5D" w:rsidRPr="004C7F84">
        <w:t>’</w:t>
      </w:r>
      <w:r w:rsidRPr="004C7F84">
        <w:t xml:space="preserve">enseignement public. </w:t>
      </w:r>
    </w:p>
    <w:p w14:paraId="75ECAEBF" w14:textId="39E7DF1A" w:rsidR="002729C4" w:rsidRPr="004C7F84" w:rsidRDefault="002D4787" w:rsidP="00514306">
      <w:pPr>
        <w:pStyle w:val="SingleTxt"/>
        <w:numPr>
          <w:ilvl w:val="0"/>
          <w:numId w:val="20"/>
        </w:numPr>
        <w:spacing w:line="240" w:lineRule="exact"/>
        <w:ind w:left="1267" w:firstLine="0"/>
      </w:pPr>
      <w:r w:rsidRPr="004C7F84">
        <w:t>L</w:t>
      </w:r>
      <w:r w:rsidR="00773F5D" w:rsidRPr="004C7F84">
        <w:t>’</w:t>
      </w:r>
      <w:r w:rsidRPr="004C7F84">
        <w:t xml:space="preserve">article 44 stipule </w:t>
      </w:r>
      <w:r w:rsidR="002729C4" w:rsidRPr="004C7F84">
        <w:t>que les parents ou tuteurs de tout enfant d</w:t>
      </w:r>
      <w:r w:rsidR="00773F5D" w:rsidRPr="004C7F84">
        <w:t>’</w:t>
      </w:r>
      <w:r w:rsidR="002729C4" w:rsidRPr="004C7F84">
        <w:t>âge scolaire doivent veiller à ce que celui-ci puisse eff</w:t>
      </w:r>
      <w:r w:rsidRPr="004C7F84">
        <w:t xml:space="preserve">ectuer à plein temps les études </w:t>
      </w:r>
      <w:r w:rsidR="002729C4" w:rsidRPr="004C7F84">
        <w:t>qui sont adaptées à son âge, à ses capacités et</w:t>
      </w:r>
      <w:r w:rsidRPr="004C7F84">
        <w:t xml:space="preserve"> à ses aptitudes. L</w:t>
      </w:r>
      <w:r w:rsidR="00773F5D" w:rsidRPr="004C7F84">
        <w:t>’</w:t>
      </w:r>
      <w:r w:rsidRPr="004C7F84">
        <w:t>article 50 </w:t>
      </w:r>
      <w:r w:rsidR="002729C4" w:rsidRPr="004C7F84">
        <w:t>1) précise également que le parent d</w:t>
      </w:r>
      <w:r w:rsidR="00773F5D" w:rsidRPr="004C7F84">
        <w:t>’</w:t>
      </w:r>
      <w:r w:rsidR="002729C4" w:rsidRPr="004C7F84">
        <w:t>un enfant d</w:t>
      </w:r>
      <w:r w:rsidR="00773F5D" w:rsidRPr="004C7F84">
        <w:t>’</w:t>
      </w:r>
      <w:r w:rsidRPr="004C7F84">
        <w:t xml:space="preserve">âge scolaire, qui néglige </w:t>
      </w:r>
      <w:r w:rsidR="002729C4" w:rsidRPr="004C7F84">
        <w:t>ou refuse de le scolariser, se rend coupable d</w:t>
      </w:r>
      <w:r w:rsidR="00773F5D" w:rsidRPr="004C7F84">
        <w:t>’</w:t>
      </w:r>
      <w:r w:rsidR="002729C4" w:rsidRPr="004C7F84">
        <w:t>une infraction punissable par procédure sommaire, à moins que l</w:t>
      </w:r>
      <w:r w:rsidR="00773F5D" w:rsidRPr="004C7F84">
        <w:t>’</w:t>
      </w:r>
      <w:r w:rsidR="002729C4" w:rsidRPr="004C7F84">
        <w:t>enfant ne soit légalement exempté d</w:t>
      </w:r>
      <w:r w:rsidR="00773F5D" w:rsidRPr="004C7F84">
        <w:t>’</w:t>
      </w:r>
      <w:r w:rsidR="002729C4" w:rsidRPr="004C7F84">
        <w:t>obligation scolaire, et qu</w:t>
      </w:r>
      <w:r w:rsidR="00773F5D" w:rsidRPr="004C7F84">
        <w:t>’</w:t>
      </w:r>
      <w:r w:rsidR="002729C4" w:rsidRPr="004C7F84">
        <w:t>il est passible d</w:t>
      </w:r>
      <w:r w:rsidR="00773F5D" w:rsidRPr="004C7F84">
        <w:t>’</w:t>
      </w:r>
      <w:r w:rsidR="002729C4" w:rsidRPr="004C7F84">
        <w:t>une amende ne dépassant pas cinquante dollars des Caraïbes orientales.</w:t>
      </w:r>
    </w:p>
    <w:p w14:paraId="21E1D5FB" w14:textId="7AAB7112" w:rsidR="002D4787" w:rsidRPr="004C7F84" w:rsidRDefault="002729C4" w:rsidP="00514306">
      <w:pPr>
        <w:pStyle w:val="SingleTxt"/>
        <w:numPr>
          <w:ilvl w:val="0"/>
          <w:numId w:val="21"/>
        </w:numPr>
        <w:spacing w:line="240" w:lineRule="exact"/>
        <w:ind w:left="1267" w:firstLine="0"/>
      </w:pPr>
      <w:r w:rsidRPr="004C7F84">
        <w:t>Il convient de rappeler qu</w:t>
      </w:r>
      <w:r w:rsidR="00773F5D" w:rsidRPr="004C7F84">
        <w:t>’</w:t>
      </w:r>
      <w:r w:rsidRPr="004C7F84">
        <w:t>en vertu de la législation d</w:t>
      </w:r>
      <w:r w:rsidR="00773F5D" w:rsidRPr="004C7F84">
        <w:t>’</w:t>
      </w:r>
      <w:r w:rsidRPr="004C7F84">
        <w:t>Antigua-et-Barbuda, les personnes des deux sexes bénéficient de l</w:t>
      </w:r>
      <w:r w:rsidR="00773F5D" w:rsidRPr="004C7F84">
        <w:t>’</w:t>
      </w:r>
      <w:r w:rsidRPr="004C7F84">
        <w:t>égalité d</w:t>
      </w:r>
      <w:r w:rsidR="00773F5D" w:rsidRPr="004C7F84">
        <w:t>’</w:t>
      </w:r>
      <w:r w:rsidRPr="004C7F84">
        <w:t>accès aux études à tous les niveaux d</w:t>
      </w:r>
      <w:r w:rsidR="00773F5D" w:rsidRPr="004C7F84">
        <w:t>’</w:t>
      </w:r>
      <w:r w:rsidRPr="004C7F84">
        <w:t>enseignement. Le système éducatif du pays est organisé en plusieurs niveaux</w:t>
      </w:r>
      <w:r w:rsidR="00773F5D" w:rsidRPr="004C7F84">
        <w:t> :</w:t>
      </w:r>
      <w:r w:rsidRPr="004C7F84">
        <w:t xml:space="preserve"> préscolaire, primaire, secondaire et tertiaire. L</w:t>
      </w:r>
      <w:r w:rsidR="00773F5D" w:rsidRPr="004C7F84">
        <w:t>’</w:t>
      </w:r>
      <w:r w:rsidRPr="004C7F84">
        <w:t>enseignement primaire est gratuit et universel depuis plus d</w:t>
      </w:r>
      <w:r w:rsidR="00773F5D" w:rsidRPr="004C7F84">
        <w:t>’</w:t>
      </w:r>
      <w:r w:rsidRPr="004C7F84">
        <w:t>un siècle et le secondaire l</w:t>
      </w:r>
      <w:r w:rsidR="00773F5D" w:rsidRPr="004C7F84">
        <w:t>’</w:t>
      </w:r>
      <w:r w:rsidRPr="004C7F84">
        <w:t>est devenu en 2013.</w:t>
      </w:r>
    </w:p>
    <w:p w14:paraId="6F87E6EB" w14:textId="77777777" w:rsidR="0034195A" w:rsidRPr="004C7F84" w:rsidRDefault="0034195A" w:rsidP="0034195A">
      <w:pPr>
        <w:pStyle w:val="SingleTxt"/>
        <w:spacing w:after="0" w:line="120" w:lineRule="exact"/>
        <w:rPr>
          <w:rFonts w:asciiTheme="majorBidi" w:hAnsiTheme="majorBidi" w:cstheme="majorBidi"/>
          <w:sz w:val="10"/>
        </w:rPr>
      </w:pPr>
    </w:p>
    <w:p w14:paraId="4BB2BF6E" w14:textId="3EE8C42E" w:rsidR="0034195A" w:rsidRPr="004C7F84" w:rsidRDefault="0034195A" w:rsidP="0034195A">
      <w:pPr>
        <w:pStyle w:val="H4"/>
        <w:ind w:right="1260"/>
        <w:rPr>
          <w:rFonts w:asciiTheme="majorBidi" w:hAnsiTheme="majorBidi" w:cstheme="majorBidi"/>
        </w:rPr>
      </w:pPr>
      <w:r w:rsidRPr="004C7F84">
        <w:rPr>
          <w:rFonts w:asciiTheme="majorBidi" w:hAnsiTheme="majorBidi" w:cstheme="majorBidi"/>
        </w:rPr>
        <w:tab/>
      </w:r>
      <w:r w:rsidRPr="004C7F84">
        <w:rPr>
          <w:rFonts w:asciiTheme="majorBidi" w:hAnsiTheme="majorBidi" w:cstheme="majorBidi"/>
        </w:rPr>
        <w:tab/>
      </w:r>
      <w:r w:rsidR="002729C4" w:rsidRPr="004C7F84">
        <w:t>Taux d</w:t>
      </w:r>
      <w:r w:rsidR="00773F5D" w:rsidRPr="004C7F84">
        <w:t>’</w:t>
      </w:r>
      <w:r w:rsidR="002729C4" w:rsidRPr="004C7F84">
        <w:t>alphabétisation et taux d</w:t>
      </w:r>
      <w:r w:rsidR="00773F5D" w:rsidRPr="004C7F84">
        <w:t>’</w:t>
      </w:r>
      <w:r w:rsidR="002729C4" w:rsidRPr="004C7F84">
        <w:t>abandons scolaires</w:t>
      </w:r>
      <w:r w:rsidR="00773F5D" w:rsidRPr="004C7F84">
        <w:t xml:space="preserve"> </w:t>
      </w:r>
    </w:p>
    <w:p w14:paraId="2366B4C2" w14:textId="77777777" w:rsidR="0034195A" w:rsidRPr="004C7F84" w:rsidRDefault="0034195A" w:rsidP="0034195A">
      <w:pPr>
        <w:pStyle w:val="SingleTxt"/>
        <w:spacing w:after="0" w:line="120" w:lineRule="exact"/>
        <w:rPr>
          <w:rFonts w:asciiTheme="majorBidi" w:hAnsiTheme="majorBidi" w:cstheme="majorBidi"/>
          <w:sz w:val="10"/>
        </w:rPr>
      </w:pPr>
    </w:p>
    <w:p w14:paraId="36312921" w14:textId="5AB96B85" w:rsidR="0034195A" w:rsidRPr="004C7F84" w:rsidRDefault="002729C4" w:rsidP="00514306">
      <w:pPr>
        <w:pStyle w:val="SingleTxt"/>
        <w:numPr>
          <w:ilvl w:val="0"/>
          <w:numId w:val="21"/>
        </w:numPr>
        <w:spacing w:line="240" w:lineRule="exact"/>
        <w:ind w:left="1267" w:firstLine="0"/>
        <w:rPr>
          <w:rFonts w:asciiTheme="majorBidi" w:hAnsiTheme="majorBidi" w:cstheme="majorBidi"/>
        </w:rPr>
      </w:pPr>
      <w:r w:rsidRPr="004C7F84">
        <w:t>Le taux d</w:t>
      </w:r>
      <w:r w:rsidR="00773F5D" w:rsidRPr="004C7F84">
        <w:t>’</w:t>
      </w:r>
      <w:r w:rsidRPr="004C7F84">
        <w:t>alphabétisation fonctionnelle (à savoir le pourcentage de personnes de plus de 15</w:t>
      </w:r>
      <w:r w:rsidR="002D4787" w:rsidRPr="004C7F84">
        <w:t> </w:t>
      </w:r>
      <w:r w:rsidRPr="004C7F84">
        <w:t>ans qui ont fait des études pendant</w:t>
      </w:r>
      <w:r w:rsidRPr="004C7F84">
        <w:rPr>
          <w:color w:val="FF0000"/>
        </w:rPr>
        <w:t xml:space="preserve"> </w:t>
      </w:r>
      <w:r w:rsidRPr="004C7F84">
        <w:t>au moins 5</w:t>
      </w:r>
      <w:r w:rsidR="002D4787" w:rsidRPr="004C7F84">
        <w:t> </w:t>
      </w:r>
      <w:r w:rsidRPr="004C7F84">
        <w:t>ans) était estimé à 99</w:t>
      </w:r>
      <w:r w:rsidR="0086373A" w:rsidRPr="004C7F84">
        <w:t> %</w:t>
      </w:r>
      <w:r w:rsidRPr="004C7F84">
        <w:t xml:space="preserve"> en 2</w:t>
      </w:r>
      <w:r w:rsidR="002D4787" w:rsidRPr="004C7F84">
        <w:t xml:space="preserve">011, celui des femmes étant de </w:t>
      </w:r>
      <w:r w:rsidRPr="004C7F84">
        <w:t>99,4</w:t>
      </w:r>
      <w:r w:rsidR="0086373A" w:rsidRPr="004C7F84">
        <w:t> %</w:t>
      </w:r>
      <w:r w:rsidRPr="004C7F84">
        <w:t xml:space="preserve"> et celui des hommes de 94,4</w:t>
      </w:r>
      <w:r w:rsidR="0086373A" w:rsidRPr="004C7F84">
        <w:t> %</w:t>
      </w:r>
      <w:r w:rsidRPr="004C7F84">
        <w:t>. Cette disparité entre les sexes n</w:t>
      </w:r>
      <w:r w:rsidR="00773F5D" w:rsidRPr="004C7F84">
        <w:t>’</w:t>
      </w:r>
      <w:r w:rsidRPr="004C7F84">
        <w:t>est pas surprenante, étant donné que le nombre de filles qui abandonnent leurs études est moins élevé aujourd</w:t>
      </w:r>
      <w:r w:rsidR="00773F5D" w:rsidRPr="004C7F84">
        <w:t>’</w:t>
      </w:r>
      <w:r w:rsidR="002D4787" w:rsidRPr="004C7F84">
        <w:t xml:space="preserve">hui </w:t>
      </w:r>
      <w:r w:rsidRPr="004C7F84">
        <w:t>que celui des garçons.</w:t>
      </w:r>
    </w:p>
    <w:p w14:paraId="1703A8BD" w14:textId="77777777" w:rsidR="0034195A" w:rsidRPr="004C7F84" w:rsidRDefault="0034195A" w:rsidP="0034195A">
      <w:pPr>
        <w:pStyle w:val="SingleTxt"/>
        <w:spacing w:after="0" w:line="120" w:lineRule="exact"/>
        <w:rPr>
          <w:rFonts w:asciiTheme="majorBidi" w:hAnsiTheme="majorBidi" w:cstheme="majorBidi"/>
          <w:sz w:val="10"/>
        </w:rPr>
      </w:pPr>
    </w:p>
    <w:p w14:paraId="2DBE3B23" w14:textId="130D8242" w:rsidR="0034195A" w:rsidRPr="004C7F84" w:rsidRDefault="0034195A" w:rsidP="002729C4">
      <w:pPr>
        <w:pStyle w:val="H4"/>
        <w:ind w:right="1260"/>
      </w:pPr>
      <w:r w:rsidRPr="004C7F84">
        <w:tab/>
      </w:r>
      <w:r w:rsidRPr="004C7F84">
        <w:tab/>
      </w:r>
      <w:r w:rsidR="002729C4" w:rsidRPr="004C7F84">
        <w:t>Éducation préscolaire</w:t>
      </w:r>
    </w:p>
    <w:p w14:paraId="084ACD8F" w14:textId="38BCA78A" w:rsidR="002729C4" w:rsidRPr="004C7F84" w:rsidRDefault="002729C4" w:rsidP="002729C4">
      <w:pPr>
        <w:pStyle w:val="SingleTxt"/>
        <w:spacing w:after="0" w:line="120" w:lineRule="exact"/>
        <w:rPr>
          <w:sz w:val="10"/>
        </w:rPr>
      </w:pPr>
    </w:p>
    <w:p w14:paraId="25C1F296" w14:textId="73B10C08" w:rsidR="002729C4" w:rsidRPr="004C7F84" w:rsidRDefault="002729C4" w:rsidP="00514306">
      <w:pPr>
        <w:pStyle w:val="SingleTxt"/>
        <w:numPr>
          <w:ilvl w:val="0"/>
          <w:numId w:val="21"/>
        </w:numPr>
        <w:spacing w:line="240" w:lineRule="exact"/>
        <w:ind w:left="1267" w:firstLine="0"/>
      </w:pPr>
      <w:r w:rsidRPr="004C7F84">
        <w:t>Environ 70 % des enfants de moins de 5</w:t>
      </w:r>
      <w:r w:rsidR="002D4787" w:rsidRPr="004C7F84">
        <w:t> </w:t>
      </w:r>
      <w:r w:rsidRPr="004C7F84">
        <w:t>ans (77 % de filles et 75,9 </w:t>
      </w:r>
      <w:r w:rsidR="0086373A" w:rsidRPr="004C7F84">
        <w:t>%</w:t>
      </w:r>
      <w:r w:rsidRPr="004C7F84">
        <w:t xml:space="preserve"> de garçons) sont inscrits dans des établissements préscolaires, d</w:t>
      </w:r>
      <w:r w:rsidR="00773F5D" w:rsidRPr="004C7F84">
        <w:t>’</w:t>
      </w:r>
      <w:r w:rsidRPr="004C7F84">
        <w:t>après les données publiées par le Ministère de l</w:t>
      </w:r>
      <w:r w:rsidR="00773F5D" w:rsidRPr="004C7F84">
        <w:t>’</w:t>
      </w:r>
      <w:r w:rsidRPr="004C7F84">
        <w:t>éducation dans son dernier résumé statistique sur l</w:t>
      </w:r>
      <w:r w:rsidR="00773F5D" w:rsidRPr="004C7F84">
        <w:t>’</w:t>
      </w:r>
      <w:r w:rsidR="002D4787" w:rsidRPr="004C7F84">
        <w:t xml:space="preserve">enseignement </w:t>
      </w:r>
      <w:r w:rsidRPr="004C7F84">
        <w:t>(Ministère de l</w:t>
      </w:r>
      <w:r w:rsidR="00773F5D" w:rsidRPr="004C7F84">
        <w:t>’</w:t>
      </w:r>
      <w:r w:rsidRPr="004C7F84">
        <w:t>éducation, 2015</w:t>
      </w:r>
      <w:r w:rsidR="00773F5D" w:rsidRPr="004C7F84">
        <w:t> :</w:t>
      </w:r>
      <w:r w:rsidRPr="004C7F84">
        <w:t xml:space="preserve"> 2). Le nombre de crèches et de garderies qui accueillent des enfants âgés de quelques semaines à 4 ou 5</w:t>
      </w:r>
      <w:r w:rsidR="002D4787" w:rsidRPr="004C7F84">
        <w:t> </w:t>
      </w:r>
      <w:r w:rsidRPr="004C7F84">
        <w:t>ans a augmenté considérablement au cours des dernières décennies, passant d</w:t>
      </w:r>
      <w:r w:rsidR="00773F5D" w:rsidRPr="004C7F84">
        <w:t>’</w:t>
      </w:r>
      <w:r w:rsidRPr="004C7F84">
        <w:t>environ 12</w:t>
      </w:r>
      <w:r w:rsidR="002D4787" w:rsidRPr="004C7F84">
        <w:t> </w:t>
      </w:r>
      <w:r w:rsidRPr="004C7F84">
        <w:t>au début des années 1980 à 92 aujourd</w:t>
      </w:r>
      <w:r w:rsidR="00773F5D" w:rsidRPr="004C7F84">
        <w:t>’</w:t>
      </w:r>
      <w:r w:rsidRPr="004C7F84">
        <w:t>hui. Les femmes possèdent et gèrent la plupart de ces structures, qui sont privées. Les établissements préscolaires offrent des possibilités d</w:t>
      </w:r>
      <w:r w:rsidR="00773F5D" w:rsidRPr="004C7F84">
        <w:t>’</w:t>
      </w:r>
      <w:r w:rsidRPr="004C7F84">
        <w:t>emploi aux femmes du fait que leur personnel (enseignants et assistants) est entièrement féminin.</w:t>
      </w:r>
      <w:r w:rsidR="002D4787" w:rsidRPr="004C7F84">
        <w:t xml:space="preserve"> La croissance considérable des services de garde d</w:t>
      </w:r>
      <w:r w:rsidR="00773F5D" w:rsidRPr="004C7F84">
        <w:t>’</w:t>
      </w:r>
      <w:r w:rsidR="002D4787" w:rsidRPr="004C7F84">
        <w:t xml:space="preserve">enfants </w:t>
      </w:r>
      <w:r w:rsidRPr="004C7F84">
        <w:t>et de l</w:t>
      </w:r>
      <w:r w:rsidR="00773F5D" w:rsidRPr="004C7F84">
        <w:t>’</w:t>
      </w:r>
      <w:r w:rsidRPr="004C7F84">
        <w:t>éducation préscolaire en dehors du foyer a permis à un grand nombre de femmes d</w:t>
      </w:r>
      <w:r w:rsidR="00773F5D" w:rsidRPr="004C7F84">
        <w:t>’</w:t>
      </w:r>
      <w:r w:rsidRPr="004C7F84">
        <w:t xml:space="preserve">entrer sur le marché du travail, leur assurant ainsi une certaine indépendance économique. </w:t>
      </w:r>
    </w:p>
    <w:p w14:paraId="7F2232ED" w14:textId="3E6F407E" w:rsidR="0034195A" w:rsidRPr="004C7F84" w:rsidRDefault="002729C4" w:rsidP="00514306">
      <w:pPr>
        <w:pStyle w:val="SingleTxt"/>
        <w:numPr>
          <w:ilvl w:val="0"/>
          <w:numId w:val="21"/>
        </w:numPr>
        <w:spacing w:line="240" w:lineRule="exact"/>
        <w:ind w:left="1267" w:firstLine="0"/>
      </w:pPr>
      <w:r w:rsidRPr="004C7F84">
        <w:lastRenderedPageBreak/>
        <w:t xml:space="preserve">En février 2008, le premier établissement préscolaire public a été inauguré dans un quartier à faible revenu. </w:t>
      </w:r>
      <w:r w:rsidR="00455FBE" w:rsidRPr="004C7F84">
        <w:t>À</w:t>
      </w:r>
      <w:r w:rsidRPr="004C7F84">
        <w:t xml:space="preserve"> la fin de 2014, le nombre de ces établissements publics ét</w:t>
      </w:r>
      <w:r w:rsidR="002D4787" w:rsidRPr="004C7F84">
        <w:t xml:space="preserve">ait passé à 8. Cette initiative </w:t>
      </w:r>
      <w:r w:rsidRPr="004C7F84">
        <w:t>gouvernementale, dont le coût est minime pour les parents, a beaucoup contribué à aider les familles pauvres.</w:t>
      </w:r>
    </w:p>
    <w:p w14:paraId="5E0897D2" w14:textId="77777777" w:rsidR="0034195A" w:rsidRPr="004C7F84" w:rsidRDefault="0034195A" w:rsidP="0034195A">
      <w:pPr>
        <w:pStyle w:val="SingleTxt"/>
        <w:spacing w:after="0" w:line="120" w:lineRule="exact"/>
        <w:rPr>
          <w:rFonts w:asciiTheme="majorBidi" w:hAnsiTheme="majorBidi" w:cstheme="majorBidi"/>
          <w:sz w:val="10"/>
        </w:rPr>
      </w:pPr>
    </w:p>
    <w:p w14:paraId="0AB53885" w14:textId="55A5032D" w:rsidR="0034195A" w:rsidRPr="004C7F84" w:rsidRDefault="0034195A" w:rsidP="0034195A">
      <w:pPr>
        <w:pStyle w:val="H4"/>
        <w:ind w:right="1260"/>
      </w:pPr>
      <w:r w:rsidRPr="004C7F84">
        <w:tab/>
      </w:r>
      <w:r w:rsidRPr="004C7F84">
        <w:tab/>
      </w:r>
      <w:r w:rsidR="002729C4" w:rsidRPr="004C7F84">
        <w:t>Enseignement primaire</w:t>
      </w:r>
      <w:r w:rsidR="00773F5D" w:rsidRPr="004C7F84">
        <w:t xml:space="preserve"> </w:t>
      </w:r>
    </w:p>
    <w:p w14:paraId="65460900" w14:textId="77777777" w:rsidR="0034195A" w:rsidRPr="004C7F84" w:rsidRDefault="0034195A" w:rsidP="0034195A">
      <w:pPr>
        <w:pStyle w:val="SingleTxt"/>
        <w:spacing w:after="0" w:line="120" w:lineRule="exact"/>
        <w:rPr>
          <w:rFonts w:asciiTheme="majorBidi" w:hAnsiTheme="majorBidi" w:cstheme="majorBidi"/>
          <w:sz w:val="10"/>
        </w:rPr>
      </w:pPr>
    </w:p>
    <w:p w14:paraId="4AD4382A" w14:textId="01810568" w:rsidR="0034195A" w:rsidRPr="004C7F84" w:rsidRDefault="002729C4" w:rsidP="00514306">
      <w:pPr>
        <w:pStyle w:val="SingleTxt"/>
        <w:numPr>
          <w:ilvl w:val="0"/>
          <w:numId w:val="21"/>
        </w:numPr>
        <w:spacing w:line="240" w:lineRule="exact"/>
        <w:ind w:left="1267" w:firstLine="0"/>
        <w:rPr>
          <w:rFonts w:asciiTheme="majorBidi" w:hAnsiTheme="majorBidi" w:cstheme="majorBidi"/>
        </w:rPr>
      </w:pPr>
      <w:r w:rsidRPr="004C7F84">
        <w:t>Les statistiques indiquent que, dans une population donnée, les naissances de garçons sont plus nombreuses que celles de filles, légère différence qui demeure relativement constante (sauf en cas d</w:t>
      </w:r>
      <w:r w:rsidR="00773F5D" w:rsidRPr="004C7F84">
        <w:t>’</w:t>
      </w:r>
      <w:r w:rsidRPr="004C7F84">
        <w:t>infanticides de filles). Cette tendance est apparent</w:t>
      </w:r>
      <w:r w:rsidR="002D4787" w:rsidRPr="004C7F84">
        <w:t xml:space="preserve">e </w:t>
      </w:r>
      <w:r w:rsidRPr="004C7F84">
        <w:t>dans les chiffres d</w:t>
      </w:r>
      <w:r w:rsidR="00773F5D" w:rsidRPr="004C7F84">
        <w:t>’</w:t>
      </w:r>
      <w:r w:rsidRPr="004C7F84">
        <w:t>inscription dans l</w:t>
      </w:r>
      <w:r w:rsidR="00773F5D" w:rsidRPr="004C7F84">
        <w:t>’</w:t>
      </w:r>
      <w:r w:rsidR="002D4787" w:rsidRPr="004C7F84">
        <w:t xml:space="preserve">enseignement </w:t>
      </w:r>
      <w:r w:rsidRPr="004C7F84">
        <w:t>primaire à Antigua-et-Barbuda. Toutefois, les inscriptions de garçons semblent être plus nombreuses que ne le justifie le nombre légèrement plus élevé de naissances de garçons par rapport à celui des fill</w:t>
      </w:r>
      <w:r w:rsidR="002D4787" w:rsidRPr="004C7F84">
        <w:t xml:space="preserve">es, disparité qui est manifeste </w:t>
      </w:r>
      <w:r w:rsidRPr="004C7F84">
        <w:t>dans le tableau 7 ci-dessous</w:t>
      </w:r>
      <w:r w:rsidR="0034195A" w:rsidRPr="004C7F84">
        <w:rPr>
          <w:rFonts w:asciiTheme="majorBidi" w:hAnsiTheme="majorBidi" w:cstheme="majorBidi"/>
        </w:rPr>
        <w:t xml:space="preserve"> </w:t>
      </w:r>
    </w:p>
    <w:p w14:paraId="4A7B8411" w14:textId="77777777" w:rsidR="0034195A" w:rsidRPr="004C7F84" w:rsidRDefault="0034195A" w:rsidP="0034195A">
      <w:pPr>
        <w:pStyle w:val="SingleTxt"/>
        <w:spacing w:after="0" w:line="120" w:lineRule="exact"/>
        <w:rPr>
          <w:rFonts w:asciiTheme="majorBidi" w:hAnsiTheme="majorBidi" w:cstheme="majorBidi"/>
          <w:sz w:val="10"/>
        </w:rPr>
      </w:pPr>
    </w:p>
    <w:p w14:paraId="5E60B255" w14:textId="4F2E9ECC"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b w:val="0"/>
          <w:bCs/>
          <w:lang w:val="fr-FR"/>
        </w:rPr>
        <w:tab/>
      </w:r>
      <w:r w:rsidRPr="004C7F84">
        <w:rPr>
          <w:b w:val="0"/>
          <w:bCs/>
          <w:lang w:val="fr-FR"/>
        </w:rPr>
        <w:tab/>
        <w:t>Table</w:t>
      </w:r>
      <w:r w:rsidR="002729C4" w:rsidRPr="004C7F84">
        <w:rPr>
          <w:b w:val="0"/>
          <w:bCs/>
          <w:lang w:val="fr-FR"/>
        </w:rPr>
        <w:t>au</w:t>
      </w:r>
      <w:r w:rsidRPr="004C7F84">
        <w:rPr>
          <w:b w:val="0"/>
          <w:bCs/>
          <w:lang w:val="fr-FR"/>
        </w:rPr>
        <w:t xml:space="preserve"> 7</w:t>
      </w:r>
      <w:r w:rsidR="002D4787" w:rsidRPr="004C7F84">
        <w:rPr>
          <w:b w:val="0"/>
          <w:bCs/>
          <w:lang w:val="fr-FR"/>
        </w:rPr>
        <w:br/>
      </w:r>
      <w:r w:rsidR="002729C4" w:rsidRPr="004C7F84">
        <w:rPr>
          <w:lang w:val="fr-FR"/>
        </w:rPr>
        <w:t>Disparité entre les sexes dans les inscriptions dans l</w:t>
      </w:r>
      <w:r w:rsidR="00773F5D" w:rsidRPr="004C7F84">
        <w:rPr>
          <w:lang w:val="fr-FR"/>
        </w:rPr>
        <w:t>’</w:t>
      </w:r>
      <w:r w:rsidR="002729C4" w:rsidRPr="004C7F84">
        <w:rPr>
          <w:lang w:val="fr-FR"/>
        </w:rPr>
        <w:t xml:space="preserve">enseignement </w:t>
      </w:r>
      <w:r w:rsidR="002729C4" w:rsidRPr="004C7F84">
        <w:rPr>
          <w:lang w:val="fr-FR"/>
        </w:rPr>
        <w:br/>
        <w:t>primaire au cours des années retenues</w:t>
      </w:r>
    </w:p>
    <w:p w14:paraId="3EA65819" w14:textId="1665AC12" w:rsidR="0034195A" w:rsidRPr="004C7F84" w:rsidRDefault="0034195A" w:rsidP="002D4787">
      <w:pPr>
        <w:pStyle w:val="SingleTxt"/>
        <w:spacing w:after="0" w:line="120" w:lineRule="exact"/>
        <w:rPr>
          <w:rFonts w:asciiTheme="majorBidi" w:hAnsiTheme="majorBidi" w:cstheme="majorBidi"/>
          <w:sz w:val="10"/>
        </w:rPr>
      </w:pPr>
    </w:p>
    <w:p w14:paraId="5586FCB0" w14:textId="77777777" w:rsidR="002D4787" w:rsidRPr="004C7F84" w:rsidRDefault="002D4787" w:rsidP="0034195A">
      <w:pPr>
        <w:pStyle w:val="SingleTxt"/>
        <w:spacing w:after="0" w:line="120" w:lineRule="exact"/>
        <w:rPr>
          <w:rFonts w:asciiTheme="majorBidi" w:hAnsiTheme="majorBidi" w:cstheme="majorBidi"/>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220"/>
        <w:gridCol w:w="1220"/>
        <w:gridCol w:w="1220"/>
        <w:gridCol w:w="1220"/>
        <w:gridCol w:w="1220"/>
        <w:gridCol w:w="1220"/>
      </w:tblGrid>
      <w:tr w:rsidR="0034195A" w:rsidRPr="004C7F84" w14:paraId="08F04E46" w14:textId="77777777" w:rsidTr="0034195A">
        <w:trPr>
          <w:tblHeader/>
        </w:trPr>
        <w:tc>
          <w:tcPr>
            <w:tcW w:w="1220" w:type="dxa"/>
            <w:tcBorders>
              <w:top w:val="single" w:sz="4" w:space="0" w:color="auto"/>
              <w:bottom w:val="single" w:sz="12" w:space="0" w:color="auto"/>
            </w:tcBorders>
            <w:shd w:val="clear" w:color="auto" w:fill="auto"/>
            <w:vAlign w:val="bottom"/>
          </w:tcPr>
          <w:p w14:paraId="0E8E7C2B" w14:textId="368CFB52" w:rsidR="0034195A" w:rsidRPr="004C7F84" w:rsidRDefault="002729C4" w:rsidP="0034195A">
            <w:pPr>
              <w:spacing w:before="81" w:after="81" w:line="160" w:lineRule="exact"/>
              <w:ind w:right="40"/>
              <w:rPr>
                <w:i/>
                <w:sz w:val="14"/>
              </w:rPr>
            </w:pPr>
            <w:r w:rsidRPr="004C7F84">
              <w:rPr>
                <w:i/>
                <w:sz w:val="14"/>
              </w:rPr>
              <w:t>Année</w:t>
            </w:r>
          </w:p>
        </w:tc>
        <w:tc>
          <w:tcPr>
            <w:tcW w:w="1220" w:type="dxa"/>
            <w:tcBorders>
              <w:top w:val="single" w:sz="4" w:space="0" w:color="auto"/>
              <w:bottom w:val="single" w:sz="12" w:space="0" w:color="auto"/>
            </w:tcBorders>
            <w:shd w:val="clear" w:color="auto" w:fill="auto"/>
            <w:vAlign w:val="bottom"/>
          </w:tcPr>
          <w:p w14:paraId="0B3E433C" w14:textId="77777777" w:rsidR="0034195A" w:rsidRPr="004C7F84" w:rsidRDefault="0034195A" w:rsidP="0034195A">
            <w:pPr>
              <w:spacing w:before="81" w:after="81" w:line="160" w:lineRule="exact"/>
              <w:ind w:left="144" w:right="40"/>
              <w:jc w:val="right"/>
              <w:rPr>
                <w:i/>
                <w:sz w:val="14"/>
              </w:rPr>
            </w:pPr>
            <w:r w:rsidRPr="004C7F84">
              <w:rPr>
                <w:i/>
                <w:sz w:val="14"/>
              </w:rPr>
              <w:t>1994/1995</w:t>
            </w:r>
          </w:p>
        </w:tc>
        <w:tc>
          <w:tcPr>
            <w:tcW w:w="1220" w:type="dxa"/>
            <w:tcBorders>
              <w:top w:val="single" w:sz="4" w:space="0" w:color="auto"/>
              <w:bottom w:val="single" w:sz="12" w:space="0" w:color="auto"/>
            </w:tcBorders>
            <w:shd w:val="clear" w:color="auto" w:fill="auto"/>
            <w:vAlign w:val="bottom"/>
          </w:tcPr>
          <w:p w14:paraId="6EA5FE74" w14:textId="77777777" w:rsidR="0034195A" w:rsidRPr="004C7F84" w:rsidRDefault="0034195A" w:rsidP="0034195A">
            <w:pPr>
              <w:spacing w:before="81" w:after="81" w:line="160" w:lineRule="exact"/>
              <w:ind w:left="144" w:right="40"/>
              <w:jc w:val="right"/>
              <w:rPr>
                <w:i/>
                <w:sz w:val="14"/>
              </w:rPr>
            </w:pPr>
            <w:r w:rsidRPr="004C7F84">
              <w:rPr>
                <w:i/>
                <w:sz w:val="14"/>
              </w:rPr>
              <w:t>1999/2000</w:t>
            </w:r>
          </w:p>
        </w:tc>
        <w:tc>
          <w:tcPr>
            <w:tcW w:w="1220" w:type="dxa"/>
            <w:tcBorders>
              <w:top w:val="single" w:sz="4" w:space="0" w:color="auto"/>
              <w:bottom w:val="single" w:sz="12" w:space="0" w:color="auto"/>
            </w:tcBorders>
            <w:shd w:val="clear" w:color="auto" w:fill="auto"/>
            <w:vAlign w:val="bottom"/>
          </w:tcPr>
          <w:p w14:paraId="711FA80A" w14:textId="77777777" w:rsidR="0034195A" w:rsidRPr="004C7F84" w:rsidRDefault="0034195A" w:rsidP="0034195A">
            <w:pPr>
              <w:spacing w:before="81" w:after="81" w:line="160" w:lineRule="exact"/>
              <w:ind w:left="144" w:right="40"/>
              <w:jc w:val="right"/>
              <w:rPr>
                <w:i/>
                <w:sz w:val="14"/>
              </w:rPr>
            </w:pPr>
            <w:r w:rsidRPr="004C7F84">
              <w:rPr>
                <w:i/>
                <w:sz w:val="14"/>
              </w:rPr>
              <w:t>2010/2011</w:t>
            </w:r>
          </w:p>
        </w:tc>
        <w:tc>
          <w:tcPr>
            <w:tcW w:w="1220" w:type="dxa"/>
            <w:tcBorders>
              <w:top w:val="single" w:sz="4" w:space="0" w:color="auto"/>
              <w:bottom w:val="single" w:sz="12" w:space="0" w:color="auto"/>
            </w:tcBorders>
            <w:shd w:val="clear" w:color="auto" w:fill="auto"/>
            <w:vAlign w:val="bottom"/>
          </w:tcPr>
          <w:p w14:paraId="667E8A3B" w14:textId="77777777" w:rsidR="0034195A" w:rsidRPr="004C7F84" w:rsidRDefault="0034195A" w:rsidP="0034195A">
            <w:pPr>
              <w:spacing w:before="81" w:after="81" w:line="160" w:lineRule="exact"/>
              <w:ind w:left="144" w:right="40"/>
              <w:jc w:val="right"/>
              <w:rPr>
                <w:i/>
                <w:sz w:val="14"/>
              </w:rPr>
            </w:pPr>
            <w:r w:rsidRPr="004C7F84">
              <w:rPr>
                <w:i/>
                <w:sz w:val="14"/>
              </w:rPr>
              <w:t>2011/2012</w:t>
            </w:r>
          </w:p>
        </w:tc>
        <w:tc>
          <w:tcPr>
            <w:tcW w:w="1220" w:type="dxa"/>
            <w:tcBorders>
              <w:top w:val="single" w:sz="4" w:space="0" w:color="auto"/>
              <w:bottom w:val="single" w:sz="12" w:space="0" w:color="auto"/>
            </w:tcBorders>
            <w:shd w:val="clear" w:color="auto" w:fill="auto"/>
            <w:vAlign w:val="bottom"/>
          </w:tcPr>
          <w:p w14:paraId="1F89EA5A" w14:textId="77777777" w:rsidR="0034195A" w:rsidRPr="004C7F84" w:rsidRDefault="0034195A" w:rsidP="0034195A">
            <w:pPr>
              <w:spacing w:before="81" w:after="81" w:line="160" w:lineRule="exact"/>
              <w:ind w:left="144" w:right="40"/>
              <w:jc w:val="right"/>
              <w:rPr>
                <w:i/>
                <w:sz w:val="14"/>
              </w:rPr>
            </w:pPr>
            <w:r w:rsidRPr="004C7F84">
              <w:rPr>
                <w:i/>
                <w:sz w:val="14"/>
              </w:rPr>
              <w:t>2014/2015</w:t>
            </w:r>
          </w:p>
        </w:tc>
      </w:tr>
      <w:tr w:rsidR="0034195A" w:rsidRPr="004C7F84" w14:paraId="4B162D2E" w14:textId="77777777" w:rsidTr="0034195A">
        <w:trPr>
          <w:trHeight w:hRule="exact" w:val="115"/>
          <w:tblHeader/>
        </w:trPr>
        <w:tc>
          <w:tcPr>
            <w:tcW w:w="1220" w:type="dxa"/>
            <w:tcBorders>
              <w:top w:val="single" w:sz="12" w:space="0" w:color="auto"/>
            </w:tcBorders>
            <w:shd w:val="clear" w:color="auto" w:fill="auto"/>
            <w:vAlign w:val="bottom"/>
          </w:tcPr>
          <w:p w14:paraId="05F7832A" w14:textId="77777777" w:rsidR="0034195A" w:rsidRPr="004C7F84" w:rsidRDefault="0034195A" w:rsidP="0034195A">
            <w:pPr>
              <w:spacing w:before="40" w:after="40" w:line="210" w:lineRule="exact"/>
              <w:ind w:right="40"/>
              <w:rPr>
                <w:sz w:val="17"/>
              </w:rPr>
            </w:pPr>
          </w:p>
        </w:tc>
        <w:tc>
          <w:tcPr>
            <w:tcW w:w="1220" w:type="dxa"/>
            <w:tcBorders>
              <w:top w:val="single" w:sz="12" w:space="0" w:color="auto"/>
            </w:tcBorders>
            <w:shd w:val="clear" w:color="auto" w:fill="auto"/>
            <w:vAlign w:val="bottom"/>
          </w:tcPr>
          <w:p w14:paraId="036F8A6C" w14:textId="77777777" w:rsidR="0034195A" w:rsidRPr="004C7F84" w:rsidRDefault="0034195A" w:rsidP="0034195A">
            <w:pPr>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691E127F" w14:textId="77777777" w:rsidR="0034195A" w:rsidRPr="004C7F84" w:rsidRDefault="0034195A" w:rsidP="0034195A">
            <w:pPr>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41B873FE" w14:textId="77777777" w:rsidR="0034195A" w:rsidRPr="004C7F84" w:rsidRDefault="0034195A" w:rsidP="0034195A">
            <w:pPr>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5C46B9A7" w14:textId="77777777" w:rsidR="0034195A" w:rsidRPr="004C7F84" w:rsidRDefault="0034195A" w:rsidP="0034195A">
            <w:pPr>
              <w:spacing w:before="40" w:after="40" w:line="210" w:lineRule="exact"/>
              <w:ind w:left="144" w:right="40"/>
              <w:jc w:val="right"/>
              <w:rPr>
                <w:sz w:val="17"/>
              </w:rPr>
            </w:pPr>
          </w:p>
        </w:tc>
        <w:tc>
          <w:tcPr>
            <w:tcW w:w="1220" w:type="dxa"/>
            <w:tcBorders>
              <w:top w:val="single" w:sz="12" w:space="0" w:color="auto"/>
            </w:tcBorders>
            <w:shd w:val="clear" w:color="auto" w:fill="auto"/>
            <w:vAlign w:val="bottom"/>
          </w:tcPr>
          <w:p w14:paraId="204D2877" w14:textId="77777777" w:rsidR="0034195A" w:rsidRPr="004C7F84" w:rsidRDefault="0034195A" w:rsidP="0034195A">
            <w:pPr>
              <w:spacing w:before="40" w:after="40" w:line="210" w:lineRule="exact"/>
              <w:ind w:left="144" w:right="40"/>
              <w:jc w:val="right"/>
              <w:rPr>
                <w:sz w:val="17"/>
              </w:rPr>
            </w:pPr>
          </w:p>
        </w:tc>
      </w:tr>
      <w:tr w:rsidR="0034195A" w:rsidRPr="004C7F84" w14:paraId="14AC1609" w14:textId="77777777" w:rsidTr="0034195A">
        <w:tc>
          <w:tcPr>
            <w:tcW w:w="1220" w:type="dxa"/>
            <w:tcBorders>
              <w:bottom w:val="single" w:sz="12" w:space="0" w:color="auto"/>
            </w:tcBorders>
            <w:shd w:val="clear" w:color="auto" w:fill="auto"/>
            <w:vAlign w:val="bottom"/>
          </w:tcPr>
          <w:p w14:paraId="2CD01049" w14:textId="5B67D3F4" w:rsidR="0034195A" w:rsidRPr="004C7F84" w:rsidRDefault="002729C4" w:rsidP="0034195A">
            <w:pPr>
              <w:tabs>
                <w:tab w:val="left" w:pos="288"/>
                <w:tab w:val="left" w:pos="576"/>
                <w:tab w:val="left" w:pos="864"/>
                <w:tab w:val="left" w:pos="1152"/>
              </w:tabs>
              <w:spacing w:before="40" w:after="40" w:line="210" w:lineRule="exact"/>
              <w:ind w:right="40"/>
              <w:rPr>
                <w:sz w:val="17"/>
              </w:rPr>
            </w:pPr>
            <w:r w:rsidRPr="004C7F84">
              <w:rPr>
                <w:sz w:val="17"/>
              </w:rPr>
              <w:t>Disparité</w:t>
            </w:r>
          </w:p>
        </w:tc>
        <w:tc>
          <w:tcPr>
            <w:tcW w:w="1220" w:type="dxa"/>
            <w:tcBorders>
              <w:bottom w:val="single" w:sz="12" w:space="0" w:color="auto"/>
            </w:tcBorders>
            <w:shd w:val="clear" w:color="auto" w:fill="auto"/>
            <w:vAlign w:val="bottom"/>
          </w:tcPr>
          <w:p w14:paraId="450D7A70" w14:textId="64504DD0" w:rsidR="0034195A" w:rsidRPr="004C7F84" w:rsidRDefault="002729C4"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6,</w:t>
            </w:r>
            <w:r w:rsidR="0034195A" w:rsidRPr="004C7F84">
              <w:rPr>
                <w:sz w:val="17"/>
              </w:rPr>
              <w:t>8</w:t>
            </w:r>
            <w:r w:rsidRPr="004C7F84">
              <w:rPr>
                <w:sz w:val="17"/>
              </w:rPr>
              <w:t> </w:t>
            </w:r>
            <w:r w:rsidR="0034195A" w:rsidRPr="004C7F84">
              <w:rPr>
                <w:sz w:val="17"/>
              </w:rPr>
              <w:t>%</w:t>
            </w:r>
          </w:p>
        </w:tc>
        <w:tc>
          <w:tcPr>
            <w:tcW w:w="1220" w:type="dxa"/>
            <w:tcBorders>
              <w:bottom w:val="single" w:sz="12" w:space="0" w:color="auto"/>
            </w:tcBorders>
            <w:shd w:val="clear" w:color="auto" w:fill="auto"/>
            <w:vAlign w:val="bottom"/>
          </w:tcPr>
          <w:p w14:paraId="311F0430" w14:textId="0504E155" w:rsidR="0034195A" w:rsidRPr="004C7F84" w:rsidRDefault="0034195A" w:rsidP="002729C4">
            <w:pPr>
              <w:tabs>
                <w:tab w:val="left" w:pos="288"/>
                <w:tab w:val="left" w:pos="576"/>
                <w:tab w:val="left" w:pos="864"/>
                <w:tab w:val="left" w:pos="1152"/>
              </w:tabs>
              <w:spacing w:before="40" w:after="40" w:line="210" w:lineRule="exact"/>
              <w:ind w:left="144" w:right="40"/>
              <w:jc w:val="right"/>
              <w:rPr>
                <w:sz w:val="17"/>
              </w:rPr>
            </w:pPr>
            <w:r w:rsidRPr="004C7F84">
              <w:rPr>
                <w:sz w:val="17"/>
              </w:rPr>
              <w:t>4</w:t>
            </w:r>
            <w:r w:rsidR="002729C4" w:rsidRPr="004C7F84">
              <w:rPr>
                <w:sz w:val="17"/>
              </w:rPr>
              <w:t>,</w:t>
            </w:r>
            <w:r w:rsidRPr="004C7F84">
              <w:rPr>
                <w:sz w:val="17"/>
              </w:rPr>
              <w:t>0</w:t>
            </w:r>
            <w:r w:rsidR="002729C4" w:rsidRPr="004C7F84">
              <w:rPr>
                <w:sz w:val="17"/>
              </w:rPr>
              <w:t> </w:t>
            </w:r>
            <w:r w:rsidRPr="004C7F84">
              <w:rPr>
                <w:sz w:val="17"/>
              </w:rPr>
              <w:t>%</w:t>
            </w:r>
          </w:p>
        </w:tc>
        <w:tc>
          <w:tcPr>
            <w:tcW w:w="1220" w:type="dxa"/>
            <w:tcBorders>
              <w:bottom w:val="single" w:sz="12" w:space="0" w:color="auto"/>
            </w:tcBorders>
            <w:shd w:val="clear" w:color="auto" w:fill="auto"/>
            <w:vAlign w:val="bottom"/>
          </w:tcPr>
          <w:p w14:paraId="0DF075B0" w14:textId="21BC26D2" w:rsidR="0034195A" w:rsidRPr="004C7F84" w:rsidRDefault="0034195A" w:rsidP="002729C4">
            <w:pPr>
              <w:tabs>
                <w:tab w:val="left" w:pos="288"/>
                <w:tab w:val="left" w:pos="576"/>
                <w:tab w:val="left" w:pos="864"/>
                <w:tab w:val="left" w:pos="1152"/>
              </w:tabs>
              <w:spacing w:before="40" w:after="40" w:line="210" w:lineRule="exact"/>
              <w:ind w:left="144" w:right="40"/>
              <w:jc w:val="right"/>
              <w:rPr>
                <w:sz w:val="17"/>
              </w:rPr>
            </w:pPr>
            <w:r w:rsidRPr="004C7F84">
              <w:rPr>
                <w:sz w:val="17"/>
              </w:rPr>
              <w:t>4</w:t>
            </w:r>
            <w:r w:rsidR="002729C4" w:rsidRPr="004C7F84">
              <w:rPr>
                <w:sz w:val="17"/>
              </w:rPr>
              <w:t>,</w:t>
            </w:r>
            <w:r w:rsidRPr="004C7F84">
              <w:rPr>
                <w:sz w:val="17"/>
              </w:rPr>
              <w:t>6</w:t>
            </w:r>
            <w:r w:rsidR="002729C4" w:rsidRPr="004C7F84">
              <w:rPr>
                <w:sz w:val="17"/>
              </w:rPr>
              <w:t> </w:t>
            </w:r>
            <w:r w:rsidRPr="004C7F84">
              <w:rPr>
                <w:sz w:val="17"/>
              </w:rPr>
              <w:t>%</w:t>
            </w:r>
          </w:p>
        </w:tc>
        <w:tc>
          <w:tcPr>
            <w:tcW w:w="1220" w:type="dxa"/>
            <w:tcBorders>
              <w:bottom w:val="single" w:sz="12" w:space="0" w:color="auto"/>
            </w:tcBorders>
            <w:shd w:val="clear" w:color="auto" w:fill="auto"/>
            <w:vAlign w:val="bottom"/>
          </w:tcPr>
          <w:p w14:paraId="5CDFA904" w14:textId="4C226F0A" w:rsidR="0034195A" w:rsidRPr="004C7F84" w:rsidRDefault="0034195A" w:rsidP="002729C4">
            <w:pPr>
              <w:tabs>
                <w:tab w:val="left" w:pos="288"/>
                <w:tab w:val="left" w:pos="576"/>
                <w:tab w:val="left" w:pos="864"/>
                <w:tab w:val="left" w:pos="1152"/>
              </w:tabs>
              <w:spacing w:before="40" w:after="40" w:line="210" w:lineRule="exact"/>
              <w:ind w:left="144" w:right="40"/>
              <w:jc w:val="right"/>
              <w:rPr>
                <w:sz w:val="17"/>
              </w:rPr>
            </w:pPr>
            <w:r w:rsidRPr="004C7F84">
              <w:rPr>
                <w:sz w:val="17"/>
              </w:rPr>
              <w:t>3</w:t>
            </w:r>
            <w:r w:rsidR="002729C4" w:rsidRPr="004C7F84">
              <w:rPr>
                <w:sz w:val="17"/>
              </w:rPr>
              <w:t>,</w:t>
            </w:r>
            <w:r w:rsidRPr="004C7F84">
              <w:rPr>
                <w:sz w:val="17"/>
              </w:rPr>
              <w:t>6</w:t>
            </w:r>
            <w:r w:rsidR="002729C4" w:rsidRPr="004C7F84">
              <w:rPr>
                <w:sz w:val="17"/>
              </w:rPr>
              <w:t> </w:t>
            </w:r>
            <w:r w:rsidRPr="004C7F84">
              <w:rPr>
                <w:sz w:val="17"/>
              </w:rPr>
              <w:t>%</w:t>
            </w:r>
          </w:p>
        </w:tc>
        <w:tc>
          <w:tcPr>
            <w:tcW w:w="1220" w:type="dxa"/>
            <w:tcBorders>
              <w:bottom w:val="single" w:sz="12" w:space="0" w:color="auto"/>
            </w:tcBorders>
            <w:shd w:val="clear" w:color="auto" w:fill="auto"/>
            <w:vAlign w:val="bottom"/>
          </w:tcPr>
          <w:p w14:paraId="0B63F49E" w14:textId="7189678D"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w:t>
            </w:r>
            <w:r w:rsidR="002729C4" w:rsidRPr="004C7F84">
              <w:rPr>
                <w:sz w:val="17"/>
              </w:rPr>
              <w:t>,</w:t>
            </w:r>
            <w:r w:rsidRPr="004C7F84">
              <w:rPr>
                <w:sz w:val="17"/>
              </w:rPr>
              <w:t>7</w:t>
            </w:r>
            <w:r w:rsidR="002729C4" w:rsidRPr="004C7F84">
              <w:rPr>
                <w:sz w:val="17"/>
              </w:rPr>
              <w:t> </w:t>
            </w:r>
            <w:r w:rsidRPr="004C7F84">
              <w:rPr>
                <w:sz w:val="17"/>
              </w:rPr>
              <w:t>%</w:t>
            </w:r>
          </w:p>
        </w:tc>
      </w:tr>
    </w:tbl>
    <w:p w14:paraId="28D6196F" w14:textId="77777777" w:rsidR="0034195A" w:rsidRPr="004C7F84" w:rsidRDefault="0034195A" w:rsidP="0034195A">
      <w:pPr>
        <w:pStyle w:val="SingleTxt"/>
        <w:spacing w:after="0" w:line="120" w:lineRule="exact"/>
        <w:rPr>
          <w:rFonts w:asciiTheme="majorBidi" w:hAnsiTheme="majorBidi" w:cstheme="majorBidi"/>
          <w:sz w:val="10"/>
        </w:rPr>
      </w:pPr>
    </w:p>
    <w:p w14:paraId="389A79B6" w14:textId="06AD84C2" w:rsidR="0034195A" w:rsidRPr="004C7F84" w:rsidRDefault="002729C4" w:rsidP="0034195A">
      <w:pPr>
        <w:pStyle w:val="FootnoteText"/>
        <w:tabs>
          <w:tab w:val="clear" w:pos="418"/>
          <w:tab w:val="right" w:pos="1476"/>
          <w:tab w:val="left" w:pos="1548"/>
          <w:tab w:val="right" w:pos="1836"/>
          <w:tab w:val="left" w:pos="1908"/>
        </w:tabs>
        <w:ind w:left="1548" w:right="1267" w:hanging="288"/>
      </w:pPr>
      <w:r w:rsidRPr="004C7F84">
        <w:rPr>
          <w:i/>
          <w:iCs/>
        </w:rPr>
        <w:t>Source principale</w:t>
      </w:r>
      <w:r w:rsidR="00773F5D" w:rsidRPr="004C7F84">
        <w:rPr>
          <w:i/>
          <w:iCs/>
        </w:rPr>
        <w:t> :</w:t>
      </w:r>
      <w:r w:rsidR="0034195A" w:rsidRPr="004C7F84">
        <w:t xml:space="preserve"> </w:t>
      </w:r>
      <w:r w:rsidRPr="004C7F84">
        <w:t>Statistiques du Ministère de l</w:t>
      </w:r>
      <w:r w:rsidR="00773F5D" w:rsidRPr="004C7F84">
        <w:t>’</w:t>
      </w:r>
      <w:r w:rsidRPr="004C7F84">
        <w:t>éducation (recueillies par Osoba, 2015)</w:t>
      </w:r>
      <w:r w:rsidR="006A1BA1" w:rsidRPr="004C7F84">
        <w:t>.</w:t>
      </w:r>
    </w:p>
    <w:p w14:paraId="193C1269" w14:textId="77777777" w:rsidR="0034195A" w:rsidRPr="004C7F84" w:rsidRDefault="0034195A" w:rsidP="0034195A">
      <w:pPr>
        <w:pStyle w:val="SingleTxt"/>
        <w:spacing w:after="0" w:line="120" w:lineRule="exact"/>
        <w:rPr>
          <w:rFonts w:asciiTheme="majorBidi" w:hAnsiTheme="majorBidi" w:cstheme="majorBidi"/>
          <w:sz w:val="10"/>
        </w:rPr>
      </w:pPr>
    </w:p>
    <w:p w14:paraId="309B1113" w14:textId="77777777" w:rsidR="0034195A" w:rsidRPr="004C7F84" w:rsidRDefault="0034195A" w:rsidP="0034195A">
      <w:pPr>
        <w:pStyle w:val="SingleTxt"/>
        <w:spacing w:after="0" w:line="120" w:lineRule="exact"/>
        <w:rPr>
          <w:rFonts w:asciiTheme="majorBidi" w:hAnsiTheme="majorBidi" w:cstheme="majorBidi"/>
          <w:sz w:val="10"/>
        </w:rPr>
      </w:pPr>
    </w:p>
    <w:p w14:paraId="47EAD1F4" w14:textId="571BB70A" w:rsidR="0034195A" w:rsidRPr="004C7F84" w:rsidRDefault="006A1BA1" w:rsidP="00514306">
      <w:pPr>
        <w:pStyle w:val="SingleTxt"/>
        <w:numPr>
          <w:ilvl w:val="0"/>
          <w:numId w:val="21"/>
        </w:numPr>
        <w:spacing w:line="240" w:lineRule="exact"/>
        <w:ind w:left="1267" w:firstLine="0"/>
        <w:rPr>
          <w:rFonts w:asciiTheme="majorBidi" w:hAnsiTheme="majorBidi" w:cstheme="majorBidi"/>
        </w:rPr>
      </w:pPr>
      <w:r w:rsidRPr="004C7F84">
        <w:t>Les statistiques indiquent également que cette disparité est en diminution. Si une discrimination existe réellement à l</w:t>
      </w:r>
      <w:r w:rsidR="00773F5D" w:rsidRPr="004C7F84">
        <w:t>’</w:t>
      </w:r>
      <w:r w:rsidRPr="004C7F84">
        <w:t>égard des filles, cette tendance à la baisse du taux de scolarisation dans l</w:t>
      </w:r>
      <w:r w:rsidR="00773F5D" w:rsidRPr="004C7F84">
        <w:t>’</w:t>
      </w:r>
      <w:r w:rsidRPr="004C7F84">
        <w:t>enseignement primaire montre qu</w:t>
      </w:r>
      <w:r w:rsidR="00773F5D" w:rsidRPr="004C7F84">
        <w:t>’</w:t>
      </w:r>
      <w:r w:rsidRPr="004C7F84">
        <w:t>elle est en train de disparaître.</w:t>
      </w:r>
    </w:p>
    <w:p w14:paraId="1685657E" w14:textId="77777777" w:rsidR="0034195A" w:rsidRPr="004C7F84" w:rsidRDefault="0034195A" w:rsidP="0034195A">
      <w:pPr>
        <w:pStyle w:val="SingleTxt"/>
        <w:spacing w:after="0" w:line="120" w:lineRule="exact"/>
        <w:rPr>
          <w:rFonts w:asciiTheme="majorBidi" w:hAnsiTheme="majorBidi" w:cstheme="majorBidi"/>
          <w:sz w:val="10"/>
        </w:rPr>
      </w:pPr>
    </w:p>
    <w:p w14:paraId="1693632D" w14:textId="307140DA" w:rsidR="0034195A" w:rsidRPr="004C7F84" w:rsidRDefault="0034195A" w:rsidP="0034195A">
      <w:pPr>
        <w:pStyle w:val="H4"/>
        <w:ind w:right="1260"/>
      </w:pPr>
      <w:r w:rsidRPr="004C7F84">
        <w:tab/>
      </w:r>
      <w:r w:rsidRPr="004C7F84">
        <w:tab/>
      </w:r>
      <w:r w:rsidR="006A1BA1" w:rsidRPr="004C7F84">
        <w:t>Enseignement secondaire</w:t>
      </w:r>
      <w:r w:rsidRPr="004C7F84">
        <w:t xml:space="preserve"> </w:t>
      </w:r>
    </w:p>
    <w:p w14:paraId="2F506501" w14:textId="77777777" w:rsidR="0034195A" w:rsidRPr="004C7F84" w:rsidRDefault="0034195A" w:rsidP="0034195A">
      <w:pPr>
        <w:pStyle w:val="SingleTxt"/>
        <w:spacing w:after="0" w:line="120" w:lineRule="exact"/>
        <w:rPr>
          <w:rFonts w:asciiTheme="majorBidi" w:hAnsiTheme="majorBidi" w:cstheme="majorBidi"/>
          <w:sz w:val="10"/>
        </w:rPr>
      </w:pPr>
    </w:p>
    <w:p w14:paraId="6AC72C93" w14:textId="0201AF2B" w:rsidR="006A1BA1" w:rsidRPr="004C7F84" w:rsidRDefault="006A1BA1" w:rsidP="00514306">
      <w:pPr>
        <w:pStyle w:val="SingleTxt"/>
        <w:numPr>
          <w:ilvl w:val="0"/>
          <w:numId w:val="21"/>
        </w:numPr>
        <w:spacing w:line="240" w:lineRule="exact"/>
        <w:ind w:left="1267" w:firstLine="0"/>
      </w:pPr>
      <w:r w:rsidRPr="004C7F84">
        <w:t>Lorsqu</w:t>
      </w:r>
      <w:r w:rsidR="00773F5D" w:rsidRPr="004C7F84">
        <w:t>’</w:t>
      </w:r>
      <w:r w:rsidRPr="004C7F84">
        <w:t>on examine les taux de scolarisation dans l</w:t>
      </w:r>
      <w:r w:rsidR="00773F5D" w:rsidRPr="004C7F84">
        <w:t>’</w:t>
      </w:r>
      <w:r w:rsidRPr="004C7F84">
        <w:t>enseignement secondaire, la disparité entre les sexes est inversée en faveur des filles. Dans son dernier résumé statistique sur l</w:t>
      </w:r>
      <w:r w:rsidR="00773F5D" w:rsidRPr="004C7F84">
        <w:t>’</w:t>
      </w:r>
      <w:r w:rsidRPr="004C7F84">
        <w:t>enseignement, le Ministère de l</w:t>
      </w:r>
      <w:r w:rsidR="00773F5D" w:rsidRPr="004C7F84">
        <w:t>’</w:t>
      </w:r>
      <w:r w:rsidRPr="004C7F84">
        <w:t>éducation a noté que, d</w:t>
      </w:r>
      <w:r w:rsidR="00773F5D" w:rsidRPr="004C7F84">
        <w:t>’</w:t>
      </w:r>
      <w:r w:rsidRPr="004C7F84">
        <w:t>après les données du recensement, les filles ont nettement bénéficié de l</w:t>
      </w:r>
      <w:r w:rsidR="00773F5D" w:rsidRPr="004C7F84">
        <w:t>’</w:t>
      </w:r>
      <w:r w:rsidRPr="004C7F84">
        <w:t>accès accru</w:t>
      </w:r>
      <w:r w:rsidR="002D4787" w:rsidRPr="004C7F84">
        <w:t xml:space="preserve"> </w:t>
      </w:r>
      <w:r w:rsidRPr="004C7F84">
        <w:t>à l</w:t>
      </w:r>
      <w:r w:rsidR="00773F5D" w:rsidRPr="004C7F84">
        <w:t>’</w:t>
      </w:r>
      <w:r w:rsidRPr="004C7F84">
        <w:t>enseignement secondaire et de la demande plus grande dans ce domaine (Ministère de l</w:t>
      </w:r>
      <w:r w:rsidR="00773F5D" w:rsidRPr="004C7F84">
        <w:t>’</w:t>
      </w:r>
      <w:r w:rsidRPr="004C7F84">
        <w:t>éducation, 2015</w:t>
      </w:r>
      <w:r w:rsidR="00773F5D" w:rsidRPr="004C7F84">
        <w:t> :</w:t>
      </w:r>
      <w:r w:rsidRPr="004C7F84">
        <w:t xml:space="preserve"> 100). La disparité dans les taux de scolarisation des garçons et des filles dans l</w:t>
      </w:r>
      <w:r w:rsidR="00773F5D" w:rsidRPr="004C7F84">
        <w:t>’</w:t>
      </w:r>
      <w:r w:rsidRPr="004C7F84">
        <w:t>enseignement secondaire est beaucoup moins grande</w:t>
      </w:r>
      <w:r w:rsidRPr="004C7F84">
        <w:rPr>
          <w:color w:val="FF0000"/>
        </w:rPr>
        <w:t xml:space="preserve"> </w:t>
      </w:r>
      <w:r w:rsidRPr="004C7F84">
        <w:t>depuis que l</w:t>
      </w:r>
      <w:r w:rsidR="00773F5D" w:rsidRPr="004C7F84">
        <w:t>’</w:t>
      </w:r>
      <w:r w:rsidRPr="004C7F84">
        <w:t>enseignement secondaire est devenu universel, à partir de l</w:t>
      </w:r>
      <w:r w:rsidR="00773F5D" w:rsidRPr="004C7F84">
        <w:t>’</w:t>
      </w:r>
      <w:r w:rsidRPr="004C7F84">
        <w:t>année scolaire 2013</w:t>
      </w:r>
      <w:r w:rsidR="002D4787" w:rsidRPr="004C7F84">
        <w:t>­</w:t>
      </w:r>
      <w:r w:rsidRPr="004C7F84">
        <w:t>2014.</w:t>
      </w:r>
    </w:p>
    <w:p w14:paraId="35C0891E" w14:textId="5764D8C2" w:rsidR="0034195A" w:rsidRPr="004C7F84" w:rsidRDefault="006A1BA1" w:rsidP="00514306">
      <w:pPr>
        <w:pStyle w:val="SingleTxt"/>
        <w:numPr>
          <w:ilvl w:val="0"/>
          <w:numId w:val="21"/>
        </w:numPr>
        <w:spacing w:line="240" w:lineRule="exact"/>
        <w:ind w:left="1267" w:firstLine="0"/>
        <w:rPr>
          <w:rFonts w:asciiTheme="majorBidi" w:hAnsiTheme="majorBidi" w:cstheme="majorBidi"/>
        </w:rPr>
      </w:pPr>
      <w:r w:rsidRPr="004C7F84">
        <w:t>Au cours de l</w:t>
      </w:r>
      <w:r w:rsidR="00773F5D" w:rsidRPr="004C7F84">
        <w:t>’</w:t>
      </w:r>
      <w:r w:rsidR="002D4787" w:rsidRPr="004C7F84">
        <w:t>année scolaire 2011-</w:t>
      </w:r>
      <w:r w:rsidRPr="004C7F84">
        <w:t>2102, il y avait 3</w:t>
      </w:r>
      <w:r w:rsidR="002D4787" w:rsidRPr="004C7F84">
        <w:t xml:space="preserve"> 920 garçons inscrits </w:t>
      </w:r>
      <w:r w:rsidRPr="004C7F84">
        <w:t>(48</w:t>
      </w:r>
      <w:r w:rsidR="0086373A" w:rsidRPr="004C7F84">
        <w:t> %</w:t>
      </w:r>
      <w:r w:rsidRPr="004C7F84">
        <w:t xml:space="preserve"> du total) et 3</w:t>
      </w:r>
      <w:r w:rsidR="002D4787" w:rsidRPr="004C7F84">
        <w:t> </w:t>
      </w:r>
      <w:r w:rsidRPr="004C7F84">
        <w:t>987 filles (51,8</w:t>
      </w:r>
      <w:r w:rsidR="0086373A" w:rsidRPr="004C7F84">
        <w:t> %</w:t>
      </w:r>
      <w:r w:rsidR="002D4787" w:rsidRPr="004C7F84">
        <w:t xml:space="preserve">), soit </w:t>
      </w:r>
      <w:r w:rsidRPr="004C7F84">
        <w:t>un écart de 3,6</w:t>
      </w:r>
      <w:r w:rsidR="0086373A" w:rsidRPr="004C7F84">
        <w:t> %</w:t>
      </w:r>
      <w:r w:rsidRPr="004C7F84">
        <w:t xml:space="preserve"> en faveur des filles. Or</w:t>
      </w:r>
      <w:r w:rsidR="002D4787" w:rsidRPr="004C7F84">
        <w:t>,</w:t>
      </w:r>
      <w:r w:rsidRPr="004C7F84">
        <w:t xml:space="preserve"> cette différence représente une baisse sensible par rapport à l</w:t>
      </w:r>
      <w:r w:rsidR="00773F5D" w:rsidRPr="004C7F84">
        <w:t>’</w:t>
      </w:r>
      <w:r w:rsidRPr="004C7F84">
        <w:t>année scolaire 1999</w:t>
      </w:r>
      <w:r w:rsidR="002D4787" w:rsidRPr="004C7F84">
        <w:t>­2000, où elle était de 13,</w:t>
      </w:r>
      <w:r w:rsidRPr="004C7F84">
        <w:t>4</w:t>
      </w:r>
      <w:r w:rsidR="0086373A" w:rsidRPr="004C7F84">
        <w:t> %</w:t>
      </w:r>
      <w:r w:rsidRPr="004C7F84">
        <w:t>. Toutefois, au cours de l</w:t>
      </w:r>
      <w:r w:rsidR="00773F5D" w:rsidRPr="004C7F84">
        <w:t>’</w:t>
      </w:r>
      <w:r w:rsidRPr="004C7F84">
        <w:t>année scolaire 2014</w:t>
      </w:r>
      <w:r w:rsidR="002D4787" w:rsidRPr="004C7F84">
        <w:t>­</w:t>
      </w:r>
      <w:r w:rsidRPr="004C7F84">
        <w:t>2015, cet écart s</w:t>
      </w:r>
      <w:r w:rsidR="00773F5D" w:rsidRPr="004C7F84">
        <w:t>’</w:t>
      </w:r>
      <w:r w:rsidRPr="004C7F84">
        <w:t>est considérablement resserré pour tomber à 0,4</w:t>
      </w:r>
      <w:r w:rsidR="0086373A" w:rsidRPr="004C7F84">
        <w:t> %</w:t>
      </w:r>
      <w:r w:rsidRPr="004C7F84">
        <w:t>. Il y avait 3</w:t>
      </w:r>
      <w:r w:rsidR="002D4787" w:rsidRPr="004C7F84">
        <w:t> </w:t>
      </w:r>
      <w:r w:rsidRPr="004C7F84">
        <w:t>912 filles (50,2</w:t>
      </w:r>
      <w:r w:rsidR="0086373A" w:rsidRPr="004C7F84">
        <w:t> %</w:t>
      </w:r>
      <w:r w:rsidRPr="004C7F84">
        <w:t>) et 3</w:t>
      </w:r>
      <w:r w:rsidR="002D4787" w:rsidRPr="004C7F84">
        <w:t> </w:t>
      </w:r>
      <w:r w:rsidRPr="004C7F84">
        <w:t>812 garçons (49,8</w:t>
      </w:r>
      <w:r w:rsidR="0086373A" w:rsidRPr="004C7F84">
        <w:t> %</w:t>
      </w:r>
      <w:r w:rsidRPr="004C7F84">
        <w:t>) inscrits dans les écoles secondaires, soit seulement 127</w:t>
      </w:r>
      <w:r w:rsidR="002D4787" w:rsidRPr="004C7F84">
        <w:t> </w:t>
      </w:r>
      <w:r w:rsidRPr="004C7F84">
        <w:t>filles de plus que de garçons. Il est clair que ces derniers sont les grands bénéficiaires de l</w:t>
      </w:r>
      <w:r w:rsidR="00773F5D" w:rsidRPr="004C7F84">
        <w:t>’</w:t>
      </w:r>
      <w:r w:rsidRPr="004C7F84">
        <w:t>en</w:t>
      </w:r>
      <w:r w:rsidR="002D4787" w:rsidRPr="004C7F84">
        <w:t>seignement secondaire universel</w:t>
      </w:r>
      <w:r w:rsidR="002D4787" w:rsidRPr="004C7F84">
        <w:rPr>
          <w:rFonts w:asciiTheme="majorBidi" w:hAnsiTheme="majorBidi" w:cstheme="majorBidi"/>
        </w:rPr>
        <w:t xml:space="preserve"> </w:t>
      </w:r>
    </w:p>
    <w:p w14:paraId="36592562" w14:textId="77777777" w:rsidR="0034195A" w:rsidRPr="004C7F84" w:rsidRDefault="0034195A" w:rsidP="0034195A">
      <w:pPr>
        <w:pStyle w:val="SingleTxt"/>
        <w:spacing w:after="0" w:line="120" w:lineRule="exact"/>
        <w:rPr>
          <w:rFonts w:asciiTheme="majorBidi" w:hAnsiTheme="majorBidi" w:cstheme="majorBidi"/>
          <w:sz w:val="10"/>
        </w:rPr>
      </w:pPr>
    </w:p>
    <w:p w14:paraId="14FBE025" w14:textId="4411BC7F" w:rsidR="0034195A" w:rsidRPr="004C7F84" w:rsidRDefault="0034195A" w:rsidP="002D4787">
      <w:pPr>
        <w:pStyle w:val="H4"/>
        <w:ind w:right="1260"/>
      </w:pPr>
      <w:r w:rsidRPr="004C7F84">
        <w:lastRenderedPageBreak/>
        <w:tab/>
      </w:r>
      <w:r w:rsidRPr="004C7F84">
        <w:tab/>
      </w:r>
      <w:r w:rsidR="006A1BA1" w:rsidRPr="004C7F84">
        <w:t>Enseignement tertiaire</w:t>
      </w:r>
      <w:r w:rsidRPr="004C7F84">
        <w:t xml:space="preserve"> </w:t>
      </w:r>
    </w:p>
    <w:p w14:paraId="1DD2A01E" w14:textId="77777777" w:rsidR="0034195A" w:rsidRPr="004C7F84" w:rsidRDefault="0034195A" w:rsidP="002D4787">
      <w:pPr>
        <w:pStyle w:val="SingleTxt"/>
        <w:keepNext/>
        <w:keepLines/>
        <w:spacing w:after="0" w:line="120" w:lineRule="exact"/>
        <w:rPr>
          <w:rFonts w:asciiTheme="majorBidi" w:hAnsiTheme="majorBidi" w:cstheme="majorBidi"/>
          <w:sz w:val="10"/>
        </w:rPr>
      </w:pPr>
    </w:p>
    <w:p w14:paraId="34556CFA" w14:textId="2C4D3A25" w:rsidR="0034195A" w:rsidRPr="004C7F84" w:rsidRDefault="006A1BA1" w:rsidP="00514306">
      <w:pPr>
        <w:pStyle w:val="SingleTxt"/>
        <w:keepNext/>
        <w:keepLines/>
        <w:numPr>
          <w:ilvl w:val="0"/>
          <w:numId w:val="21"/>
        </w:numPr>
        <w:spacing w:line="240" w:lineRule="exact"/>
        <w:ind w:left="1267" w:firstLine="0"/>
        <w:rPr>
          <w:rFonts w:asciiTheme="majorBidi" w:hAnsiTheme="majorBidi" w:cstheme="majorBidi"/>
        </w:rPr>
      </w:pPr>
      <w:r w:rsidRPr="004C7F84">
        <w:t>Cinq grands établissements tertiaires se trouvent à Antigua-et-Barbuda</w:t>
      </w:r>
      <w:r w:rsidR="00773F5D" w:rsidRPr="004C7F84">
        <w:t> :</w:t>
      </w:r>
      <w:r w:rsidRPr="004C7F84">
        <w:t xml:space="preserve"> Antigua State College (ASC), l</w:t>
      </w:r>
      <w:r w:rsidR="00773F5D" w:rsidRPr="004C7F84">
        <w:t>’</w:t>
      </w:r>
      <w:r w:rsidRPr="004C7F84">
        <w:rPr>
          <w:rStyle w:val="preferred"/>
        </w:rPr>
        <w:t>Université des Indes occidentales (</w:t>
      </w:r>
      <w:r w:rsidRPr="004C7F84">
        <w:t>Centre d</w:t>
      </w:r>
      <w:r w:rsidR="00773F5D" w:rsidRPr="004C7F84">
        <w:t>’</w:t>
      </w:r>
      <w:r w:rsidRPr="004C7F84">
        <w:t xml:space="preserve">éducation permanente) (anciennement UWI School of Continuing </w:t>
      </w:r>
      <w:r w:rsidR="00024945" w:rsidRPr="004C7F84">
        <w:t xml:space="preserve">Studies) à Antigua-et-Barbuda, </w:t>
      </w:r>
      <w:r w:rsidRPr="004C7F84">
        <w:t>Antigua and Barbuda Hotel Training Institute (ABHTI), Antigua and Barbuda International Institute of Technology (ABIIT) et Antigua and Barbuda Institute of Continuing Education (ABICE). Ce dernier établissement fera l</w:t>
      </w:r>
      <w:r w:rsidR="00773F5D" w:rsidRPr="004C7F84">
        <w:t>’</w:t>
      </w:r>
      <w:r w:rsidRPr="004C7F84">
        <w:t>objet d</w:t>
      </w:r>
      <w:r w:rsidR="00773F5D" w:rsidRPr="004C7F84">
        <w:t>’</w:t>
      </w:r>
      <w:r w:rsidRPr="004C7F84">
        <w:t>un examen détaillé dans la partie du rapport portant sur les possibilités d</w:t>
      </w:r>
      <w:r w:rsidR="00773F5D" w:rsidRPr="004C7F84">
        <w:t>’</w:t>
      </w:r>
      <w:r w:rsidRPr="004C7F84">
        <w:t>éducation permanente.</w:t>
      </w:r>
      <w:r w:rsidR="00024945" w:rsidRPr="004C7F84">
        <w:t xml:space="preserve"> </w:t>
      </w:r>
    </w:p>
    <w:p w14:paraId="4C4270A3" w14:textId="77777777" w:rsidR="0034195A" w:rsidRPr="004C7F84" w:rsidRDefault="0034195A" w:rsidP="0034195A">
      <w:pPr>
        <w:pStyle w:val="SingleTxt"/>
        <w:spacing w:after="0" w:line="120" w:lineRule="exact"/>
        <w:rPr>
          <w:rFonts w:asciiTheme="majorBidi" w:hAnsiTheme="majorBidi" w:cstheme="majorBidi"/>
          <w:sz w:val="10"/>
        </w:rPr>
      </w:pPr>
    </w:p>
    <w:p w14:paraId="2BE7F170" w14:textId="3BBD11D0" w:rsidR="0034195A" w:rsidRPr="004C7F84" w:rsidRDefault="0034195A" w:rsidP="0034195A">
      <w:pPr>
        <w:pStyle w:val="H4"/>
        <w:ind w:right="1260"/>
      </w:pPr>
      <w:r w:rsidRPr="004C7F84">
        <w:tab/>
      </w:r>
      <w:r w:rsidRPr="004C7F84">
        <w:tab/>
      </w:r>
      <w:r w:rsidR="006A1BA1" w:rsidRPr="004C7F84">
        <w:t>Antigua State College</w:t>
      </w:r>
    </w:p>
    <w:p w14:paraId="7C260F74" w14:textId="77777777" w:rsidR="0034195A" w:rsidRPr="004C7F84" w:rsidRDefault="0034195A" w:rsidP="0034195A">
      <w:pPr>
        <w:pStyle w:val="SingleTxt"/>
        <w:spacing w:after="0" w:line="120" w:lineRule="exact"/>
        <w:rPr>
          <w:rFonts w:asciiTheme="majorBidi" w:hAnsiTheme="majorBidi" w:cstheme="majorBidi"/>
          <w:sz w:val="10"/>
        </w:rPr>
      </w:pPr>
    </w:p>
    <w:p w14:paraId="20A2C872" w14:textId="274C7B57" w:rsidR="006A1BA1" w:rsidRPr="004C7F84" w:rsidRDefault="006A1BA1" w:rsidP="00514306">
      <w:pPr>
        <w:pStyle w:val="SingleTxt"/>
        <w:numPr>
          <w:ilvl w:val="0"/>
          <w:numId w:val="21"/>
        </w:numPr>
        <w:spacing w:line="240" w:lineRule="exact"/>
        <w:ind w:left="1267" w:firstLine="0"/>
      </w:pPr>
      <w:r w:rsidRPr="004C7F84">
        <w:t>Les femmes continuent d</w:t>
      </w:r>
      <w:r w:rsidR="00773F5D" w:rsidRPr="004C7F84">
        <w:t>’</w:t>
      </w:r>
      <w:r w:rsidRPr="004C7F84">
        <w:t>être plus nombreuses que les hommes dans tous les départements d</w:t>
      </w:r>
      <w:r w:rsidR="00773F5D" w:rsidRPr="004C7F84">
        <w:t>’</w:t>
      </w:r>
      <w:r w:rsidRPr="004C7F84">
        <w:t>Antigua State Colleg</w:t>
      </w:r>
      <w:r w:rsidR="00024945" w:rsidRPr="004C7F84">
        <w:t>e, sauf celui du génie. En 1999­</w:t>
      </w:r>
      <w:r w:rsidRPr="004C7F84">
        <w:t>2000, il y avait 866 étudiants</w:t>
      </w:r>
      <w:r w:rsidR="00773F5D" w:rsidRPr="004C7F84">
        <w:t> :</w:t>
      </w:r>
      <w:r w:rsidRPr="004C7F84">
        <w:t xml:space="preserve"> 579</w:t>
      </w:r>
      <w:r w:rsidR="00024945" w:rsidRPr="004C7F84">
        <w:t> </w:t>
      </w:r>
      <w:r w:rsidRPr="004C7F84">
        <w:t>femmes et 287</w:t>
      </w:r>
      <w:r w:rsidR="00024945" w:rsidRPr="004C7F84">
        <w:t> </w:t>
      </w:r>
      <w:r w:rsidRPr="004C7F84">
        <w:t>hommes, soit 67</w:t>
      </w:r>
      <w:r w:rsidR="0086373A" w:rsidRPr="004C7F84">
        <w:t> %</w:t>
      </w:r>
      <w:r w:rsidRPr="004C7F84">
        <w:t xml:space="preserve"> de femmes et 33</w:t>
      </w:r>
      <w:r w:rsidR="0086373A" w:rsidRPr="004C7F84">
        <w:t> %</w:t>
      </w:r>
      <w:r w:rsidRPr="004C7F84">
        <w:t xml:space="preserve"> d</w:t>
      </w:r>
      <w:r w:rsidR="00773F5D" w:rsidRPr="004C7F84">
        <w:t>’</w:t>
      </w:r>
      <w:r w:rsidRPr="004C7F84">
        <w:t>hommes. En 2011</w:t>
      </w:r>
      <w:r w:rsidR="00024945" w:rsidRPr="004C7F84">
        <w:t>­</w:t>
      </w:r>
      <w:r w:rsidRPr="004C7F84">
        <w:t>2012, le pourcentage de femmes a considérablement augmenté</w:t>
      </w:r>
      <w:r w:rsidR="00773F5D" w:rsidRPr="004C7F84">
        <w:t> :</w:t>
      </w:r>
      <w:r w:rsidRPr="004C7F84">
        <w:t xml:space="preserve"> 75</w:t>
      </w:r>
      <w:r w:rsidR="0086373A" w:rsidRPr="004C7F84">
        <w:t> %</w:t>
      </w:r>
      <w:r w:rsidRPr="004C7F84">
        <w:t xml:space="preserve"> de femmes pour 25</w:t>
      </w:r>
      <w:r w:rsidR="0086373A" w:rsidRPr="004C7F84">
        <w:t> %</w:t>
      </w:r>
      <w:r w:rsidRPr="004C7F84">
        <w:t xml:space="preserve"> d</w:t>
      </w:r>
      <w:r w:rsidR="00773F5D" w:rsidRPr="004C7F84">
        <w:t>’</w:t>
      </w:r>
      <w:r w:rsidRPr="004C7F84">
        <w:t>hommes. Comme mentionné précédemment, des préjugés sexistes persistent dans certains programmes</w:t>
      </w:r>
      <w:r w:rsidR="00773F5D" w:rsidRPr="004C7F84">
        <w:t> :</w:t>
      </w:r>
      <w:r w:rsidRPr="004C7F84">
        <w:t xml:space="preserve"> les hommes continuent d</w:t>
      </w:r>
      <w:r w:rsidR="00773F5D" w:rsidRPr="004C7F84">
        <w:t>’</w:t>
      </w:r>
      <w:r w:rsidRPr="004C7F84">
        <w:t>être majoritaires dans le département du génie et les femmes dans ceux de la formation du personnel enseignant et des compétences administratives.</w:t>
      </w:r>
      <w:r w:rsidR="00773F5D" w:rsidRPr="004C7F84">
        <w:t xml:space="preserve"> </w:t>
      </w:r>
    </w:p>
    <w:p w14:paraId="1FF07D1B" w14:textId="274F3C9D" w:rsidR="006A1BA1" w:rsidRPr="004C7F84" w:rsidRDefault="006A1BA1" w:rsidP="00514306">
      <w:pPr>
        <w:pStyle w:val="SingleTxt"/>
        <w:numPr>
          <w:ilvl w:val="0"/>
          <w:numId w:val="21"/>
        </w:numPr>
        <w:spacing w:line="240" w:lineRule="exact"/>
        <w:ind w:left="1267" w:firstLine="0"/>
      </w:pPr>
      <w:r w:rsidRPr="004C7F84">
        <w:t>Le Département de la formation du personnel enseignant comptait 71,2</w:t>
      </w:r>
      <w:r w:rsidR="0086373A" w:rsidRPr="004C7F84">
        <w:t> %</w:t>
      </w:r>
      <w:r w:rsidR="00024945" w:rsidRPr="004C7F84">
        <w:t xml:space="preserve"> de femmes en 1993­</w:t>
      </w:r>
      <w:r w:rsidRPr="004C7F84">
        <w:t>1994 et 82,1</w:t>
      </w:r>
      <w:r w:rsidR="0086373A" w:rsidRPr="004C7F84">
        <w:t> %</w:t>
      </w:r>
      <w:r w:rsidRPr="004C7F84">
        <w:t xml:space="preserve"> en</w:t>
      </w:r>
      <w:r w:rsidR="00024945" w:rsidRPr="004C7F84">
        <w:t xml:space="preserve"> 1999­2000. En 2011­</w:t>
      </w:r>
      <w:r w:rsidRPr="004C7F84">
        <w:t>2012, sur les 220</w:t>
      </w:r>
      <w:r w:rsidR="00024945" w:rsidRPr="004C7F84">
        <w:t> </w:t>
      </w:r>
      <w:r w:rsidRPr="004C7F84">
        <w:t>enseignants en formation, 21 seulement étaient des hommes, ce qui représentait 90,5</w:t>
      </w:r>
      <w:r w:rsidR="0086373A" w:rsidRPr="004C7F84">
        <w:t> %</w:t>
      </w:r>
      <w:r w:rsidRPr="004C7F84">
        <w:t xml:space="preserve"> de femmes et 9,5</w:t>
      </w:r>
      <w:r w:rsidR="0086373A" w:rsidRPr="004C7F84">
        <w:t> %</w:t>
      </w:r>
      <w:r w:rsidRPr="004C7F84">
        <w:t xml:space="preserve"> d</w:t>
      </w:r>
      <w:r w:rsidR="00773F5D" w:rsidRPr="004C7F84">
        <w:t>’</w:t>
      </w:r>
      <w:r w:rsidRPr="004C7F84">
        <w:t xml:space="preserve">hommes. </w:t>
      </w:r>
    </w:p>
    <w:p w14:paraId="14C24A32" w14:textId="55525C5B" w:rsidR="0034195A" w:rsidRPr="004C7F84" w:rsidRDefault="006A1BA1" w:rsidP="00514306">
      <w:pPr>
        <w:pStyle w:val="SingleTxt"/>
        <w:numPr>
          <w:ilvl w:val="0"/>
          <w:numId w:val="21"/>
        </w:numPr>
        <w:spacing w:line="240" w:lineRule="exact"/>
        <w:ind w:left="1267" w:firstLine="0"/>
      </w:pPr>
      <w:r w:rsidRPr="004C7F84">
        <w:t>Le Département des compétences administratives (anciennement Département des compétences de bureau, avec une spécialisation dans les travaux de secrétariat) compte encore une majorité de femmes, bien que les études portent désormais sur la formation à l</w:t>
      </w:r>
      <w:r w:rsidR="00773F5D" w:rsidRPr="004C7F84">
        <w:t>’</w:t>
      </w:r>
      <w:r w:rsidRPr="004C7F84">
        <w:t>informatique, la gestion</w:t>
      </w:r>
      <w:r w:rsidR="00024945" w:rsidRPr="004C7F84">
        <w:t xml:space="preserve"> et la bureautique </w:t>
      </w:r>
      <w:r w:rsidRPr="004C7F84">
        <w:t>et non plus sur la da</w:t>
      </w:r>
      <w:r w:rsidR="00024945" w:rsidRPr="004C7F84">
        <w:t>ctylographie et la sténographie</w:t>
      </w:r>
      <w:r w:rsidRPr="004C7F84">
        <w:t>. En 1999</w:t>
      </w:r>
      <w:r w:rsidR="00024945" w:rsidRPr="004C7F84">
        <w:t>­</w:t>
      </w:r>
      <w:r w:rsidRPr="004C7F84">
        <w:t>2000, 80,3</w:t>
      </w:r>
      <w:r w:rsidR="0086373A" w:rsidRPr="004C7F84">
        <w:t> %</w:t>
      </w:r>
      <w:r w:rsidRPr="004C7F84">
        <w:t xml:space="preserve"> des étudiants étaient des femmes</w:t>
      </w:r>
      <w:r w:rsidR="00773F5D" w:rsidRPr="004C7F84">
        <w:t> ;</w:t>
      </w:r>
      <w:r w:rsidRPr="004C7F84">
        <w:t xml:space="preserve"> en 2011</w:t>
      </w:r>
      <w:r w:rsidR="00024945" w:rsidRPr="004C7F84">
        <w:t>­</w:t>
      </w:r>
      <w:r w:rsidRPr="004C7F84">
        <w:t>2012, ce pourcentage est demeuré relativement constant, à 81</w:t>
      </w:r>
      <w:r w:rsidR="0086373A" w:rsidRPr="004C7F84">
        <w:t> %</w:t>
      </w:r>
      <w:r w:rsidRPr="004C7F84">
        <w:t>.</w:t>
      </w:r>
    </w:p>
    <w:p w14:paraId="7CA52EC3" w14:textId="77777777" w:rsidR="0034195A" w:rsidRPr="004C7F84" w:rsidRDefault="0034195A" w:rsidP="0034195A">
      <w:pPr>
        <w:pStyle w:val="SingleTxt"/>
        <w:spacing w:after="0" w:line="120" w:lineRule="exact"/>
        <w:rPr>
          <w:rFonts w:asciiTheme="majorBidi" w:hAnsiTheme="majorBidi" w:cstheme="majorBidi"/>
          <w:sz w:val="10"/>
        </w:rPr>
      </w:pPr>
    </w:p>
    <w:p w14:paraId="67FFDD6F" w14:textId="77777777" w:rsidR="0034195A" w:rsidRPr="00F05573" w:rsidRDefault="0034195A" w:rsidP="0034195A">
      <w:pPr>
        <w:pStyle w:val="H4"/>
        <w:ind w:right="1260"/>
        <w:rPr>
          <w:lang w:val="en-US"/>
        </w:rPr>
      </w:pPr>
      <w:r w:rsidRPr="004C7F84">
        <w:tab/>
      </w:r>
      <w:r w:rsidRPr="004C7F84">
        <w:tab/>
      </w:r>
      <w:r w:rsidRPr="00F05573">
        <w:rPr>
          <w:lang w:val="en-US"/>
        </w:rPr>
        <w:t xml:space="preserve">Antigua and Barbuda Hospitality Training Institute (ABHTI) </w:t>
      </w:r>
    </w:p>
    <w:p w14:paraId="5DDEC90F" w14:textId="77777777" w:rsidR="0034195A" w:rsidRPr="00F05573" w:rsidRDefault="0034195A" w:rsidP="0034195A">
      <w:pPr>
        <w:pStyle w:val="SingleTxt"/>
        <w:spacing w:after="0" w:line="120" w:lineRule="exact"/>
        <w:rPr>
          <w:rFonts w:asciiTheme="majorBidi" w:hAnsiTheme="majorBidi" w:cstheme="majorBidi"/>
          <w:sz w:val="10"/>
          <w:lang w:val="en-US"/>
        </w:rPr>
      </w:pPr>
    </w:p>
    <w:p w14:paraId="46D42734" w14:textId="44A9EB3D" w:rsidR="0034195A" w:rsidRPr="004C7F84" w:rsidRDefault="006A1BA1" w:rsidP="00514306">
      <w:pPr>
        <w:pStyle w:val="SingleTxt"/>
        <w:numPr>
          <w:ilvl w:val="0"/>
          <w:numId w:val="21"/>
        </w:numPr>
        <w:spacing w:line="240" w:lineRule="exact"/>
        <w:ind w:left="1267" w:firstLine="0"/>
        <w:rPr>
          <w:rFonts w:asciiTheme="majorBidi" w:hAnsiTheme="majorBidi" w:cstheme="majorBidi"/>
        </w:rPr>
      </w:pPr>
      <w:r w:rsidRPr="004C7F84">
        <w:t>Au cours des ans, les femmes ont été plus nombreuses que les hommes à s</w:t>
      </w:r>
      <w:r w:rsidR="00773F5D" w:rsidRPr="004C7F84">
        <w:t>’</w:t>
      </w:r>
      <w:r w:rsidRPr="004C7F84">
        <w:t>inscrire aux programmes de l</w:t>
      </w:r>
      <w:r w:rsidR="00773F5D" w:rsidRPr="004C7F84">
        <w:t>’</w:t>
      </w:r>
      <w:r w:rsidRPr="004C7F84">
        <w:t>Antigua and Barbuda Hospitality Training Institute (anciennement Hotel Training Centre), tels que la gestion hôtelière, l</w:t>
      </w:r>
      <w:r w:rsidR="00773F5D" w:rsidRPr="004C7F84">
        <w:t>’</w:t>
      </w:r>
      <w:r w:rsidRPr="004C7F84">
        <w:t>alimentation et la boisson, l</w:t>
      </w:r>
      <w:r w:rsidR="00773F5D" w:rsidRPr="004C7F84">
        <w:t>’</w:t>
      </w:r>
      <w:r w:rsidRPr="004C7F84">
        <w:t>accueil et la vente et l</w:t>
      </w:r>
      <w:r w:rsidR="00773F5D" w:rsidRPr="004C7F84">
        <w:t>’</w:t>
      </w:r>
      <w:r w:rsidRPr="004C7F84">
        <w:t>art culinaire.</w:t>
      </w:r>
    </w:p>
    <w:p w14:paraId="53F0DF2A" w14:textId="2B06AD56" w:rsidR="0034195A" w:rsidRPr="004C7F84" w:rsidRDefault="0034195A" w:rsidP="0034195A">
      <w:pPr>
        <w:pStyle w:val="SingleTxt"/>
        <w:tabs>
          <w:tab w:val="right" w:pos="1685"/>
        </w:tabs>
        <w:ind w:left="1742" w:hanging="475"/>
        <w:rPr>
          <w:rFonts w:asciiTheme="majorBidi" w:hAnsiTheme="majorBidi" w:cstheme="majorBidi"/>
        </w:rPr>
      </w:pPr>
      <w:r w:rsidRPr="004C7F84">
        <w:rPr>
          <w:rFonts w:asciiTheme="majorBidi" w:hAnsiTheme="majorBidi" w:cstheme="majorBidi"/>
        </w:rPr>
        <w:tab/>
        <w:t>•</w:t>
      </w:r>
      <w:r w:rsidRPr="004C7F84">
        <w:rPr>
          <w:rFonts w:asciiTheme="majorBidi" w:hAnsiTheme="majorBidi" w:cstheme="majorBidi"/>
        </w:rPr>
        <w:tab/>
      </w:r>
      <w:r w:rsidR="006A1BA1" w:rsidRPr="004C7F84">
        <w:t>En 2008-2009, sur un total de 90</w:t>
      </w:r>
      <w:r w:rsidR="00024945" w:rsidRPr="004C7F84">
        <w:t> </w:t>
      </w:r>
      <w:r w:rsidR="006A1BA1" w:rsidRPr="004C7F84">
        <w:t>étudiants inscrits, 62 (soit 69 %) étaient des femmes.</w:t>
      </w:r>
      <w:r w:rsidRPr="004C7F84">
        <w:rPr>
          <w:rFonts w:asciiTheme="majorBidi" w:hAnsiTheme="majorBidi" w:cstheme="majorBidi"/>
        </w:rPr>
        <w:t xml:space="preserve"> </w:t>
      </w:r>
    </w:p>
    <w:p w14:paraId="5AAE2FF7" w14:textId="0B693818" w:rsidR="0034195A" w:rsidRPr="004C7F84" w:rsidRDefault="0034195A" w:rsidP="0034195A">
      <w:pPr>
        <w:pStyle w:val="SingleTxt"/>
        <w:tabs>
          <w:tab w:val="right" w:pos="1685"/>
        </w:tabs>
        <w:ind w:left="1742" w:hanging="475"/>
        <w:rPr>
          <w:rFonts w:asciiTheme="majorBidi" w:hAnsiTheme="majorBidi" w:cstheme="majorBidi"/>
        </w:rPr>
      </w:pPr>
      <w:r w:rsidRPr="004C7F84">
        <w:rPr>
          <w:rFonts w:asciiTheme="majorBidi" w:hAnsiTheme="majorBidi" w:cstheme="majorBidi"/>
        </w:rPr>
        <w:tab/>
        <w:t>•</w:t>
      </w:r>
      <w:r w:rsidRPr="004C7F84">
        <w:rPr>
          <w:rFonts w:asciiTheme="majorBidi" w:hAnsiTheme="majorBidi" w:cstheme="majorBidi"/>
        </w:rPr>
        <w:tab/>
      </w:r>
      <w:r w:rsidR="006A1BA1" w:rsidRPr="004C7F84">
        <w:t>En 2010-2011, 79 des 110</w:t>
      </w:r>
      <w:r w:rsidR="00024945" w:rsidRPr="004C7F84">
        <w:t> </w:t>
      </w:r>
      <w:r w:rsidR="006A1BA1" w:rsidRPr="004C7F84">
        <w:t>étudiants inscrits (soit 72 %) étaient des femmes</w:t>
      </w:r>
      <w:r w:rsidRPr="004C7F84">
        <w:rPr>
          <w:rFonts w:asciiTheme="majorBidi" w:hAnsiTheme="majorBidi" w:cstheme="majorBidi"/>
        </w:rPr>
        <w:t xml:space="preserve">. </w:t>
      </w:r>
    </w:p>
    <w:p w14:paraId="6772EB2C" w14:textId="46934B77" w:rsidR="0034195A" w:rsidRPr="004C7F84" w:rsidRDefault="0034195A" w:rsidP="0034195A">
      <w:pPr>
        <w:pStyle w:val="SingleTxt"/>
        <w:tabs>
          <w:tab w:val="right" w:pos="1685"/>
        </w:tabs>
        <w:ind w:left="1742" w:hanging="475"/>
        <w:rPr>
          <w:rFonts w:asciiTheme="majorBidi" w:hAnsiTheme="majorBidi" w:cstheme="majorBidi"/>
        </w:rPr>
      </w:pPr>
      <w:r w:rsidRPr="004C7F84">
        <w:rPr>
          <w:rFonts w:asciiTheme="majorBidi" w:hAnsiTheme="majorBidi" w:cstheme="majorBidi"/>
        </w:rPr>
        <w:tab/>
        <w:t>•</w:t>
      </w:r>
      <w:r w:rsidRPr="004C7F84">
        <w:rPr>
          <w:rFonts w:asciiTheme="majorBidi" w:hAnsiTheme="majorBidi" w:cstheme="majorBidi"/>
        </w:rPr>
        <w:tab/>
      </w:r>
      <w:r w:rsidR="006A1BA1" w:rsidRPr="004C7F84">
        <w:t>En 2011-2012, sur 141</w:t>
      </w:r>
      <w:r w:rsidR="00024945" w:rsidRPr="004C7F84">
        <w:t> </w:t>
      </w:r>
      <w:r w:rsidR="006A1BA1" w:rsidRPr="004C7F84">
        <w:t>étudiants, 103 (73 %) étaient des femmes</w:t>
      </w:r>
      <w:r w:rsidRPr="004C7F84">
        <w:rPr>
          <w:rFonts w:asciiTheme="majorBidi" w:hAnsiTheme="majorBidi" w:cstheme="majorBidi"/>
        </w:rPr>
        <w:t xml:space="preserve">. </w:t>
      </w:r>
    </w:p>
    <w:p w14:paraId="3EB4EC06" w14:textId="77777777" w:rsidR="0034195A" w:rsidRPr="004C7F84" w:rsidRDefault="0034195A" w:rsidP="0034195A">
      <w:pPr>
        <w:pStyle w:val="SingleTxt"/>
        <w:spacing w:after="0" w:line="120" w:lineRule="exact"/>
        <w:rPr>
          <w:rFonts w:asciiTheme="majorBidi" w:hAnsiTheme="majorBidi" w:cstheme="majorBidi"/>
          <w:sz w:val="10"/>
        </w:rPr>
      </w:pPr>
    </w:p>
    <w:p w14:paraId="3DCF7161" w14:textId="77777777" w:rsidR="0034195A" w:rsidRPr="00F05573" w:rsidRDefault="0034195A" w:rsidP="0034195A">
      <w:pPr>
        <w:pStyle w:val="H4"/>
        <w:ind w:right="1260"/>
        <w:rPr>
          <w:lang w:val="en-US"/>
        </w:rPr>
      </w:pPr>
      <w:r w:rsidRPr="004C7F84">
        <w:tab/>
      </w:r>
      <w:r w:rsidRPr="004C7F84">
        <w:tab/>
      </w:r>
      <w:r w:rsidRPr="00F05573">
        <w:rPr>
          <w:lang w:val="en-US"/>
        </w:rPr>
        <w:t xml:space="preserve">Antigua and Barbuda International Institute of Technology (ABITT) </w:t>
      </w:r>
    </w:p>
    <w:p w14:paraId="5A3D6FDA" w14:textId="77777777" w:rsidR="0034195A" w:rsidRPr="00F05573" w:rsidRDefault="0034195A" w:rsidP="0034195A">
      <w:pPr>
        <w:pStyle w:val="SingleTxt"/>
        <w:spacing w:after="0" w:line="120" w:lineRule="exact"/>
        <w:rPr>
          <w:rFonts w:asciiTheme="majorBidi" w:hAnsiTheme="majorBidi" w:cstheme="majorBidi"/>
          <w:sz w:val="10"/>
          <w:lang w:val="en-US"/>
        </w:rPr>
      </w:pPr>
    </w:p>
    <w:p w14:paraId="01F8E154" w14:textId="08D5E0F0" w:rsidR="0034195A" w:rsidRPr="004C7F84" w:rsidRDefault="006A1BA1" w:rsidP="00514306">
      <w:pPr>
        <w:pStyle w:val="SingleTxt"/>
        <w:numPr>
          <w:ilvl w:val="0"/>
          <w:numId w:val="21"/>
        </w:numPr>
        <w:spacing w:line="240" w:lineRule="exact"/>
        <w:ind w:left="1267" w:firstLine="0"/>
        <w:rPr>
          <w:rFonts w:asciiTheme="majorBidi" w:hAnsiTheme="majorBidi" w:cstheme="majorBidi"/>
        </w:rPr>
      </w:pPr>
      <w:r w:rsidRPr="004C7F84">
        <w:t>Dans cet institut technique qui offre des formations diplômantes dans des domaines tels que, notamment, l</w:t>
      </w:r>
      <w:r w:rsidR="00773F5D" w:rsidRPr="004C7F84">
        <w:t>’</w:t>
      </w:r>
      <w:r w:rsidRPr="004C7F84">
        <w:t>informatique, la technologie informatique, la conception graphique et l</w:t>
      </w:r>
      <w:r w:rsidR="00773F5D" w:rsidRPr="004C7F84">
        <w:t>’</w:t>
      </w:r>
      <w:r w:rsidRPr="004C7F84">
        <w:t>administration des entreprises, le taux d</w:t>
      </w:r>
      <w:r w:rsidR="00773F5D" w:rsidRPr="004C7F84">
        <w:t>’</w:t>
      </w:r>
      <w:r w:rsidRPr="004C7F84">
        <w:t>inscription des femmes est plus élevé</w:t>
      </w:r>
      <w:r w:rsidR="00024945" w:rsidRPr="004C7F84">
        <w:t xml:space="preserve"> que celui des hommes. En 2008­</w:t>
      </w:r>
      <w:r w:rsidRPr="004C7F84">
        <w:t>2009, l</w:t>
      </w:r>
      <w:r w:rsidR="00773F5D" w:rsidRPr="004C7F84">
        <w:t>’</w:t>
      </w:r>
      <w:r w:rsidRPr="004C7F84">
        <w:t>institut comptait environ 453</w:t>
      </w:r>
      <w:r w:rsidR="00024945" w:rsidRPr="004C7F84">
        <w:t> </w:t>
      </w:r>
      <w:r w:rsidRPr="004C7F84">
        <w:t>étudiants au total, dont environ 300</w:t>
      </w:r>
      <w:r w:rsidR="00024945" w:rsidRPr="004C7F84">
        <w:t> </w:t>
      </w:r>
      <w:r w:rsidRPr="004C7F84">
        <w:t>femmes (soit 66</w:t>
      </w:r>
      <w:r w:rsidR="0086373A" w:rsidRPr="004C7F84">
        <w:t> %</w:t>
      </w:r>
      <w:r w:rsidRPr="004C7F84">
        <w:t>). En 2011</w:t>
      </w:r>
      <w:r w:rsidR="00024945" w:rsidRPr="004C7F84">
        <w:t>­</w:t>
      </w:r>
      <w:r w:rsidRPr="004C7F84">
        <w:t xml:space="preserve">2012, </w:t>
      </w:r>
      <w:r w:rsidRPr="004C7F84">
        <w:lastRenderedPageBreak/>
        <w:t>le total des inscriptions est tombé à 371, dont 221</w:t>
      </w:r>
      <w:r w:rsidR="00024945" w:rsidRPr="004C7F84">
        <w:t> femmes (59,</w:t>
      </w:r>
      <w:r w:rsidRPr="004C7F84">
        <w:t>5</w:t>
      </w:r>
      <w:r w:rsidR="0086373A" w:rsidRPr="004C7F84">
        <w:t> %</w:t>
      </w:r>
      <w:r w:rsidRPr="004C7F84">
        <w:t>). Ces chiffres sont approximatifs car le taux d</w:t>
      </w:r>
      <w:r w:rsidR="00773F5D" w:rsidRPr="004C7F84">
        <w:t>’</w:t>
      </w:r>
      <w:r w:rsidRPr="004C7F84">
        <w:t>inscription varie d</w:t>
      </w:r>
      <w:r w:rsidR="00773F5D" w:rsidRPr="004C7F84">
        <w:t>’</w:t>
      </w:r>
      <w:r w:rsidRPr="004C7F84">
        <w:t>un trimestre à l</w:t>
      </w:r>
      <w:r w:rsidR="00773F5D" w:rsidRPr="004C7F84">
        <w:t>’</w:t>
      </w:r>
      <w:r w:rsidRPr="004C7F84">
        <w:t>autre au cours de l</w:t>
      </w:r>
      <w:r w:rsidR="00773F5D" w:rsidRPr="004C7F84">
        <w:t>’</w:t>
      </w:r>
      <w:r w:rsidRPr="004C7F84">
        <w:t>année universitaire.</w:t>
      </w:r>
    </w:p>
    <w:p w14:paraId="43E912E8" w14:textId="77777777" w:rsidR="0034195A" w:rsidRPr="004C7F84" w:rsidRDefault="0034195A" w:rsidP="0034195A">
      <w:pPr>
        <w:pStyle w:val="SingleTxt"/>
        <w:spacing w:after="0" w:line="120" w:lineRule="exact"/>
        <w:rPr>
          <w:rFonts w:asciiTheme="majorBidi" w:hAnsiTheme="majorBidi" w:cstheme="majorBidi"/>
          <w:sz w:val="10"/>
        </w:rPr>
      </w:pPr>
    </w:p>
    <w:p w14:paraId="5F871B62" w14:textId="2B2EEF80" w:rsidR="0034195A" w:rsidRPr="004C7F84" w:rsidRDefault="0034195A" w:rsidP="0034195A">
      <w:pPr>
        <w:pStyle w:val="H4"/>
        <w:ind w:right="1260"/>
      </w:pPr>
      <w:r w:rsidRPr="004C7F84">
        <w:tab/>
      </w:r>
      <w:r w:rsidRPr="004C7F84">
        <w:tab/>
      </w:r>
      <w:r w:rsidR="006A1BA1" w:rsidRPr="004C7F84">
        <w:t>Université des Indes occidentales (Centre d</w:t>
      </w:r>
      <w:r w:rsidR="00773F5D" w:rsidRPr="004C7F84">
        <w:t>’</w:t>
      </w:r>
      <w:r w:rsidR="006A1BA1" w:rsidRPr="004C7F84">
        <w:t>éducation permanente), à Antigua</w:t>
      </w:r>
    </w:p>
    <w:p w14:paraId="5D326BEC" w14:textId="77777777" w:rsidR="0034195A" w:rsidRPr="004C7F84" w:rsidRDefault="0034195A" w:rsidP="0034195A">
      <w:pPr>
        <w:pStyle w:val="SingleTxt"/>
        <w:spacing w:after="0" w:line="120" w:lineRule="exact"/>
        <w:rPr>
          <w:rFonts w:asciiTheme="majorBidi" w:hAnsiTheme="majorBidi" w:cstheme="majorBidi"/>
          <w:sz w:val="10"/>
        </w:rPr>
      </w:pPr>
    </w:p>
    <w:p w14:paraId="72631718" w14:textId="53EA267D" w:rsidR="0034195A" w:rsidRPr="004C7F84" w:rsidRDefault="006A1BA1" w:rsidP="00514306">
      <w:pPr>
        <w:pStyle w:val="SingleTxt"/>
        <w:numPr>
          <w:ilvl w:val="0"/>
          <w:numId w:val="21"/>
        </w:numPr>
        <w:spacing w:line="240" w:lineRule="exact"/>
        <w:ind w:left="1267" w:firstLine="0"/>
      </w:pPr>
      <w:r w:rsidRPr="004C7F84">
        <w:t>L</w:t>
      </w:r>
      <w:r w:rsidR="00773F5D" w:rsidRPr="004C7F84">
        <w:t>’</w:t>
      </w:r>
      <w:r w:rsidRPr="004C7F84">
        <w:t>Université des Indes occidentales (Centre d</w:t>
      </w:r>
      <w:r w:rsidR="00773F5D" w:rsidRPr="004C7F84">
        <w:t>’</w:t>
      </w:r>
      <w:r w:rsidRPr="004C7F84">
        <w:t>éducation permanente) à Antigua (anciennement UWI School of Continuing Studies) attire essentiellement les étudiants dont la moyenne d</w:t>
      </w:r>
      <w:r w:rsidR="00773F5D" w:rsidRPr="004C7F84">
        <w:t>’</w:t>
      </w:r>
      <w:r w:rsidRPr="004C7F84">
        <w:t>âge est de 35 ans. Depuis plusieurs décennies, les femmes constituent la grande majorité des étudiants inscrits dans les formations diplômantes et les programmes locaux d</w:t>
      </w:r>
      <w:r w:rsidR="00773F5D" w:rsidRPr="004C7F84">
        <w:t>’</w:t>
      </w:r>
      <w:r w:rsidRPr="004C7F84">
        <w:t>éducation permanente. En 2015, elles représentaient environ 83</w:t>
      </w:r>
      <w:r w:rsidR="0086373A" w:rsidRPr="004C7F84">
        <w:t> %</w:t>
      </w:r>
      <w:r w:rsidRPr="004C7F84">
        <w:t xml:space="preserve"> des étudiants inscrits dans les formations diplômantes et 73</w:t>
      </w:r>
      <w:r w:rsidR="0086373A" w:rsidRPr="004C7F84">
        <w:t> %</w:t>
      </w:r>
      <w:r w:rsidRPr="004C7F84">
        <w:t xml:space="preserve"> de ceux immatriculés dans les programmes d</w:t>
      </w:r>
      <w:r w:rsidR="00773F5D" w:rsidRPr="004C7F84">
        <w:t>’</w:t>
      </w:r>
      <w:r w:rsidRPr="004C7F84">
        <w:t>éducation permanente. Il est intéressant de noter que les femmes sont plus nombreuses que les hommes à s</w:t>
      </w:r>
      <w:r w:rsidR="00773F5D" w:rsidRPr="004C7F84">
        <w:t>’</w:t>
      </w:r>
      <w:r w:rsidRPr="004C7F84">
        <w:t>inscrire dans les programmes plus exigeants.</w:t>
      </w:r>
    </w:p>
    <w:p w14:paraId="5E79F62B" w14:textId="77777777" w:rsidR="0034195A" w:rsidRPr="004C7F84" w:rsidRDefault="0034195A" w:rsidP="0034195A">
      <w:pPr>
        <w:pStyle w:val="SingleTxt"/>
        <w:spacing w:after="0" w:line="120" w:lineRule="exact"/>
        <w:rPr>
          <w:rFonts w:asciiTheme="majorBidi" w:hAnsiTheme="majorBidi" w:cstheme="majorBidi"/>
          <w:sz w:val="10"/>
        </w:rPr>
      </w:pPr>
    </w:p>
    <w:p w14:paraId="07E5B29B" w14:textId="41C6F216"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6A1BA1" w:rsidRPr="004C7F84">
        <w:rPr>
          <w:lang w:val="fr-FR"/>
        </w:rPr>
        <w:t xml:space="preserve">Élimination des stéréotypes sur le rôle des hommes et des femmes </w:t>
      </w:r>
      <w:r w:rsidR="006A1BA1" w:rsidRPr="004C7F84">
        <w:rPr>
          <w:lang w:val="fr-FR"/>
        </w:rPr>
        <w:br/>
        <w:t xml:space="preserve">dans le matériel </w:t>
      </w:r>
      <w:r w:rsidR="006A1BA1" w:rsidRPr="004C7F84">
        <w:rPr>
          <w:rStyle w:val="admitted"/>
          <w:lang w:val="fr-FR"/>
        </w:rPr>
        <w:t>d</w:t>
      </w:r>
      <w:r w:rsidR="00773F5D" w:rsidRPr="004C7F84">
        <w:rPr>
          <w:rStyle w:val="admitted"/>
          <w:lang w:val="fr-FR"/>
        </w:rPr>
        <w:t>’</w:t>
      </w:r>
      <w:r w:rsidR="006A1BA1" w:rsidRPr="004C7F84">
        <w:rPr>
          <w:rStyle w:val="admitted"/>
          <w:lang w:val="fr-FR"/>
        </w:rPr>
        <w:t>enseignement</w:t>
      </w:r>
      <w:r w:rsidRPr="004C7F84">
        <w:rPr>
          <w:lang w:val="fr-FR"/>
        </w:rPr>
        <w:t xml:space="preserve">. </w:t>
      </w:r>
    </w:p>
    <w:p w14:paraId="120195C4" w14:textId="77777777" w:rsidR="0034195A" w:rsidRPr="004C7F84" w:rsidRDefault="0034195A" w:rsidP="0034195A">
      <w:pPr>
        <w:pStyle w:val="SingleTxt"/>
        <w:spacing w:after="0" w:line="120" w:lineRule="exact"/>
        <w:rPr>
          <w:rFonts w:asciiTheme="majorBidi" w:hAnsiTheme="majorBidi" w:cstheme="majorBidi"/>
          <w:sz w:val="10"/>
        </w:rPr>
      </w:pPr>
    </w:p>
    <w:p w14:paraId="61DB2F2E" w14:textId="1E78384D" w:rsidR="0034195A" w:rsidRPr="004C7F84" w:rsidRDefault="006A1BA1" w:rsidP="00514306">
      <w:pPr>
        <w:pStyle w:val="SingleTxt"/>
        <w:numPr>
          <w:ilvl w:val="0"/>
          <w:numId w:val="21"/>
        </w:numPr>
        <w:spacing w:line="240" w:lineRule="exact"/>
        <w:ind w:left="1267" w:firstLine="0"/>
        <w:rPr>
          <w:rFonts w:asciiTheme="majorBidi" w:hAnsiTheme="majorBidi" w:cstheme="majorBidi"/>
        </w:rPr>
      </w:pPr>
      <w:r w:rsidRPr="004C7F84">
        <w:t>Le Ministère de l</w:t>
      </w:r>
      <w:r w:rsidR="00773F5D" w:rsidRPr="004C7F84">
        <w:t>’</w:t>
      </w:r>
      <w:r w:rsidRPr="004C7F84">
        <w:t>éducation procède tous les ans à l</w:t>
      </w:r>
      <w:r w:rsidR="00773F5D" w:rsidRPr="004C7F84">
        <w:t>’</w:t>
      </w:r>
      <w:r w:rsidRPr="004C7F84">
        <w:t xml:space="preserve">examen des manuels scolaires et autre </w:t>
      </w:r>
      <w:r w:rsidRPr="004C7F84">
        <w:rPr>
          <w:rStyle w:val="preferred"/>
        </w:rPr>
        <w:t xml:space="preserve">matériel pédagogique </w:t>
      </w:r>
      <w:r w:rsidRPr="004C7F84">
        <w:t>pour veiller à ce que les textes ne contiennent pas de stéréotypes sexuels. Tous les 3</w:t>
      </w:r>
      <w:r w:rsidR="00024945" w:rsidRPr="004C7F84">
        <w:t> </w:t>
      </w:r>
      <w:r w:rsidRPr="004C7F84">
        <w:t>ans, les manuels scolaires jugés inacceptables ou dépassés sont remplacés. Il convient de mentionner que la publicité (par exemple les panneaux d</w:t>
      </w:r>
      <w:r w:rsidR="00773F5D" w:rsidRPr="004C7F84">
        <w:t>’</w:t>
      </w:r>
      <w:r w:rsidRPr="004C7F84">
        <w:t>affichage publicitaire) qui vise à sensibiliser le public au VIH/sida tient compte de la différence entre les sexes. Les messages publicitaires soulignent que les hommes et les femmes ont des responsabilités égales dans la prévention du VIH/sida.</w:t>
      </w:r>
    </w:p>
    <w:p w14:paraId="30ADF3A5" w14:textId="77777777" w:rsidR="0034195A" w:rsidRPr="004C7F84" w:rsidRDefault="0034195A" w:rsidP="0034195A">
      <w:pPr>
        <w:pStyle w:val="SingleTxt"/>
        <w:spacing w:after="0" w:line="120" w:lineRule="exact"/>
        <w:rPr>
          <w:rFonts w:asciiTheme="majorBidi" w:hAnsiTheme="majorBidi" w:cstheme="majorBidi"/>
          <w:sz w:val="10"/>
        </w:rPr>
      </w:pPr>
    </w:p>
    <w:p w14:paraId="1C68C50E" w14:textId="2E3643F6"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6A1BA1" w:rsidRPr="004C7F84">
        <w:rPr>
          <w:lang w:val="fr-FR"/>
        </w:rPr>
        <w:t>Égalité dans l</w:t>
      </w:r>
      <w:r w:rsidR="00773F5D" w:rsidRPr="004C7F84">
        <w:rPr>
          <w:lang w:val="fr-FR"/>
        </w:rPr>
        <w:t>’</w:t>
      </w:r>
      <w:r w:rsidR="006A1BA1" w:rsidRPr="004C7F84">
        <w:rPr>
          <w:lang w:val="fr-FR"/>
        </w:rPr>
        <w:t>accès aux bourses et autres formes d</w:t>
      </w:r>
      <w:r w:rsidR="00773F5D" w:rsidRPr="004C7F84">
        <w:rPr>
          <w:lang w:val="fr-FR"/>
        </w:rPr>
        <w:t>’</w:t>
      </w:r>
      <w:r w:rsidR="006A1BA1" w:rsidRPr="004C7F84">
        <w:rPr>
          <w:lang w:val="fr-FR"/>
        </w:rPr>
        <w:t>aide à l</w:t>
      </w:r>
      <w:r w:rsidR="00773F5D" w:rsidRPr="004C7F84">
        <w:rPr>
          <w:lang w:val="fr-FR"/>
        </w:rPr>
        <w:t>’</w:t>
      </w:r>
      <w:r w:rsidR="006A1BA1" w:rsidRPr="004C7F84">
        <w:rPr>
          <w:lang w:val="fr-FR"/>
        </w:rPr>
        <w:t>éducation</w:t>
      </w:r>
    </w:p>
    <w:p w14:paraId="7A5C61D4" w14:textId="77777777" w:rsidR="0034195A" w:rsidRPr="004C7F84" w:rsidRDefault="0034195A" w:rsidP="0034195A">
      <w:pPr>
        <w:pStyle w:val="SingleTxt"/>
        <w:spacing w:after="0" w:line="120" w:lineRule="exact"/>
        <w:rPr>
          <w:rFonts w:asciiTheme="majorBidi" w:hAnsiTheme="majorBidi" w:cstheme="majorBidi"/>
          <w:sz w:val="10"/>
        </w:rPr>
      </w:pPr>
    </w:p>
    <w:p w14:paraId="4522079D" w14:textId="59EF35BB" w:rsidR="0034195A" w:rsidRPr="004C7F84" w:rsidRDefault="0034195A" w:rsidP="0034195A">
      <w:pPr>
        <w:pStyle w:val="H4"/>
        <w:ind w:right="1260"/>
      </w:pPr>
      <w:r w:rsidRPr="004C7F84">
        <w:tab/>
      </w:r>
      <w:r w:rsidRPr="004C7F84">
        <w:tab/>
      </w:r>
      <w:r w:rsidR="006A1BA1" w:rsidRPr="004C7F84">
        <w:t>Programme d</w:t>
      </w:r>
      <w:r w:rsidR="00773F5D" w:rsidRPr="004C7F84">
        <w:t>’</w:t>
      </w:r>
      <w:r w:rsidR="006A1BA1" w:rsidRPr="004C7F84">
        <w:t>aide du Ministère de l</w:t>
      </w:r>
      <w:r w:rsidR="00773F5D" w:rsidRPr="004C7F84">
        <w:t>’</w:t>
      </w:r>
      <w:r w:rsidR="006A1BA1" w:rsidRPr="004C7F84">
        <w:t>éducation pour les manuels scolaires</w:t>
      </w:r>
    </w:p>
    <w:p w14:paraId="458AE6C7" w14:textId="77777777" w:rsidR="0034195A" w:rsidRPr="004C7F84" w:rsidRDefault="0034195A" w:rsidP="0034195A">
      <w:pPr>
        <w:pStyle w:val="SingleTxt"/>
        <w:spacing w:after="0" w:line="120" w:lineRule="exact"/>
        <w:rPr>
          <w:rFonts w:asciiTheme="majorBidi" w:hAnsiTheme="majorBidi" w:cstheme="majorBidi"/>
          <w:sz w:val="10"/>
        </w:rPr>
      </w:pPr>
    </w:p>
    <w:p w14:paraId="7CC44AD6" w14:textId="491BD1E8" w:rsidR="0034195A" w:rsidRPr="004C7F84" w:rsidRDefault="006A1BA1" w:rsidP="00514306">
      <w:pPr>
        <w:pStyle w:val="SingleTxt"/>
        <w:numPr>
          <w:ilvl w:val="0"/>
          <w:numId w:val="21"/>
        </w:numPr>
        <w:spacing w:line="240" w:lineRule="exact"/>
        <w:ind w:left="1267" w:firstLine="0"/>
        <w:rPr>
          <w:rFonts w:asciiTheme="majorBidi" w:hAnsiTheme="majorBidi" w:cstheme="majorBidi"/>
        </w:rPr>
      </w:pPr>
      <w:r w:rsidRPr="004C7F84">
        <w:t>Le Gouvernement fournit tous les manuels utilisés par les enfants dans les écoles primair</w:t>
      </w:r>
      <w:r w:rsidR="00024945" w:rsidRPr="004C7F84">
        <w:t>es et secondaires, publiques et privées</w:t>
      </w:r>
      <w:r w:rsidR="0034195A" w:rsidRPr="004C7F84">
        <w:rPr>
          <w:rFonts w:asciiTheme="majorBidi" w:hAnsiTheme="majorBidi" w:cstheme="majorBidi"/>
        </w:rPr>
        <w:t xml:space="preserve">. </w:t>
      </w:r>
    </w:p>
    <w:p w14:paraId="1177FF30" w14:textId="77777777" w:rsidR="0034195A" w:rsidRPr="004C7F84" w:rsidRDefault="0034195A" w:rsidP="0034195A">
      <w:pPr>
        <w:pStyle w:val="SingleTxt"/>
        <w:spacing w:after="0" w:line="120" w:lineRule="exact"/>
        <w:rPr>
          <w:rFonts w:asciiTheme="majorBidi" w:hAnsiTheme="majorBidi" w:cstheme="majorBidi"/>
          <w:sz w:val="10"/>
        </w:rPr>
      </w:pPr>
    </w:p>
    <w:p w14:paraId="43858943" w14:textId="7E24C2D5" w:rsidR="0034195A" w:rsidRPr="004C7F84" w:rsidRDefault="0034195A" w:rsidP="0034195A">
      <w:pPr>
        <w:pStyle w:val="H4"/>
        <w:ind w:right="1260"/>
      </w:pPr>
      <w:r w:rsidRPr="004C7F84">
        <w:tab/>
      </w:r>
      <w:r w:rsidRPr="004C7F84">
        <w:tab/>
      </w:r>
      <w:r w:rsidR="006A1BA1" w:rsidRPr="004C7F84">
        <w:t>Système national de bourses</w:t>
      </w:r>
    </w:p>
    <w:p w14:paraId="74EFAB59" w14:textId="77777777" w:rsidR="0034195A" w:rsidRPr="004C7F84" w:rsidRDefault="0034195A" w:rsidP="0034195A">
      <w:pPr>
        <w:pStyle w:val="SingleTxt"/>
        <w:spacing w:after="0" w:line="120" w:lineRule="exact"/>
        <w:rPr>
          <w:rFonts w:asciiTheme="majorBidi" w:hAnsiTheme="majorBidi" w:cstheme="majorBidi"/>
          <w:sz w:val="10"/>
        </w:rPr>
      </w:pPr>
    </w:p>
    <w:p w14:paraId="298D77A2" w14:textId="3A41D106" w:rsidR="0034195A" w:rsidRPr="004C7F84" w:rsidRDefault="006A1BA1" w:rsidP="00514306">
      <w:pPr>
        <w:pStyle w:val="SingleTxt"/>
        <w:numPr>
          <w:ilvl w:val="0"/>
          <w:numId w:val="21"/>
        </w:numPr>
        <w:spacing w:line="240" w:lineRule="exact"/>
        <w:ind w:left="1267" w:firstLine="0"/>
        <w:rPr>
          <w:rFonts w:asciiTheme="majorBidi" w:hAnsiTheme="majorBidi" w:cstheme="majorBidi"/>
        </w:rPr>
      </w:pPr>
      <w:r w:rsidRPr="004C7F84">
        <w:t>Aucune discrimination n</w:t>
      </w:r>
      <w:r w:rsidR="00773F5D" w:rsidRPr="004C7F84">
        <w:t>’</w:t>
      </w:r>
      <w:r w:rsidR="00024945" w:rsidRPr="004C7F84">
        <w:t>existe dans l</w:t>
      </w:r>
      <w:r w:rsidR="00773F5D" w:rsidRPr="004C7F84">
        <w:t>’</w:t>
      </w:r>
      <w:r w:rsidR="00024945" w:rsidRPr="004C7F84">
        <w:t xml:space="preserve">octroi </w:t>
      </w:r>
      <w:r w:rsidRPr="004C7F84">
        <w:t>de bourses et de subventions. Le comité national d</w:t>
      </w:r>
      <w:r w:rsidR="00773F5D" w:rsidRPr="004C7F84">
        <w:t>’</w:t>
      </w:r>
      <w:r w:rsidRPr="004C7F84">
        <w:t>attribution</w:t>
      </w:r>
      <w:r w:rsidRPr="004C7F84">
        <w:rPr>
          <w:color w:val="FF0000"/>
        </w:rPr>
        <w:t xml:space="preserve"> </w:t>
      </w:r>
      <w:r w:rsidRPr="004C7F84">
        <w:t>des bourses se réunit chaque année. En 2015, il a accordé 109</w:t>
      </w:r>
      <w:r w:rsidR="00024945" w:rsidRPr="004C7F84">
        <w:t> </w:t>
      </w:r>
      <w:r w:rsidRPr="004C7F84">
        <w:t>bourses, dont 64 (soit 58</w:t>
      </w:r>
      <w:r w:rsidR="0086373A" w:rsidRPr="004C7F84">
        <w:t> %</w:t>
      </w:r>
      <w:r w:rsidRPr="004C7F84">
        <w:t>) aux femmes</w:t>
      </w:r>
      <w:r w:rsidR="0034195A" w:rsidRPr="004C7F84">
        <w:rPr>
          <w:rFonts w:asciiTheme="majorBidi" w:hAnsiTheme="majorBidi" w:cstheme="majorBidi"/>
        </w:rPr>
        <w:t xml:space="preserve">. </w:t>
      </w:r>
    </w:p>
    <w:p w14:paraId="333356E5" w14:textId="77777777" w:rsidR="0034195A" w:rsidRPr="004C7F84" w:rsidRDefault="0034195A" w:rsidP="0034195A">
      <w:pPr>
        <w:pStyle w:val="SingleTxt"/>
        <w:spacing w:after="0" w:line="120" w:lineRule="exact"/>
        <w:rPr>
          <w:rFonts w:asciiTheme="majorBidi" w:hAnsiTheme="majorBidi" w:cstheme="majorBidi"/>
          <w:sz w:val="10"/>
        </w:rPr>
      </w:pPr>
    </w:p>
    <w:p w14:paraId="53996F40" w14:textId="7B5DC3D8" w:rsidR="0034195A" w:rsidRPr="004C7F84" w:rsidRDefault="0034195A" w:rsidP="0034195A">
      <w:pPr>
        <w:pStyle w:val="H4"/>
        <w:ind w:right="1260"/>
      </w:pPr>
      <w:r w:rsidRPr="004C7F84">
        <w:tab/>
      </w:r>
      <w:r w:rsidRPr="004C7F84">
        <w:tab/>
      </w:r>
      <w:r w:rsidR="006A1BA1" w:rsidRPr="004C7F84">
        <w:t>Programme de subvention des uniformes scolaires</w:t>
      </w:r>
    </w:p>
    <w:p w14:paraId="404DBED8" w14:textId="77777777" w:rsidR="0034195A" w:rsidRPr="004C7F84" w:rsidRDefault="0034195A" w:rsidP="0034195A">
      <w:pPr>
        <w:pStyle w:val="SingleTxt"/>
        <w:spacing w:after="0" w:line="120" w:lineRule="exact"/>
        <w:rPr>
          <w:rFonts w:asciiTheme="majorBidi" w:hAnsiTheme="majorBidi" w:cstheme="majorBidi"/>
          <w:sz w:val="10"/>
        </w:rPr>
      </w:pPr>
    </w:p>
    <w:p w14:paraId="019F4116" w14:textId="01B57D06" w:rsidR="0034195A" w:rsidRPr="004C7F84" w:rsidRDefault="006A1BA1" w:rsidP="00514306">
      <w:pPr>
        <w:pStyle w:val="SingleTxt"/>
        <w:numPr>
          <w:ilvl w:val="0"/>
          <w:numId w:val="21"/>
        </w:numPr>
        <w:spacing w:line="240" w:lineRule="exact"/>
        <w:ind w:left="1267" w:firstLine="0"/>
        <w:rPr>
          <w:rFonts w:asciiTheme="majorBidi" w:hAnsiTheme="majorBidi" w:cstheme="majorBidi"/>
        </w:rPr>
      </w:pPr>
      <w:r w:rsidRPr="004C7F84">
        <w:t>En 2004, le Gouvernement a lancé une initiative dans le cadre de laquelle il accordait à chaque enfant inscrit dans une école primaire ou secondaire 2</w:t>
      </w:r>
      <w:r w:rsidR="00024945" w:rsidRPr="004C7F84">
        <w:t> </w:t>
      </w:r>
      <w:r w:rsidRPr="004C7F84">
        <w:t>uniformes scolaires gratuits par an aussi longtemps qu</w:t>
      </w:r>
      <w:r w:rsidR="00773F5D" w:rsidRPr="004C7F84">
        <w:t>’</w:t>
      </w:r>
      <w:r w:rsidRPr="004C7F84">
        <w:t>il poursuivait ses études. Cette initiative a été d</w:t>
      </w:r>
      <w:r w:rsidR="00773F5D" w:rsidRPr="004C7F84">
        <w:t>’</w:t>
      </w:r>
      <w:r w:rsidRPr="004C7F84">
        <w:t>un grand secours pour les parents, en particulier les mères célibataires, qui sont généralement responsables de l</w:t>
      </w:r>
      <w:r w:rsidR="00773F5D" w:rsidRPr="004C7F84">
        <w:t>’</w:t>
      </w:r>
      <w:r w:rsidRPr="004C7F84">
        <w:t>habillement de leurs enfant</w:t>
      </w:r>
      <w:r w:rsidRPr="004C7F84">
        <w:rPr>
          <w:rFonts w:asciiTheme="majorBidi" w:hAnsiTheme="majorBidi" w:cstheme="majorBidi"/>
        </w:rPr>
        <w:t>s.</w:t>
      </w:r>
      <w:r w:rsidR="0034195A" w:rsidRPr="004C7F84">
        <w:rPr>
          <w:rFonts w:asciiTheme="majorBidi" w:hAnsiTheme="majorBidi" w:cstheme="majorBidi"/>
        </w:rPr>
        <w:t xml:space="preserve"> </w:t>
      </w:r>
    </w:p>
    <w:p w14:paraId="55908996" w14:textId="77777777" w:rsidR="0034195A" w:rsidRPr="004C7F84" w:rsidRDefault="0034195A" w:rsidP="0034195A">
      <w:pPr>
        <w:pStyle w:val="SingleTxt"/>
        <w:spacing w:after="0" w:line="120" w:lineRule="exact"/>
        <w:rPr>
          <w:rFonts w:asciiTheme="majorBidi" w:hAnsiTheme="majorBidi" w:cstheme="majorBidi"/>
          <w:sz w:val="10"/>
        </w:rPr>
      </w:pPr>
    </w:p>
    <w:p w14:paraId="24FB19DC" w14:textId="5D1FE7BD" w:rsidR="0034195A" w:rsidRPr="004C7F84" w:rsidRDefault="0034195A" w:rsidP="0034195A">
      <w:pPr>
        <w:pStyle w:val="H4"/>
        <w:ind w:right="1260"/>
      </w:pPr>
      <w:r w:rsidRPr="004C7F84">
        <w:tab/>
      </w:r>
      <w:r w:rsidRPr="004C7F84">
        <w:tab/>
      </w:r>
      <w:r w:rsidR="006A1BA1" w:rsidRPr="004C7F84">
        <w:t>Programme national de repas scolaires (2007)</w:t>
      </w:r>
    </w:p>
    <w:p w14:paraId="501BCE1C" w14:textId="77777777" w:rsidR="0034195A" w:rsidRPr="004C7F84" w:rsidRDefault="0034195A" w:rsidP="0034195A">
      <w:pPr>
        <w:pStyle w:val="SingleTxt"/>
        <w:spacing w:after="0" w:line="120" w:lineRule="exact"/>
        <w:rPr>
          <w:rFonts w:asciiTheme="majorBidi" w:hAnsiTheme="majorBidi" w:cstheme="majorBidi"/>
          <w:sz w:val="10"/>
        </w:rPr>
      </w:pPr>
    </w:p>
    <w:p w14:paraId="55BEE30F" w14:textId="50272CF0" w:rsidR="0034195A" w:rsidRPr="004C7F84" w:rsidRDefault="00024945" w:rsidP="00514306">
      <w:pPr>
        <w:pStyle w:val="SingleTxt"/>
        <w:numPr>
          <w:ilvl w:val="0"/>
          <w:numId w:val="21"/>
        </w:numPr>
        <w:spacing w:line="240" w:lineRule="exact"/>
        <w:ind w:left="1267" w:firstLine="0"/>
        <w:rPr>
          <w:rFonts w:asciiTheme="majorBidi" w:hAnsiTheme="majorBidi" w:cstheme="majorBidi"/>
        </w:rPr>
      </w:pPr>
      <w:r w:rsidRPr="004C7F84">
        <w:t xml:space="preserve">Compte tenu de sa promesse </w:t>
      </w:r>
      <w:r w:rsidR="006A1BA1" w:rsidRPr="004C7F84">
        <w:t>de rendre l</w:t>
      </w:r>
      <w:r w:rsidR="00773F5D" w:rsidRPr="004C7F84">
        <w:t>’</w:t>
      </w:r>
      <w:r w:rsidR="006A1BA1" w:rsidRPr="004C7F84">
        <w:t>enseignement accessible et abordable pour tous les élèves d</w:t>
      </w:r>
      <w:r w:rsidR="00773F5D" w:rsidRPr="004C7F84">
        <w:t>’</w:t>
      </w:r>
      <w:r w:rsidR="006A1BA1" w:rsidRPr="004C7F84">
        <w:t>Antigua-et-Barbuda, le Gouvernement a lancé en 2007 un pr</w:t>
      </w:r>
      <w:r w:rsidRPr="004C7F84">
        <w:t xml:space="preserve">ogramme de repas scolaires pour </w:t>
      </w:r>
      <w:r w:rsidR="006A1BA1" w:rsidRPr="004C7F84">
        <w:t>les garçons et les filles.</w:t>
      </w:r>
    </w:p>
    <w:p w14:paraId="1E37D42B" w14:textId="5ED33310" w:rsidR="006A1BA1" w:rsidRPr="004C7F84" w:rsidRDefault="006A1BA1" w:rsidP="006A1BA1">
      <w:pPr>
        <w:pStyle w:val="SingleTxt"/>
        <w:spacing w:after="0" w:line="120" w:lineRule="exact"/>
        <w:rPr>
          <w:sz w:val="10"/>
        </w:rPr>
      </w:pPr>
    </w:p>
    <w:p w14:paraId="4CA702B3" w14:textId="7E43A727" w:rsidR="0034195A" w:rsidRPr="004C7F84" w:rsidRDefault="0034195A" w:rsidP="006E7D5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lastRenderedPageBreak/>
        <w:tab/>
      </w:r>
      <w:r w:rsidRPr="004C7F84">
        <w:rPr>
          <w:lang w:val="fr-FR"/>
        </w:rPr>
        <w:tab/>
      </w:r>
      <w:r w:rsidR="006A1BA1" w:rsidRPr="004C7F84">
        <w:rPr>
          <w:lang w:val="fr-FR"/>
        </w:rPr>
        <w:t>Possibilités d</w:t>
      </w:r>
      <w:r w:rsidR="00773F5D" w:rsidRPr="004C7F84">
        <w:rPr>
          <w:lang w:val="fr-FR"/>
        </w:rPr>
        <w:t>’</w:t>
      </w:r>
      <w:r w:rsidR="006A1BA1" w:rsidRPr="004C7F84">
        <w:rPr>
          <w:lang w:val="fr-FR"/>
        </w:rPr>
        <w:t>accès à l</w:t>
      </w:r>
      <w:r w:rsidR="00773F5D" w:rsidRPr="004C7F84">
        <w:rPr>
          <w:lang w:val="fr-FR"/>
        </w:rPr>
        <w:t>’</w:t>
      </w:r>
      <w:r w:rsidR="006A1BA1" w:rsidRPr="004C7F84">
        <w:rPr>
          <w:lang w:val="fr-FR"/>
        </w:rPr>
        <w:t>éducation permanente</w:t>
      </w:r>
    </w:p>
    <w:p w14:paraId="3E1F607F" w14:textId="77777777" w:rsidR="0034195A" w:rsidRPr="004C7F84" w:rsidRDefault="0034195A" w:rsidP="006E7D5E">
      <w:pPr>
        <w:pStyle w:val="SingleTxt"/>
        <w:keepNext/>
        <w:keepLines/>
        <w:spacing w:after="0" w:line="120" w:lineRule="exact"/>
        <w:rPr>
          <w:rFonts w:asciiTheme="majorBidi" w:hAnsiTheme="majorBidi" w:cstheme="majorBidi"/>
          <w:sz w:val="10"/>
        </w:rPr>
      </w:pPr>
    </w:p>
    <w:p w14:paraId="54C5CF50" w14:textId="46D91ACD" w:rsidR="0034195A" w:rsidRPr="004C7F84" w:rsidRDefault="00024945" w:rsidP="00514306">
      <w:pPr>
        <w:pStyle w:val="SingleTxt"/>
        <w:numPr>
          <w:ilvl w:val="0"/>
          <w:numId w:val="21"/>
        </w:numPr>
        <w:spacing w:line="240" w:lineRule="exact"/>
        <w:ind w:left="1267" w:firstLine="0"/>
        <w:rPr>
          <w:rFonts w:asciiTheme="majorBidi" w:hAnsiTheme="majorBidi" w:cstheme="majorBidi"/>
        </w:rPr>
      </w:pPr>
      <w:r w:rsidRPr="004C7F84">
        <w:t xml:space="preserve">Les possibilités </w:t>
      </w:r>
      <w:r w:rsidR="006A1BA1" w:rsidRPr="004C7F84">
        <w:t>d</w:t>
      </w:r>
      <w:r w:rsidR="00773F5D" w:rsidRPr="004C7F84">
        <w:t>’</w:t>
      </w:r>
      <w:r w:rsidR="006A1BA1" w:rsidRPr="004C7F84">
        <w:t>éducation permanente pour les jeunes et les personnes âgées font partie intégrante du système éducatif d</w:t>
      </w:r>
      <w:r w:rsidR="00773F5D" w:rsidRPr="004C7F84">
        <w:t>’</w:t>
      </w:r>
      <w:r w:rsidR="006A1BA1" w:rsidRPr="004C7F84">
        <w:t>Antigua-e</w:t>
      </w:r>
      <w:r w:rsidRPr="004C7F84">
        <w:t xml:space="preserve">t-Barbuda. Les </w:t>
      </w:r>
      <w:r w:rsidR="006A1BA1" w:rsidRPr="004C7F84">
        <w:t>adolescentes qui deviennent enceintes abandonnent leurs études secondaires. Aucun règlement dans le système éducatif ne les y oblige, mais elles choisissent de quitter l</w:t>
      </w:r>
      <w:r w:rsidR="00773F5D" w:rsidRPr="004C7F84">
        <w:t>’</w:t>
      </w:r>
      <w:r w:rsidR="006A1BA1" w:rsidRPr="004C7F84">
        <w:t>école en raison essentiellement de la désapprobation publique. Il convient de noter que le nombre de ces adolescentes est en régression. Si l</w:t>
      </w:r>
      <w:r w:rsidR="00773F5D" w:rsidRPr="004C7F84">
        <w:t>’</w:t>
      </w:r>
      <w:r w:rsidR="006A1BA1" w:rsidRPr="004C7F84">
        <w:t>assouplissement des normes sociales contribue dans une certaine mesure à cette évolution positive, il n</w:t>
      </w:r>
      <w:r w:rsidR="00773F5D" w:rsidRPr="004C7F84">
        <w:t>’</w:t>
      </w:r>
      <w:r w:rsidR="006A1BA1" w:rsidRPr="004C7F84">
        <w:t>indique pas une diminution sensible de la stigmatisation des adolescentes enceintes.</w:t>
      </w:r>
    </w:p>
    <w:p w14:paraId="43AF0E79" w14:textId="52E6448D" w:rsidR="0034195A" w:rsidRPr="004C7F84" w:rsidRDefault="006A1BA1" w:rsidP="00514306">
      <w:pPr>
        <w:pStyle w:val="SingleTxt"/>
        <w:numPr>
          <w:ilvl w:val="0"/>
          <w:numId w:val="21"/>
        </w:numPr>
        <w:spacing w:line="240" w:lineRule="exact"/>
        <w:ind w:left="1267" w:firstLine="0"/>
        <w:rPr>
          <w:rFonts w:asciiTheme="majorBidi" w:hAnsiTheme="majorBidi" w:cstheme="majorBidi"/>
        </w:rPr>
      </w:pPr>
      <w:r w:rsidRPr="004C7F84">
        <w:t>La partie qui suit indique</w:t>
      </w:r>
      <w:r w:rsidRPr="004C7F84">
        <w:rPr>
          <w:color w:val="FF0000"/>
        </w:rPr>
        <w:t xml:space="preserve"> </w:t>
      </w:r>
      <w:r w:rsidRPr="004C7F84">
        <w:t>que les femmes sont plus nombreuses que les hommes à mettre à profit la possibilité de poursuivre leurs études. Différents établissements et organisations, tels que Antigua and Barbuda Institute of Continuing Education, Youth Skills Training Programme, Gilbert Agricultural and Rural Development Centre et National Development Foundation, off</w:t>
      </w:r>
      <w:r w:rsidR="00455FBE" w:rsidRPr="004C7F84">
        <w:t>r</w:t>
      </w:r>
      <w:r w:rsidRPr="004C7F84">
        <w:t>ent la possibilité, sans parti pris ni discrimination sexiste, d</w:t>
      </w:r>
      <w:r w:rsidR="00773F5D" w:rsidRPr="004C7F84">
        <w:t>’</w:t>
      </w:r>
      <w:r w:rsidR="00024945" w:rsidRPr="004C7F84">
        <w:t xml:space="preserve">améliorer ses </w:t>
      </w:r>
      <w:r w:rsidRPr="004C7F84">
        <w:t>connaissances ou d</w:t>
      </w:r>
      <w:r w:rsidR="00773F5D" w:rsidRPr="004C7F84">
        <w:t>’</w:t>
      </w:r>
      <w:r w:rsidRPr="004C7F84">
        <w:t>acquérir de nouvelles compétences</w:t>
      </w:r>
      <w:r w:rsidR="00773F5D" w:rsidRPr="004C7F84">
        <w:t> ;</w:t>
      </w:r>
      <w:r w:rsidRPr="004C7F84">
        <w:t xml:space="preserve"> 2 de ces établissements seront examinés ci-après.</w:t>
      </w:r>
    </w:p>
    <w:p w14:paraId="2DCB0CB4" w14:textId="77777777" w:rsidR="0034195A" w:rsidRPr="004C7F84" w:rsidRDefault="0034195A" w:rsidP="0034195A">
      <w:pPr>
        <w:pStyle w:val="SingleTxt"/>
        <w:spacing w:after="0" w:line="120" w:lineRule="exact"/>
        <w:rPr>
          <w:rFonts w:asciiTheme="majorBidi" w:hAnsiTheme="majorBidi" w:cstheme="majorBidi"/>
          <w:sz w:val="10"/>
        </w:rPr>
      </w:pPr>
    </w:p>
    <w:p w14:paraId="61B31993" w14:textId="6D47F880" w:rsidR="0034195A" w:rsidRPr="00F05573" w:rsidRDefault="0034195A" w:rsidP="0034195A">
      <w:pPr>
        <w:pStyle w:val="H4"/>
        <w:ind w:right="1260"/>
        <w:rPr>
          <w:lang w:val="en-US"/>
        </w:rPr>
      </w:pPr>
      <w:r w:rsidRPr="004C7F84">
        <w:tab/>
      </w:r>
      <w:r w:rsidRPr="004C7F84">
        <w:tab/>
      </w:r>
      <w:r w:rsidR="006A1BA1" w:rsidRPr="00F05573">
        <w:rPr>
          <w:lang w:val="en-US"/>
        </w:rPr>
        <w:t>Antigua and Barbuda Institute of Continuing Education</w:t>
      </w:r>
    </w:p>
    <w:p w14:paraId="2EE9017B" w14:textId="77777777" w:rsidR="0034195A" w:rsidRPr="00F05573" w:rsidRDefault="0034195A" w:rsidP="0034195A">
      <w:pPr>
        <w:pStyle w:val="SingleTxt"/>
        <w:spacing w:after="0" w:line="120" w:lineRule="exact"/>
        <w:rPr>
          <w:rFonts w:asciiTheme="majorBidi" w:hAnsiTheme="majorBidi" w:cstheme="majorBidi"/>
          <w:sz w:val="10"/>
          <w:lang w:val="en-US"/>
        </w:rPr>
      </w:pPr>
    </w:p>
    <w:p w14:paraId="3BEAA6CC" w14:textId="662B5F4E" w:rsidR="0034195A" w:rsidRPr="004C7F84" w:rsidRDefault="00595DD8" w:rsidP="00514306">
      <w:pPr>
        <w:pStyle w:val="SingleTxt"/>
        <w:numPr>
          <w:ilvl w:val="0"/>
          <w:numId w:val="21"/>
        </w:numPr>
        <w:spacing w:line="240" w:lineRule="exact"/>
        <w:ind w:left="1267" w:firstLine="0"/>
        <w:rPr>
          <w:rFonts w:asciiTheme="majorBidi" w:hAnsiTheme="majorBidi" w:cstheme="majorBidi"/>
        </w:rPr>
      </w:pPr>
      <w:r w:rsidRPr="004C7F84">
        <w:t>Cet établissement d</w:t>
      </w:r>
      <w:r w:rsidR="00773F5D" w:rsidRPr="004C7F84">
        <w:t>’</w:t>
      </w:r>
      <w:r w:rsidRPr="004C7F84">
        <w:t>enseignement technique et professionnel de niveau postsecondaire a été créé en 2005. Les étudiants peuvent se préparer au Caribbean Voc</w:t>
      </w:r>
      <w:r w:rsidR="00024945" w:rsidRPr="004C7F84">
        <w:t xml:space="preserve">ational Qualifications (diplôme </w:t>
      </w:r>
      <w:r w:rsidRPr="004C7F84">
        <w:t xml:space="preserve">de qualifications professionnelles), décerné par le Caribbean Examinations Council (Conseil des examens des Caraïbes). Les étudiants inscrits dans cet établissement sont en majorité des </w:t>
      </w:r>
      <w:r w:rsidR="00024945" w:rsidRPr="004C7F84">
        <w:t xml:space="preserve">hommes, sans doute en raison du </w:t>
      </w:r>
      <w:r w:rsidRPr="004C7F84">
        <w:t>stéréotype, encore très répandu, selon lequel les études techniques et professionnell</w:t>
      </w:r>
      <w:r w:rsidR="00024945" w:rsidRPr="004C7F84">
        <w:t xml:space="preserve">es sont plus indiquées pour les </w:t>
      </w:r>
      <w:r w:rsidRPr="004C7F84">
        <w:t>hommes.</w:t>
      </w:r>
    </w:p>
    <w:p w14:paraId="340DB527" w14:textId="77777777" w:rsidR="0034195A" w:rsidRPr="004C7F84" w:rsidRDefault="0034195A" w:rsidP="0034195A">
      <w:pPr>
        <w:pStyle w:val="SingleTxt"/>
        <w:spacing w:after="0" w:line="120" w:lineRule="exact"/>
        <w:rPr>
          <w:rFonts w:asciiTheme="majorBidi" w:hAnsiTheme="majorBidi" w:cstheme="majorBidi"/>
          <w:sz w:val="10"/>
        </w:rPr>
      </w:pPr>
    </w:p>
    <w:p w14:paraId="0CEB793B" w14:textId="39F08979" w:rsidR="0034195A" w:rsidRPr="00F05573" w:rsidRDefault="0034195A" w:rsidP="0034195A">
      <w:pPr>
        <w:pStyle w:val="H4"/>
        <w:ind w:right="1260"/>
        <w:rPr>
          <w:lang w:val="en-US"/>
        </w:rPr>
      </w:pPr>
      <w:r w:rsidRPr="004C7F84">
        <w:tab/>
      </w:r>
      <w:r w:rsidRPr="004C7F84">
        <w:tab/>
      </w:r>
      <w:r w:rsidR="00595DD8" w:rsidRPr="00F05573">
        <w:rPr>
          <w:lang w:val="en-US"/>
        </w:rPr>
        <w:t>Gilbert Agricultural and Rural Development Center</w:t>
      </w:r>
    </w:p>
    <w:p w14:paraId="40967AAA" w14:textId="77777777" w:rsidR="0034195A" w:rsidRPr="00F05573" w:rsidRDefault="0034195A" w:rsidP="0034195A">
      <w:pPr>
        <w:pStyle w:val="SingleTxt"/>
        <w:spacing w:after="0" w:line="120" w:lineRule="exact"/>
        <w:rPr>
          <w:rFonts w:asciiTheme="majorBidi" w:hAnsiTheme="majorBidi" w:cstheme="majorBidi"/>
          <w:sz w:val="10"/>
          <w:lang w:val="en-US"/>
        </w:rPr>
      </w:pPr>
    </w:p>
    <w:p w14:paraId="67ECA85E" w14:textId="3ED5E6A2" w:rsidR="0034195A" w:rsidRPr="004C7F84" w:rsidRDefault="00595DD8" w:rsidP="00514306">
      <w:pPr>
        <w:pStyle w:val="SingleTxt"/>
        <w:numPr>
          <w:ilvl w:val="0"/>
          <w:numId w:val="21"/>
        </w:numPr>
        <w:spacing w:line="240" w:lineRule="exact"/>
        <w:ind w:left="1267" w:firstLine="0"/>
        <w:rPr>
          <w:rFonts w:asciiTheme="majorBidi" w:hAnsiTheme="majorBidi" w:cstheme="majorBidi"/>
        </w:rPr>
      </w:pPr>
      <w:r w:rsidRPr="004C7F84">
        <w:t>Cette organisation est une ONG qui existe depuis plus de vingt ans. Elle s</w:t>
      </w:r>
      <w:r w:rsidR="00773F5D" w:rsidRPr="004C7F84">
        <w:t>’</w:t>
      </w:r>
      <w:r w:rsidRPr="004C7F84">
        <w:t xml:space="preserve">attache essentiellement à former et guider les jeunes </w:t>
      </w:r>
      <w:r w:rsidRPr="004C7F84">
        <w:rPr>
          <w:rStyle w:val="preferred"/>
        </w:rPr>
        <w:t>exploitants agricoles</w:t>
      </w:r>
      <w:r w:rsidRPr="004C7F84">
        <w:t xml:space="preserve"> des deux sexes. Depuis lors, elle a élargi la gamme de ses services pour inclure notamment le tutorat ainsi que des conseils sur le lancement</w:t>
      </w:r>
      <w:r w:rsidRPr="004C7F84">
        <w:rPr>
          <w:color w:val="FF0000"/>
        </w:rPr>
        <w:t xml:space="preserve"> </w:t>
      </w:r>
      <w:r w:rsidRPr="004C7F84">
        <w:t>d</w:t>
      </w:r>
      <w:r w:rsidR="00773F5D" w:rsidRPr="004C7F84">
        <w:t>’</w:t>
      </w:r>
      <w:r w:rsidRPr="004C7F84">
        <w:t>une petite entreprise. Plus récemment, elle a porté son attention sur les jeunes à risque, notamment ceux qui sont déscolarisés, chômeurs ou qui vivent en dessous du seuil de pauvreté. L</w:t>
      </w:r>
      <w:r w:rsidR="00773F5D" w:rsidRPr="004C7F84">
        <w:t>’</w:t>
      </w:r>
      <w:r w:rsidRPr="004C7F84">
        <w:t>organisation a fait savoir qu</w:t>
      </w:r>
      <w:r w:rsidR="00773F5D" w:rsidRPr="004C7F84">
        <w:t>’</w:t>
      </w:r>
      <w:r w:rsidRPr="004C7F84">
        <w:t>au cours de la période 2009</w:t>
      </w:r>
      <w:r w:rsidR="00024945" w:rsidRPr="004C7F84">
        <w:t>–</w:t>
      </w:r>
      <w:r w:rsidRPr="004C7F84">
        <w:t>2015, elle avait formé 955</w:t>
      </w:r>
      <w:r w:rsidR="00024945" w:rsidRPr="004C7F84">
        <w:t> </w:t>
      </w:r>
      <w:r w:rsidRPr="004C7F84">
        <w:t>personnes, dont 617</w:t>
      </w:r>
      <w:r w:rsidR="00024945" w:rsidRPr="004C7F84">
        <w:t> </w:t>
      </w:r>
      <w:r w:rsidRPr="004C7F84">
        <w:t>femmes (soit 64,6</w:t>
      </w:r>
      <w:r w:rsidR="0086373A" w:rsidRPr="004C7F84">
        <w:t> %</w:t>
      </w:r>
      <w:r w:rsidRPr="004C7F84">
        <w:t xml:space="preserve"> du total) dans le cadre de ses divers programmes, notamment celui qui portait sur l</w:t>
      </w:r>
      <w:r w:rsidR="00773F5D" w:rsidRPr="004C7F84">
        <w:t>’</w:t>
      </w:r>
      <w:r w:rsidRPr="004C7F84">
        <w:t>autonomisation des jeunes.</w:t>
      </w:r>
    </w:p>
    <w:p w14:paraId="7D040B77" w14:textId="77777777" w:rsidR="0034195A" w:rsidRPr="004C7F84" w:rsidRDefault="0034195A" w:rsidP="0034195A">
      <w:pPr>
        <w:pStyle w:val="SingleTxt"/>
        <w:spacing w:after="0" w:line="120" w:lineRule="exact"/>
        <w:rPr>
          <w:rFonts w:asciiTheme="majorBidi" w:hAnsiTheme="majorBidi" w:cstheme="majorBidi"/>
          <w:sz w:val="10"/>
        </w:rPr>
      </w:pPr>
    </w:p>
    <w:p w14:paraId="1F38D4F6" w14:textId="761C6502" w:rsidR="0034195A" w:rsidRPr="004C7F84" w:rsidRDefault="0034195A" w:rsidP="0034195A">
      <w:pPr>
        <w:pStyle w:val="H4"/>
        <w:ind w:right="1260"/>
      </w:pPr>
      <w:r w:rsidRPr="004C7F84">
        <w:tab/>
      </w:r>
      <w:r w:rsidRPr="004C7F84">
        <w:tab/>
      </w:r>
      <w:r w:rsidR="00595DD8" w:rsidRPr="004C7F84">
        <w:t>Examens que peuvent passer les personnes non scolarisées</w:t>
      </w:r>
    </w:p>
    <w:p w14:paraId="624E973D" w14:textId="77777777" w:rsidR="0034195A" w:rsidRPr="004C7F84" w:rsidRDefault="0034195A" w:rsidP="0034195A">
      <w:pPr>
        <w:pStyle w:val="SingleTxt"/>
        <w:spacing w:after="0" w:line="120" w:lineRule="exact"/>
        <w:rPr>
          <w:rFonts w:asciiTheme="majorBidi" w:hAnsiTheme="majorBidi" w:cstheme="majorBidi"/>
          <w:sz w:val="10"/>
        </w:rPr>
      </w:pPr>
    </w:p>
    <w:p w14:paraId="7C0CF000" w14:textId="574F2BF6" w:rsidR="0034195A" w:rsidRPr="004C7F84" w:rsidRDefault="00595DD8" w:rsidP="00514306">
      <w:pPr>
        <w:pStyle w:val="SingleTxt"/>
        <w:numPr>
          <w:ilvl w:val="0"/>
          <w:numId w:val="21"/>
        </w:numPr>
        <w:spacing w:line="240" w:lineRule="exact"/>
        <w:ind w:left="1267" w:firstLine="0"/>
        <w:rPr>
          <w:rFonts w:asciiTheme="majorBidi" w:hAnsiTheme="majorBidi" w:cstheme="majorBidi"/>
        </w:rPr>
      </w:pPr>
      <w:r w:rsidRPr="004C7F84">
        <w:t>Certaines personnes, généralement employées, choisissent de se préparer par elles-mêmes aux différents examens sans être inscrites dans des établissements d</w:t>
      </w:r>
      <w:r w:rsidR="00773F5D" w:rsidRPr="004C7F84">
        <w:t>’</w:t>
      </w:r>
      <w:r w:rsidRPr="004C7F84">
        <w:t>enseignement. Elles peuvent également décider de suivre des cours particuliers dans certaines matières. Le Caribbean Examinations Council (Conseil des examens des Caraïbes) permet à toute personne, quel que soit son âge, de passer l</w:t>
      </w:r>
      <w:r w:rsidR="00773F5D" w:rsidRPr="004C7F84">
        <w:t>’</w:t>
      </w:r>
      <w:r w:rsidRPr="004C7F84">
        <w:t>examen du certificat d</w:t>
      </w:r>
      <w:r w:rsidR="00773F5D" w:rsidRPr="004C7F84">
        <w:t>’</w:t>
      </w:r>
      <w:r w:rsidRPr="004C7F84">
        <w:t>études secondaires et des tests de niveau. En 2013, 69,4</w:t>
      </w:r>
      <w:r w:rsidR="0086373A" w:rsidRPr="004C7F84">
        <w:t> %</w:t>
      </w:r>
      <w:r w:rsidRPr="004C7F84">
        <w:t xml:space="preserve"> des candidats étaient des femmes. En 2014, ce pourcentage est passé à 72,4</w:t>
      </w:r>
      <w:r w:rsidR="0086373A" w:rsidRPr="004C7F84">
        <w:t> %</w:t>
      </w:r>
      <w:r w:rsidR="00773F5D" w:rsidRPr="004C7F84">
        <w:t> ;</w:t>
      </w:r>
      <w:r w:rsidRPr="004C7F84">
        <w:t xml:space="preserve"> en 2015, il est tombé à 68,2 %.</w:t>
      </w:r>
    </w:p>
    <w:p w14:paraId="5D90EA62" w14:textId="55377417" w:rsidR="0034195A" w:rsidRPr="004C7F84" w:rsidRDefault="0034195A" w:rsidP="0076068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lastRenderedPageBreak/>
        <w:tab/>
      </w:r>
      <w:r w:rsidRPr="004C7F84">
        <w:rPr>
          <w:lang w:val="fr-FR"/>
        </w:rPr>
        <w:tab/>
      </w:r>
      <w:r w:rsidR="00595DD8" w:rsidRPr="004C7F84">
        <w:rPr>
          <w:lang w:val="fr-FR"/>
        </w:rPr>
        <w:t>Possibilités de participation aux sports et à l</w:t>
      </w:r>
      <w:r w:rsidR="00773F5D" w:rsidRPr="004C7F84">
        <w:rPr>
          <w:lang w:val="fr-FR"/>
        </w:rPr>
        <w:t>’</w:t>
      </w:r>
      <w:r w:rsidR="00595DD8" w:rsidRPr="004C7F84">
        <w:rPr>
          <w:lang w:val="fr-FR"/>
        </w:rPr>
        <w:t>éducation physique</w:t>
      </w:r>
    </w:p>
    <w:p w14:paraId="1B7C86B9" w14:textId="77777777" w:rsidR="0034195A" w:rsidRPr="004C7F84" w:rsidRDefault="0034195A" w:rsidP="0076068E">
      <w:pPr>
        <w:pStyle w:val="SingleTxt"/>
        <w:keepNext/>
        <w:keepLines/>
        <w:spacing w:after="0" w:line="120" w:lineRule="exact"/>
        <w:rPr>
          <w:rFonts w:asciiTheme="majorBidi" w:hAnsiTheme="majorBidi" w:cstheme="majorBidi"/>
          <w:sz w:val="10"/>
        </w:rPr>
      </w:pPr>
    </w:p>
    <w:p w14:paraId="134927E0" w14:textId="5F97ADAA" w:rsidR="0034195A" w:rsidRPr="004C7F84" w:rsidRDefault="00595DD8" w:rsidP="00514306">
      <w:pPr>
        <w:pStyle w:val="SingleTxt"/>
        <w:keepNext/>
        <w:keepLines/>
        <w:numPr>
          <w:ilvl w:val="0"/>
          <w:numId w:val="21"/>
        </w:numPr>
        <w:spacing w:line="240" w:lineRule="exact"/>
        <w:ind w:left="1267" w:firstLine="0"/>
        <w:rPr>
          <w:rFonts w:asciiTheme="majorBidi" w:hAnsiTheme="majorBidi" w:cstheme="majorBidi"/>
        </w:rPr>
      </w:pPr>
      <w:r w:rsidRPr="004C7F84">
        <w:t>Les normes culturelles ne sont pas discriminatoires à l</w:t>
      </w:r>
      <w:r w:rsidR="00773F5D" w:rsidRPr="004C7F84">
        <w:t>’</w:t>
      </w:r>
      <w:r w:rsidRPr="004C7F84">
        <w:t>égard de la participation des femmes aux activités physiques. Aucune loi ne leur interdit de telles activités. Les femmes et les filles ont les mêmes possibilités que les hommes et les garçons de participer aux sports et à l</w:t>
      </w:r>
      <w:r w:rsidR="00773F5D" w:rsidRPr="004C7F84">
        <w:t>’</w:t>
      </w:r>
      <w:r w:rsidRPr="004C7F84">
        <w:t>éducation physique.</w:t>
      </w:r>
      <w:r w:rsidR="00773F5D" w:rsidRPr="004C7F84">
        <w:t xml:space="preserve"> </w:t>
      </w:r>
      <w:r w:rsidRPr="004C7F84">
        <w:t>En fait, elles sont de plus en plus nombreuses à faire du football et du cricket, qui ont toujours été considérés comme des sports masculins. Aujourd</w:t>
      </w:r>
      <w:r w:rsidR="00773F5D" w:rsidRPr="004C7F84">
        <w:t>’</w:t>
      </w:r>
      <w:r w:rsidRPr="004C7F84">
        <w:t>hui, certains clubs,</w:t>
      </w:r>
      <w:r w:rsidRPr="004C7F84">
        <w:rPr>
          <w:color w:val="FF0000"/>
        </w:rPr>
        <w:t xml:space="preserve"> </w:t>
      </w:r>
      <w:r w:rsidRPr="004C7F84">
        <w:t>de cricket et de football notamment, comptent également des équipes féminines. De même, le netball, sport traditionnellement féminin, comprend</w:t>
      </w:r>
      <w:r w:rsidRPr="004C7F84">
        <w:rPr>
          <w:color w:val="FF0000"/>
        </w:rPr>
        <w:t xml:space="preserve"> </w:t>
      </w:r>
      <w:r w:rsidRPr="004C7F84">
        <w:t>à présent des équipes mixtes composées de femmes et d</w:t>
      </w:r>
      <w:r w:rsidR="00773F5D" w:rsidRPr="004C7F84">
        <w:t>’</w:t>
      </w:r>
      <w:r w:rsidRPr="004C7F84">
        <w:t>hommes. Il faut reconnaître toutefois que d</w:t>
      </w:r>
      <w:r w:rsidR="00773F5D" w:rsidRPr="004C7F84">
        <w:t>’</w:t>
      </w:r>
      <w:r w:rsidRPr="004C7F84">
        <w:t>une manière générale, les équipes masculines peuvent compter sur davantage de ressources financières que les équipes féminines.</w:t>
      </w:r>
    </w:p>
    <w:p w14:paraId="788B667B" w14:textId="77777777" w:rsidR="0034195A" w:rsidRPr="004C7F84" w:rsidRDefault="0034195A" w:rsidP="0034195A">
      <w:pPr>
        <w:pStyle w:val="SingleTxt"/>
        <w:spacing w:after="0" w:line="120" w:lineRule="exact"/>
        <w:rPr>
          <w:rFonts w:asciiTheme="majorBidi" w:hAnsiTheme="majorBidi" w:cstheme="majorBidi"/>
          <w:sz w:val="10"/>
        </w:rPr>
      </w:pPr>
    </w:p>
    <w:p w14:paraId="16E78009" w14:textId="1351A75C"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595DD8" w:rsidRPr="004C7F84">
        <w:rPr>
          <w:lang w:val="fr-FR"/>
        </w:rPr>
        <w:t>Accès à des renseignements spécifiques sur l</w:t>
      </w:r>
      <w:r w:rsidR="00773F5D" w:rsidRPr="004C7F84">
        <w:rPr>
          <w:lang w:val="fr-FR"/>
        </w:rPr>
        <w:t>’</w:t>
      </w:r>
      <w:r w:rsidR="00595DD8" w:rsidRPr="004C7F84">
        <w:rPr>
          <w:lang w:val="fr-FR"/>
        </w:rPr>
        <w:t xml:space="preserve">éducation à la vie </w:t>
      </w:r>
      <w:r w:rsidR="00595DD8" w:rsidRPr="004C7F84">
        <w:rPr>
          <w:lang w:val="fr-FR"/>
        </w:rPr>
        <w:br/>
        <w:t xml:space="preserve">de famille (y compris des informations sur la planification </w:t>
      </w:r>
      <w:r w:rsidR="00595DD8" w:rsidRPr="004C7F84">
        <w:rPr>
          <w:lang w:val="fr-FR"/>
        </w:rPr>
        <w:br/>
        <w:t>de la famille)</w:t>
      </w:r>
    </w:p>
    <w:p w14:paraId="4A279CC8" w14:textId="77777777" w:rsidR="0034195A" w:rsidRPr="004C7F84" w:rsidRDefault="0034195A" w:rsidP="0034195A">
      <w:pPr>
        <w:pStyle w:val="SingleTxt"/>
        <w:spacing w:after="0" w:line="120" w:lineRule="exact"/>
        <w:rPr>
          <w:rFonts w:asciiTheme="majorBidi" w:hAnsiTheme="majorBidi" w:cstheme="majorBidi"/>
          <w:sz w:val="10"/>
        </w:rPr>
      </w:pPr>
    </w:p>
    <w:p w14:paraId="6CB67161" w14:textId="75DF16C3" w:rsidR="0034195A" w:rsidRPr="004C7F84" w:rsidRDefault="00595DD8" w:rsidP="00514306">
      <w:pPr>
        <w:pStyle w:val="SingleTxt"/>
        <w:numPr>
          <w:ilvl w:val="0"/>
          <w:numId w:val="21"/>
        </w:numPr>
        <w:spacing w:line="240" w:lineRule="exact"/>
        <w:ind w:left="1267" w:firstLine="0"/>
        <w:rPr>
          <w:rFonts w:asciiTheme="majorBidi" w:hAnsiTheme="majorBidi" w:cstheme="majorBidi"/>
        </w:rPr>
      </w:pPr>
      <w:r w:rsidRPr="004C7F84">
        <w:t>Depuis la présentation du dernier rapport, l</w:t>
      </w:r>
      <w:r w:rsidR="00773F5D" w:rsidRPr="004C7F84">
        <w:t>’</w:t>
      </w:r>
      <w:r w:rsidRPr="004C7F84">
        <w:t>État partie a accompli des progrès notables dans le domaine de l</w:t>
      </w:r>
      <w:r w:rsidR="00773F5D" w:rsidRPr="004C7F84">
        <w:t>’</w:t>
      </w:r>
      <w:r w:rsidRPr="004C7F84">
        <w:t>éducation à la vie de famille, y compris les informations sur la planification de la famille</w:t>
      </w:r>
      <w:r w:rsidR="00773F5D" w:rsidRPr="004C7F84">
        <w:t> ;</w:t>
      </w:r>
      <w:r w:rsidRPr="004C7F84">
        <w:t xml:space="preserve"> 2 de ces initiatives sont examinées </w:t>
      </w:r>
      <w:r w:rsidR="00455FBE" w:rsidRPr="004C7F84">
        <w:t>ci-après</w:t>
      </w:r>
      <w:r w:rsidR="0034195A" w:rsidRPr="004C7F84">
        <w:rPr>
          <w:rFonts w:asciiTheme="majorBidi" w:hAnsiTheme="majorBidi" w:cstheme="majorBidi"/>
        </w:rPr>
        <w:t xml:space="preserve">. </w:t>
      </w:r>
    </w:p>
    <w:p w14:paraId="2E289671" w14:textId="77777777" w:rsidR="0034195A" w:rsidRPr="004C7F84" w:rsidRDefault="0034195A" w:rsidP="0034195A">
      <w:pPr>
        <w:pStyle w:val="SingleTxt"/>
        <w:spacing w:after="0" w:line="120" w:lineRule="exact"/>
        <w:rPr>
          <w:rFonts w:asciiTheme="majorBidi" w:hAnsiTheme="majorBidi" w:cstheme="majorBidi"/>
          <w:sz w:val="10"/>
        </w:rPr>
      </w:pPr>
    </w:p>
    <w:p w14:paraId="66203ECC" w14:textId="7E03EDA7" w:rsidR="0034195A" w:rsidRPr="004C7F84" w:rsidRDefault="0034195A" w:rsidP="0034195A">
      <w:pPr>
        <w:pStyle w:val="H4"/>
        <w:ind w:right="1260"/>
      </w:pPr>
      <w:r w:rsidRPr="004C7F84">
        <w:tab/>
      </w:r>
      <w:r w:rsidRPr="004C7F84">
        <w:tab/>
      </w:r>
      <w:r w:rsidR="00595DD8" w:rsidRPr="004C7F84">
        <w:t>Politique nationale sur l</w:t>
      </w:r>
      <w:r w:rsidR="00773F5D" w:rsidRPr="004C7F84">
        <w:t>’</w:t>
      </w:r>
      <w:r w:rsidR="00595DD8" w:rsidRPr="004C7F84">
        <w:t>éducation à la santé et à la vie de famille</w:t>
      </w:r>
    </w:p>
    <w:p w14:paraId="7E15F877" w14:textId="77777777" w:rsidR="0034195A" w:rsidRPr="004C7F84" w:rsidRDefault="0034195A" w:rsidP="0034195A">
      <w:pPr>
        <w:pStyle w:val="SingleTxt"/>
        <w:spacing w:after="0" w:line="120" w:lineRule="exact"/>
        <w:rPr>
          <w:rFonts w:asciiTheme="majorBidi" w:hAnsiTheme="majorBidi" w:cstheme="majorBidi"/>
          <w:sz w:val="10"/>
        </w:rPr>
      </w:pPr>
    </w:p>
    <w:p w14:paraId="2BE9DDB3" w14:textId="66F1489A" w:rsidR="0034195A" w:rsidRPr="004C7F84" w:rsidRDefault="00595DD8" w:rsidP="00514306">
      <w:pPr>
        <w:pStyle w:val="SingleTxt"/>
        <w:numPr>
          <w:ilvl w:val="0"/>
          <w:numId w:val="21"/>
        </w:numPr>
        <w:spacing w:line="240" w:lineRule="exact"/>
        <w:ind w:left="1267" w:firstLine="0"/>
        <w:rPr>
          <w:rFonts w:asciiTheme="majorBidi" w:hAnsiTheme="majorBidi" w:cstheme="majorBidi"/>
        </w:rPr>
      </w:pPr>
      <w:r w:rsidRPr="004C7F84">
        <w:t>En 2010, le Ministère de l</w:t>
      </w:r>
      <w:r w:rsidR="00773F5D" w:rsidRPr="004C7F84">
        <w:t>’</w:t>
      </w:r>
      <w:r w:rsidRPr="004C7F84">
        <w:t>éducation a publié un document directif détaillé sur la politique nationale d</w:t>
      </w:r>
      <w:r w:rsidR="00773F5D" w:rsidRPr="004C7F84">
        <w:t>’</w:t>
      </w:r>
      <w:r w:rsidRPr="004C7F84">
        <w:t>éducation à la santé et à la vie de famille, qui reprend les directives approuvées en 1994 par le Comité permanent des ministres de la santé et de l</w:t>
      </w:r>
      <w:r w:rsidR="00773F5D" w:rsidRPr="004C7F84">
        <w:t>’</w:t>
      </w:r>
      <w:r w:rsidRPr="004C7F84">
        <w:t>éducation de la CARICOM. Ce dernier a par la suite lan</w:t>
      </w:r>
      <w:r w:rsidR="00024945" w:rsidRPr="004C7F84">
        <w:t xml:space="preserve">cé le projet pluri-institutions </w:t>
      </w:r>
      <w:r w:rsidRPr="004C7F84">
        <w:t>de la CARICOM sur l</w:t>
      </w:r>
      <w:r w:rsidR="00773F5D" w:rsidRPr="004C7F84">
        <w:t>’</w:t>
      </w:r>
      <w:r w:rsidRPr="004C7F84">
        <w:t>éducation à la santé et à la vie de famille</w:t>
      </w:r>
      <w:r w:rsidRPr="004C7F84">
        <w:rPr>
          <w:rFonts w:asciiTheme="majorBidi" w:hAnsiTheme="majorBidi" w:cstheme="majorBidi"/>
        </w:rPr>
        <w:t>.</w:t>
      </w:r>
    </w:p>
    <w:p w14:paraId="45EAE83B" w14:textId="77777777" w:rsidR="0034195A" w:rsidRPr="004C7F84" w:rsidRDefault="0034195A" w:rsidP="0034195A">
      <w:pPr>
        <w:pStyle w:val="SingleTxt"/>
        <w:spacing w:after="0" w:line="120" w:lineRule="exact"/>
        <w:rPr>
          <w:rFonts w:asciiTheme="majorBidi" w:hAnsiTheme="majorBidi" w:cstheme="majorBidi"/>
          <w:sz w:val="10"/>
        </w:rPr>
      </w:pPr>
    </w:p>
    <w:p w14:paraId="5FDBEEDB" w14:textId="5A371BE4" w:rsidR="0034195A" w:rsidRPr="004C7F84" w:rsidRDefault="0034195A" w:rsidP="0034195A">
      <w:pPr>
        <w:pStyle w:val="H4"/>
        <w:ind w:right="1260"/>
      </w:pPr>
      <w:r w:rsidRPr="004C7F84">
        <w:tab/>
      </w:r>
      <w:r w:rsidRPr="004C7F84">
        <w:tab/>
      </w:r>
      <w:r w:rsidR="00595DD8" w:rsidRPr="004C7F84">
        <w:t>Rapport national d</w:t>
      </w:r>
      <w:r w:rsidR="00773F5D" w:rsidRPr="004C7F84">
        <w:t>’</w:t>
      </w:r>
      <w:r w:rsidR="00595DD8" w:rsidRPr="004C7F84">
        <w:t>Antigua-et-Barbuda</w:t>
      </w:r>
      <w:r w:rsidR="00773F5D" w:rsidRPr="004C7F84">
        <w:t> :</w:t>
      </w:r>
      <w:r w:rsidR="00595DD8" w:rsidRPr="004C7F84">
        <w:t xml:space="preserve"> Analyse de l</w:t>
      </w:r>
      <w:r w:rsidR="00773F5D" w:rsidRPr="004C7F84">
        <w:t>’</w:t>
      </w:r>
      <w:r w:rsidR="00595DD8" w:rsidRPr="004C7F84">
        <w:t xml:space="preserve">éducation </w:t>
      </w:r>
      <w:r w:rsidR="00595DD8" w:rsidRPr="004C7F84">
        <w:br/>
        <w:t>à la sexualité, 2010 </w:t>
      </w:r>
    </w:p>
    <w:p w14:paraId="13673615" w14:textId="77777777" w:rsidR="0034195A" w:rsidRPr="004C7F84" w:rsidRDefault="0034195A" w:rsidP="0034195A">
      <w:pPr>
        <w:pStyle w:val="SingleTxt"/>
        <w:spacing w:after="0" w:line="120" w:lineRule="exact"/>
        <w:rPr>
          <w:rFonts w:asciiTheme="majorBidi" w:hAnsiTheme="majorBidi" w:cstheme="majorBidi"/>
          <w:sz w:val="10"/>
        </w:rPr>
      </w:pPr>
    </w:p>
    <w:p w14:paraId="4CBC8F39" w14:textId="114C0EC6" w:rsidR="00595DD8" w:rsidRPr="004C7F84" w:rsidRDefault="00595DD8" w:rsidP="00514306">
      <w:pPr>
        <w:pStyle w:val="SingleTxt"/>
        <w:numPr>
          <w:ilvl w:val="0"/>
          <w:numId w:val="21"/>
        </w:numPr>
        <w:spacing w:line="240" w:lineRule="exact"/>
        <w:ind w:left="1267" w:firstLine="0"/>
      </w:pPr>
      <w:r w:rsidRPr="004C7F84">
        <w:t>En 2010, l</w:t>
      </w:r>
      <w:r w:rsidR="00773F5D" w:rsidRPr="004C7F84">
        <w:t>’</w:t>
      </w:r>
      <w:r w:rsidRPr="004C7F84">
        <w:t>UNICEF et l</w:t>
      </w:r>
      <w:r w:rsidR="00773F5D" w:rsidRPr="004C7F84">
        <w:t>’</w:t>
      </w:r>
      <w:r w:rsidRPr="004C7F84">
        <w:t>Université des Indes occidentales ont demandé à un consultant d</w:t>
      </w:r>
      <w:r w:rsidR="00773F5D" w:rsidRPr="004C7F84">
        <w:t>’</w:t>
      </w:r>
      <w:r w:rsidRPr="004C7F84">
        <w:t>effectuer une enquête sur l</w:t>
      </w:r>
      <w:r w:rsidR="00773F5D" w:rsidRPr="004C7F84">
        <w:t>’</w:t>
      </w:r>
      <w:r w:rsidRPr="004C7F84">
        <w:t>éducation à la sexualité et à la santé sexuelle dans 9</w:t>
      </w:r>
      <w:r w:rsidR="00024945" w:rsidRPr="004C7F84">
        <w:t> </w:t>
      </w:r>
      <w:r w:rsidRPr="004C7F84">
        <w:t>pays, dont Antigua-et-Barbuda. Cet</w:t>
      </w:r>
      <w:r w:rsidR="00024945" w:rsidRPr="004C7F84">
        <w:t xml:space="preserve">te étude visait à déterminer si </w:t>
      </w:r>
      <w:r w:rsidRPr="004C7F84">
        <w:t>les enfants et les jeunes avaient les connaissances, compétences et valeurs nécessaires qui leur permettaient de faire des choix responsables concernant les rapports sexuels et les relations sociales. Elle s</w:t>
      </w:r>
      <w:r w:rsidR="00773F5D" w:rsidRPr="004C7F84">
        <w:t>’</w:t>
      </w:r>
      <w:r w:rsidRPr="004C7F84">
        <w:t>intéressait</w:t>
      </w:r>
      <w:r w:rsidR="00024945" w:rsidRPr="004C7F84">
        <w:t xml:space="preserve"> </w:t>
      </w:r>
      <w:r w:rsidRPr="004C7F84">
        <w:t>particulièrement aux vues des principales parties prenantes, à savoir les élèves, les enseignants et conseillers en matière d</w:t>
      </w:r>
      <w:r w:rsidR="00773F5D" w:rsidRPr="004C7F84">
        <w:t>’</w:t>
      </w:r>
      <w:r w:rsidRPr="004C7F84">
        <w:t>éducation à la santé et à la vie de famille, les directeurs d</w:t>
      </w:r>
      <w:r w:rsidR="00773F5D" w:rsidRPr="004C7F84">
        <w:t>’</w:t>
      </w:r>
      <w:r w:rsidRPr="004C7F84">
        <w:t>école, les parents, les organismes gouvernementaux et les ONG, en d</w:t>
      </w:r>
      <w:r w:rsidR="00773F5D" w:rsidRPr="004C7F84">
        <w:t>’</w:t>
      </w:r>
      <w:r w:rsidRPr="004C7F84">
        <w:t>autres termes, les personnes et organisations qui étaient concernées au premier chef par la diffusion des informations sur la sexualité et la santé sexuelle.</w:t>
      </w:r>
    </w:p>
    <w:p w14:paraId="78CF6508" w14:textId="3C906934" w:rsidR="00595DD8" w:rsidRPr="004C7F84" w:rsidRDefault="00595DD8" w:rsidP="00514306">
      <w:pPr>
        <w:pStyle w:val="SingleTxt"/>
        <w:numPr>
          <w:ilvl w:val="0"/>
          <w:numId w:val="21"/>
        </w:numPr>
        <w:spacing w:line="240" w:lineRule="exact"/>
        <w:ind w:left="1267" w:firstLine="0"/>
      </w:pPr>
      <w:r w:rsidRPr="004C7F84">
        <w:t>Cette enquête a montré que l</w:t>
      </w:r>
      <w:r w:rsidR="00773F5D" w:rsidRPr="004C7F84">
        <w:t>’</w:t>
      </w:r>
      <w:r w:rsidRPr="004C7F84">
        <w:t>éducation à la santé et à la vie de famille faisait effectivement partie du programme scolaire de toutes les écoles d</w:t>
      </w:r>
      <w:r w:rsidR="00773F5D" w:rsidRPr="004C7F84">
        <w:t>’</w:t>
      </w:r>
      <w:r w:rsidRPr="004C7F84">
        <w:t>Antigua-et-Barbuda, en particulier au niveau primaire. Le matériel didactique adapté à l</w:t>
      </w:r>
      <w:r w:rsidR="00773F5D" w:rsidRPr="004C7F84">
        <w:t>’</w:t>
      </w:r>
      <w:r w:rsidRPr="004C7F84">
        <w:t>âge des élèves, conçu par la CARICOM, était le principal outil pédagogique. La planification de la famille, notamment la question de l</w:t>
      </w:r>
      <w:r w:rsidR="00773F5D" w:rsidRPr="004C7F84">
        <w:t>’</w:t>
      </w:r>
      <w:r w:rsidRPr="004C7F84">
        <w:t>abstinence et l</w:t>
      </w:r>
      <w:r w:rsidR="00773F5D" w:rsidRPr="004C7F84">
        <w:t>’</w:t>
      </w:r>
      <w:r w:rsidRPr="004C7F84">
        <w:t>utilisation du préservatif masculin, était abordée dans l</w:t>
      </w:r>
      <w:r w:rsidR="00773F5D" w:rsidRPr="004C7F84">
        <w:t>’</w:t>
      </w:r>
      <w:r w:rsidRPr="004C7F84">
        <w:t xml:space="preserve">enseignement secondaire. Il est intéressant de noter que seuls les garçons apprenaient à utiliser le préservatif, ce qui indiquait une certaine discrimination fondée sur le sexe. Il convient également de noter que le </w:t>
      </w:r>
      <w:r w:rsidRPr="004C7F84">
        <w:lastRenderedPageBreak/>
        <w:t>Gouvernement d</w:t>
      </w:r>
      <w:r w:rsidR="00773F5D" w:rsidRPr="004C7F84">
        <w:t>’</w:t>
      </w:r>
      <w:r w:rsidRPr="004C7F84">
        <w:t>Antigua-et-Barbuda envisage d</w:t>
      </w:r>
      <w:r w:rsidR="00773F5D" w:rsidRPr="004C7F84">
        <w:t>’</w:t>
      </w:r>
      <w:r w:rsidRPr="004C7F84">
        <w:t>incorporer un programme détaillé d</w:t>
      </w:r>
      <w:r w:rsidR="00773F5D" w:rsidRPr="004C7F84">
        <w:t>’</w:t>
      </w:r>
      <w:r w:rsidRPr="004C7F84">
        <w:t xml:space="preserve">éducation sexuelle dans le système scolaire. </w:t>
      </w:r>
    </w:p>
    <w:p w14:paraId="26A10AA2" w14:textId="0CCD4929" w:rsidR="0034195A" w:rsidRPr="004C7F84" w:rsidRDefault="00595DD8" w:rsidP="00514306">
      <w:pPr>
        <w:pStyle w:val="SingleTxt"/>
        <w:numPr>
          <w:ilvl w:val="0"/>
          <w:numId w:val="22"/>
        </w:numPr>
        <w:spacing w:line="240" w:lineRule="exact"/>
        <w:ind w:left="1267" w:firstLine="0"/>
      </w:pPr>
      <w:r w:rsidRPr="004C7F84">
        <w:t>En outre</w:t>
      </w:r>
      <w:r w:rsidR="00024945" w:rsidRPr="004C7F84">
        <w:t xml:space="preserve">, divers organismes, notamment </w:t>
      </w:r>
      <w:r w:rsidRPr="004C7F84">
        <w:t>Planned Parenthood, la Direction de la problématique hommes-femmes, le Child and Family Guidance Centre et Gilbert Agricultural and Rural Development Center organisent des programmes d</w:t>
      </w:r>
      <w:r w:rsidR="00773F5D" w:rsidRPr="004C7F84">
        <w:t>’</w:t>
      </w:r>
      <w:r w:rsidRPr="004C7F84">
        <w:t>éducation à la vie de famille à l</w:t>
      </w:r>
      <w:r w:rsidR="00773F5D" w:rsidRPr="004C7F84">
        <w:t>’</w:t>
      </w:r>
      <w:r w:rsidRPr="004C7F84">
        <w:t xml:space="preserve">intention des adolescents et des adultes. Il convient de </w:t>
      </w:r>
      <w:r w:rsidR="00024945" w:rsidRPr="004C7F84">
        <w:t xml:space="preserve">signaler que, dans le cadre des </w:t>
      </w:r>
      <w:r w:rsidRPr="004C7F84">
        <w:t>programmes de la Direction de la problématique hommes-femmes, les filles comme les garçons apprennent à utiliser convenablement les méthodes de contraception, notamment le préservatif</w:t>
      </w:r>
      <w:r w:rsidR="0034195A" w:rsidRPr="004C7F84">
        <w:t xml:space="preserve">. </w:t>
      </w:r>
    </w:p>
    <w:p w14:paraId="0B21AEB1" w14:textId="77777777" w:rsidR="0034195A" w:rsidRPr="004C7F84" w:rsidRDefault="0034195A" w:rsidP="0034195A">
      <w:pPr>
        <w:pStyle w:val="SingleTxt"/>
        <w:spacing w:after="0" w:line="120" w:lineRule="exact"/>
        <w:rPr>
          <w:rFonts w:asciiTheme="majorBidi" w:hAnsiTheme="majorBidi" w:cstheme="majorBidi"/>
          <w:sz w:val="10"/>
        </w:rPr>
      </w:pPr>
    </w:p>
    <w:p w14:paraId="26376B82" w14:textId="77777777" w:rsidR="0034195A" w:rsidRPr="004C7F84" w:rsidRDefault="0034195A" w:rsidP="0034195A">
      <w:pPr>
        <w:pStyle w:val="SingleTxt"/>
        <w:spacing w:after="0" w:line="120" w:lineRule="exact"/>
        <w:rPr>
          <w:rFonts w:asciiTheme="majorBidi" w:hAnsiTheme="majorBidi" w:cstheme="majorBidi"/>
          <w:sz w:val="10"/>
        </w:rPr>
      </w:pPr>
    </w:p>
    <w:p w14:paraId="37241E56" w14:textId="1E03646F" w:rsidR="0034195A" w:rsidRPr="004C7F84" w:rsidRDefault="0034195A" w:rsidP="00016C7B">
      <w:pPr>
        <w:pStyle w:val="H1"/>
        <w:ind w:right="1260"/>
      </w:pPr>
      <w:r w:rsidRPr="004C7F84">
        <w:tab/>
      </w:r>
      <w:r w:rsidRPr="004C7F84">
        <w:tab/>
        <w:t>Article 11</w:t>
      </w:r>
      <w:r w:rsidR="00773F5D" w:rsidRPr="004C7F84">
        <w:t> :</w:t>
      </w:r>
      <w:r w:rsidRPr="004C7F84">
        <w:t xml:space="preserve"> </w:t>
      </w:r>
      <w:r w:rsidR="00595DD8" w:rsidRPr="004C7F84">
        <w:t xml:space="preserve">Élimination de la discrimination </w:t>
      </w:r>
      <w:r w:rsidR="00595DD8" w:rsidRPr="004C7F84">
        <w:br/>
        <w:t>dans le domaine de l</w:t>
      </w:r>
      <w:r w:rsidR="00773F5D" w:rsidRPr="004C7F84">
        <w:t>’</w:t>
      </w:r>
      <w:r w:rsidR="00595DD8" w:rsidRPr="004C7F84">
        <w:t>emploi</w:t>
      </w:r>
    </w:p>
    <w:p w14:paraId="7FACA759" w14:textId="77777777" w:rsidR="0034195A" w:rsidRPr="004C7F84" w:rsidRDefault="0034195A" w:rsidP="00016C7B">
      <w:pPr>
        <w:pStyle w:val="SingleTxt"/>
        <w:keepNext/>
        <w:keepLines/>
        <w:spacing w:after="0" w:line="120" w:lineRule="exact"/>
        <w:rPr>
          <w:rFonts w:asciiTheme="majorBidi" w:hAnsiTheme="majorBidi" w:cstheme="majorBidi"/>
          <w:sz w:val="10"/>
        </w:rPr>
      </w:pPr>
    </w:p>
    <w:p w14:paraId="1D9D06EE" w14:textId="77777777" w:rsidR="0034195A" w:rsidRPr="004C7F84" w:rsidRDefault="0034195A" w:rsidP="00016C7B">
      <w:pPr>
        <w:pStyle w:val="SingleTxt"/>
        <w:keepNext/>
        <w:keepLines/>
        <w:spacing w:after="0" w:line="120" w:lineRule="exact"/>
        <w:rPr>
          <w:rFonts w:asciiTheme="majorBidi" w:hAnsiTheme="majorBidi" w:cstheme="majorBidi"/>
          <w:sz w:val="10"/>
        </w:rPr>
      </w:pPr>
    </w:p>
    <w:p w14:paraId="2C1FAD35" w14:textId="0165D33E" w:rsidR="0034195A" w:rsidRPr="004C7F84" w:rsidRDefault="0034195A" w:rsidP="00016C7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595DD8" w:rsidRPr="004C7F84">
        <w:rPr>
          <w:lang w:val="fr-FR"/>
        </w:rPr>
        <w:t>Droit au travail</w:t>
      </w:r>
    </w:p>
    <w:p w14:paraId="56448E70" w14:textId="77777777" w:rsidR="0034195A" w:rsidRPr="004C7F84" w:rsidRDefault="0034195A" w:rsidP="0034195A">
      <w:pPr>
        <w:pStyle w:val="SingleTxt"/>
        <w:spacing w:after="0" w:line="120" w:lineRule="exact"/>
        <w:rPr>
          <w:rFonts w:asciiTheme="majorBidi" w:hAnsiTheme="majorBidi" w:cstheme="majorBidi"/>
          <w:sz w:val="10"/>
        </w:rPr>
      </w:pPr>
    </w:p>
    <w:p w14:paraId="5B330A3A" w14:textId="00B4C3B2" w:rsidR="00595DD8" w:rsidRPr="004C7F84" w:rsidRDefault="00595DD8" w:rsidP="00514306">
      <w:pPr>
        <w:pStyle w:val="SingleTxt"/>
        <w:numPr>
          <w:ilvl w:val="0"/>
          <w:numId w:val="22"/>
        </w:numPr>
        <w:spacing w:line="240" w:lineRule="exact"/>
        <w:ind w:left="1267" w:firstLine="0"/>
      </w:pPr>
      <w:r w:rsidRPr="004C7F84">
        <w:t>Antigua-et-Barbuda dispose d</w:t>
      </w:r>
      <w:r w:rsidR="00773F5D" w:rsidRPr="004C7F84">
        <w:t>’</w:t>
      </w:r>
      <w:r w:rsidRPr="004C7F84">
        <w:t>une législation du travail très stricte qui vise à assurer la sécurité et le bien-être des travailleurs dans tous les aspects de leur emploi. La Constitution et le Code du travail donnent aux femmes le même droit au travail que les hommes. Par exemple, le chapitre 4</w:t>
      </w:r>
      <w:r w:rsidR="00024945" w:rsidRPr="004C7F84">
        <w:t> </w:t>
      </w:r>
      <w:r w:rsidRPr="004C7F84">
        <w:t>(1) du Code du travail d</w:t>
      </w:r>
      <w:r w:rsidR="00773F5D" w:rsidRPr="004C7F84">
        <w:t>’</w:t>
      </w:r>
      <w:r w:rsidRPr="004C7F84">
        <w:t>Antigua-et-Barbuda dispose ce qui suit</w:t>
      </w:r>
      <w:r w:rsidR="00773F5D" w:rsidRPr="004C7F84">
        <w:t> :</w:t>
      </w:r>
      <w:r w:rsidRPr="004C7F84">
        <w:t xml:space="preserve"> </w:t>
      </w:r>
    </w:p>
    <w:p w14:paraId="501C4170" w14:textId="2ACB46A5" w:rsidR="00595DD8" w:rsidRPr="004C7F84" w:rsidRDefault="00595DD8" w:rsidP="00595DD8">
      <w:pPr>
        <w:pStyle w:val="SingleTxt"/>
        <w:ind w:left="1742" w:hanging="475"/>
      </w:pPr>
      <w:r w:rsidRPr="004C7F84">
        <w:tab/>
        <w:t>« Aucun employeur ne peut appliquer de mesures discriminatoires à l</w:t>
      </w:r>
      <w:r w:rsidR="00773F5D" w:rsidRPr="004C7F84">
        <w:t>’</w:t>
      </w:r>
      <w:r w:rsidRPr="004C7F84">
        <w:t>encontre d</w:t>
      </w:r>
      <w:r w:rsidR="00773F5D" w:rsidRPr="004C7F84">
        <w:t>’</w:t>
      </w:r>
      <w:r w:rsidRPr="004C7F84">
        <w:t>une personne en ce qui concerne l</w:t>
      </w:r>
      <w:r w:rsidR="00773F5D" w:rsidRPr="004C7F84">
        <w:t>’</w:t>
      </w:r>
      <w:r w:rsidRPr="004C7F84">
        <w:t>embauche, la stabilité de l</w:t>
      </w:r>
      <w:r w:rsidR="00773F5D" w:rsidRPr="004C7F84">
        <w:t>’</w:t>
      </w:r>
      <w:r w:rsidRPr="004C7F84">
        <w:t xml:space="preserve">emploi, la rémunération, les heures de travail ou toute autre condition de travail, en raison de sa race, de sa couleur, de ses croyances, de son sexe, de son âge ou de ses convictions politiques ». </w:t>
      </w:r>
    </w:p>
    <w:p w14:paraId="670754E1" w14:textId="4EE90FBB" w:rsidR="00595DD8" w:rsidRPr="004C7F84" w:rsidRDefault="00595DD8" w:rsidP="00514306">
      <w:pPr>
        <w:pStyle w:val="SingleTxt"/>
        <w:numPr>
          <w:ilvl w:val="0"/>
          <w:numId w:val="22"/>
        </w:numPr>
        <w:spacing w:line="240" w:lineRule="exact"/>
        <w:ind w:left="1267" w:firstLine="0"/>
      </w:pPr>
      <w:r w:rsidRPr="004C7F84">
        <w:t>Ainsi, les femmes ne peuvent faire l</w:t>
      </w:r>
      <w:r w:rsidR="00773F5D" w:rsidRPr="004C7F84">
        <w:t>’</w:t>
      </w:r>
      <w:r w:rsidRPr="004C7F84">
        <w:t>objet de discrimination en matière d</w:t>
      </w:r>
      <w:r w:rsidR="00773F5D" w:rsidRPr="004C7F84">
        <w:t>’</w:t>
      </w:r>
      <w:r w:rsidRPr="004C7F84">
        <w:t>accès à l</w:t>
      </w:r>
      <w:r w:rsidR="00773F5D" w:rsidRPr="004C7F84">
        <w:t>’</w:t>
      </w:r>
      <w:r w:rsidRPr="004C7F84">
        <w:t>emploi. Toutefois, certains experts considèrent que des employeurs pourraient invoquer la disposition ci-après du Code du travail pour exercer une discriminat</w:t>
      </w:r>
      <w:r w:rsidR="00024945" w:rsidRPr="004C7F84">
        <w:t xml:space="preserve">ion </w:t>
      </w:r>
      <w:r w:rsidRPr="004C7F84">
        <w:t>à l</w:t>
      </w:r>
      <w:r w:rsidR="00773F5D" w:rsidRPr="004C7F84">
        <w:t>’</w:t>
      </w:r>
      <w:r w:rsidRPr="004C7F84">
        <w:t>égard des femmes (en particulier des femmes enceintes). En vertu de cette disposition</w:t>
      </w:r>
      <w:r w:rsidR="00773F5D" w:rsidRPr="004C7F84">
        <w:t> :</w:t>
      </w:r>
    </w:p>
    <w:p w14:paraId="1F502ADC" w14:textId="24D67299" w:rsidR="00595DD8" w:rsidRPr="004C7F84" w:rsidRDefault="00595DD8" w:rsidP="00595DD8">
      <w:pPr>
        <w:pStyle w:val="SingleTxt"/>
        <w:ind w:left="1742" w:hanging="475"/>
      </w:pPr>
      <w:r w:rsidRPr="004C7F84">
        <w:tab/>
        <w:t>« à condition toutefois que cette disposition ne soit pas interprétée comme interdisant l</w:t>
      </w:r>
      <w:r w:rsidR="00773F5D" w:rsidRPr="004C7F84">
        <w:t>’</w:t>
      </w:r>
      <w:r w:rsidRPr="004C7F84">
        <w:t>adoption de mesures administratives effectivement liées à l</w:t>
      </w:r>
      <w:r w:rsidR="00773F5D" w:rsidRPr="004C7F84">
        <w:t>’</w:t>
      </w:r>
      <w:r w:rsidRPr="004C7F84">
        <w:t>aptitude de cette personne de s</w:t>
      </w:r>
      <w:r w:rsidR="00773F5D" w:rsidRPr="004C7F84">
        <w:t>’</w:t>
      </w:r>
      <w:r w:rsidRPr="004C7F84">
        <w:t>acquitter des fonctions inhérentes au poste en question ».</w:t>
      </w:r>
    </w:p>
    <w:p w14:paraId="0847F744" w14:textId="1FABE02C" w:rsidR="0034195A" w:rsidRPr="004C7F84" w:rsidRDefault="00595DD8" w:rsidP="00514306">
      <w:pPr>
        <w:pStyle w:val="SingleTxt"/>
        <w:numPr>
          <w:ilvl w:val="0"/>
          <w:numId w:val="22"/>
        </w:numPr>
        <w:spacing w:line="240" w:lineRule="exact"/>
        <w:ind w:left="1267" w:firstLine="0"/>
      </w:pPr>
      <w:r w:rsidRPr="004C7F84">
        <w:t>Lors de débats, au sein de groupes de consultation, sur la question de la discrimination à l</w:t>
      </w:r>
      <w:r w:rsidR="00773F5D" w:rsidRPr="004C7F84">
        <w:t>’</w:t>
      </w:r>
      <w:r w:rsidRPr="004C7F84">
        <w:t>égard des femmes en matière d</w:t>
      </w:r>
      <w:r w:rsidR="00773F5D" w:rsidRPr="004C7F84">
        <w:t>’</w:t>
      </w:r>
      <w:r w:rsidRPr="004C7F84">
        <w:t>accès à l</w:t>
      </w:r>
      <w:r w:rsidR="00773F5D" w:rsidRPr="004C7F84">
        <w:t>’</w:t>
      </w:r>
      <w:r w:rsidRPr="004C7F84">
        <w:t>emploi, des femmes ont cité des cas où des employés les avaient averties de ne pas devenir enceintes tant qu</w:t>
      </w:r>
      <w:r w:rsidR="00773F5D" w:rsidRPr="004C7F84">
        <w:t>’</w:t>
      </w:r>
      <w:r w:rsidRPr="004C7F84">
        <w:t>elles étaient employées. Jusqu</w:t>
      </w:r>
      <w:r w:rsidR="00773F5D" w:rsidRPr="004C7F84">
        <w:t>’</w:t>
      </w:r>
      <w:r w:rsidRPr="004C7F84">
        <w:t>à présent, il s</w:t>
      </w:r>
      <w:r w:rsidR="00773F5D" w:rsidRPr="004C7F84">
        <w:t>’</w:t>
      </w:r>
      <w:r w:rsidRPr="004C7F84">
        <w:t>agit d</w:t>
      </w:r>
      <w:r w:rsidR="00773F5D" w:rsidRPr="004C7F84">
        <w:t>’</w:t>
      </w:r>
      <w:r w:rsidRPr="004C7F84">
        <w:t>informations à caractère anecdotique car aucun cas n</w:t>
      </w:r>
      <w:r w:rsidR="00773F5D" w:rsidRPr="004C7F84">
        <w:t>’</w:t>
      </w:r>
      <w:r w:rsidRPr="004C7F84">
        <w:t>a été porté devant les tribunaux et aucune étude n</w:t>
      </w:r>
      <w:r w:rsidR="00773F5D" w:rsidRPr="004C7F84">
        <w:t>’</w:t>
      </w:r>
      <w:r w:rsidRPr="004C7F84">
        <w:t>a été effectuée sur cette question. Il est également possible que, si un homme et une femme possédant les mêmes qualifications posent leur candidature au même poste, un employeur choisira, dans certains cas, d</w:t>
      </w:r>
      <w:r w:rsidR="00773F5D" w:rsidRPr="004C7F84">
        <w:t>’</w:t>
      </w:r>
      <w:r w:rsidRPr="004C7F84">
        <w:t>engager l</w:t>
      </w:r>
      <w:r w:rsidR="00773F5D" w:rsidRPr="004C7F84">
        <w:t>’</w:t>
      </w:r>
      <w:r w:rsidRPr="004C7F84">
        <w:t>homme en raison de la supposition selon laquelle le poste est plus nécessaire à l</w:t>
      </w:r>
      <w:r w:rsidR="00773F5D" w:rsidRPr="004C7F84">
        <w:t>’</w:t>
      </w:r>
      <w:r w:rsidRPr="004C7F84">
        <w:t>homme, considéré comme « soutien de famille », qu</w:t>
      </w:r>
      <w:r w:rsidR="00773F5D" w:rsidRPr="004C7F84">
        <w:t>’</w:t>
      </w:r>
      <w:r w:rsidRPr="004C7F84">
        <w:t xml:space="preserve">à </w:t>
      </w:r>
      <w:r w:rsidR="000516F8" w:rsidRPr="004C7F84">
        <w:t xml:space="preserve">la femme. Cette façon de penser </w:t>
      </w:r>
      <w:r w:rsidRPr="004C7F84">
        <w:t>était monnaie courante mais les stéréotypes sexistes de ce genre sont en train de disparaître.</w:t>
      </w:r>
      <w:r w:rsidR="0034195A" w:rsidRPr="004C7F84">
        <w:t xml:space="preserve"> </w:t>
      </w:r>
    </w:p>
    <w:p w14:paraId="4BE5A207" w14:textId="77777777" w:rsidR="0034195A" w:rsidRPr="004C7F84" w:rsidRDefault="0034195A" w:rsidP="0034195A">
      <w:pPr>
        <w:pStyle w:val="SingleTxt"/>
        <w:spacing w:after="0" w:line="120" w:lineRule="exact"/>
        <w:rPr>
          <w:rFonts w:asciiTheme="majorBidi" w:hAnsiTheme="majorBidi" w:cstheme="majorBidi"/>
          <w:sz w:val="10"/>
        </w:rPr>
      </w:pPr>
    </w:p>
    <w:p w14:paraId="4385B478" w14:textId="0822E21B" w:rsidR="0034195A" w:rsidRPr="004C7F84" w:rsidRDefault="0034195A" w:rsidP="0076068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lastRenderedPageBreak/>
        <w:tab/>
      </w:r>
      <w:r w:rsidRPr="004C7F84">
        <w:rPr>
          <w:lang w:val="fr-FR"/>
        </w:rPr>
        <w:tab/>
      </w:r>
      <w:r w:rsidR="00595DD8" w:rsidRPr="004C7F84">
        <w:rPr>
          <w:lang w:val="fr-FR"/>
        </w:rPr>
        <w:t>Droit aux mêmes possibilités d</w:t>
      </w:r>
      <w:r w:rsidR="00773F5D" w:rsidRPr="004C7F84">
        <w:rPr>
          <w:lang w:val="fr-FR"/>
        </w:rPr>
        <w:t>’</w:t>
      </w:r>
      <w:r w:rsidR="00595DD8" w:rsidRPr="004C7F84">
        <w:rPr>
          <w:lang w:val="fr-FR"/>
        </w:rPr>
        <w:t xml:space="preserve">emploi et le droit au libre choix </w:t>
      </w:r>
      <w:r w:rsidR="00595DD8" w:rsidRPr="004C7F84">
        <w:rPr>
          <w:lang w:val="fr-FR"/>
        </w:rPr>
        <w:br/>
        <w:t>de la profession, à la promotion et à la stabilité de l</w:t>
      </w:r>
      <w:r w:rsidR="00773F5D" w:rsidRPr="004C7F84">
        <w:rPr>
          <w:lang w:val="fr-FR"/>
        </w:rPr>
        <w:t>’</w:t>
      </w:r>
      <w:r w:rsidR="00595DD8" w:rsidRPr="004C7F84">
        <w:rPr>
          <w:lang w:val="fr-FR"/>
        </w:rPr>
        <w:t>emploi</w:t>
      </w:r>
    </w:p>
    <w:p w14:paraId="7B6935D5" w14:textId="77777777" w:rsidR="0034195A" w:rsidRPr="004C7F84" w:rsidRDefault="0034195A" w:rsidP="0076068E">
      <w:pPr>
        <w:pStyle w:val="SingleTxt"/>
        <w:keepNext/>
        <w:keepLines/>
        <w:spacing w:after="0" w:line="120" w:lineRule="exact"/>
        <w:rPr>
          <w:rFonts w:asciiTheme="majorBidi" w:hAnsiTheme="majorBidi" w:cstheme="majorBidi"/>
          <w:sz w:val="10"/>
        </w:rPr>
      </w:pPr>
    </w:p>
    <w:p w14:paraId="570565D1" w14:textId="3DE9D28F" w:rsidR="00595DD8" w:rsidRPr="004C7F84" w:rsidRDefault="00595DD8" w:rsidP="00514306">
      <w:pPr>
        <w:pStyle w:val="SingleTxt"/>
        <w:keepNext/>
        <w:keepLines/>
        <w:numPr>
          <w:ilvl w:val="0"/>
          <w:numId w:val="22"/>
        </w:numPr>
        <w:spacing w:line="240" w:lineRule="exact"/>
        <w:ind w:left="1267" w:firstLine="0"/>
      </w:pPr>
      <w:r w:rsidRPr="004C7F84">
        <w:t>Il n</w:t>
      </w:r>
      <w:r w:rsidR="00773F5D" w:rsidRPr="004C7F84">
        <w:t>’</w:t>
      </w:r>
      <w:r w:rsidRPr="004C7F84">
        <w:t>existe aucune loi discriminatoire à l</w:t>
      </w:r>
      <w:r w:rsidR="00773F5D" w:rsidRPr="004C7F84">
        <w:t>’</w:t>
      </w:r>
      <w:r w:rsidRPr="004C7F84">
        <w:t>égard des femmes qui occupent un emploi rémunéré en dehors du foyer. De même, elles sont libres de choisir une profession ou un emploi, bien qu</w:t>
      </w:r>
      <w:r w:rsidR="00773F5D" w:rsidRPr="004C7F84">
        <w:t>’</w:t>
      </w:r>
      <w:r w:rsidRPr="004C7F84">
        <w:t xml:space="preserve">il existe certains secteurs où les femmes sont peu nombreuses, comme par exemple, le bâtiment et la pêche. En ce qui concerne </w:t>
      </w:r>
      <w:r w:rsidR="007B64DB" w:rsidRPr="004C7F84">
        <w:t>celle-ci</w:t>
      </w:r>
      <w:r w:rsidRPr="004C7F84">
        <w:t>, les femmes généralement ne vont pas en mer avec les pêcheurs, mais un certain nombre d</w:t>
      </w:r>
      <w:r w:rsidR="00773F5D" w:rsidRPr="004C7F84">
        <w:t>’</w:t>
      </w:r>
      <w:r w:rsidRPr="004C7F84">
        <w:t>entre elles sont chargées, en tant qu</w:t>
      </w:r>
      <w:r w:rsidR="00773F5D" w:rsidRPr="004C7F84">
        <w:t>’</w:t>
      </w:r>
      <w:r w:rsidRPr="004C7F84">
        <w:t>épouses ou conjoints, de la vente et de la distribution du produit de la pêche. On peut faire valoir que ces vues sont effectivement discriminatoires. Il est utile de noter par ailleurs que ces dernières années, de plus en plus de femmes sont emplo</w:t>
      </w:r>
      <w:r w:rsidR="000516F8" w:rsidRPr="004C7F84">
        <w:t xml:space="preserve">yées comme agents de sécurité, occupation </w:t>
      </w:r>
      <w:r w:rsidRPr="004C7F84">
        <w:t>autrefois réservée exclusivement aux hommes. Nombre d</w:t>
      </w:r>
      <w:r w:rsidR="00773F5D" w:rsidRPr="004C7F84">
        <w:t>’</w:t>
      </w:r>
      <w:r w:rsidRPr="004C7F84">
        <w:t>entre elles travaillent la nuit, tout comme les hommes. Les femmes sont généralement affectées, eu égard à leur sexe, dans des endroits et sites où le risque d</w:t>
      </w:r>
      <w:r w:rsidR="00773F5D" w:rsidRPr="004C7F84">
        <w:t>’</w:t>
      </w:r>
      <w:r w:rsidRPr="004C7F84">
        <w:t>attaques criminelles ou d</w:t>
      </w:r>
      <w:r w:rsidR="00773F5D" w:rsidRPr="004C7F84">
        <w:t>’</w:t>
      </w:r>
      <w:r w:rsidRPr="004C7F84">
        <w:t>atteintes à la sécurité est faible, comme les écoles.</w:t>
      </w:r>
    </w:p>
    <w:p w14:paraId="4276BD6D" w14:textId="42ABC4A9" w:rsidR="0034195A" w:rsidRPr="004C7F84" w:rsidRDefault="00595DD8" w:rsidP="00514306">
      <w:pPr>
        <w:pStyle w:val="SingleTxt"/>
        <w:numPr>
          <w:ilvl w:val="0"/>
          <w:numId w:val="22"/>
        </w:numPr>
        <w:spacing w:line="240" w:lineRule="exact"/>
        <w:ind w:left="1267" w:firstLine="0"/>
      </w:pPr>
      <w:r w:rsidRPr="004C7F84">
        <w:t>Étant donné les normes et pratiques culturelles, les hommes sont généralement promus plus rapidement que les femmes dans la même profes</w:t>
      </w:r>
      <w:r w:rsidR="000516F8" w:rsidRPr="004C7F84">
        <w:t xml:space="preserve">sion, ce qui est indéniablement </w:t>
      </w:r>
      <w:r w:rsidRPr="004C7F84">
        <w:t>discriminatoire car de plus en plus de femmes ont un niveau de formation plus élevé que les hommes. Encore une fois, cette discrimination est fondée sur des normes culturelles qui donnent la préséance aux homm</w:t>
      </w:r>
      <w:r w:rsidR="000516F8" w:rsidRPr="004C7F84">
        <w:t xml:space="preserve">es en raison de leur soi-disant </w:t>
      </w:r>
      <w:r w:rsidRPr="004C7F84">
        <w:t>statut de principal soutien de famille. Il n</w:t>
      </w:r>
      <w:r w:rsidR="00773F5D" w:rsidRPr="004C7F84">
        <w:t>’</w:t>
      </w:r>
      <w:r w:rsidRPr="004C7F84">
        <w:t>existe pas de discrimination évidente entre les sexes en matière de sécurité de l</w:t>
      </w:r>
      <w:r w:rsidR="00773F5D" w:rsidRPr="004C7F84">
        <w:t>’</w:t>
      </w:r>
      <w:r w:rsidRPr="004C7F84">
        <w:t>emploi. Toutefois, même si aucune affaire n</w:t>
      </w:r>
      <w:r w:rsidR="00773F5D" w:rsidRPr="004C7F84">
        <w:t>’</w:t>
      </w:r>
      <w:r w:rsidRPr="004C7F84">
        <w:t>a été portée devant les tribunaux, des femmes auraient été licenciées parce qu</w:t>
      </w:r>
      <w:r w:rsidR="00773F5D" w:rsidRPr="004C7F84">
        <w:t>’</w:t>
      </w:r>
      <w:r w:rsidRPr="004C7F84">
        <w:t>elles étaient devenues ence</w:t>
      </w:r>
      <w:r w:rsidR="000516F8" w:rsidRPr="004C7F84">
        <w:t xml:space="preserve">intes en dehors du </w:t>
      </w:r>
      <w:r w:rsidRPr="004C7F84">
        <w:t>mariage. Ces informations à caractère anecdotique concernent généralement des femmes employées dans des organisations confessionnelles.</w:t>
      </w:r>
    </w:p>
    <w:p w14:paraId="604DC8C6" w14:textId="77777777" w:rsidR="0034195A" w:rsidRPr="004C7F84" w:rsidRDefault="0034195A" w:rsidP="0034195A">
      <w:pPr>
        <w:pStyle w:val="SingleTxt"/>
        <w:spacing w:after="0" w:line="120" w:lineRule="exact"/>
        <w:rPr>
          <w:rFonts w:asciiTheme="majorBidi" w:hAnsiTheme="majorBidi" w:cstheme="majorBidi"/>
          <w:sz w:val="10"/>
        </w:rPr>
      </w:pPr>
    </w:p>
    <w:p w14:paraId="231C4D64" w14:textId="4861EB04"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595DD8" w:rsidRPr="004C7F84">
        <w:rPr>
          <w:lang w:val="fr-FR"/>
        </w:rPr>
        <w:t>Droit à l</w:t>
      </w:r>
      <w:r w:rsidR="00773F5D" w:rsidRPr="004C7F84">
        <w:rPr>
          <w:lang w:val="fr-FR"/>
        </w:rPr>
        <w:t>’</w:t>
      </w:r>
      <w:r w:rsidR="00595DD8" w:rsidRPr="004C7F84">
        <w:rPr>
          <w:lang w:val="fr-FR"/>
        </w:rPr>
        <w:t>égalité de rémunération</w:t>
      </w:r>
      <w:r w:rsidR="00773F5D" w:rsidRPr="004C7F84">
        <w:rPr>
          <w:lang w:val="fr-FR"/>
        </w:rPr>
        <w:t xml:space="preserve"> </w:t>
      </w:r>
    </w:p>
    <w:p w14:paraId="0FD1B9AA" w14:textId="77777777" w:rsidR="0034195A" w:rsidRPr="004C7F84" w:rsidRDefault="0034195A" w:rsidP="0034195A">
      <w:pPr>
        <w:pStyle w:val="SingleTxt"/>
        <w:spacing w:after="0" w:line="120" w:lineRule="exact"/>
        <w:rPr>
          <w:rFonts w:asciiTheme="majorBidi" w:hAnsiTheme="majorBidi" w:cstheme="majorBidi"/>
          <w:sz w:val="10"/>
        </w:rPr>
      </w:pPr>
    </w:p>
    <w:p w14:paraId="7BCC7B68" w14:textId="407C5415" w:rsidR="0034195A" w:rsidRPr="004C7F84" w:rsidRDefault="00595DD8" w:rsidP="00514306">
      <w:pPr>
        <w:pStyle w:val="SingleTxt"/>
        <w:numPr>
          <w:ilvl w:val="0"/>
          <w:numId w:val="22"/>
        </w:numPr>
        <w:spacing w:line="240" w:lineRule="exact"/>
        <w:ind w:left="1267" w:firstLine="0"/>
        <w:rPr>
          <w:rFonts w:asciiTheme="majorBidi" w:hAnsiTheme="majorBidi" w:cstheme="majorBidi"/>
        </w:rPr>
      </w:pPr>
      <w:r w:rsidRPr="004C7F84">
        <w:rPr>
          <w:rFonts w:asciiTheme="majorBidi" w:hAnsiTheme="majorBidi" w:cstheme="majorBidi"/>
        </w:rPr>
        <w:t>Le chapitre 27, E8 (1) du Code du travail d</w:t>
      </w:r>
      <w:r w:rsidR="00773F5D" w:rsidRPr="004C7F84">
        <w:rPr>
          <w:rFonts w:asciiTheme="majorBidi" w:hAnsiTheme="majorBidi" w:cstheme="majorBidi"/>
        </w:rPr>
        <w:t>’</w:t>
      </w:r>
      <w:r w:rsidRPr="004C7F84">
        <w:rPr>
          <w:rFonts w:asciiTheme="majorBidi" w:hAnsiTheme="majorBidi" w:cstheme="majorBidi"/>
        </w:rPr>
        <w:t>Antigua-et-Barbuda garantit l</w:t>
      </w:r>
      <w:r w:rsidR="00773F5D" w:rsidRPr="004C7F84">
        <w:rPr>
          <w:rFonts w:asciiTheme="majorBidi" w:hAnsiTheme="majorBidi" w:cstheme="majorBidi"/>
        </w:rPr>
        <w:t>’</w:t>
      </w:r>
      <w:r w:rsidRPr="004C7F84">
        <w:rPr>
          <w:rFonts w:asciiTheme="majorBidi" w:hAnsiTheme="majorBidi" w:cstheme="majorBidi"/>
        </w:rPr>
        <w:t>égalité des rémunérations entre hommes et femmes dans les secteurs public et privé de l</w:t>
      </w:r>
      <w:r w:rsidR="00773F5D" w:rsidRPr="004C7F84">
        <w:rPr>
          <w:rFonts w:asciiTheme="majorBidi" w:hAnsiTheme="majorBidi" w:cstheme="majorBidi"/>
        </w:rPr>
        <w:t>’</w:t>
      </w:r>
      <w:r w:rsidRPr="004C7F84">
        <w:rPr>
          <w:rFonts w:asciiTheme="majorBidi" w:hAnsiTheme="majorBidi" w:cstheme="majorBidi"/>
        </w:rPr>
        <w:t>économie. La loi dispose ce qui suit</w:t>
      </w:r>
      <w:r w:rsidR="00773F5D" w:rsidRPr="004C7F84">
        <w:rPr>
          <w:rFonts w:asciiTheme="majorBidi" w:hAnsiTheme="majorBidi" w:cstheme="majorBidi"/>
        </w:rPr>
        <w:t> :</w:t>
      </w:r>
    </w:p>
    <w:p w14:paraId="6EA73E03" w14:textId="4EC63CA9" w:rsidR="0034195A" w:rsidRPr="004C7F84" w:rsidRDefault="00595DD8" w:rsidP="0034195A">
      <w:pPr>
        <w:pStyle w:val="SingleTxt"/>
        <w:ind w:left="1742" w:hanging="475"/>
        <w:rPr>
          <w:rFonts w:asciiTheme="majorBidi" w:hAnsiTheme="majorBidi" w:cstheme="majorBidi"/>
        </w:rPr>
      </w:pPr>
      <w:r w:rsidRPr="004C7F84">
        <w:rPr>
          <w:rFonts w:asciiTheme="majorBidi" w:hAnsiTheme="majorBidi" w:cstheme="majorBidi"/>
        </w:rPr>
        <w:tab/>
        <w:t>« </w:t>
      </w:r>
      <w:r w:rsidRPr="004C7F84">
        <w:t>Aucune femme ne se verra offrir, simplement en raison de son sexe, des conditions d</w:t>
      </w:r>
      <w:r w:rsidR="00773F5D" w:rsidRPr="004C7F84">
        <w:t>’</w:t>
      </w:r>
      <w:r w:rsidRPr="004C7F84">
        <w:t>emploi moins favorables que celles dont bénéficient les hommes employés dans la même profession, par le mê</w:t>
      </w:r>
      <w:r w:rsidR="005F75AA" w:rsidRPr="004C7F84">
        <w:t>me employeur</w:t>
      </w:r>
      <w:r w:rsidR="0034195A" w:rsidRPr="004C7F84">
        <w:rPr>
          <w:rFonts w:asciiTheme="majorBidi" w:hAnsiTheme="majorBidi" w:cstheme="majorBidi"/>
        </w:rPr>
        <w:t>.</w:t>
      </w:r>
      <w:r w:rsidR="005F75AA" w:rsidRPr="004C7F84">
        <w:rPr>
          <w:rFonts w:asciiTheme="majorBidi" w:hAnsiTheme="majorBidi" w:cstheme="majorBidi"/>
        </w:rPr>
        <w:t> »</w:t>
      </w:r>
      <w:r w:rsidR="0034195A" w:rsidRPr="004C7F84">
        <w:rPr>
          <w:rFonts w:asciiTheme="majorBidi" w:hAnsiTheme="majorBidi" w:cstheme="majorBidi"/>
        </w:rPr>
        <w:t xml:space="preserve"> </w:t>
      </w:r>
    </w:p>
    <w:p w14:paraId="2102F566" w14:textId="68225BFD" w:rsidR="0034195A" w:rsidRPr="004C7F84" w:rsidRDefault="005F75AA" w:rsidP="00514306">
      <w:pPr>
        <w:pStyle w:val="SingleTxt"/>
        <w:numPr>
          <w:ilvl w:val="0"/>
          <w:numId w:val="22"/>
        </w:numPr>
        <w:spacing w:line="240" w:lineRule="exact"/>
        <w:ind w:left="1267" w:firstLine="0"/>
        <w:rPr>
          <w:rFonts w:asciiTheme="majorBidi" w:hAnsiTheme="majorBidi" w:cstheme="majorBidi"/>
        </w:rPr>
      </w:pPr>
      <w:r w:rsidRPr="004C7F84">
        <w:t>D</w:t>
      </w:r>
      <w:r w:rsidR="00773F5D" w:rsidRPr="004C7F84">
        <w:t>’</w:t>
      </w:r>
      <w:r w:rsidRPr="004C7F84">
        <w:t>après des informations à caractère anecdotique, des employeurs du secteur privé contreviendraient à cette disposition de la loi. Mais, encore une fois, aucune plainte n</w:t>
      </w:r>
      <w:r w:rsidR="00773F5D" w:rsidRPr="004C7F84">
        <w:t>’</w:t>
      </w:r>
      <w:r w:rsidRPr="004C7F84">
        <w:t>a été déposée auprès des tribunaux. Le concept de l</w:t>
      </w:r>
      <w:r w:rsidR="00773F5D" w:rsidRPr="004C7F84">
        <w:t>’</w:t>
      </w:r>
      <w:r w:rsidRPr="004C7F84">
        <w:t xml:space="preserve">égalité </w:t>
      </w:r>
      <w:r w:rsidR="000516F8" w:rsidRPr="004C7F84">
        <w:t xml:space="preserve">de rémunération va bien au-delà </w:t>
      </w:r>
      <w:r w:rsidRPr="004C7F84">
        <w:t>de celui de l</w:t>
      </w:r>
      <w:r w:rsidR="00773F5D" w:rsidRPr="004C7F84">
        <w:t>’</w:t>
      </w:r>
      <w:r w:rsidRPr="004C7F84">
        <w:t>égalité de traitement pour un travail d</w:t>
      </w:r>
      <w:r w:rsidR="00773F5D" w:rsidRPr="004C7F84">
        <w:t>’</w:t>
      </w:r>
      <w:r w:rsidRPr="004C7F84">
        <w:t>égale valeur. Certains facteurs socioéconomiques peuvent expliquer</w:t>
      </w:r>
      <w:r w:rsidRPr="004C7F84">
        <w:rPr>
          <w:color w:val="FF0000"/>
        </w:rPr>
        <w:t xml:space="preserve"> </w:t>
      </w:r>
      <w:r w:rsidRPr="004C7F84">
        <w:t>la faiblesse de</w:t>
      </w:r>
      <w:r w:rsidRPr="004C7F84">
        <w:rPr>
          <w:color w:val="FF0000"/>
        </w:rPr>
        <w:t xml:space="preserve"> </w:t>
      </w:r>
      <w:r w:rsidRPr="004C7F84">
        <w:t>la rémunération d</w:t>
      </w:r>
      <w:r w:rsidR="000516F8" w:rsidRPr="004C7F84">
        <w:t xml:space="preserve">es femmes </w:t>
      </w:r>
      <w:r w:rsidRPr="004C7F84">
        <w:t>dans tous les secteurs</w:t>
      </w:r>
      <w:r w:rsidR="00773F5D" w:rsidRPr="004C7F84">
        <w:t> :</w:t>
      </w:r>
      <w:r w:rsidRPr="004C7F84">
        <w:t xml:space="preserve"> elles sont majoritaires dans l</w:t>
      </w:r>
      <w:r w:rsidR="00773F5D" w:rsidRPr="004C7F84">
        <w:t>’</w:t>
      </w:r>
      <w:r w:rsidRPr="004C7F84">
        <w:t xml:space="preserve">économie des soins et </w:t>
      </w:r>
      <w:r w:rsidRPr="004C7F84">
        <w:rPr>
          <w:rStyle w:val="admitted"/>
        </w:rPr>
        <w:t>le secteur informel</w:t>
      </w:r>
      <w:r w:rsidRPr="004C7F84">
        <w:t>, qui sont sous-évalués et où les salaires sont beaucoup plus faibles que dans les autres secteurs. En outre, bien que de plus en plus de femmes aient fait des études de niveau tertiaire, elles ne sont pas promues aux postes de responsabilité aussi rapidement que les hommes. Plusieurs facteurs de socialisation, dont l</w:t>
      </w:r>
      <w:r w:rsidR="00773F5D" w:rsidRPr="004C7F84">
        <w:t>’</w:t>
      </w:r>
      <w:r w:rsidRPr="004C7F84">
        <w:t>école, l</w:t>
      </w:r>
      <w:r w:rsidR="00773F5D" w:rsidRPr="004C7F84">
        <w:t>’</w:t>
      </w:r>
      <w:r w:rsidR="000516F8" w:rsidRPr="004C7F84">
        <w:t xml:space="preserve">Église </w:t>
      </w:r>
      <w:r w:rsidRPr="004C7F84">
        <w:t>et les médias, sont responsables de la diffusion de stéréotypes qui ont pour con</w:t>
      </w:r>
      <w:r w:rsidR="000516F8" w:rsidRPr="004C7F84">
        <w:t xml:space="preserve">séquence le maintien des femmes </w:t>
      </w:r>
      <w:r w:rsidRPr="004C7F84">
        <w:t>dans les secteurs où les salaires sont modiques. La féminisation de la pauvreté et les préjugés inconscients sont d</w:t>
      </w:r>
      <w:r w:rsidR="00773F5D" w:rsidRPr="004C7F84">
        <w:t>’</w:t>
      </w:r>
      <w:r w:rsidRPr="004C7F84">
        <w:t>autres facteurs qui contribuent à la faiblesse de la</w:t>
      </w:r>
      <w:r w:rsidR="000516F8" w:rsidRPr="004C7F84">
        <w:t xml:space="preserve"> </w:t>
      </w:r>
      <w:r w:rsidRPr="004C7F84">
        <w:t xml:space="preserve">rémunération </w:t>
      </w:r>
      <w:r w:rsidRPr="004C7F84">
        <w:lastRenderedPageBreak/>
        <w:t>des femmes en général. Il faut prendre ces facteurs en compte et y remédier si l</w:t>
      </w:r>
      <w:r w:rsidR="00773F5D" w:rsidRPr="004C7F84">
        <w:t>’</w:t>
      </w:r>
      <w:r w:rsidRPr="004C7F84">
        <w:t>on veut parvenir à l</w:t>
      </w:r>
      <w:r w:rsidR="00773F5D" w:rsidRPr="004C7F84">
        <w:t>’</w:t>
      </w:r>
      <w:r w:rsidRPr="004C7F84">
        <w:t>égalité des sexes</w:t>
      </w:r>
      <w:r w:rsidR="000516F8" w:rsidRPr="004C7F84">
        <w:t>.</w:t>
      </w:r>
      <w:r w:rsidR="0034195A" w:rsidRPr="004C7F84">
        <w:rPr>
          <w:rFonts w:asciiTheme="majorBidi" w:hAnsiTheme="majorBidi" w:cstheme="majorBidi"/>
        </w:rPr>
        <w:t xml:space="preserve"> </w:t>
      </w:r>
    </w:p>
    <w:p w14:paraId="098D0AB9" w14:textId="77777777" w:rsidR="0034195A" w:rsidRPr="004C7F84" w:rsidRDefault="0034195A" w:rsidP="0034195A">
      <w:pPr>
        <w:pStyle w:val="SingleTxt"/>
        <w:spacing w:after="0" w:line="120" w:lineRule="exact"/>
        <w:rPr>
          <w:rFonts w:asciiTheme="majorBidi" w:hAnsiTheme="majorBidi" w:cstheme="majorBidi"/>
          <w:sz w:val="10"/>
        </w:rPr>
      </w:pPr>
    </w:p>
    <w:p w14:paraId="02E10552" w14:textId="134B75F4"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5F75AA" w:rsidRPr="004C7F84">
        <w:rPr>
          <w:lang w:val="fr-FR"/>
        </w:rPr>
        <w:t>Droit à la sécurité sociale</w:t>
      </w:r>
      <w:r w:rsidRPr="004C7F84">
        <w:rPr>
          <w:lang w:val="fr-FR"/>
        </w:rPr>
        <w:t xml:space="preserve"> </w:t>
      </w:r>
    </w:p>
    <w:p w14:paraId="0D95D16A" w14:textId="77777777" w:rsidR="0034195A" w:rsidRPr="004C7F84" w:rsidRDefault="0034195A" w:rsidP="0034195A">
      <w:pPr>
        <w:pStyle w:val="SingleTxt"/>
        <w:spacing w:after="0" w:line="120" w:lineRule="exact"/>
        <w:rPr>
          <w:rFonts w:asciiTheme="majorBidi" w:hAnsiTheme="majorBidi" w:cstheme="majorBidi"/>
          <w:sz w:val="10"/>
        </w:rPr>
      </w:pPr>
    </w:p>
    <w:p w14:paraId="24E63C85" w14:textId="0B6159AA" w:rsidR="005F75AA" w:rsidRPr="004C7F84" w:rsidRDefault="005F75AA" w:rsidP="00514306">
      <w:pPr>
        <w:pStyle w:val="SingleTxt"/>
        <w:numPr>
          <w:ilvl w:val="0"/>
          <w:numId w:val="22"/>
        </w:numPr>
        <w:spacing w:line="240" w:lineRule="exact"/>
        <w:ind w:left="1267" w:firstLine="0"/>
      </w:pPr>
      <w:r w:rsidRPr="004C7F84">
        <w:t>En vertu de la loi sur la sécurité sociale (chap.</w:t>
      </w:r>
      <w:r w:rsidR="000516F8" w:rsidRPr="004C7F84">
        <w:t> </w:t>
      </w:r>
      <w:r w:rsidRPr="004C7F84">
        <w:t>408), les hommes et les femmes qui font partie de la population active contribuent au régime de sécurité sociale et en bénéficient sur un pied d</w:t>
      </w:r>
      <w:r w:rsidR="00773F5D" w:rsidRPr="004C7F84">
        <w:t>’</w:t>
      </w:r>
      <w:r w:rsidRPr="004C7F84">
        <w:t>égalité. En 201</w:t>
      </w:r>
      <w:r w:rsidR="000516F8" w:rsidRPr="004C7F84">
        <w:t xml:space="preserve">3, ce régime a été révisé pour </w:t>
      </w:r>
      <w:r w:rsidRPr="004C7F84">
        <w:t>accroître les contributions des employeurs et des employés. Toutefois, les défenseurs des droits des femmes ont fait observer qu</w:t>
      </w:r>
      <w:r w:rsidR="00773F5D" w:rsidRPr="004C7F84">
        <w:t>’</w:t>
      </w:r>
      <w:r w:rsidRPr="004C7F84">
        <w:t>aucune disposition de la loi ne reconnaît et prend en compte les travaux domestiques non rémunérés des femmes. Ainsi, une femme n</w:t>
      </w:r>
      <w:r w:rsidR="00773F5D" w:rsidRPr="004C7F84">
        <w:t>’</w:t>
      </w:r>
      <w:r w:rsidRPr="004C7F84">
        <w:t>a pas droit aux prestations sociales si elle n</w:t>
      </w:r>
      <w:r w:rsidR="00773F5D" w:rsidRPr="004C7F84">
        <w:t>’</w:t>
      </w:r>
      <w:r w:rsidRPr="004C7F84">
        <w:t>a pas occupé un emploi rémunéré pendant au moins six mois. De nombreuses femmes travaillent toute leur vie pour s</w:t>
      </w:r>
      <w:r w:rsidR="00773F5D" w:rsidRPr="004C7F84">
        <w:t>’</w:t>
      </w:r>
      <w:r w:rsidRPr="004C7F84">
        <w:t>occuper des membres de leur famille, mais lorsqu</w:t>
      </w:r>
      <w:r w:rsidR="00773F5D" w:rsidRPr="004C7F84">
        <w:t>’</w:t>
      </w:r>
      <w:r w:rsidRPr="004C7F84">
        <w:t>elles deviennent âgées, elles n</w:t>
      </w:r>
      <w:r w:rsidR="00773F5D" w:rsidRPr="004C7F84">
        <w:t>’</w:t>
      </w:r>
      <w:r w:rsidRPr="004C7F84">
        <w:t>ont droit à aucune prestation. Dans son évaluation de l</w:t>
      </w:r>
      <w:r w:rsidR="00773F5D" w:rsidRPr="004C7F84">
        <w:t>’</w:t>
      </w:r>
      <w:r w:rsidRPr="004C7F84">
        <w:t>égalité des sexes dans les pays des Caraïbes, la Banque de développement des Caraïbes a formulé une recommandation particulièrement pertinente concernant Antigua-et-Barbuda, que le Gouvernement examinera</w:t>
      </w:r>
      <w:r w:rsidR="00773F5D" w:rsidRPr="004C7F84">
        <w:t> :</w:t>
      </w:r>
    </w:p>
    <w:p w14:paraId="2FAC8373" w14:textId="61F77E38" w:rsidR="005F75AA" w:rsidRPr="004C7F84" w:rsidRDefault="005F75AA" w:rsidP="005F75AA">
      <w:pPr>
        <w:pStyle w:val="SingleTxt"/>
        <w:ind w:left="1742" w:hanging="475"/>
      </w:pPr>
      <w:r w:rsidRPr="004C7F84">
        <w:tab/>
        <w:t>« La réforme de la sécurité sociale doit promouvoir un cadre plus sensible aux disparités entre les sexes, qui prend en compte les rôles et responsabilités des femmes et des hommes ainsi que leur contribution et leur participation au travail rémunéré et non rémunéré et aux secteurs structuré et non structuré de l</w:t>
      </w:r>
      <w:r w:rsidR="00773F5D" w:rsidRPr="004C7F84">
        <w:t>’</w:t>
      </w:r>
      <w:r w:rsidRPr="004C7F84">
        <w:t>économie. La mise en place d</w:t>
      </w:r>
      <w:r w:rsidR="00773F5D" w:rsidRPr="004C7F84">
        <w:t>’</w:t>
      </w:r>
      <w:r w:rsidRPr="004C7F84">
        <w:t>un socle national de protection sociale, conformément à la reco</w:t>
      </w:r>
      <w:r w:rsidR="000516F8" w:rsidRPr="004C7F84">
        <w:t>mmandation n</w:t>
      </w:r>
      <w:r w:rsidR="000516F8" w:rsidRPr="004C7F84">
        <w:rPr>
          <w:vertAlign w:val="superscript"/>
        </w:rPr>
        <w:t>o</w:t>
      </w:r>
      <w:r w:rsidR="000516F8" w:rsidRPr="004C7F84">
        <w:t> </w:t>
      </w:r>
      <w:r w:rsidRPr="004C7F84">
        <w:t>202 de l</w:t>
      </w:r>
      <w:r w:rsidR="00773F5D" w:rsidRPr="004C7F84">
        <w:t>’</w:t>
      </w:r>
      <w:r w:rsidRPr="004C7F84">
        <w:t>OIT (2012), permettra à tous les membres de la société de jouir d</w:t>
      </w:r>
      <w:r w:rsidR="00773F5D" w:rsidRPr="004C7F84">
        <w:t>’</w:t>
      </w:r>
      <w:r w:rsidRPr="004C7F84">
        <w:t>un niveau minimum de sécurité sociale et fera progresser les cadres existants de prestations sociales en matière de soins de santé et dans tous les autres domaines, compte tenu des problèmes et de l</w:t>
      </w:r>
      <w:r w:rsidR="00773F5D" w:rsidRPr="004C7F84">
        <w:t>’</w:t>
      </w:r>
      <w:r w:rsidRPr="004C7F84">
        <w:t>évolution du marché »</w:t>
      </w:r>
      <w:r w:rsidR="00773F5D" w:rsidRPr="004C7F84">
        <w:t xml:space="preserve"> </w:t>
      </w:r>
      <w:r w:rsidRPr="004C7F84">
        <w:t>(Banque de développement des Caraïbes</w:t>
      </w:r>
      <w:r w:rsidR="00773F5D" w:rsidRPr="004C7F84">
        <w:t> :</w:t>
      </w:r>
      <w:r w:rsidRPr="004C7F84">
        <w:t xml:space="preserve"> 2014</w:t>
      </w:r>
      <w:r w:rsidR="00773F5D" w:rsidRPr="004C7F84">
        <w:t> :</w:t>
      </w:r>
      <w:r w:rsidRPr="004C7F84">
        <w:t xml:space="preserve"> 25)</w:t>
      </w:r>
      <w:r w:rsidR="007B64DB" w:rsidRPr="004C7F84">
        <w:t>.</w:t>
      </w:r>
    </w:p>
    <w:p w14:paraId="6FAE268D" w14:textId="0709F26D" w:rsidR="005F75AA" w:rsidRPr="004C7F84" w:rsidRDefault="005F75AA" w:rsidP="005F75AA">
      <w:pPr>
        <w:pStyle w:val="SingleTxt"/>
        <w:spacing w:after="0" w:line="120" w:lineRule="exact"/>
        <w:ind w:left="1742" w:hanging="475"/>
        <w:rPr>
          <w:sz w:val="10"/>
        </w:rPr>
      </w:pPr>
    </w:p>
    <w:p w14:paraId="475398A6" w14:textId="77777777" w:rsidR="005F75AA" w:rsidRPr="004C7F84" w:rsidRDefault="005F75AA" w:rsidP="005F75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t xml:space="preserve">Droit à la protection de la santé et à la sécurité des conditions de travail </w:t>
      </w:r>
    </w:p>
    <w:p w14:paraId="5FAB396D" w14:textId="77777777" w:rsidR="005F75AA" w:rsidRPr="004C7F84" w:rsidRDefault="005F75AA" w:rsidP="005F75AA">
      <w:pPr>
        <w:pStyle w:val="SingleTxt"/>
        <w:spacing w:after="0" w:line="120" w:lineRule="exact"/>
        <w:rPr>
          <w:sz w:val="10"/>
        </w:rPr>
      </w:pPr>
    </w:p>
    <w:p w14:paraId="34A939A8" w14:textId="14923E9F" w:rsidR="0034195A" w:rsidRPr="004C7F84" w:rsidRDefault="005F75AA" w:rsidP="00514306">
      <w:pPr>
        <w:pStyle w:val="SingleTxt"/>
        <w:numPr>
          <w:ilvl w:val="0"/>
          <w:numId w:val="22"/>
        </w:numPr>
        <w:spacing w:line="240" w:lineRule="exact"/>
        <w:ind w:left="1267" w:firstLine="0"/>
      </w:pPr>
      <w:r w:rsidRPr="004C7F84">
        <w:t>Grâce aux dispositions extrêmement détaillées et complètes du Code du travail d</w:t>
      </w:r>
      <w:r w:rsidR="00773F5D" w:rsidRPr="004C7F84">
        <w:t>’</w:t>
      </w:r>
      <w:r w:rsidRPr="004C7F84">
        <w:t>Antigua-et-Barbuda, la santé et la sécurité de tous les travailleurs sont assurées sur le lieu de travail. Il n</w:t>
      </w:r>
      <w:r w:rsidR="00773F5D" w:rsidRPr="004C7F84">
        <w:t>’</w:t>
      </w:r>
      <w:r w:rsidRPr="004C7F84">
        <w:t>est pas possible de les mentionner toutes dans le présent rapport, mais l</w:t>
      </w:r>
      <w:r w:rsidR="00773F5D" w:rsidRPr="004C7F84">
        <w:t>’</w:t>
      </w:r>
      <w:r w:rsidRPr="004C7F84">
        <w:t>attention sera ap</w:t>
      </w:r>
      <w:r w:rsidR="000516F8" w:rsidRPr="004C7F84">
        <w:t xml:space="preserve">pelée sur quelques dispositions </w:t>
      </w:r>
      <w:r w:rsidRPr="004C7F84">
        <w:t xml:space="preserve">cruciales. En vertu de la partie D10 du Code du travail, tous les lieux de travail doivent être propres, bien ventilés, bien éclairés, se trouver </w:t>
      </w:r>
      <w:r w:rsidR="000516F8" w:rsidRPr="004C7F84">
        <w:t xml:space="preserve">à une température satisfaisante </w:t>
      </w:r>
      <w:r w:rsidRPr="004C7F84">
        <w:t>et disposer d</w:t>
      </w:r>
      <w:r w:rsidR="00773F5D" w:rsidRPr="004C7F84">
        <w:t>’</w:t>
      </w:r>
      <w:r w:rsidRPr="004C7F84">
        <w:t>installations sanitaires adéquates et d</w:t>
      </w:r>
      <w:r w:rsidR="00773F5D" w:rsidRPr="004C7F84">
        <w:t>’</w:t>
      </w:r>
      <w:r w:rsidRPr="004C7F84">
        <w:t>eau potable</w:t>
      </w:r>
      <w:r w:rsidR="00773F5D" w:rsidRPr="004C7F84">
        <w:t> ;</w:t>
      </w:r>
      <w:r w:rsidRPr="004C7F84">
        <w:t xml:space="preserve"> par ailleurs ils ne doivent pas être surpeuplés. D</w:t>
      </w:r>
      <w:r w:rsidR="00773F5D" w:rsidRPr="004C7F84">
        <w:t>’</w:t>
      </w:r>
      <w:r w:rsidRPr="004C7F84">
        <w:t>autres dispositions de la partie D11 sont les suivantes</w:t>
      </w:r>
      <w:r w:rsidR="00773F5D" w:rsidRPr="004C7F84">
        <w:t> :</w:t>
      </w:r>
    </w:p>
    <w:p w14:paraId="205CE1BC" w14:textId="591E4D76" w:rsidR="005F75AA" w:rsidRPr="004C7F84" w:rsidRDefault="005F75AA" w:rsidP="005F75AA">
      <w:pPr>
        <w:pStyle w:val="SingleTxtG"/>
        <w:spacing w:line="276" w:lineRule="auto"/>
        <w:ind w:left="1701"/>
        <w:jc w:val="left"/>
      </w:pPr>
      <w:r w:rsidRPr="004C7F84">
        <w:t>« (1)</w:t>
      </w:r>
      <w:r w:rsidRPr="004C7F84">
        <w:tab/>
        <w:t xml:space="preserve">Des mesures adéquates doivent être prises pour prévenir les incendies et prévoir des sorties de </w:t>
      </w:r>
      <w:r w:rsidR="007B64DB" w:rsidRPr="004C7F84">
        <w:t xml:space="preserve">secours pour les personnes qui </w:t>
      </w:r>
      <w:r w:rsidRPr="004C7F84">
        <w:t>travaillent dans ces locaux</w:t>
      </w:r>
      <w:r w:rsidR="00773F5D" w:rsidRPr="004C7F84">
        <w:t> ;</w:t>
      </w:r>
    </w:p>
    <w:p w14:paraId="264CAD8F" w14:textId="48B986ED" w:rsidR="005F75AA" w:rsidRPr="004C7F84" w:rsidRDefault="008477BC" w:rsidP="005F75AA">
      <w:pPr>
        <w:pStyle w:val="SingleTxtG"/>
        <w:spacing w:line="276" w:lineRule="auto"/>
        <w:ind w:left="1701"/>
        <w:jc w:val="left"/>
      </w:pPr>
      <w:r w:rsidRPr="004C7F84">
        <w:t>(2)</w:t>
      </w:r>
      <w:r w:rsidRPr="004C7F84">
        <w:tab/>
      </w:r>
      <w:r w:rsidR="005F75AA" w:rsidRPr="004C7F84">
        <w:t>Toutes les machines utilisées doivent être entretenues et en bon état de fonctionnement de manière à ne pas présenter de danger pour les employés</w:t>
      </w:r>
      <w:r w:rsidR="00773F5D" w:rsidRPr="004C7F84">
        <w:t> ;</w:t>
      </w:r>
    </w:p>
    <w:p w14:paraId="66AB0CA1" w14:textId="3F742FB1" w:rsidR="005F75AA" w:rsidRPr="004C7F84" w:rsidRDefault="008477BC" w:rsidP="005F75AA">
      <w:pPr>
        <w:pStyle w:val="SingleTxtG"/>
        <w:spacing w:line="276" w:lineRule="auto"/>
        <w:ind w:left="1701"/>
        <w:jc w:val="left"/>
      </w:pPr>
      <w:r w:rsidRPr="004C7F84">
        <w:t>(3)</w:t>
      </w:r>
      <w:r w:rsidRPr="004C7F84">
        <w:tab/>
      </w:r>
      <w:r w:rsidR="005F75AA" w:rsidRPr="004C7F84">
        <w:t xml:space="preserve">Tous les murs, cloisons, sols, escaliers, passages et couloirs doivent être solidement construits et convenablement entretenus ». </w:t>
      </w:r>
    </w:p>
    <w:p w14:paraId="318B3FDE" w14:textId="409BF69F" w:rsidR="005F75AA" w:rsidRPr="004C7F84" w:rsidRDefault="005F75AA" w:rsidP="00514306">
      <w:pPr>
        <w:pStyle w:val="SingleTxt"/>
        <w:numPr>
          <w:ilvl w:val="0"/>
          <w:numId w:val="22"/>
        </w:numPr>
        <w:spacing w:line="240" w:lineRule="exact"/>
        <w:ind w:left="1267" w:firstLine="0"/>
      </w:pPr>
      <w:r w:rsidRPr="004C7F84">
        <w:t>Peu d</w:t>
      </w:r>
      <w:r w:rsidR="00773F5D" w:rsidRPr="004C7F84">
        <w:t>’</w:t>
      </w:r>
      <w:r w:rsidRPr="004C7F84">
        <w:t>emplois à Antigua-et-Barbuda sont considérés comme particulièrement nocifs. L</w:t>
      </w:r>
      <w:r w:rsidR="00773F5D" w:rsidRPr="004C7F84">
        <w:t>’</w:t>
      </w:r>
      <w:r w:rsidRPr="004C7F84">
        <w:t>activité peut-être la plus dangereuse est la pulvérisation des cultures avec des pesticides et des produits chimiques dans le secteur agricole. Le Ministère de l</w:t>
      </w:r>
      <w:r w:rsidR="00773F5D" w:rsidRPr="004C7F84">
        <w:t>’</w:t>
      </w:r>
      <w:r w:rsidRPr="004C7F84">
        <w:t>agriculture organise de te</w:t>
      </w:r>
      <w:r w:rsidR="007B64DB" w:rsidRPr="004C7F84">
        <w:t>mps à autre des ateliers où les</w:t>
      </w:r>
      <w:r w:rsidRPr="004C7F84">
        <w:t xml:space="preserve"> exploitants agricoles, y compris les agricultrices et ouvrières agricoles, apprennent à utiliser correctement </w:t>
      </w:r>
      <w:r w:rsidRPr="004C7F84">
        <w:lastRenderedPageBreak/>
        <w:t>ces produits. Cela étant, on peut supposer sans trop s</w:t>
      </w:r>
      <w:r w:rsidR="00773F5D" w:rsidRPr="004C7F84">
        <w:t>’</w:t>
      </w:r>
      <w:r w:rsidRPr="004C7F84">
        <w:t>avancer que, si des femmes travaillent dans des exploitations agricoles et manipulent des substances préjudiciables à leur santé, en particulier pendant leur grossesse, elles sont conscientes des dangers et évitent d</w:t>
      </w:r>
      <w:r w:rsidR="00773F5D" w:rsidRPr="004C7F84">
        <w:t>’</w:t>
      </w:r>
      <w:r w:rsidRPr="004C7F84">
        <w:t>être contaminées.</w:t>
      </w:r>
      <w:r w:rsidR="00773F5D" w:rsidRPr="004C7F84">
        <w:t xml:space="preserve"> </w:t>
      </w:r>
    </w:p>
    <w:p w14:paraId="77C47C74" w14:textId="774C4598" w:rsidR="0034195A" w:rsidRPr="004C7F84" w:rsidRDefault="005F75AA" w:rsidP="00514306">
      <w:pPr>
        <w:pStyle w:val="SingleTxt"/>
        <w:numPr>
          <w:ilvl w:val="0"/>
          <w:numId w:val="22"/>
        </w:numPr>
        <w:spacing w:line="240" w:lineRule="exact"/>
        <w:ind w:left="1267" w:firstLine="0"/>
      </w:pPr>
      <w:r w:rsidRPr="004C7F84">
        <w:t>Il convient de noter qu</w:t>
      </w:r>
      <w:r w:rsidR="00773F5D" w:rsidRPr="004C7F84">
        <w:t>’</w:t>
      </w:r>
      <w:r w:rsidRPr="004C7F84">
        <w:t>il semblerait que des cas de harcèlement sexuel se produisent souvent sur le lieu de travail. Toutefois, aucune loi ne porte explicitement sur cette question.</w:t>
      </w:r>
    </w:p>
    <w:p w14:paraId="47E75B3C" w14:textId="77777777" w:rsidR="0034195A" w:rsidRPr="004C7F84" w:rsidRDefault="0034195A" w:rsidP="0034195A">
      <w:pPr>
        <w:pStyle w:val="SingleTxt"/>
        <w:spacing w:after="0" w:line="120" w:lineRule="exact"/>
        <w:rPr>
          <w:rFonts w:asciiTheme="majorBidi" w:hAnsiTheme="majorBidi" w:cstheme="majorBidi"/>
          <w:sz w:val="10"/>
        </w:rPr>
      </w:pPr>
    </w:p>
    <w:p w14:paraId="11A3F89F" w14:textId="77777777" w:rsidR="0034195A" w:rsidRPr="004C7F84" w:rsidRDefault="0034195A" w:rsidP="0034195A">
      <w:pPr>
        <w:pStyle w:val="SingleTxt"/>
        <w:spacing w:after="0" w:line="120" w:lineRule="exact"/>
        <w:rPr>
          <w:rFonts w:asciiTheme="majorBidi" w:hAnsiTheme="majorBidi" w:cstheme="majorBidi"/>
          <w:sz w:val="10"/>
        </w:rPr>
      </w:pPr>
    </w:p>
    <w:p w14:paraId="5A85ADD9" w14:textId="43A492D7" w:rsidR="0034195A" w:rsidRPr="004C7F84" w:rsidRDefault="0034195A" w:rsidP="0034195A">
      <w:pPr>
        <w:pStyle w:val="H1"/>
        <w:ind w:right="1260"/>
      </w:pPr>
      <w:r w:rsidRPr="004C7F84">
        <w:tab/>
      </w:r>
      <w:r w:rsidRPr="004C7F84">
        <w:tab/>
      </w:r>
      <w:r w:rsidR="005F75AA" w:rsidRPr="004C7F84">
        <w:t>Article 12</w:t>
      </w:r>
      <w:r w:rsidR="00773F5D" w:rsidRPr="004C7F84">
        <w:t> :</w:t>
      </w:r>
      <w:r w:rsidR="005F75AA" w:rsidRPr="004C7F84">
        <w:t xml:space="preserve"> Accès aux services médicaux</w:t>
      </w:r>
    </w:p>
    <w:p w14:paraId="556B3F9D" w14:textId="77777777" w:rsidR="0034195A" w:rsidRPr="004C7F84" w:rsidRDefault="0034195A" w:rsidP="0034195A">
      <w:pPr>
        <w:pStyle w:val="SingleTxt"/>
        <w:spacing w:after="0" w:line="120" w:lineRule="exact"/>
        <w:rPr>
          <w:rFonts w:asciiTheme="majorBidi" w:hAnsiTheme="majorBidi" w:cstheme="majorBidi"/>
          <w:sz w:val="10"/>
        </w:rPr>
      </w:pPr>
    </w:p>
    <w:p w14:paraId="0E744573" w14:textId="77777777" w:rsidR="0034195A" w:rsidRPr="004C7F84" w:rsidRDefault="0034195A" w:rsidP="0034195A">
      <w:pPr>
        <w:pStyle w:val="SingleTxt"/>
        <w:spacing w:after="0" w:line="120" w:lineRule="exact"/>
        <w:rPr>
          <w:rFonts w:asciiTheme="majorBidi" w:hAnsiTheme="majorBidi" w:cstheme="majorBidi"/>
          <w:sz w:val="10"/>
        </w:rPr>
      </w:pPr>
    </w:p>
    <w:p w14:paraId="1520E775" w14:textId="4D978D24" w:rsidR="0034195A" w:rsidRPr="004C7F84" w:rsidRDefault="0034195A" w:rsidP="005F75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5F75AA" w:rsidRPr="004C7F84">
        <w:rPr>
          <w:lang w:val="fr-FR"/>
        </w:rPr>
        <w:t>Santé des femmes en général</w:t>
      </w:r>
    </w:p>
    <w:p w14:paraId="0497C61A" w14:textId="4A0E72AC" w:rsidR="005F75AA" w:rsidRPr="004C7F84" w:rsidRDefault="005F75AA" w:rsidP="005F75AA">
      <w:pPr>
        <w:pStyle w:val="SingleTxt"/>
        <w:spacing w:after="0" w:line="120" w:lineRule="exact"/>
        <w:rPr>
          <w:sz w:val="10"/>
        </w:rPr>
      </w:pPr>
    </w:p>
    <w:p w14:paraId="2A5C233C" w14:textId="62B69D75" w:rsidR="0034195A" w:rsidRPr="004C7F84" w:rsidRDefault="005F75AA" w:rsidP="00514306">
      <w:pPr>
        <w:pStyle w:val="SingleTxt"/>
        <w:numPr>
          <w:ilvl w:val="0"/>
          <w:numId w:val="22"/>
        </w:numPr>
        <w:spacing w:line="240" w:lineRule="exact"/>
        <w:ind w:left="1267" w:firstLine="0"/>
        <w:rPr>
          <w:rFonts w:asciiTheme="majorBidi" w:hAnsiTheme="majorBidi" w:cstheme="majorBidi"/>
        </w:rPr>
      </w:pPr>
      <w:r w:rsidRPr="004C7F84">
        <w:t>Le Gouvernement d</w:t>
      </w:r>
      <w:r w:rsidR="00773F5D" w:rsidRPr="004C7F84">
        <w:t>’</w:t>
      </w:r>
      <w:r w:rsidRPr="004C7F84">
        <w:t xml:space="preserve">Antigua-et-Barbuda fournit des soins de santé à tous ses citoyens, depuis les interventions préventives aux soins médicaux </w:t>
      </w:r>
      <w:r w:rsidR="000516F8" w:rsidRPr="004C7F84">
        <w:t xml:space="preserve">de routine. Le système de santé </w:t>
      </w:r>
      <w:r w:rsidRPr="004C7F84">
        <w:t>comprend</w:t>
      </w:r>
      <w:r w:rsidRPr="004C7F84">
        <w:rPr>
          <w:color w:val="FF0000"/>
        </w:rPr>
        <w:t xml:space="preserve"> </w:t>
      </w:r>
      <w:r w:rsidRPr="004C7F84">
        <w:t>26</w:t>
      </w:r>
      <w:r w:rsidR="000516F8" w:rsidRPr="004C7F84">
        <w:t> </w:t>
      </w:r>
      <w:r w:rsidRPr="004C7F84">
        <w:t>établissements de santé satellites dans les communautés et 8</w:t>
      </w:r>
      <w:r w:rsidR="000516F8" w:rsidRPr="004C7F84">
        <w:t> </w:t>
      </w:r>
      <w:r w:rsidRPr="004C7F84">
        <w:t>centres principaux dans le pays, qui sont accessibles</w:t>
      </w:r>
      <w:r w:rsidRPr="004C7F84">
        <w:rPr>
          <w:color w:val="FF0000"/>
        </w:rPr>
        <w:t xml:space="preserve"> </w:t>
      </w:r>
      <w:r w:rsidRPr="004C7F84">
        <w:t>à tous les citoyens, sans distinction de sexe, de classe ou de croyance, ainsi qu</w:t>
      </w:r>
      <w:r w:rsidR="00773F5D" w:rsidRPr="004C7F84">
        <w:t>’</w:t>
      </w:r>
      <w:r w:rsidRPr="004C7F84">
        <w:t>aux migrants. Ces derniers doiven</w:t>
      </w:r>
      <w:r w:rsidR="000516F8" w:rsidRPr="004C7F84">
        <w:t xml:space="preserve">t toutefois débourser une somme </w:t>
      </w:r>
      <w:r w:rsidRPr="004C7F84">
        <w:t xml:space="preserve">modique pour ces services qui sont subventionnés. Les soins de santé publique, notamment les vaccinations et la </w:t>
      </w:r>
      <w:r w:rsidRPr="004C7F84">
        <w:rPr>
          <w:rStyle w:val="preferred"/>
        </w:rPr>
        <w:t>médecine de la procréation</w:t>
      </w:r>
      <w:r w:rsidRPr="004C7F84">
        <w:t xml:space="preserve">, sont fournis aux femmes et aux enfants dans les dispensaires de soins prénatals et postnatals, qui font partie des centres de santé. En </w:t>
      </w:r>
      <w:r w:rsidRPr="004C7F84">
        <w:rPr>
          <w:spacing w:val="2"/>
          <w:w w:val="100"/>
        </w:rPr>
        <w:t>outre, le Gouvernement gère Mount St. John Medical Centre, hôpital général moderne de 185</w:t>
      </w:r>
      <w:r w:rsidR="000516F8" w:rsidRPr="004C7F84">
        <w:rPr>
          <w:spacing w:val="2"/>
          <w:w w:val="100"/>
        </w:rPr>
        <w:t> </w:t>
      </w:r>
      <w:r w:rsidRPr="004C7F84">
        <w:rPr>
          <w:spacing w:val="2"/>
          <w:w w:val="100"/>
        </w:rPr>
        <w:t>lits, inauguré en 2009, qui remplace l</w:t>
      </w:r>
      <w:r w:rsidR="00773F5D" w:rsidRPr="004C7F84">
        <w:rPr>
          <w:spacing w:val="2"/>
          <w:w w:val="100"/>
        </w:rPr>
        <w:t>’</w:t>
      </w:r>
      <w:r w:rsidRPr="004C7F84">
        <w:rPr>
          <w:spacing w:val="2"/>
          <w:w w:val="100"/>
        </w:rPr>
        <w:t>hôpital Holber</w:t>
      </w:r>
      <w:r w:rsidR="000516F8" w:rsidRPr="004C7F84">
        <w:rPr>
          <w:spacing w:val="2"/>
          <w:w w:val="100"/>
        </w:rPr>
        <w:t xml:space="preserve">ton, plus ancien. Il administre </w:t>
      </w:r>
      <w:r w:rsidRPr="004C7F84">
        <w:rPr>
          <w:spacing w:val="2"/>
          <w:w w:val="100"/>
        </w:rPr>
        <w:t>également un établissement psychiatrique, Clarevue Psychiatric Hospital, et le Fiennes Institute, qui est un foyer pour personnes âgées. Des soins de santé sont aussi fournis par plusieurs établissements hospitaliers privés et des médecins et dentistes de ville. Par ailleurs, il faut mentionner le régime d</w:t>
      </w:r>
      <w:r w:rsidR="00773F5D" w:rsidRPr="004C7F84">
        <w:rPr>
          <w:spacing w:val="2"/>
          <w:w w:val="100"/>
        </w:rPr>
        <w:t>’</w:t>
      </w:r>
      <w:r w:rsidRPr="004C7F84">
        <w:rPr>
          <w:spacing w:val="2"/>
          <w:w w:val="100"/>
        </w:rPr>
        <w:t>assurance médicale dans le cadre duquel</w:t>
      </w:r>
      <w:r w:rsidRPr="004C7F84">
        <w:rPr>
          <w:color w:val="FF0000"/>
          <w:spacing w:val="2"/>
          <w:w w:val="100"/>
        </w:rPr>
        <w:t xml:space="preserve"> </w:t>
      </w:r>
      <w:r w:rsidRPr="004C7F84">
        <w:rPr>
          <w:spacing w:val="2"/>
          <w:w w:val="100"/>
        </w:rPr>
        <w:t xml:space="preserve">les médicaments sont fournis gratuitement. Pour y avoir droit, une personne doit avoir cotisé à ce </w:t>
      </w:r>
      <w:r w:rsidRPr="004C7F84">
        <w:rPr>
          <w:rStyle w:val="content"/>
          <w:spacing w:val="2"/>
          <w:w w:val="100"/>
        </w:rPr>
        <w:t>régime </w:t>
      </w:r>
      <w:r w:rsidRPr="004C7F84">
        <w:rPr>
          <w:spacing w:val="2"/>
          <w:w w:val="100"/>
        </w:rPr>
        <w:t>pendant au moins six mois. Toutefois, les personnes âgées et les personnes handicapées bénéficient de ce régime, même si elles n</w:t>
      </w:r>
      <w:r w:rsidR="00773F5D" w:rsidRPr="004C7F84">
        <w:rPr>
          <w:spacing w:val="2"/>
          <w:w w:val="100"/>
        </w:rPr>
        <w:t>’</w:t>
      </w:r>
      <w:r w:rsidRPr="004C7F84">
        <w:rPr>
          <w:spacing w:val="2"/>
          <w:w w:val="100"/>
        </w:rPr>
        <w:t>y ont jamais cotisé.</w:t>
      </w:r>
    </w:p>
    <w:p w14:paraId="2BC08353" w14:textId="20993214" w:rsidR="0034195A" w:rsidRPr="004C7F84" w:rsidRDefault="005F75AA" w:rsidP="00514306">
      <w:pPr>
        <w:pStyle w:val="SingleTxt"/>
        <w:numPr>
          <w:ilvl w:val="0"/>
          <w:numId w:val="22"/>
        </w:numPr>
        <w:spacing w:line="240" w:lineRule="exact"/>
        <w:ind w:left="1267" w:firstLine="0"/>
        <w:rPr>
          <w:rFonts w:asciiTheme="majorBidi" w:hAnsiTheme="majorBidi" w:cstheme="majorBidi"/>
        </w:rPr>
      </w:pPr>
      <w:r w:rsidRPr="004C7F84">
        <w:t>La santé des femmes du pays continue à être satisfaisante, comme il ressort des indicateurs ci-après</w:t>
      </w:r>
      <w:r w:rsidR="0034195A" w:rsidRPr="004C7F84">
        <w:rPr>
          <w:rFonts w:asciiTheme="majorBidi" w:hAnsiTheme="majorBidi" w:cstheme="majorBidi"/>
        </w:rPr>
        <w:t xml:space="preserve">. </w:t>
      </w:r>
    </w:p>
    <w:p w14:paraId="137AC86B" w14:textId="77777777" w:rsidR="0034195A" w:rsidRPr="004C7F84" w:rsidRDefault="0034195A" w:rsidP="0034195A">
      <w:pPr>
        <w:pStyle w:val="SingleTxt"/>
        <w:spacing w:after="0" w:line="120" w:lineRule="exact"/>
        <w:rPr>
          <w:rFonts w:asciiTheme="majorBidi" w:hAnsiTheme="majorBidi" w:cstheme="majorBidi"/>
          <w:sz w:val="10"/>
        </w:rPr>
      </w:pPr>
    </w:p>
    <w:p w14:paraId="68676C5D" w14:textId="36EB6F82"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5F75AA" w:rsidRPr="004C7F84">
        <w:rPr>
          <w:lang w:val="fr-FR"/>
        </w:rPr>
        <w:t>Santé des femmes</w:t>
      </w:r>
      <w:r w:rsidR="00773F5D" w:rsidRPr="004C7F84">
        <w:rPr>
          <w:lang w:val="fr-FR"/>
        </w:rPr>
        <w:t> :</w:t>
      </w:r>
      <w:r w:rsidR="005F75AA" w:rsidRPr="004C7F84">
        <w:rPr>
          <w:lang w:val="fr-FR"/>
        </w:rPr>
        <w:t xml:space="preserve"> quelques indicateurs</w:t>
      </w:r>
    </w:p>
    <w:p w14:paraId="62B50E2A" w14:textId="77777777" w:rsidR="0034195A" w:rsidRPr="004C7F84" w:rsidRDefault="0034195A" w:rsidP="0034195A">
      <w:pPr>
        <w:pStyle w:val="SingleTxt"/>
        <w:spacing w:after="0" w:line="120" w:lineRule="exact"/>
        <w:rPr>
          <w:sz w:val="10"/>
        </w:rPr>
      </w:pPr>
    </w:p>
    <w:p w14:paraId="56ED4E0D" w14:textId="258414A4" w:rsidR="0034195A" w:rsidRPr="004C7F84" w:rsidRDefault="0034195A" w:rsidP="0034195A">
      <w:pPr>
        <w:pStyle w:val="H4"/>
        <w:ind w:right="1260"/>
      </w:pPr>
      <w:r w:rsidRPr="004C7F84">
        <w:tab/>
      </w:r>
      <w:r w:rsidRPr="004C7F84">
        <w:tab/>
      </w:r>
      <w:r w:rsidR="005F75AA" w:rsidRPr="004C7F84">
        <w:t>Mortalité maternelle</w:t>
      </w:r>
      <w:r w:rsidRPr="004C7F84">
        <w:t xml:space="preserve"> </w:t>
      </w:r>
    </w:p>
    <w:p w14:paraId="68D83F08" w14:textId="77777777" w:rsidR="0034195A" w:rsidRPr="004C7F84" w:rsidRDefault="0034195A" w:rsidP="0034195A">
      <w:pPr>
        <w:pStyle w:val="SingleTxt"/>
        <w:spacing w:after="0" w:line="120" w:lineRule="exact"/>
        <w:rPr>
          <w:rFonts w:asciiTheme="majorBidi" w:hAnsiTheme="majorBidi" w:cstheme="majorBidi"/>
          <w:sz w:val="10"/>
        </w:rPr>
      </w:pPr>
    </w:p>
    <w:p w14:paraId="4AF70ED7" w14:textId="33CB0AA9" w:rsidR="0034195A" w:rsidRPr="004C7F84" w:rsidRDefault="005F75AA" w:rsidP="00514306">
      <w:pPr>
        <w:pStyle w:val="SingleTxt"/>
        <w:numPr>
          <w:ilvl w:val="0"/>
          <w:numId w:val="22"/>
        </w:numPr>
        <w:spacing w:line="240" w:lineRule="exact"/>
        <w:ind w:left="1267" w:firstLine="0"/>
        <w:rPr>
          <w:rFonts w:asciiTheme="majorBidi" w:hAnsiTheme="majorBidi" w:cstheme="majorBidi"/>
        </w:rPr>
      </w:pPr>
      <w:r w:rsidRPr="004C7F84">
        <w:t xml:space="preserve">Au </w:t>
      </w:r>
      <w:r w:rsidR="000516F8" w:rsidRPr="004C7F84">
        <w:t xml:space="preserve">cours des dernières décennies, </w:t>
      </w:r>
      <w:r w:rsidRPr="004C7F84">
        <w:t>il y a eu peu ou pas de décès au moment de l</w:t>
      </w:r>
      <w:r w:rsidR="00773F5D" w:rsidRPr="004C7F84">
        <w:t>’</w:t>
      </w:r>
      <w:r w:rsidRPr="004C7F84">
        <w:t>accouchement, comme l</w:t>
      </w:r>
      <w:r w:rsidR="00773F5D" w:rsidRPr="004C7F84">
        <w:t>’</w:t>
      </w:r>
      <w:r w:rsidRPr="004C7F84">
        <w:t>indiquent les statistiques citées ci-dessous. Tous les enfants d</w:t>
      </w:r>
      <w:r w:rsidR="00773F5D" w:rsidRPr="004C7F84">
        <w:t>’</w:t>
      </w:r>
      <w:r w:rsidRPr="004C7F84">
        <w:t>Antigua-et-Barbuda naissent dans les hôpitaux et presque toutes les femmes (y compris les adolescentes enceintes) vont en consultation dans les dispensaires de soins prénatals qui sont gratuits. Les mères allaitantes reçoivent également des aliments complémentaires, notamment de l</w:t>
      </w:r>
      <w:r w:rsidR="00773F5D" w:rsidRPr="004C7F84">
        <w:t>’</w:t>
      </w:r>
      <w:r w:rsidRPr="004C7F84">
        <w:t>acide folique et d</w:t>
      </w:r>
      <w:r w:rsidR="00773F5D" w:rsidRPr="004C7F84">
        <w:t>’</w:t>
      </w:r>
      <w:r w:rsidRPr="004C7F84">
        <w:t>autres vitamines, qui sont fournis par le Gouvernement, pour elles-mêmes et leurs bébés.</w:t>
      </w:r>
      <w:r w:rsidR="0034195A" w:rsidRPr="004C7F84">
        <w:rPr>
          <w:rFonts w:asciiTheme="majorBidi" w:hAnsiTheme="majorBidi" w:cstheme="majorBidi"/>
        </w:rPr>
        <w:t xml:space="preserve"> </w:t>
      </w:r>
    </w:p>
    <w:p w14:paraId="03012E64" w14:textId="77777777" w:rsidR="0034195A" w:rsidRPr="004C7F84" w:rsidRDefault="0034195A" w:rsidP="0034195A">
      <w:pPr>
        <w:pStyle w:val="SingleTxt"/>
        <w:spacing w:after="0" w:line="120" w:lineRule="exact"/>
        <w:rPr>
          <w:rFonts w:asciiTheme="majorBidi" w:hAnsiTheme="majorBidi" w:cstheme="majorBidi"/>
          <w:sz w:val="10"/>
        </w:rPr>
      </w:pPr>
    </w:p>
    <w:p w14:paraId="5F5D7576" w14:textId="59E76C9E"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b w:val="0"/>
          <w:bCs/>
          <w:lang w:val="fr-FR"/>
        </w:rPr>
        <w:tab/>
      </w:r>
      <w:r w:rsidRPr="004C7F84">
        <w:rPr>
          <w:b w:val="0"/>
          <w:bCs/>
          <w:lang w:val="fr-FR"/>
        </w:rPr>
        <w:tab/>
        <w:t>Table</w:t>
      </w:r>
      <w:r w:rsidR="005F75AA" w:rsidRPr="004C7F84">
        <w:rPr>
          <w:b w:val="0"/>
          <w:bCs/>
          <w:lang w:val="fr-FR"/>
        </w:rPr>
        <w:t>au</w:t>
      </w:r>
      <w:r w:rsidRPr="004C7F84">
        <w:rPr>
          <w:b w:val="0"/>
          <w:bCs/>
          <w:lang w:val="fr-FR"/>
        </w:rPr>
        <w:t xml:space="preserve"> 8 </w:t>
      </w:r>
      <w:r w:rsidRPr="004C7F84">
        <w:rPr>
          <w:b w:val="0"/>
          <w:bCs/>
          <w:lang w:val="fr-FR"/>
        </w:rPr>
        <w:br/>
      </w:r>
      <w:r w:rsidR="005F75AA" w:rsidRPr="004C7F84">
        <w:rPr>
          <w:lang w:val="fr-FR"/>
        </w:rPr>
        <w:t>Décès maternels – années retenues</w:t>
      </w:r>
      <w:r w:rsidRPr="004C7F84">
        <w:rPr>
          <w:lang w:val="fr-FR"/>
        </w:rPr>
        <w:t xml:space="preserve"> </w:t>
      </w:r>
    </w:p>
    <w:p w14:paraId="1F70267C" w14:textId="77777777" w:rsidR="0034195A" w:rsidRPr="004C7F84" w:rsidRDefault="0034195A" w:rsidP="0034195A">
      <w:pPr>
        <w:pStyle w:val="SingleTxt"/>
        <w:spacing w:after="0" w:line="120" w:lineRule="exact"/>
        <w:rPr>
          <w:rFonts w:asciiTheme="majorBidi" w:hAnsiTheme="majorBidi" w:cstheme="majorBidi"/>
          <w:sz w:val="10"/>
        </w:rPr>
      </w:pPr>
    </w:p>
    <w:tbl>
      <w:tblPr>
        <w:tblW w:w="0" w:type="auto"/>
        <w:tblInd w:w="1260" w:type="dxa"/>
        <w:tblLayout w:type="fixed"/>
        <w:tblCellMar>
          <w:left w:w="0" w:type="dxa"/>
          <w:right w:w="0" w:type="dxa"/>
        </w:tblCellMar>
        <w:tblLook w:val="0000" w:firstRow="0" w:lastRow="0" w:firstColumn="0" w:lastColumn="0" w:noHBand="0" w:noVBand="0"/>
      </w:tblPr>
      <w:tblGrid>
        <w:gridCol w:w="732"/>
        <w:gridCol w:w="732"/>
        <w:gridCol w:w="732"/>
        <w:gridCol w:w="732"/>
        <w:gridCol w:w="732"/>
        <w:gridCol w:w="732"/>
        <w:gridCol w:w="732"/>
        <w:gridCol w:w="732"/>
        <w:gridCol w:w="732"/>
        <w:gridCol w:w="732"/>
      </w:tblGrid>
      <w:tr w:rsidR="0034195A" w:rsidRPr="004C7F84" w14:paraId="52A0BD26" w14:textId="77777777" w:rsidTr="0034195A">
        <w:trPr>
          <w:tblHeader/>
        </w:trPr>
        <w:tc>
          <w:tcPr>
            <w:tcW w:w="732" w:type="dxa"/>
            <w:tcBorders>
              <w:top w:val="single" w:sz="4" w:space="0" w:color="auto"/>
              <w:bottom w:val="single" w:sz="12" w:space="0" w:color="auto"/>
            </w:tcBorders>
            <w:shd w:val="clear" w:color="auto" w:fill="auto"/>
            <w:vAlign w:val="bottom"/>
          </w:tcPr>
          <w:p w14:paraId="2C811BC5" w14:textId="77777777" w:rsidR="0034195A" w:rsidRPr="004C7F84" w:rsidRDefault="0034195A" w:rsidP="0034195A">
            <w:pPr>
              <w:tabs>
                <w:tab w:val="left" w:pos="288"/>
                <w:tab w:val="left" w:pos="576"/>
                <w:tab w:val="left" w:pos="864"/>
                <w:tab w:val="left" w:pos="1152"/>
              </w:tabs>
              <w:spacing w:before="81" w:after="81" w:line="160" w:lineRule="exact"/>
              <w:ind w:right="40"/>
              <w:jc w:val="right"/>
              <w:rPr>
                <w:i/>
                <w:sz w:val="14"/>
              </w:rPr>
            </w:pPr>
            <w:r w:rsidRPr="004C7F84">
              <w:rPr>
                <w:i/>
                <w:sz w:val="14"/>
              </w:rPr>
              <w:t>1988</w:t>
            </w:r>
          </w:p>
        </w:tc>
        <w:tc>
          <w:tcPr>
            <w:tcW w:w="732" w:type="dxa"/>
            <w:tcBorders>
              <w:top w:val="single" w:sz="4" w:space="0" w:color="auto"/>
              <w:bottom w:val="single" w:sz="12" w:space="0" w:color="auto"/>
            </w:tcBorders>
            <w:shd w:val="clear" w:color="auto" w:fill="auto"/>
            <w:vAlign w:val="bottom"/>
          </w:tcPr>
          <w:p w14:paraId="70131B4C"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1989</w:t>
            </w:r>
          </w:p>
        </w:tc>
        <w:tc>
          <w:tcPr>
            <w:tcW w:w="732" w:type="dxa"/>
            <w:tcBorders>
              <w:top w:val="single" w:sz="4" w:space="0" w:color="auto"/>
              <w:bottom w:val="single" w:sz="12" w:space="0" w:color="auto"/>
            </w:tcBorders>
            <w:shd w:val="clear" w:color="auto" w:fill="auto"/>
            <w:vAlign w:val="bottom"/>
          </w:tcPr>
          <w:p w14:paraId="280B1E6F"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1990</w:t>
            </w:r>
          </w:p>
        </w:tc>
        <w:tc>
          <w:tcPr>
            <w:tcW w:w="732" w:type="dxa"/>
            <w:tcBorders>
              <w:top w:val="single" w:sz="4" w:space="0" w:color="auto"/>
              <w:bottom w:val="single" w:sz="12" w:space="0" w:color="auto"/>
            </w:tcBorders>
            <w:shd w:val="clear" w:color="auto" w:fill="auto"/>
            <w:vAlign w:val="bottom"/>
          </w:tcPr>
          <w:p w14:paraId="4D9B4A7C"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1992</w:t>
            </w:r>
          </w:p>
        </w:tc>
        <w:tc>
          <w:tcPr>
            <w:tcW w:w="732" w:type="dxa"/>
            <w:tcBorders>
              <w:top w:val="single" w:sz="4" w:space="0" w:color="auto"/>
              <w:bottom w:val="single" w:sz="12" w:space="0" w:color="auto"/>
            </w:tcBorders>
            <w:shd w:val="clear" w:color="auto" w:fill="auto"/>
            <w:vAlign w:val="bottom"/>
          </w:tcPr>
          <w:p w14:paraId="59855FCC"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2010</w:t>
            </w:r>
          </w:p>
        </w:tc>
        <w:tc>
          <w:tcPr>
            <w:tcW w:w="732" w:type="dxa"/>
            <w:tcBorders>
              <w:top w:val="single" w:sz="4" w:space="0" w:color="auto"/>
              <w:bottom w:val="single" w:sz="12" w:space="0" w:color="auto"/>
            </w:tcBorders>
            <w:shd w:val="clear" w:color="auto" w:fill="auto"/>
            <w:vAlign w:val="bottom"/>
          </w:tcPr>
          <w:p w14:paraId="6CB8EC66"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2011</w:t>
            </w:r>
          </w:p>
        </w:tc>
        <w:tc>
          <w:tcPr>
            <w:tcW w:w="732" w:type="dxa"/>
            <w:tcBorders>
              <w:top w:val="single" w:sz="4" w:space="0" w:color="auto"/>
              <w:bottom w:val="single" w:sz="12" w:space="0" w:color="auto"/>
            </w:tcBorders>
            <w:shd w:val="clear" w:color="auto" w:fill="auto"/>
            <w:vAlign w:val="bottom"/>
          </w:tcPr>
          <w:p w14:paraId="0D51F65A"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2012</w:t>
            </w:r>
          </w:p>
        </w:tc>
        <w:tc>
          <w:tcPr>
            <w:tcW w:w="732" w:type="dxa"/>
            <w:tcBorders>
              <w:top w:val="single" w:sz="4" w:space="0" w:color="auto"/>
              <w:bottom w:val="single" w:sz="12" w:space="0" w:color="auto"/>
            </w:tcBorders>
            <w:shd w:val="clear" w:color="auto" w:fill="auto"/>
            <w:vAlign w:val="bottom"/>
          </w:tcPr>
          <w:p w14:paraId="1C648063"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2013</w:t>
            </w:r>
          </w:p>
        </w:tc>
        <w:tc>
          <w:tcPr>
            <w:tcW w:w="732" w:type="dxa"/>
            <w:tcBorders>
              <w:top w:val="single" w:sz="4" w:space="0" w:color="auto"/>
              <w:bottom w:val="single" w:sz="12" w:space="0" w:color="auto"/>
            </w:tcBorders>
            <w:shd w:val="clear" w:color="auto" w:fill="auto"/>
            <w:vAlign w:val="bottom"/>
          </w:tcPr>
          <w:p w14:paraId="569E1773"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2014</w:t>
            </w:r>
          </w:p>
        </w:tc>
        <w:tc>
          <w:tcPr>
            <w:tcW w:w="732" w:type="dxa"/>
            <w:tcBorders>
              <w:top w:val="single" w:sz="4" w:space="0" w:color="auto"/>
              <w:bottom w:val="single" w:sz="12" w:space="0" w:color="auto"/>
            </w:tcBorders>
            <w:shd w:val="clear" w:color="auto" w:fill="auto"/>
            <w:vAlign w:val="bottom"/>
          </w:tcPr>
          <w:p w14:paraId="09F68D8B"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2015</w:t>
            </w:r>
          </w:p>
        </w:tc>
      </w:tr>
      <w:tr w:rsidR="0034195A" w:rsidRPr="004C7F84" w14:paraId="66B45A9F" w14:textId="77777777" w:rsidTr="0034195A">
        <w:trPr>
          <w:trHeight w:hRule="exact" w:val="115"/>
          <w:tblHeader/>
        </w:trPr>
        <w:tc>
          <w:tcPr>
            <w:tcW w:w="732" w:type="dxa"/>
            <w:tcBorders>
              <w:top w:val="single" w:sz="12" w:space="0" w:color="auto"/>
            </w:tcBorders>
            <w:shd w:val="clear" w:color="auto" w:fill="auto"/>
            <w:vAlign w:val="bottom"/>
          </w:tcPr>
          <w:p w14:paraId="7B8548B9" w14:textId="77777777" w:rsidR="0034195A" w:rsidRPr="004C7F84" w:rsidRDefault="0034195A" w:rsidP="0034195A">
            <w:pPr>
              <w:tabs>
                <w:tab w:val="left" w:pos="288"/>
                <w:tab w:val="left" w:pos="576"/>
                <w:tab w:val="left" w:pos="864"/>
                <w:tab w:val="left" w:pos="1152"/>
              </w:tabs>
              <w:spacing w:before="40" w:after="40" w:line="210" w:lineRule="exact"/>
              <w:ind w:right="40"/>
              <w:jc w:val="right"/>
              <w:rPr>
                <w:sz w:val="17"/>
              </w:rPr>
            </w:pPr>
          </w:p>
        </w:tc>
        <w:tc>
          <w:tcPr>
            <w:tcW w:w="732" w:type="dxa"/>
            <w:tcBorders>
              <w:top w:val="single" w:sz="12" w:space="0" w:color="auto"/>
            </w:tcBorders>
            <w:shd w:val="clear" w:color="auto" w:fill="auto"/>
            <w:vAlign w:val="bottom"/>
          </w:tcPr>
          <w:p w14:paraId="4343CCF4"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1B1A8E46"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64D0E0E7"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3C50F714"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09238918"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334F147E"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7BD1F724"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41032A52"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317B6A93"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r>
      <w:tr w:rsidR="0034195A" w:rsidRPr="004C7F84" w14:paraId="7596EE07" w14:textId="77777777" w:rsidTr="0034195A">
        <w:tc>
          <w:tcPr>
            <w:tcW w:w="732" w:type="dxa"/>
            <w:tcBorders>
              <w:bottom w:val="single" w:sz="12" w:space="0" w:color="auto"/>
            </w:tcBorders>
            <w:shd w:val="clear" w:color="auto" w:fill="auto"/>
            <w:vAlign w:val="bottom"/>
          </w:tcPr>
          <w:p w14:paraId="30058212" w14:textId="77777777" w:rsidR="0034195A" w:rsidRPr="004C7F84" w:rsidRDefault="0034195A" w:rsidP="0034195A">
            <w:pPr>
              <w:tabs>
                <w:tab w:val="left" w:pos="288"/>
                <w:tab w:val="left" w:pos="576"/>
                <w:tab w:val="left" w:pos="864"/>
                <w:tab w:val="left" w:pos="1152"/>
              </w:tabs>
              <w:spacing w:before="40" w:after="40" w:line="210" w:lineRule="exact"/>
              <w:ind w:right="40"/>
              <w:jc w:val="right"/>
              <w:rPr>
                <w:sz w:val="17"/>
              </w:rPr>
            </w:pPr>
            <w:r w:rsidRPr="004C7F84">
              <w:rPr>
                <w:sz w:val="17"/>
              </w:rPr>
              <w:t>1</w:t>
            </w:r>
          </w:p>
        </w:tc>
        <w:tc>
          <w:tcPr>
            <w:tcW w:w="732" w:type="dxa"/>
            <w:tcBorders>
              <w:bottom w:val="single" w:sz="12" w:space="0" w:color="auto"/>
            </w:tcBorders>
            <w:shd w:val="clear" w:color="auto" w:fill="auto"/>
            <w:vAlign w:val="bottom"/>
          </w:tcPr>
          <w:p w14:paraId="5E5BAD20"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0</w:t>
            </w:r>
          </w:p>
        </w:tc>
        <w:tc>
          <w:tcPr>
            <w:tcW w:w="732" w:type="dxa"/>
            <w:tcBorders>
              <w:bottom w:val="single" w:sz="12" w:space="0" w:color="auto"/>
            </w:tcBorders>
            <w:shd w:val="clear" w:color="auto" w:fill="auto"/>
            <w:vAlign w:val="bottom"/>
          </w:tcPr>
          <w:p w14:paraId="7E0D947D"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0</w:t>
            </w:r>
          </w:p>
        </w:tc>
        <w:tc>
          <w:tcPr>
            <w:tcW w:w="732" w:type="dxa"/>
            <w:tcBorders>
              <w:bottom w:val="single" w:sz="12" w:space="0" w:color="auto"/>
            </w:tcBorders>
            <w:shd w:val="clear" w:color="auto" w:fill="auto"/>
            <w:vAlign w:val="bottom"/>
          </w:tcPr>
          <w:p w14:paraId="6A0686E1"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0</w:t>
            </w:r>
          </w:p>
        </w:tc>
        <w:tc>
          <w:tcPr>
            <w:tcW w:w="732" w:type="dxa"/>
            <w:tcBorders>
              <w:bottom w:val="single" w:sz="12" w:space="0" w:color="auto"/>
            </w:tcBorders>
            <w:shd w:val="clear" w:color="auto" w:fill="auto"/>
            <w:vAlign w:val="bottom"/>
          </w:tcPr>
          <w:p w14:paraId="17714F2A"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w:t>
            </w:r>
          </w:p>
        </w:tc>
        <w:tc>
          <w:tcPr>
            <w:tcW w:w="732" w:type="dxa"/>
            <w:tcBorders>
              <w:bottom w:val="single" w:sz="12" w:space="0" w:color="auto"/>
            </w:tcBorders>
            <w:shd w:val="clear" w:color="auto" w:fill="auto"/>
            <w:vAlign w:val="bottom"/>
          </w:tcPr>
          <w:p w14:paraId="70F6C789"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w:t>
            </w:r>
          </w:p>
        </w:tc>
        <w:tc>
          <w:tcPr>
            <w:tcW w:w="732" w:type="dxa"/>
            <w:tcBorders>
              <w:bottom w:val="single" w:sz="12" w:space="0" w:color="auto"/>
            </w:tcBorders>
            <w:shd w:val="clear" w:color="auto" w:fill="auto"/>
            <w:vAlign w:val="bottom"/>
          </w:tcPr>
          <w:p w14:paraId="4651C556"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w:t>
            </w:r>
          </w:p>
        </w:tc>
        <w:tc>
          <w:tcPr>
            <w:tcW w:w="732" w:type="dxa"/>
            <w:tcBorders>
              <w:bottom w:val="single" w:sz="12" w:space="0" w:color="auto"/>
            </w:tcBorders>
            <w:shd w:val="clear" w:color="auto" w:fill="auto"/>
            <w:vAlign w:val="bottom"/>
          </w:tcPr>
          <w:p w14:paraId="4A0C43BE"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0</w:t>
            </w:r>
          </w:p>
        </w:tc>
        <w:tc>
          <w:tcPr>
            <w:tcW w:w="732" w:type="dxa"/>
            <w:tcBorders>
              <w:bottom w:val="single" w:sz="12" w:space="0" w:color="auto"/>
            </w:tcBorders>
            <w:shd w:val="clear" w:color="auto" w:fill="auto"/>
            <w:vAlign w:val="bottom"/>
          </w:tcPr>
          <w:p w14:paraId="538F9F26"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0</w:t>
            </w:r>
          </w:p>
        </w:tc>
        <w:tc>
          <w:tcPr>
            <w:tcW w:w="732" w:type="dxa"/>
            <w:tcBorders>
              <w:bottom w:val="single" w:sz="12" w:space="0" w:color="auto"/>
            </w:tcBorders>
            <w:shd w:val="clear" w:color="auto" w:fill="auto"/>
            <w:vAlign w:val="bottom"/>
          </w:tcPr>
          <w:p w14:paraId="47D94773"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w:t>
            </w:r>
          </w:p>
        </w:tc>
      </w:tr>
    </w:tbl>
    <w:p w14:paraId="3A3667EC" w14:textId="77777777" w:rsidR="0034195A" w:rsidRPr="004C7F84" w:rsidRDefault="0034195A" w:rsidP="0034195A">
      <w:pPr>
        <w:pStyle w:val="SingleTxt"/>
        <w:spacing w:after="0" w:line="120" w:lineRule="exact"/>
        <w:rPr>
          <w:rFonts w:asciiTheme="majorBidi" w:hAnsiTheme="majorBidi" w:cstheme="majorBidi"/>
          <w:sz w:val="10"/>
        </w:rPr>
      </w:pPr>
    </w:p>
    <w:p w14:paraId="543D996E" w14:textId="0039E862" w:rsidR="0034195A" w:rsidRPr="004C7F84" w:rsidRDefault="0034195A" w:rsidP="0034195A">
      <w:pPr>
        <w:pStyle w:val="FootnoteText"/>
        <w:tabs>
          <w:tab w:val="clear" w:pos="418"/>
          <w:tab w:val="right" w:pos="1476"/>
          <w:tab w:val="left" w:pos="1548"/>
          <w:tab w:val="right" w:pos="1836"/>
          <w:tab w:val="left" w:pos="1908"/>
        </w:tabs>
        <w:ind w:left="1548" w:right="1267" w:hanging="288"/>
      </w:pPr>
      <w:r w:rsidRPr="004C7F84">
        <w:rPr>
          <w:i/>
          <w:iCs/>
        </w:rPr>
        <w:t>Source</w:t>
      </w:r>
      <w:r w:rsidR="00773F5D" w:rsidRPr="004C7F84">
        <w:rPr>
          <w:i/>
          <w:iCs/>
        </w:rPr>
        <w:t> :</w:t>
      </w:r>
      <w:r w:rsidRPr="004C7F84">
        <w:t xml:space="preserve"> </w:t>
      </w:r>
      <w:r w:rsidR="005F75AA" w:rsidRPr="004C7F84">
        <w:t>Division de l</w:t>
      </w:r>
      <w:r w:rsidR="00773F5D" w:rsidRPr="004C7F84">
        <w:t>’</w:t>
      </w:r>
      <w:r w:rsidR="005F75AA" w:rsidRPr="004C7F84">
        <w:t>information sanitaire, Ministère de la santé</w:t>
      </w:r>
      <w:r w:rsidRPr="004C7F84">
        <w:t xml:space="preserve">. </w:t>
      </w:r>
    </w:p>
    <w:p w14:paraId="732F07BB" w14:textId="7DCDFA57" w:rsidR="0034195A" w:rsidRPr="004C7F84" w:rsidRDefault="0034195A" w:rsidP="0034195A">
      <w:pPr>
        <w:pStyle w:val="H4"/>
        <w:ind w:right="1260"/>
      </w:pPr>
      <w:r w:rsidRPr="004C7F84">
        <w:lastRenderedPageBreak/>
        <w:tab/>
      </w:r>
      <w:r w:rsidRPr="004C7F84">
        <w:tab/>
      </w:r>
      <w:r w:rsidR="005F75AA" w:rsidRPr="004C7F84">
        <w:t>Principales causes de décès chez les femmes</w:t>
      </w:r>
    </w:p>
    <w:p w14:paraId="6E488AB1" w14:textId="77777777" w:rsidR="0034195A" w:rsidRPr="004C7F84" w:rsidRDefault="0034195A" w:rsidP="0034195A">
      <w:pPr>
        <w:pStyle w:val="SingleTxt"/>
        <w:spacing w:after="0" w:line="120" w:lineRule="exact"/>
        <w:rPr>
          <w:rFonts w:asciiTheme="majorBidi" w:hAnsiTheme="majorBidi" w:cstheme="majorBidi"/>
          <w:sz w:val="10"/>
        </w:rPr>
      </w:pPr>
    </w:p>
    <w:p w14:paraId="6FFD8895" w14:textId="757C75A2" w:rsidR="0034195A" w:rsidRPr="004C7F84" w:rsidRDefault="005F75AA" w:rsidP="00514306">
      <w:pPr>
        <w:pStyle w:val="SingleTxt"/>
        <w:numPr>
          <w:ilvl w:val="0"/>
          <w:numId w:val="22"/>
        </w:numPr>
        <w:spacing w:line="240" w:lineRule="exact"/>
        <w:ind w:left="1267" w:firstLine="0"/>
        <w:rPr>
          <w:rFonts w:asciiTheme="majorBidi" w:hAnsiTheme="majorBidi" w:cstheme="majorBidi"/>
        </w:rPr>
      </w:pPr>
      <w:r w:rsidRPr="004C7F84">
        <w:t>Les deux principales causes de décès che</w:t>
      </w:r>
      <w:r w:rsidR="000516F8" w:rsidRPr="004C7F84">
        <w:t xml:space="preserve">z les femmes sont les tumeurs </w:t>
      </w:r>
      <w:r w:rsidRPr="004C7F84">
        <w:t>malignes et les cardiopathies. Ces dernières sont à l</w:t>
      </w:r>
      <w:r w:rsidR="00773F5D" w:rsidRPr="004C7F84">
        <w:t>’</w:t>
      </w:r>
      <w:r w:rsidRPr="004C7F84">
        <w:t>origine d</w:t>
      </w:r>
      <w:r w:rsidR="00773F5D" w:rsidRPr="004C7F84">
        <w:t>’</w:t>
      </w:r>
      <w:r w:rsidRPr="004C7F84">
        <w:t>un plus grand nombre de dé</w:t>
      </w:r>
      <w:r w:rsidR="000516F8" w:rsidRPr="004C7F84">
        <w:t xml:space="preserve">cès que les premières certaines </w:t>
      </w:r>
      <w:r w:rsidRPr="004C7F84">
        <w:t>années et vice versa. La troisième cause de décès est le diabète sucré. Ces maladies, parmi plusieurs autres, sont soignées gratuitement dans le cadre du régime d</w:t>
      </w:r>
      <w:r w:rsidR="00773F5D" w:rsidRPr="004C7F84">
        <w:t>’</w:t>
      </w:r>
      <w:r w:rsidRPr="004C7F84">
        <w:t xml:space="preserve">assurance médicale. En 2009, le VIH/sida était la sixième cause de décès chez les femmes et en 2010, la septième. En 2011, il était la troisième cause de décès et en 2012, la sixième. Toutes les </w:t>
      </w:r>
      <w:r w:rsidRPr="004C7F84">
        <w:rPr>
          <w:rStyle w:val="preferred"/>
        </w:rPr>
        <w:t xml:space="preserve">personnes vivant avec le VIH ou le sida </w:t>
      </w:r>
      <w:r w:rsidRPr="004C7F84">
        <w:t>bénéficient, sans discrimination aucune, de traitement subventionné par le Gouvernement. La question du VIH/sida sera examinée en détail plus loin dans le présent rapport.</w:t>
      </w:r>
      <w:r w:rsidR="0034195A" w:rsidRPr="004C7F84">
        <w:rPr>
          <w:rFonts w:asciiTheme="majorBidi" w:hAnsiTheme="majorBidi" w:cstheme="majorBidi"/>
        </w:rPr>
        <w:t xml:space="preserve"> </w:t>
      </w:r>
    </w:p>
    <w:p w14:paraId="6C6DA5B3" w14:textId="77777777" w:rsidR="0034195A" w:rsidRPr="004C7F84" w:rsidRDefault="0034195A" w:rsidP="0034195A">
      <w:pPr>
        <w:pStyle w:val="SingleTxt"/>
        <w:spacing w:after="0" w:line="120" w:lineRule="exact"/>
        <w:rPr>
          <w:rFonts w:asciiTheme="majorBidi" w:hAnsiTheme="majorBidi" w:cstheme="majorBidi"/>
          <w:sz w:val="10"/>
        </w:rPr>
      </w:pPr>
    </w:p>
    <w:p w14:paraId="457AC1AF" w14:textId="588EB6CF" w:rsidR="0034195A" w:rsidRPr="004C7F84" w:rsidRDefault="0034195A" w:rsidP="0034195A">
      <w:pPr>
        <w:pStyle w:val="H4"/>
        <w:ind w:right="1260"/>
      </w:pPr>
      <w:r w:rsidRPr="004C7F84">
        <w:tab/>
      </w:r>
      <w:r w:rsidRPr="004C7F84">
        <w:tab/>
      </w:r>
      <w:r w:rsidR="005F75AA" w:rsidRPr="004C7F84">
        <w:t xml:space="preserve">Santé </w:t>
      </w:r>
      <w:r w:rsidR="005F75AA" w:rsidRPr="004C7F84">
        <w:rPr>
          <w:rStyle w:val="preferred"/>
        </w:rPr>
        <w:t xml:space="preserve">de la procréation </w:t>
      </w:r>
      <w:r w:rsidR="005F75AA" w:rsidRPr="004C7F84">
        <w:t>et santé sexuelle des adolescents</w:t>
      </w:r>
    </w:p>
    <w:p w14:paraId="11652195" w14:textId="77777777" w:rsidR="0034195A" w:rsidRPr="004C7F84" w:rsidRDefault="0034195A" w:rsidP="0034195A">
      <w:pPr>
        <w:pStyle w:val="SingleTxt"/>
        <w:spacing w:after="0" w:line="120" w:lineRule="exact"/>
        <w:rPr>
          <w:rFonts w:asciiTheme="majorBidi" w:hAnsiTheme="majorBidi" w:cstheme="majorBidi"/>
          <w:sz w:val="10"/>
        </w:rPr>
      </w:pPr>
    </w:p>
    <w:p w14:paraId="6FC5FDC9" w14:textId="49E50EF9"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5F75AA" w:rsidRPr="004C7F84">
        <w:rPr>
          <w:lang w:val="fr-FR"/>
        </w:rPr>
        <w:t>Grossesses chez les adolescentes</w:t>
      </w:r>
    </w:p>
    <w:p w14:paraId="19A5EBC0" w14:textId="77777777" w:rsidR="0034195A" w:rsidRPr="004C7F84" w:rsidRDefault="0034195A" w:rsidP="0034195A">
      <w:pPr>
        <w:pStyle w:val="SingleTxt"/>
        <w:spacing w:after="0" w:line="120" w:lineRule="exact"/>
        <w:rPr>
          <w:rFonts w:asciiTheme="majorBidi" w:hAnsiTheme="majorBidi" w:cstheme="majorBidi"/>
          <w:sz w:val="10"/>
        </w:rPr>
      </w:pPr>
    </w:p>
    <w:p w14:paraId="0D51F59A" w14:textId="088E314C" w:rsidR="0034195A" w:rsidRPr="004C7F84" w:rsidRDefault="005F75AA" w:rsidP="00514306">
      <w:pPr>
        <w:pStyle w:val="SingleTxt"/>
        <w:numPr>
          <w:ilvl w:val="0"/>
          <w:numId w:val="22"/>
        </w:numPr>
        <w:spacing w:line="240" w:lineRule="exact"/>
        <w:ind w:left="1267" w:firstLine="0"/>
        <w:rPr>
          <w:rFonts w:asciiTheme="majorBidi" w:hAnsiTheme="majorBidi" w:cstheme="majorBidi"/>
        </w:rPr>
      </w:pPr>
      <w:r w:rsidRPr="004C7F84">
        <w:t>Le Comité s</w:t>
      </w:r>
      <w:r w:rsidR="00773F5D" w:rsidRPr="004C7F84">
        <w:t>’</w:t>
      </w:r>
      <w:r w:rsidRPr="004C7F84">
        <w:t>est déclaré profondément préoccupé par la forte proportion de grossesses chez l</w:t>
      </w:r>
      <w:r w:rsidR="000516F8" w:rsidRPr="004C7F84">
        <w:t>es adolescentes (observation n</w:t>
      </w:r>
      <w:r w:rsidR="000516F8" w:rsidRPr="004C7F84">
        <w:rPr>
          <w:vertAlign w:val="superscript"/>
        </w:rPr>
        <w:t>o</w:t>
      </w:r>
      <w:r w:rsidR="000516F8" w:rsidRPr="004C7F84">
        <w:t> </w:t>
      </w:r>
      <w:r w:rsidRPr="004C7F84">
        <w:t>259). Il conv</w:t>
      </w:r>
      <w:r w:rsidR="000516F8" w:rsidRPr="004C7F84">
        <w:t>ient de noter toutefois qu</w:t>
      </w:r>
      <w:r w:rsidR="00773F5D" w:rsidRPr="004C7F84">
        <w:t>’</w:t>
      </w:r>
      <w:r w:rsidR="000516F8" w:rsidRPr="004C7F84">
        <w:t xml:space="preserve">elle </w:t>
      </w:r>
      <w:r w:rsidRPr="004C7F84">
        <w:t>a diminué régulièrement depuis la présentation du rapport précédent au Comité. D</w:t>
      </w:r>
      <w:r w:rsidR="00773F5D" w:rsidRPr="004C7F84">
        <w:t>’</w:t>
      </w:r>
      <w:r w:rsidRPr="004C7F84">
        <w:t>après les conclusions d</w:t>
      </w:r>
      <w:r w:rsidR="00773F5D" w:rsidRPr="004C7F84">
        <w:t>’</w:t>
      </w:r>
      <w:r w:rsidRPr="004C7F84">
        <w:t>une étude effectuée en 2008 par Martin, Doyle et Raphael, le nombre de grossesses d</w:t>
      </w:r>
      <w:r w:rsidR="00773F5D" w:rsidRPr="004C7F84">
        <w:t>’</w:t>
      </w:r>
      <w:r w:rsidRPr="004C7F84">
        <w:t>adolescentes n</w:t>
      </w:r>
      <w:r w:rsidR="00773F5D" w:rsidRPr="004C7F84">
        <w:t>’</w:t>
      </w:r>
      <w:r w:rsidRPr="004C7F84">
        <w:t>a cessé de fléchir</w:t>
      </w:r>
      <w:r w:rsidRPr="004C7F84">
        <w:rPr>
          <w:color w:val="FF0000"/>
        </w:rPr>
        <w:t xml:space="preserve"> </w:t>
      </w:r>
      <w:r w:rsidRPr="004C7F84">
        <w:t>au cours des quatre dernières décennies. En outre, les auteurs du document directif sur le P</w:t>
      </w:r>
      <w:r w:rsidRPr="004C7F84">
        <w:rPr>
          <w:rStyle w:val="preferred"/>
        </w:rPr>
        <w:t>rogramme d</w:t>
      </w:r>
      <w:r w:rsidR="00773F5D" w:rsidRPr="004C7F84">
        <w:rPr>
          <w:rStyle w:val="preferred"/>
        </w:rPr>
        <w:t>’</w:t>
      </w:r>
      <w:r w:rsidRPr="004C7F84">
        <w:rPr>
          <w:rStyle w:val="preferred"/>
        </w:rPr>
        <w:t xml:space="preserve">éducation à la santé et à la vie de famille </w:t>
      </w:r>
      <w:r w:rsidRPr="004C7F84">
        <w:t>affirment qu</w:t>
      </w:r>
      <w:r w:rsidR="00773F5D" w:rsidRPr="004C7F84">
        <w:t>’</w:t>
      </w:r>
      <w:r w:rsidRPr="004C7F84">
        <w:t>entre 1969 et 1973, les naissances vivantes parmi les adolescentes représentaient 29</w:t>
      </w:r>
      <w:r w:rsidR="0086373A" w:rsidRPr="004C7F84">
        <w:t> %</w:t>
      </w:r>
      <w:r w:rsidRPr="004C7F84">
        <w:t xml:space="preserve"> du total de naissances et que, de 1999 à 2003, elles n</w:t>
      </w:r>
      <w:r w:rsidR="00773F5D" w:rsidRPr="004C7F84">
        <w:t>’</w:t>
      </w:r>
      <w:r w:rsidRPr="004C7F84">
        <w:t>en représentaient plus que 16</w:t>
      </w:r>
      <w:r w:rsidR="0086373A" w:rsidRPr="004C7F84">
        <w:t> %</w:t>
      </w:r>
      <w:r w:rsidRPr="004C7F84">
        <w:t>. Ces pourcentages sont parmi les plus faibles de la région (Ministère de l</w:t>
      </w:r>
      <w:r w:rsidR="00773F5D" w:rsidRPr="004C7F84">
        <w:t>’</w:t>
      </w:r>
      <w:r w:rsidRPr="004C7F84">
        <w:t>éducation, 2010</w:t>
      </w:r>
      <w:r w:rsidR="00773F5D" w:rsidRPr="004C7F84">
        <w:t> :</w:t>
      </w:r>
      <w:r w:rsidRPr="004C7F84">
        <w:t xml:space="preserve"> 14). Selon le document directif sur le P</w:t>
      </w:r>
      <w:r w:rsidRPr="004C7F84">
        <w:rPr>
          <w:rStyle w:val="preferred"/>
        </w:rPr>
        <w:t>rogramme d</w:t>
      </w:r>
      <w:r w:rsidR="00773F5D" w:rsidRPr="004C7F84">
        <w:rPr>
          <w:rStyle w:val="preferred"/>
        </w:rPr>
        <w:t>’</w:t>
      </w:r>
      <w:r w:rsidRPr="004C7F84">
        <w:rPr>
          <w:rStyle w:val="preferred"/>
        </w:rPr>
        <w:t>éducation à la santé et à la vie de famille</w:t>
      </w:r>
      <w:r w:rsidRPr="004C7F84">
        <w:t>, des statistiques plus récentes indiquent que la proportion de naissances</w:t>
      </w:r>
      <w:r w:rsidRPr="004C7F84">
        <w:rPr>
          <w:color w:val="FF0000"/>
        </w:rPr>
        <w:t xml:space="preserve"> </w:t>
      </w:r>
      <w:r w:rsidRPr="004C7F84">
        <w:t>chez les adolescentes a continué de reculer</w:t>
      </w:r>
      <w:r w:rsidR="000516F8" w:rsidRPr="004C7F84">
        <w:t xml:space="preserve"> en 2009 pour tomber à </w:t>
      </w:r>
      <w:r w:rsidRPr="004C7F84">
        <w:t>13</w:t>
      </w:r>
      <w:r w:rsidR="0086373A" w:rsidRPr="004C7F84">
        <w:t> %</w:t>
      </w:r>
      <w:r w:rsidRPr="004C7F84">
        <w:t xml:space="preserve"> de naissances vivantes parmi les adolescentes, dont 2</w:t>
      </w:r>
      <w:r w:rsidR="0086373A" w:rsidRPr="004C7F84">
        <w:t> %</w:t>
      </w:r>
      <w:r w:rsidRPr="004C7F84">
        <w:t xml:space="preserve"> parmi les filles d</w:t>
      </w:r>
      <w:r w:rsidR="00773F5D" w:rsidRPr="004C7F84">
        <w:t>’</w:t>
      </w:r>
      <w:r w:rsidRPr="004C7F84">
        <w:t>âge scolaire (Ibid.</w:t>
      </w:r>
      <w:r w:rsidR="000516F8" w:rsidRPr="004C7F84">
        <w:t> </w:t>
      </w:r>
      <w:r w:rsidRPr="004C7F84">
        <w:t>14). </w:t>
      </w:r>
    </w:p>
    <w:p w14:paraId="1C47C80D" w14:textId="77777777" w:rsidR="0034195A" w:rsidRPr="004C7F84" w:rsidRDefault="0034195A" w:rsidP="0034195A">
      <w:pPr>
        <w:pStyle w:val="SingleTxt"/>
        <w:spacing w:after="0" w:line="120" w:lineRule="exact"/>
        <w:rPr>
          <w:rFonts w:asciiTheme="majorBidi" w:hAnsiTheme="majorBidi" w:cstheme="majorBidi"/>
          <w:sz w:val="10"/>
        </w:rPr>
      </w:pPr>
    </w:p>
    <w:p w14:paraId="08D2498E" w14:textId="470BF1AA" w:rsidR="0034195A" w:rsidRPr="004C7F84" w:rsidRDefault="0034195A" w:rsidP="0075369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b w:val="0"/>
          <w:bCs/>
          <w:lang w:val="fr-FR"/>
        </w:rPr>
        <w:tab/>
      </w:r>
      <w:r w:rsidRPr="004C7F84">
        <w:rPr>
          <w:b w:val="0"/>
          <w:bCs/>
          <w:lang w:val="fr-FR"/>
        </w:rPr>
        <w:tab/>
        <w:t>Table</w:t>
      </w:r>
      <w:r w:rsidR="005F75AA" w:rsidRPr="004C7F84">
        <w:rPr>
          <w:b w:val="0"/>
          <w:bCs/>
          <w:lang w:val="fr-FR"/>
        </w:rPr>
        <w:t xml:space="preserve">au 9 </w:t>
      </w:r>
      <w:r w:rsidRPr="004C7F84">
        <w:rPr>
          <w:b w:val="0"/>
          <w:bCs/>
          <w:lang w:val="fr-FR"/>
        </w:rPr>
        <w:t xml:space="preserve">a) </w:t>
      </w:r>
      <w:r w:rsidRPr="004C7F84">
        <w:rPr>
          <w:b w:val="0"/>
          <w:bCs/>
          <w:lang w:val="fr-FR"/>
        </w:rPr>
        <w:br/>
      </w:r>
      <w:r w:rsidR="005F75AA" w:rsidRPr="004C7F84">
        <w:rPr>
          <w:lang w:val="fr-FR"/>
        </w:rPr>
        <w:t>Nombre de grossesses d</w:t>
      </w:r>
      <w:r w:rsidR="00773F5D" w:rsidRPr="004C7F84">
        <w:rPr>
          <w:lang w:val="fr-FR"/>
        </w:rPr>
        <w:t>’</w:t>
      </w:r>
      <w:r w:rsidR="005F75AA" w:rsidRPr="004C7F84">
        <w:rPr>
          <w:lang w:val="fr-FR"/>
        </w:rPr>
        <w:t>adolesc</w:t>
      </w:r>
      <w:r w:rsidR="00EB7905" w:rsidRPr="004C7F84">
        <w:rPr>
          <w:lang w:val="fr-FR"/>
        </w:rPr>
        <w:t>entes</w:t>
      </w:r>
      <w:r w:rsidR="00773F5D" w:rsidRPr="004C7F84">
        <w:rPr>
          <w:lang w:val="fr-FR"/>
        </w:rPr>
        <w:t> :</w:t>
      </w:r>
      <w:r w:rsidR="00EB7905" w:rsidRPr="004C7F84">
        <w:rPr>
          <w:lang w:val="fr-FR"/>
        </w:rPr>
        <w:t xml:space="preserve"> années retenues</w:t>
      </w:r>
    </w:p>
    <w:p w14:paraId="065C9439" w14:textId="77777777" w:rsidR="0034195A" w:rsidRPr="004C7F84" w:rsidRDefault="0034195A" w:rsidP="00753698">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732"/>
        <w:gridCol w:w="732"/>
        <w:gridCol w:w="732"/>
        <w:gridCol w:w="732"/>
        <w:gridCol w:w="732"/>
        <w:gridCol w:w="732"/>
        <w:gridCol w:w="732"/>
        <w:gridCol w:w="732"/>
        <w:gridCol w:w="732"/>
        <w:gridCol w:w="732"/>
      </w:tblGrid>
      <w:tr w:rsidR="0034195A" w:rsidRPr="004C7F84" w14:paraId="004B382A" w14:textId="77777777" w:rsidTr="0034195A">
        <w:trPr>
          <w:tblHeader/>
        </w:trPr>
        <w:tc>
          <w:tcPr>
            <w:tcW w:w="732" w:type="dxa"/>
            <w:tcBorders>
              <w:top w:val="single" w:sz="4" w:space="0" w:color="auto"/>
              <w:bottom w:val="single" w:sz="12" w:space="0" w:color="auto"/>
            </w:tcBorders>
            <w:shd w:val="clear" w:color="auto" w:fill="auto"/>
            <w:vAlign w:val="bottom"/>
          </w:tcPr>
          <w:p w14:paraId="28AEF4B3" w14:textId="10782C16" w:rsidR="0034195A" w:rsidRPr="004C7F84" w:rsidRDefault="00EB7905" w:rsidP="00EB7905">
            <w:pPr>
              <w:keepNext/>
              <w:keepLines/>
              <w:tabs>
                <w:tab w:val="left" w:pos="288"/>
                <w:tab w:val="left" w:pos="576"/>
                <w:tab w:val="left" w:pos="864"/>
                <w:tab w:val="left" w:pos="1152"/>
              </w:tabs>
              <w:spacing w:before="81" w:after="81" w:line="160" w:lineRule="exact"/>
              <w:ind w:right="40"/>
              <w:rPr>
                <w:i/>
                <w:sz w:val="14"/>
              </w:rPr>
            </w:pPr>
            <w:r w:rsidRPr="004C7F84">
              <w:rPr>
                <w:i/>
                <w:sz w:val="14"/>
              </w:rPr>
              <w:t>Année</w:t>
            </w:r>
          </w:p>
        </w:tc>
        <w:tc>
          <w:tcPr>
            <w:tcW w:w="732" w:type="dxa"/>
            <w:tcBorders>
              <w:top w:val="single" w:sz="4" w:space="0" w:color="auto"/>
              <w:bottom w:val="single" w:sz="12" w:space="0" w:color="auto"/>
            </w:tcBorders>
            <w:shd w:val="clear" w:color="auto" w:fill="auto"/>
            <w:vAlign w:val="bottom"/>
          </w:tcPr>
          <w:p w14:paraId="5AEE2E06" w14:textId="77777777" w:rsidR="0034195A" w:rsidRPr="004C7F84" w:rsidRDefault="0034195A" w:rsidP="00753698">
            <w:pPr>
              <w:keepNext/>
              <w:keepLines/>
              <w:tabs>
                <w:tab w:val="left" w:pos="288"/>
                <w:tab w:val="left" w:pos="576"/>
                <w:tab w:val="left" w:pos="864"/>
                <w:tab w:val="left" w:pos="1152"/>
              </w:tabs>
              <w:spacing w:before="81" w:after="81" w:line="160" w:lineRule="exact"/>
              <w:ind w:left="144" w:right="40"/>
              <w:jc w:val="right"/>
              <w:rPr>
                <w:i/>
                <w:sz w:val="14"/>
              </w:rPr>
            </w:pPr>
            <w:r w:rsidRPr="004C7F84">
              <w:rPr>
                <w:i/>
                <w:sz w:val="14"/>
              </w:rPr>
              <w:t>1997</w:t>
            </w:r>
          </w:p>
        </w:tc>
        <w:tc>
          <w:tcPr>
            <w:tcW w:w="732" w:type="dxa"/>
            <w:tcBorders>
              <w:top w:val="single" w:sz="4" w:space="0" w:color="auto"/>
              <w:bottom w:val="single" w:sz="12" w:space="0" w:color="auto"/>
            </w:tcBorders>
            <w:shd w:val="clear" w:color="auto" w:fill="auto"/>
            <w:vAlign w:val="bottom"/>
          </w:tcPr>
          <w:p w14:paraId="7E688274" w14:textId="77777777" w:rsidR="0034195A" w:rsidRPr="004C7F84" w:rsidRDefault="0034195A" w:rsidP="00753698">
            <w:pPr>
              <w:keepNext/>
              <w:keepLines/>
              <w:tabs>
                <w:tab w:val="left" w:pos="288"/>
                <w:tab w:val="left" w:pos="576"/>
                <w:tab w:val="left" w:pos="864"/>
                <w:tab w:val="left" w:pos="1152"/>
              </w:tabs>
              <w:spacing w:before="81" w:after="81" w:line="160" w:lineRule="exact"/>
              <w:ind w:left="144" w:right="40"/>
              <w:jc w:val="right"/>
              <w:rPr>
                <w:i/>
                <w:sz w:val="14"/>
              </w:rPr>
            </w:pPr>
            <w:r w:rsidRPr="004C7F84">
              <w:rPr>
                <w:i/>
                <w:sz w:val="14"/>
              </w:rPr>
              <w:t>1998</w:t>
            </w:r>
          </w:p>
        </w:tc>
        <w:tc>
          <w:tcPr>
            <w:tcW w:w="732" w:type="dxa"/>
            <w:tcBorders>
              <w:top w:val="single" w:sz="4" w:space="0" w:color="auto"/>
              <w:bottom w:val="single" w:sz="12" w:space="0" w:color="auto"/>
            </w:tcBorders>
            <w:shd w:val="clear" w:color="auto" w:fill="auto"/>
            <w:vAlign w:val="bottom"/>
          </w:tcPr>
          <w:p w14:paraId="0A619A06" w14:textId="77777777" w:rsidR="0034195A" w:rsidRPr="004C7F84" w:rsidRDefault="0034195A" w:rsidP="00753698">
            <w:pPr>
              <w:keepNext/>
              <w:keepLines/>
              <w:tabs>
                <w:tab w:val="left" w:pos="288"/>
                <w:tab w:val="left" w:pos="576"/>
                <w:tab w:val="left" w:pos="864"/>
                <w:tab w:val="left" w:pos="1152"/>
              </w:tabs>
              <w:spacing w:before="81" w:after="81" w:line="160" w:lineRule="exact"/>
              <w:ind w:left="144" w:right="40"/>
              <w:jc w:val="right"/>
              <w:rPr>
                <w:i/>
                <w:sz w:val="14"/>
              </w:rPr>
            </w:pPr>
            <w:r w:rsidRPr="004C7F84">
              <w:rPr>
                <w:i/>
                <w:sz w:val="14"/>
              </w:rPr>
              <w:t>1999</w:t>
            </w:r>
          </w:p>
        </w:tc>
        <w:tc>
          <w:tcPr>
            <w:tcW w:w="732" w:type="dxa"/>
            <w:tcBorders>
              <w:top w:val="single" w:sz="4" w:space="0" w:color="auto"/>
              <w:bottom w:val="single" w:sz="12" w:space="0" w:color="auto"/>
            </w:tcBorders>
            <w:shd w:val="clear" w:color="auto" w:fill="auto"/>
            <w:vAlign w:val="bottom"/>
          </w:tcPr>
          <w:p w14:paraId="5D5E91A6" w14:textId="77777777" w:rsidR="0034195A" w:rsidRPr="004C7F84" w:rsidRDefault="0034195A" w:rsidP="00753698">
            <w:pPr>
              <w:keepNext/>
              <w:keepLines/>
              <w:tabs>
                <w:tab w:val="left" w:pos="288"/>
                <w:tab w:val="left" w:pos="576"/>
                <w:tab w:val="left" w:pos="864"/>
                <w:tab w:val="left" w:pos="1152"/>
              </w:tabs>
              <w:spacing w:before="81" w:after="81" w:line="160" w:lineRule="exact"/>
              <w:ind w:left="144" w:right="40"/>
              <w:jc w:val="right"/>
              <w:rPr>
                <w:i/>
                <w:sz w:val="14"/>
              </w:rPr>
            </w:pPr>
            <w:r w:rsidRPr="004C7F84">
              <w:rPr>
                <w:i/>
                <w:sz w:val="14"/>
              </w:rPr>
              <w:t>2000</w:t>
            </w:r>
          </w:p>
        </w:tc>
        <w:tc>
          <w:tcPr>
            <w:tcW w:w="732" w:type="dxa"/>
            <w:tcBorders>
              <w:top w:val="single" w:sz="4" w:space="0" w:color="auto"/>
              <w:bottom w:val="single" w:sz="12" w:space="0" w:color="auto"/>
            </w:tcBorders>
            <w:shd w:val="clear" w:color="auto" w:fill="auto"/>
            <w:vAlign w:val="bottom"/>
          </w:tcPr>
          <w:p w14:paraId="1006735C" w14:textId="77777777" w:rsidR="0034195A" w:rsidRPr="004C7F84" w:rsidRDefault="0034195A" w:rsidP="00753698">
            <w:pPr>
              <w:keepNext/>
              <w:keepLines/>
              <w:tabs>
                <w:tab w:val="left" w:pos="288"/>
                <w:tab w:val="left" w:pos="576"/>
                <w:tab w:val="left" w:pos="864"/>
                <w:tab w:val="left" w:pos="1152"/>
              </w:tabs>
              <w:spacing w:before="81" w:after="81" w:line="160" w:lineRule="exact"/>
              <w:ind w:left="144" w:right="40"/>
              <w:jc w:val="right"/>
              <w:rPr>
                <w:i/>
                <w:sz w:val="14"/>
              </w:rPr>
            </w:pPr>
            <w:r w:rsidRPr="004C7F84">
              <w:rPr>
                <w:i/>
                <w:sz w:val="14"/>
              </w:rPr>
              <w:t>2001</w:t>
            </w:r>
          </w:p>
        </w:tc>
        <w:tc>
          <w:tcPr>
            <w:tcW w:w="732" w:type="dxa"/>
            <w:tcBorders>
              <w:top w:val="single" w:sz="4" w:space="0" w:color="auto"/>
              <w:bottom w:val="single" w:sz="12" w:space="0" w:color="auto"/>
            </w:tcBorders>
            <w:shd w:val="clear" w:color="auto" w:fill="auto"/>
            <w:vAlign w:val="bottom"/>
          </w:tcPr>
          <w:p w14:paraId="62845308" w14:textId="77777777" w:rsidR="0034195A" w:rsidRPr="004C7F84" w:rsidRDefault="0034195A" w:rsidP="00753698">
            <w:pPr>
              <w:keepNext/>
              <w:keepLines/>
              <w:tabs>
                <w:tab w:val="left" w:pos="288"/>
                <w:tab w:val="left" w:pos="576"/>
                <w:tab w:val="left" w:pos="864"/>
                <w:tab w:val="left" w:pos="1152"/>
              </w:tabs>
              <w:spacing w:before="81" w:after="81" w:line="160" w:lineRule="exact"/>
              <w:ind w:left="144" w:right="40"/>
              <w:jc w:val="right"/>
              <w:rPr>
                <w:i/>
                <w:sz w:val="14"/>
              </w:rPr>
            </w:pPr>
            <w:r w:rsidRPr="004C7F84">
              <w:rPr>
                <w:i/>
                <w:sz w:val="14"/>
              </w:rPr>
              <w:t>2002</w:t>
            </w:r>
          </w:p>
        </w:tc>
        <w:tc>
          <w:tcPr>
            <w:tcW w:w="732" w:type="dxa"/>
            <w:tcBorders>
              <w:top w:val="single" w:sz="4" w:space="0" w:color="auto"/>
              <w:bottom w:val="single" w:sz="12" w:space="0" w:color="auto"/>
            </w:tcBorders>
            <w:shd w:val="clear" w:color="auto" w:fill="auto"/>
            <w:vAlign w:val="bottom"/>
          </w:tcPr>
          <w:p w14:paraId="0972461B" w14:textId="77777777" w:rsidR="0034195A" w:rsidRPr="004C7F84" w:rsidRDefault="0034195A" w:rsidP="00753698">
            <w:pPr>
              <w:keepNext/>
              <w:keepLines/>
              <w:tabs>
                <w:tab w:val="left" w:pos="288"/>
                <w:tab w:val="left" w:pos="576"/>
                <w:tab w:val="left" w:pos="864"/>
                <w:tab w:val="left" w:pos="1152"/>
              </w:tabs>
              <w:spacing w:before="81" w:after="81" w:line="160" w:lineRule="exact"/>
              <w:ind w:left="144" w:right="40"/>
              <w:jc w:val="right"/>
              <w:rPr>
                <w:i/>
                <w:sz w:val="14"/>
              </w:rPr>
            </w:pPr>
            <w:r w:rsidRPr="004C7F84">
              <w:rPr>
                <w:i/>
                <w:sz w:val="14"/>
              </w:rPr>
              <w:t>2003</w:t>
            </w:r>
          </w:p>
        </w:tc>
        <w:tc>
          <w:tcPr>
            <w:tcW w:w="732" w:type="dxa"/>
            <w:tcBorders>
              <w:top w:val="single" w:sz="4" w:space="0" w:color="auto"/>
              <w:bottom w:val="single" w:sz="12" w:space="0" w:color="auto"/>
            </w:tcBorders>
            <w:shd w:val="clear" w:color="auto" w:fill="auto"/>
            <w:vAlign w:val="bottom"/>
          </w:tcPr>
          <w:p w14:paraId="7FF8385F" w14:textId="77777777" w:rsidR="0034195A" w:rsidRPr="004C7F84" w:rsidRDefault="0034195A" w:rsidP="00753698">
            <w:pPr>
              <w:keepNext/>
              <w:keepLines/>
              <w:tabs>
                <w:tab w:val="left" w:pos="288"/>
                <w:tab w:val="left" w:pos="576"/>
                <w:tab w:val="left" w:pos="864"/>
                <w:tab w:val="left" w:pos="1152"/>
              </w:tabs>
              <w:spacing w:before="81" w:after="81" w:line="160" w:lineRule="exact"/>
              <w:ind w:left="144" w:right="40"/>
              <w:jc w:val="right"/>
              <w:rPr>
                <w:i/>
                <w:sz w:val="14"/>
              </w:rPr>
            </w:pPr>
            <w:r w:rsidRPr="004C7F84">
              <w:rPr>
                <w:i/>
                <w:sz w:val="14"/>
              </w:rPr>
              <w:t>2004</w:t>
            </w:r>
          </w:p>
        </w:tc>
        <w:tc>
          <w:tcPr>
            <w:tcW w:w="732" w:type="dxa"/>
            <w:tcBorders>
              <w:top w:val="single" w:sz="4" w:space="0" w:color="auto"/>
              <w:bottom w:val="single" w:sz="12" w:space="0" w:color="auto"/>
            </w:tcBorders>
            <w:shd w:val="clear" w:color="auto" w:fill="auto"/>
            <w:vAlign w:val="bottom"/>
          </w:tcPr>
          <w:p w14:paraId="7097880C" w14:textId="77777777" w:rsidR="0034195A" w:rsidRPr="004C7F84" w:rsidRDefault="0034195A" w:rsidP="00753698">
            <w:pPr>
              <w:keepNext/>
              <w:keepLines/>
              <w:tabs>
                <w:tab w:val="left" w:pos="288"/>
                <w:tab w:val="left" w:pos="576"/>
                <w:tab w:val="left" w:pos="864"/>
                <w:tab w:val="left" w:pos="1152"/>
              </w:tabs>
              <w:spacing w:before="81" w:after="81" w:line="160" w:lineRule="exact"/>
              <w:ind w:left="144" w:right="40"/>
              <w:jc w:val="right"/>
              <w:rPr>
                <w:i/>
                <w:sz w:val="14"/>
              </w:rPr>
            </w:pPr>
            <w:r w:rsidRPr="004C7F84">
              <w:rPr>
                <w:i/>
                <w:sz w:val="14"/>
              </w:rPr>
              <w:t>2005</w:t>
            </w:r>
          </w:p>
        </w:tc>
      </w:tr>
      <w:tr w:rsidR="0034195A" w:rsidRPr="004C7F84" w14:paraId="18536FF9" w14:textId="77777777" w:rsidTr="0034195A">
        <w:trPr>
          <w:trHeight w:hRule="exact" w:val="115"/>
          <w:tblHeader/>
        </w:trPr>
        <w:tc>
          <w:tcPr>
            <w:tcW w:w="732" w:type="dxa"/>
            <w:tcBorders>
              <w:top w:val="single" w:sz="12" w:space="0" w:color="auto"/>
            </w:tcBorders>
            <w:shd w:val="clear" w:color="auto" w:fill="auto"/>
            <w:vAlign w:val="bottom"/>
          </w:tcPr>
          <w:p w14:paraId="60B643DA" w14:textId="77777777" w:rsidR="0034195A" w:rsidRPr="004C7F84" w:rsidRDefault="0034195A" w:rsidP="0034195A">
            <w:pPr>
              <w:tabs>
                <w:tab w:val="left" w:pos="288"/>
                <w:tab w:val="left" w:pos="576"/>
                <w:tab w:val="left" w:pos="864"/>
                <w:tab w:val="left" w:pos="1152"/>
              </w:tabs>
              <w:spacing w:before="40" w:after="40" w:line="210" w:lineRule="exact"/>
              <w:ind w:right="40"/>
              <w:rPr>
                <w:sz w:val="17"/>
              </w:rPr>
            </w:pPr>
          </w:p>
        </w:tc>
        <w:tc>
          <w:tcPr>
            <w:tcW w:w="732" w:type="dxa"/>
            <w:tcBorders>
              <w:top w:val="single" w:sz="12" w:space="0" w:color="auto"/>
            </w:tcBorders>
            <w:shd w:val="clear" w:color="auto" w:fill="auto"/>
            <w:vAlign w:val="bottom"/>
          </w:tcPr>
          <w:p w14:paraId="4B55DC8F"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37FB446C"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3D7CC158"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76122C33"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32369B90"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73FAA0AD"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70F303FB"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35ECAD32"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53BD1820"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r>
      <w:tr w:rsidR="0034195A" w:rsidRPr="004C7F84" w14:paraId="5A0122A6" w14:textId="77777777" w:rsidTr="0034195A">
        <w:tc>
          <w:tcPr>
            <w:tcW w:w="732" w:type="dxa"/>
            <w:tcBorders>
              <w:bottom w:val="single" w:sz="12" w:space="0" w:color="auto"/>
            </w:tcBorders>
            <w:shd w:val="clear" w:color="auto" w:fill="auto"/>
            <w:vAlign w:val="bottom"/>
          </w:tcPr>
          <w:p w14:paraId="53FB6FF5" w14:textId="77777777" w:rsidR="0034195A" w:rsidRPr="004C7F84" w:rsidRDefault="0034195A" w:rsidP="0034195A">
            <w:pPr>
              <w:tabs>
                <w:tab w:val="left" w:pos="288"/>
                <w:tab w:val="left" w:pos="576"/>
                <w:tab w:val="left" w:pos="864"/>
                <w:tab w:val="left" w:pos="1152"/>
              </w:tabs>
              <w:spacing w:before="40" w:after="40" w:line="210" w:lineRule="exact"/>
              <w:ind w:right="40"/>
              <w:rPr>
                <w:sz w:val="17"/>
              </w:rPr>
            </w:pPr>
            <w:r w:rsidRPr="004C7F84">
              <w:rPr>
                <w:b/>
                <w:sz w:val="17"/>
              </w:rPr>
              <w:tab/>
              <w:t>Total</w:t>
            </w:r>
          </w:p>
        </w:tc>
        <w:tc>
          <w:tcPr>
            <w:tcW w:w="732" w:type="dxa"/>
            <w:tcBorders>
              <w:bottom w:val="single" w:sz="12" w:space="0" w:color="auto"/>
            </w:tcBorders>
            <w:shd w:val="clear" w:color="auto" w:fill="auto"/>
            <w:vAlign w:val="bottom"/>
          </w:tcPr>
          <w:p w14:paraId="7002F54C"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201</w:t>
            </w:r>
          </w:p>
        </w:tc>
        <w:tc>
          <w:tcPr>
            <w:tcW w:w="732" w:type="dxa"/>
            <w:tcBorders>
              <w:bottom w:val="single" w:sz="12" w:space="0" w:color="auto"/>
            </w:tcBorders>
            <w:shd w:val="clear" w:color="auto" w:fill="auto"/>
            <w:vAlign w:val="bottom"/>
          </w:tcPr>
          <w:p w14:paraId="3C896902"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220</w:t>
            </w:r>
          </w:p>
        </w:tc>
        <w:tc>
          <w:tcPr>
            <w:tcW w:w="732" w:type="dxa"/>
            <w:tcBorders>
              <w:bottom w:val="single" w:sz="12" w:space="0" w:color="auto"/>
            </w:tcBorders>
            <w:shd w:val="clear" w:color="auto" w:fill="auto"/>
            <w:vAlign w:val="bottom"/>
          </w:tcPr>
          <w:p w14:paraId="7E8E4A10"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212</w:t>
            </w:r>
          </w:p>
        </w:tc>
        <w:tc>
          <w:tcPr>
            <w:tcW w:w="732" w:type="dxa"/>
            <w:tcBorders>
              <w:bottom w:val="single" w:sz="12" w:space="0" w:color="auto"/>
            </w:tcBorders>
            <w:shd w:val="clear" w:color="auto" w:fill="auto"/>
            <w:vAlign w:val="bottom"/>
          </w:tcPr>
          <w:p w14:paraId="33BC4DEF"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238</w:t>
            </w:r>
          </w:p>
        </w:tc>
        <w:tc>
          <w:tcPr>
            <w:tcW w:w="732" w:type="dxa"/>
            <w:tcBorders>
              <w:bottom w:val="single" w:sz="12" w:space="0" w:color="auto"/>
            </w:tcBorders>
            <w:shd w:val="clear" w:color="auto" w:fill="auto"/>
            <w:vAlign w:val="bottom"/>
          </w:tcPr>
          <w:p w14:paraId="5A06A90F"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279</w:t>
            </w:r>
          </w:p>
        </w:tc>
        <w:tc>
          <w:tcPr>
            <w:tcW w:w="732" w:type="dxa"/>
            <w:tcBorders>
              <w:bottom w:val="single" w:sz="12" w:space="0" w:color="auto"/>
            </w:tcBorders>
            <w:shd w:val="clear" w:color="auto" w:fill="auto"/>
            <w:vAlign w:val="bottom"/>
          </w:tcPr>
          <w:p w14:paraId="4C90791E"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215</w:t>
            </w:r>
          </w:p>
        </w:tc>
        <w:tc>
          <w:tcPr>
            <w:tcW w:w="732" w:type="dxa"/>
            <w:tcBorders>
              <w:bottom w:val="single" w:sz="12" w:space="0" w:color="auto"/>
            </w:tcBorders>
            <w:shd w:val="clear" w:color="auto" w:fill="auto"/>
            <w:vAlign w:val="bottom"/>
          </w:tcPr>
          <w:p w14:paraId="5D83577A"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263</w:t>
            </w:r>
          </w:p>
        </w:tc>
        <w:tc>
          <w:tcPr>
            <w:tcW w:w="732" w:type="dxa"/>
            <w:tcBorders>
              <w:bottom w:val="single" w:sz="12" w:space="0" w:color="auto"/>
            </w:tcBorders>
            <w:shd w:val="clear" w:color="auto" w:fill="auto"/>
            <w:vAlign w:val="bottom"/>
          </w:tcPr>
          <w:p w14:paraId="12BFCC86"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232</w:t>
            </w:r>
          </w:p>
        </w:tc>
        <w:tc>
          <w:tcPr>
            <w:tcW w:w="732" w:type="dxa"/>
            <w:tcBorders>
              <w:bottom w:val="single" w:sz="12" w:space="0" w:color="auto"/>
            </w:tcBorders>
            <w:shd w:val="clear" w:color="auto" w:fill="auto"/>
            <w:vAlign w:val="bottom"/>
          </w:tcPr>
          <w:p w14:paraId="6315E50E"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181</w:t>
            </w:r>
          </w:p>
        </w:tc>
      </w:tr>
    </w:tbl>
    <w:p w14:paraId="789B2EF7" w14:textId="77777777" w:rsidR="0034195A" w:rsidRPr="004C7F84" w:rsidRDefault="0034195A" w:rsidP="0034195A">
      <w:pPr>
        <w:pStyle w:val="SingleTxt"/>
        <w:spacing w:after="0" w:line="120" w:lineRule="exact"/>
        <w:rPr>
          <w:sz w:val="10"/>
        </w:rPr>
      </w:pPr>
    </w:p>
    <w:p w14:paraId="7465B2D0" w14:textId="109DE008" w:rsidR="0034195A" w:rsidRPr="004C7F84" w:rsidRDefault="0034195A" w:rsidP="0034195A">
      <w:pPr>
        <w:pStyle w:val="FootnoteText"/>
        <w:tabs>
          <w:tab w:val="clear" w:pos="418"/>
          <w:tab w:val="right" w:pos="1476"/>
          <w:tab w:val="left" w:pos="1548"/>
          <w:tab w:val="right" w:pos="1836"/>
          <w:tab w:val="left" w:pos="1908"/>
        </w:tabs>
        <w:ind w:left="1548" w:right="1267" w:hanging="288"/>
      </w:pPr>
      <w:r w:rsidRPr="004C7F84">
        <w:rPr>
          <w:i/>
          <w:iCs/>
        </w:rPr>
        <w:t>Source</w:t>
      </w:r>
      <w:r w:rsidR="00773F5D" w:rsidRPr="004C7F84">
        <w:rPr>
          <w:i/>
          <w:iCs/>
        </w:rPr>
        <w:t> :</w:t>
      </w:r>
      <w:r w:rsidRPr="004C7F84">
        <w:t xml:space="preserve"> Holberton Hospital, </w:t>
      </w:r>
      <w:r w:rsidR="00EB7905" w:rsidRPr="004C7F84">
        <w:t>Ministère de la santé, Antigua-et-Barbuda</w:t>
      </w:r>
      <w:r w:rsidRPr="004C7F84">
        <w:t xml:space="preserve">. </w:t>
      </w:r>
    </w:p>
    <w:p w14:paraId="7C89C3C7" w14:textId="77777777" w:rsidR="0034195A" w:rsidRPr="004C7F84" w:rsidRDefault="0034195A" w:rsidP="0034195A">
      <w:pPr>
        <w:pStyle w:val="SingleTxt"/>
        <w:spacing w:after="0" w:line="120" w:lineRule="exact"/>
        <w:rPr>
          <w:rFonts w:asciiTheme="majorBidi" w:hAnsiTheme="majorBidi" w:cstheme="majorBidi"/>
          <w:sz w:val="10"/>
        </w:rPr>
      </w:pPr>
    </w:p>
    <w:p w14:paraId="4C28B0FD" w14:textId="58632F38" w:rsidR="0034195A" w:rsidRPr="004C7F84" w:rsidRDefault="0034195A" w:rsidP="00D47611">
      <w:pPr>
        <w:pStyle w:val="SingleTxt"/>
        <w:spacing w:after="0" w:line="120" w:lineRule="exact"/>
        <w:rPr>
          <w:rFonts w:asciiTheme="majorBidi" w:hAnsiTheme="majorBidi" w:cstheme="majorBidi"/>
          <w:sz w:val="10"/>
        </w:rPr>
      </w:pPr>
    </w:p>
    <w:p w14:paraId="7017560D" w14:textId="77777777" w:rsidR="00D47611" w:rsidRPr="004C7F84" w:rsidRDefault="00D47611" w:rsidP="0034195A">
      <w:pPr>
        <w:pStyle w:val="SingleTxt"/>
        <w:spacing w:after="0" w:line="120" w:lineRule="exact"/>
        <w:rPr>
          <w:rFonts w:asciiTheme="majorBidi" w:hAnsiTheme="majorBidi" w:cstheme="majorBidi"/>
          <w:sz w:val="10"/>
        </w:rPr>
      </w:pPr>
    </w:p>
    <w:p w14:paraId="501AB1F3" w14:textId="3D44455F"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b w:val="0"/>
          <w:bCs/>
          <w:lang w:val="fr-FR"/>
        </w:rPr>
        <w:tab/>
      </w:r>
      <w:r w:rsidRPr="004C7F84">
        <w:rPr>
          <w:b w:val="0"/>
          <w:bCs/>
          <w:lang w:val="fr-FR"/>
        </w:rPr>
        <w:tab/>
      </w:r>
      <w:r w:rsidR="00EB7905" w:rsidRPr="004C7F84">
        <w:rPr>
          <w:b w:val="0"/>
          <w:bCs/>
          <w:lang w:val="fr-FR"/>
        </w:rPr>
        <w:t xml:space="preserve">Tableau 9 </w:t>
      </w:r>
      <w:r w:rsidRPr="004C7F84">
        <w:rPr>
          <w:b w:val="0"/>
          <w:bCs/>
          <w:lang w:val="fr-FR"/>
        </w:rPr>
        <w:t xml:space="preserve">b) </w:t>
      </w:r>
      <w:r w:rsidRPr="004C7F84">
        <w:rPr>
          <w:lang w:val="fr-FR"/>
        </w:rPr>
        <w:br/>
      </w:r>
      <w:r w:rsidR="00EB7905" w:rsidRPr="004C7F84">
        <w:rPr>
          <w:lang w:val="fr-FR"/>
        </w:rPr>
        <w:t>Nombre de grossesses d</w:t>
      </w:r>
      <w:r w:rsidR="00773F5D" w:rsidRPr="004C7F84">
        <w:rPr>
          <w:lang w:val="fr-FR"/>
        </w:rPr>
        <w:t>’</w:t>
      </w:r>
      <w:r w:rsidR="00EB7905" w:rsidRPr="004C7F84">
        <w:rPr>
          <w:lang w:val="fr-FR"/>
        </w:rPr>
        <w:t>adolescentes</w:t>
      </w:r>
      <w:r w:rsidR="00773F5D" w:rsidRPr="004C7F84">
        <w:rPr>
          <w:lang w:val="fr-FR"/>
        </w:rPr>
        <w:t> :</w:t>
      </w:r>
      <w:r w:rsidR="00EB7905" w:rsidRPr="004C7F84">
        <w:rPr>
          <w:lang w:val="fr-FR"/>
        </w:rPr>
        <w:t xml:space="preserve"> années retenues </w:t>
      </w:r>
    </w:p>
    <w:p w14:paraId="2B29A187" w14:textId="77777777" w:rsidR="0034195A" w:rsidRPr="004C7F84" w:rsidRDefault="0034195A" w:rsidP="0034195A">
      <w:pPr>
        <w:pStyle w:val="SingleTxt"/>
        <w:spacing w:after="0" w:line="120" w:lineRule="exact"/>
        <w:rPr>
          <w:rFonts w:asciiTheme="majorBidi" w:hAnsiTheme="majorBidi" w:cstheme="majorBidi"/>
          <w:sz w:val="10"/>
        </w:rPr>
      </w:pPr>
    </w:p>
    <w:tbl>
      <w:tblPr>
        <w:tblW w:w="0" w:type="auto"/>
        <w:tblInd w:w="1260" w:type="dxa"/>
        <w:tblLayout w:type="fixed"/>
        <w:tblCellMar>
          <w:left w:w="0" w:type="dxa"/>
          <w:right w:w="0" w:type="dxa"/>
        </w:tblCellMar>
        <w:tblLook w:val="0000" w:firstRow="0" w:lastRow="0" w:firstColumn="0" w:lastColumn="0" w:noHBand="0" w:noVBand="0"/>
      </w:tblPr>
      <w:tblGrid>
        <w:gridCol w:w="732"/>
        <w:gridCol w:w="732"/>
        <w:gridCol w:w="732"/>
        <w:gridCol w:w="732"/>
        <w:gridCol w:w="732"/>
        <w:gridCol w:w="732"/>
        <w:gridCol w:w="732"/>
        <w:gridCol w:w="732"/>
        <w:gridCol w:w="732"/>
        <w:gridCol w:w="732"/>
      </w:tblGrid>
      <w:tr w:rsidR="0034195A" w:rsidRPr="004C7F84" w14:paraId="7BC0F779" w14:textId="77777777" w:rsidTr="0034195A">
        <w:trPr>
          <w:tblHeader/>
        </w:trPr>
        <w:tc>
          <w:tcPr>
            <w:tcW w:w="732" w:type="dxa"/>
            <w:tcBorders>
              <w:top w:val="single" w:sz="4" w:space="0" w:color="auto"/>
              <w:bottom w:val="single" w:sz="12" w:space="0" w:color="auto"/>
            </w:tcBorders>
            <w:shd w:val="clear" w:color="auto" w:fill="auto"/>
            <w:vAlign w:val="bottom"/>
          </w:tcPr>
          <w:p w14:paraId="7726813F" w14:textId="2F7B5F67" w:rsidR="0034195A" w:rsidRPr="004C7F84" w:rsidRDefault="00EB7905" w:rsidP="0034195A">
            <w:pPr>
              <w:tabs>
                <w:tab w:val="left" w:pos="288"/>
                <w:tab w:val="left" w:pos="576"/>
                <w:tab w:val="left" w:pos="864"/>
                <w:tab w:val="left" w:pos="1152"/>
              </w:tabs>
              <w:spacing w:before="81" w:after="81" w:line="160" w:lineRule="exact"/>
              <w:ind w:right="40"/>
              <w:rPr>
                <w:i/>
                <w:sz w:val="14"/>
              </w:rPr>
            </w:pPr>
            <w:r w:rsidRPr="004C7F84">
              <w:rPr>
                <w:i/>
                <w:sz w:val="14"/>
              </w:rPr>
              <w:t>Année</w:t>
            </w:r>
          </w:p>
        </w:tc>
        <w:tc>
          <w:tcPr>
            <w:tcW w:w="732" w:type="dxa"/>
            <w:tcBorders>
              <w:top w:val="single" w:sz="4" w:space="0" w:color="auto"/>
              <w:bottom w:val="single" w:sz="12" w:space="0" w:color="auto"/>
            </w:tcBorders>
            <w:shd w:val="clear" w:color="auto" w:fill="auto"/>
            <w:vAlign w:val="bottom"/>
          </w:tcPr>
          <w:p w14:paraId="1B39397C"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2009</w:t>
            </w:r>
          </w:p>
        </w:tc>
        <w:tc>
          <w:tcPr>
            <w:tcW w:w="732" w:type="dxa"/>
            <w:tcBorders>
              <w:top w:val="single" w:sz="4" w:space="0" w:color="auto"/>
              <w:bottom w:val="single" w:sz="12" w:space="0" w:color="auto"/>
            </w:tcBorders>
            <w:shd w:val="clear" w:color="auto" w:fill="auto"/>
            <w:vAlign w:val="bottom"/>
          </w:tcPr>
          <w:p w14:paraId="7D5F1D97"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2010</w:t>
            </w:r>
          </w:p>
        </w:tc>
        <w:tc>
          <w:tcPr>
            <w:tcW w:w="732" w:type="dxa"/>
            <w:tcBorders>
              <w:top w:val="single" w:sz="4" w:space="0" w:color="auto"/>
              <w:bottom w:val="single" w:sz="12" w:space="0" w:color="auto"/>
            </w:tcBorders>
            <w:shd w:val="clear" w:color="auto" w:fill="auto"/>
            <w:vAlign w:val="bottom"/>
          </w:tcPr>
          <w:p w14:paraId="44FF1800"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2011</w:t>
            </w:r>
          </w:p>
        </w:tc>
        <w:tc>
          <w:tcPr>
            <w:tcW w:w="732" w:type="dxa"/>
            <w:tcBorders>
              <w:top w:val="single" w:sz="4" w:space="0" w:color="auto"/>
              <w:bottom w:val="single" w:sz="12" w:space="0" w:color="auto"/>
            </w:tcBorders>
            <w:shd w:val="clear" w:color="auto" w:fill="auto"/>
            <w:vAlign w:val="bottom"/>
          </w:tcPr>
          <w:p w14:paraId="09489271"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2012</w:t>
            </w:r>
          </w:p>
        </w:tc>
        <w:tc>
          <w:tcPr>
            <w:tcW w:w="732" w:type="dxa"/>
            <w:tcBorders>
              <w:top w:val="single" w:sz="4" w:space="0" w:color="auto"/>
              <w:bottom w:val="single" w:sz="12" w:space="0" w:color="auto"/>
            </w:tcBorders>
            <w:shd w:val="clear" w:color="auto" w:fill="auto"/>
            <w:vAlign w:val="bottom"/>
          </w:tcPr>
          <w:p w14:paraId="4026B5BE"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2013</w:t>
            </w:r>
          </w:p>
        </w:tc>
        <w:tc>
          <w:tcPr>
            <w:tcW w:w="732" w:type="dxa"/>
            <w:tcBorders>
              <w:top w:val="single" w:sz="4" w:space="0" w:color="auto"/>
              <w:bottom w:val="single" w:sz="12" w:space="0" w:color="auto"/>
            </w:tcBorders>
            <w:shd w:val="clear" w:color="auto" w:fill="auto"/>
            <w:vAlign w:val="bottom"/>
          </w:tcPr>
          <w:p w14:paraId="281718CF"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2014</w:t>
            </w:r>
          </w:p>
        </w:tc>
        <w:tc>
          <w:tcPr>
            <w:tcW w:w="732" w:type="dxa"/>
            <w:tcBorders>
              <w:top w:val="single" w:sz="4" w:space="0" w:color="auto"/>
              <w:bottom w:val="single" w:sz="12" w:space="0" w:color="auto"/>
            </w:tcBorders>
            <w:shd w:val="clear" w:color="auto" w:fill="auto"/>
            <w:vAlign w:val="bottom"/>
          </w:tcPr>
          <w:p w14:paraId="191F8E6D"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2015</w:t>
            </w:r>
          </w:p>
        </w:tc>
        <w:tc>
          <w:tcPr>
            <w:tcW w:w="732" w:type="dxa"/>
            <w:tcBorders>
              <w:top w:val="single" w:sz="4" w:space="0" w:color="auto"/>
              <w:bottom w:val="single" w:sz="12" w:space="0" w:color="auto"/>
            </w:tcBorders>
            <w:shd w:val="clear" w:color="auto" w:fill="auto"/>
            <w:vAlign w:val="bottom"/>
          </w:tcPr>
          <w:p w14:paraId="6AA79B2D" w14:textId="5770F295"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p>
        </w:tc>
        <w:tc>
          <w:tcPr>
            <w:tcW w:w="732" w:type="dxa"/>
            <w:tcBorders>
              <w:top w:val="single" w:sz="4" w:space="0" w:color="auto"/>
              <w:bottom w:val="single" w:sz="12" w:space="0" w:color="auto"/>
            </w:tcBorders>
            <w:shd w:val="clear" w:color="auto" w:fill="auto"/>
            <w:vAlign w:val="bottom"/>
          </w:tcPr>
          <w:p w14:paraId="3AF8F44D" w14:textId="23173471"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p>
        </w:tc>
      </w:tr>
      <w:tr w:rsidR="0034195A" w:rsidRPr="004C7F84" w14:paraId="73EB0F73" w14:textId="77777777" w:rsidTr="0034195A">
        <w:trPr>
          <w:trHeight w:hRule="exact" w:val="115"/>
          <w:tblHeader/>
        </w:trPr>
        <w:tc>
          <w:tcPr>
            <w:tcW w:w="732" w:type="dxa"/>
            <w:tcBorders>
              <w:top w:val="single" w:sz="12" w:space="0" w:color="auto"/>
            </w:tcBorders>
            <w:shd w:val="clear" w:color="auto" w:fill="auto"/>
            <w:vAlign w:val="bottom"/>
          </w:tcPr>
          <w:p w14:paraId="34E2E46E" w14:textId="77777777" w:rsidR="0034195A" w:rsidRPr="004C7F84" w:rsidRDefault="0034195A" w:rsidP="0034195A">
            <w:pPr>
              <w:tabs>
                <w:tab w:val="left" w:pos="288"/>
                <w:tab w:val="left" w:pos="576"/>
                <w:tab w:val="left" w:pos="864"/>
                <w:tab w:val="left" w:pos="1152"/>
              </w:tabs>
              <w:spacing w:before="40" w:after="40" w:line="210" w:lineRule="exact"/>
              <w:ind w:right="40"/>
              <w:rPr>
                <w:sz w:val="17"/>
              </w:rPr>
            </w:pPr>
          </w:p>
        </w:tc>
        <w:tc>
          <w:tcPr>
            <w:tcW w:w="732" w:type="dxa"/>
            <w:tcBorders>
              <w:top w:val="single" w:sz="12" w:space="0" w:color="auto"/>
            </w:tcBorders>
            <w:shd w:val="clear" w:color="auto" w:fill="auto"/>
            <w:vAlign w:val="bottom"/>
          </w:tcPr>
          <w:p w14:paraId="7F621305"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70809675"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1018F939"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291DB6C8"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73F9DD89"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53B4CA87"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59CA7D53"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4836C2A7"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top w:val="single" w:sz="12" w:space="0" w:color="auto"/>
            </w:tcBorders>
            <w:shd w:val="clear" w:color="auto" w:fill="auto"/>
            <w:vAlign w:val="bottom"/>
          </w:tcPr>
          <w:p w14:paraId="77D650EA"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r>
      <w:tr w:rsidR="0034195A" w:rsidRPr="004C7F84" w14:paraId="39E25704" w14:textId="77777777" w:rsidTr="0034195A">
        <w:tc>
          <w:tcPr>
            <w:tcW w:w="732" w:type="dxa"/>
            <w:tcBorders>
              <w:bottom w:val="single" w:sz="12" w:space="0" w:color="auto"/>
            </w:tcBorders>
            <w:shd w:val="clear" w:color="auto" w:fill="auto"/>
            <w:vAlign w:val="bottom"/>
          </w:tcPr>
          <w:p w14:paraId="1BBCA517" w14:textId="77777777" w:rsidR="0034195A" w:rsidRPr="004C7F84" w:rsidRDefault="0034195A" w:rsidP="0034195A">
            <w:pPr>
              <w:tabs>
                <w:tab w:val="left" w:pos="288"/>
                <w:tab w:val="left" w:pos="576"/>
                <w:tab w:val="left" w:pos="864"/>
                <w:tab w:val="left" w:pos="1152"/>
              </w:tabs>
              <w:spacing w:before="40" w:after="40" w:line="210" w:lineRule="exact"/>
              <w:ind w:right="40"/>
              <w:rPr>
                <w:sz w:val="17"/>
              </w:rPr>
            </w:pPr>
            <w:r w:rsidRPr="004C7F84">
              <w:rPr>
                <w:b/>
                <w:sz w:val="17"/>
              </w:rPr>
              <w:tab/>
              <w:t>Total</w:t>
            </w:r>
          </w:p>
        </w:tc>
        <w:tc>
          <w:tcPr>
            <w:tcW w:w="732" w:type="dxa"/>
            <w:tcBorders>
              <w:bottom w:val="single" w:sz="12" w:space="0" w:color="auto"/>
            </w:tcBorders>
            <w:shd w:val="clear" w:color="auto" w:fill="auto"/>
            <w:vAlign w:val="bottom"/>
          </w:tcPr>
          <w:p w14:paraId="2F163601"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98</w:t>
            </w:r>
          </w:p>
        </w:tc>
        <w:tc>
          <w:tcPr>
            <w:tcW w:w="732" w:type="dxa"/>
            <w:tcBorders>
              <w:bottom w:val="single" w:sz="12" w:space="0" w:color="auto"/>
            </w:tcBorders>
            <w:shd w:val="clear" w:color="auto" w:fill="auto"/>
            <w:vAlign w:val="bottom"/>
          </w:tcPr>
          <w:p w14:paraId="02228541"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86</w:t>
            </w:r>
          </w:p>
        </w:tc>
        <w:tc>
          <w:tcPr>
            <w:tcW w:w="732" w:type="dxa"/>
            <w:tcBorders>
              <w:bottom w:val="single" w:sz="12" w:space="0" w:color="auto"/>
            </w:tcBorders>
            <w:shd w:val="clear" w:color="auto" w:fill="auto"/>
            <w:vAlign w:val="bottom"/>
          </w:tcPr>
          <w:p w14:paraId="015ECDA2"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97</w:t>
            </w:r>
          </w:p>
        </w:tc>
        <w:tc>
          <w:tcPr>
            <w:tcW w:w="732" w:type="dxa"/>
            <w:tcBorders>
              <w:bottom w:val="single" w:sz="12" w:space="0" w:color="auto"/>
            </w:tcBorders>
            <w:shd w:val="clear" w:color="auto" w:fill="auto"/>
            <w:vAlign w:val="bottom"/>
          </w:tcPr>
          <w:p w14:paraId="2D036A1D"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87</w:t>
            </w:r>
          </w:p>
        </w:tc>
        <w:tc>
          <w:tcPr>
            <w:tcW w:w="732" w:type="dxa"/>
            <w:tcBorders>
              <w:bottom w:val="single" w:sz="12" w:space="0" w:color="auto"/>
            </w:tcBorders>
            <w:shd w:val="clear" w:color="auto" w:fill="auto"/>
            <w:vAlign w:val="bottom"/>
          </w:tcPr>
          <w:p w14:paraId="770AB617"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102</w:t>
            </w:r>
          </w:p>
        </w:tc>
        <w:tc>
          <w:tcPr>
            <w:tcW w:w="732" w:type="dxa"/>
            <w:tcBorders>
              <w:bottom w:val="single" w:sz="12" w:space="0" w:color="auto"/>
            </w:tcBorders>
            <w:shd w:val="clear" w:color="auto" w:fill="auto"/>
            <w:vAlign w:val="bottom"/>
          </w:tcPr>
          <w:p w14:paraId="70F87C10"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90</w:t>
            </w:r>
          </w:p>
        </w:tc>
        <w:tc>
          <w:tcPr>
            <w:tcW w:w="732" w:type="dxa"/>
            <w:tcBorders>
              <w:bottom w:val="single" w:sz="12" w:space="0" w:color="auto"/>
            </w:tcBorders>
            <w:shd w:val="clear" w:color="auto" w:fill="auto"/>
            <w:vAlign w:val="bottom"/>
          </w:tcPr>
          <w:p w14:paraId="07BC6308"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108</w:t>
            </w:r>
          </w:p>
        </w:tc>
        <w:tc>
          <w:tcPr>
            <w:tcW w:w="732" w:type="dxa"/>
            <w:tcBorders>
              <w:bottom w:val="single" w:sz="12" w:space="0" w:color="auto"/>
            </w:tcBorders>
            <w:shd w:val="clear" w:color="auto" w:fill="auto"/>
            <w:vAlign w:val="bottom"/>
          </w:tcPr>
          <w:p w14:paraId="612FEF10" w14:textId="4C43A59F"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732" w:type="dxa"/>
            <w:tcBorders>
              <w:bottom w:val="single" w:sz="12" w:space="0" w:color="auto"/>
            </w:tcBorders>
            <w:shd w:val="clear" w:color="auto" w:fill="auto"/>
            <w:vAlign w:val="bottom"/>
          </w:tcPr>
          <w:p w14:paraId="06F32BC2" w14:textId="5A35A50B"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r>
    </w:tbl>
    <w:p w14:paraId="3B310E5E" w14:textId="77777777" w:rsidR="0034195A" w:rsidRPr="004C7F84" w:rsidRDefault="0034195A" w:rsidP="0034195A">
      <w:pPr>
        <w:pStyle w:val="SingleTxt"/>
        <w:spacing w:after="0" w:line="120" w:lineRule="exact"/>
        <w:rPr>
          <w:rFonts w:asciiTheme="majorBidi" w:hAnsiTheme="majorBidi" w:cstheme="majorBidi"/>
          <w:sz w:val="10"/>
        </w:rPr>
      </w:pPr>
    </w:p>
    <w:p w14:paraId="640104C9" w14:textId="76CEAD35" w:rsidR="0034195A" w:rsidRPr="004C7F84" w:rsidRDefault="0034195A" w:rsidP="0034195A">
      <w:pPr>
        <w:pStyle w:val="FootnoteText"/>
        <w:tabs>
          <w:tab w:val="clear" w:pos="418"/>
          <w:tab w:val="right" w:pos="1476"/>
          <w:tab w:val="left" w:pos="1548"/>
          <w:tab w:val="right" w:pos="1836"/>
          <w:tab w:val="left" w:pos="1908"/>
        </w:tabs>
        <w:ind w:left="1548" w:right="1267" w:hanging="288"/>
      </w:pPr>
      <w:r w:rsidRPr="004C7F84">
        <w:rPr>
          <w:i/>
          <w:iCs/>
        </w:rPr>
        <w:t>Source</w:t>
      </w:r>
      <w:r w:rsidR="00773F5D" w:rsidRPr="004C7F84">
        <w:rPr>
          <w:i/>
          <w:iCs/>
        </w:rPr>
        <w:t> :</w:t>
      </w:r>
      <w:r w:rsidRPr="004C7F84">
        <w:t xml:space="preserve"> Mount St. John Medical Centre, </w:t>
      </w:r>
      <w:r w:rsidR="00EB7905" w:rsidRPr="004C7F84">
        <w:t>Ministère de la santé</w:t>
      </w:r>
      <w:r w:rsidR="000516F8" w:rsidRPr="004C7F84">
        <w:t>, Antigua-et-</w:t>
      </w:r>
      <w:r w:rsidRPr="004C7F84">
        <w:t xml:space="preserve">Barbuda. </w:t>
      </w:r>
    </w:p>
    <w:p w14:paraId="16218EA7" w14:textId="77777777" w:rsidR="0034195A" w:rsidRPr="004C7F84" w:rsidRDefault="0034195A" w:rsidP="0034195A">
      <w:pPr>
        <w:pStyle w:val="SingleTxt"/>
        <w:spacing w:after="0" w:line="120" w:lineRule="exact"/>
        <w:rPr>
          <w:rFonts w:asciiTheme="majorBidi" w:hAnsiTheme="majorBidi" w:cstheme="majorBidi"/>
          <w:sz w:val="10"/>
        </w:rPr>
      </w:pPr>
    </w:p>
    <w:p w14:paraId="206A6B45" w14:textId="77777777" w:rsidR="0034195A" w:rsidRPr="004C7F84" w:rsidRDefault="0034195A" w:rsidP="0034195A">
      <w:pPr>
        <w:pStyle w:val="SingleTxt"/>
        <w:spacing w:after="0" w:line="120" w:lineRule="exact"/>
        <w:rPr>
          <w:rFonts w:asciiTheme="majorBidi" w:hAnsiTheme="majorBidi" w:cstheme="majorBidi"/>
          <w:sz w:val="10"/>
        </w:rPr>
      </w:pPr>
    </w:p>
    <w:p w14:paraId="3C501C9A" w14:textId="24582E29" w:rsidR="00EB7905" w:rsidRPr="004C7F84" w:rsidRDefault="00EB7905" w:rsidP="00514306">
      <w:pPr>
        <w:pStyle w:val="SingleTxt"/>
        <w:numPr>
          <w:ilvl w:val="0"/>
          <w:numId w:val="22"/>
        </w:numPr>
        <w:spacing w:line="240" w:lineRule="exact"/>
        <w:ind w:left="1267" w:firstLine="0"/>
      </w:pPr>
      <w:r w:rsidRPr="004C7F84">
        <w:t>Le Mount St. John Medical Centre, hôpital inauguré en 2008, recueille des statistiques sur les naissances parmi les mères âgées de moins de 18</w:t>
      </w:r>
      <w:r w:rsidR="000516F8" w:rsidRPr="004C7F84">
        <w:t> </w:t>
      </w:r>
      <w:r w:rsidRPr="004C7F84">
        <w:t>ans (il n</w:t>
      </w:r>
      <w:r w:rsidR="00773F5D" w:rsidRPr="004C7F84">
        <w:t>’</w:t>
      </w:r>
      <w:r w:rsidRPr="004C7F84">
        <w:t>y en a eu aucune parmi les filles de moins de 13</w:t>
      </w:r>
      <w:r w:rsidR="000516F8" w:rsidRPr="004C7F84">
        <w:t> </w:t>
      </w:r>
      <w:r w:rsidRPr="004C7F84">
        <w:t xml:space="preserve">ans ces dernières années). Entre 2009 et 2015, le nombre de naissances parmi les adolescentes a fluctué, passant de </w:t>
      </w:r>
      <w:r w:rsidRPr="004C7F84">
        <w:lastRenderedPageBreak/>
        <w:t>87</w:t>
      </w:r>
      <w:r w:rsidR="000516F8" w:rsidRPr="004C7F84">
        <w:t> </w:t>
      </w:r>
      <w:r w:rsidRPr="004C7F84">
        <w:t>naissances en 2012 à 108 en 2015, avec une moyenne de 95</w:t>
      </w:r>
      <w:r w:rsidR="000516F8" w:rsidRPr="004C7F84">
        <w:t> </w:t>
      </w:r>
      <w:r w:rsidRPr="004C7F84">
        <w:t>naissances par an (voir les tableaux 9</w:t>
      </w:r>
      <w:r w:rsidR="000516F8" w:rsidRPr="004C7F84">
        <w:t> </w:t>
      </w:r>
      <w:r w:rsidRPr="004C7F84">
        <w:t>a) et 9</w:t>
      </w:r>
      <w:r w:rsidR="000516F8" w:rsidRPr="004C7F84">
        <w:t> </w:t>
      </w:r>
      <w:r w:rsidRPr="004C7F84">
        <w:t>b) plus haut).</w:t>
      </w:r>
    </w:p>
    <w:p w14:paraId="6866088C" w14:textId="7DDDC37D" w:rsidR="00EB7905" w:rsidRPr="004C7F84" w:rsidRDefault="00EB7905" w:rsidP="00514306">
      <w:pPr>
        <w:pStyle w:val="SingleTxt"/>
        <w:numPr>
          <w:ilvl w:val="0"/>
          <w:numId w:val="22"/>
        </w:numPr>
        <w:spacing w:line="240" w:lineRule="exact"/>
        <w:ind w:left="1267" w:firstLine="0"/>
      </w:pPr>
      <w:r w:rsidRPr="004C7F84">
        <w:t>La plupart des naissances (41 par an en moyenne) se produisaient parmi les adolescentes de 18</w:t>
      </w:r>
      <w:r w:rsidR="000516F8" w:rsidRPr="004C7F84">
        <w:t> </w:t>
      </w:r>
      <w:r w:rsidRPr="004C7F84">
        <w:t>ans. De 2009 à 2015, dans le groupe d</w:t>
      </w:r>
      <w:r w:rsidR="00773F5D" w:rsidRPr="004C7F84">
        <w:t>’</w:t>
      </w:r>
      <w:r w:rsidRPr="004C7F84">
        <w:t>âge des moins de 16</w:t>
      </w:r>
      <w:r w:rsidR="000516F8" w:rsidRPr="004C7F84">
        <w:t> </w:t>
      </w:r>
      <w:r w:rsidRPr="004C7F84">
        <w:t>ans, on a recensé 24</w:t>
      </w:r>
      <w:r w:rsidR="000516F8" w:rsidRPr="004C7F84">
        <w:t> </w:t>
      </w:r>
      <w:r w:rsidRPr="004C7F84">
        <w:t>naissances en moyenne, dont 4 parmi les filles âgées de 13</w:t>
      </w:r>
      <w:r w:rsidR="000516F8" w:rsidRPr="004C7F84">
        <w:t> </w:t>
      </w:r>
      <w:r w:rsidRPr="004C7F84">
        <w:t>ans. Les statistiques concernant les 16</w:t>
      </w:r>
      <w:r w:rsidR="000516F8" w:rsidRPr="004C7F84">
        <w:t> </w:t>
      </w:r>
      <w:r w:rsidRPr="004C7F84">
        <w:t>dernières années montrent clairement que le nombre de naissances parmi les adolescentes a diminué entre 1999 et 2015</w:t>
      </w:r>
      <w:r w:rsidR="00773F5D" w:rsidRPr="004C7F84">
        <w:t> :</w:t>
      </w:r>
      <w:r w:rsidRPr="004C7F84">
        <w:t xml:space="preserve"> en 1999, il y avait 212</w:t>
      </w:r>
      <w:r w:rsidR="000516F8" w:rsidRPr="004C7F84">
        <w:t> </w:t>
      </w:r>
      <w:r w:rsidRPr="004C7F84">
        <w:t>naissances parmi les filles âgées de moins de 18</w:t>
      </w:r>
      <w:r w:rsidR="000516F8" w:rsidRPr="004C7F84">
        <w:t> </w:t>
      </w:r>
      <w:r w:rsidRPr="004C7F84">
        <w:t>ans</w:t>
      </w:r>
      <w:r w:rsidR="00773F5D" w:rsidRPr="004C7F84">
        <w:t> ;</w:t>
      </w:r>
      <w:r w:rsidRPr="004C7F84">
        <w:t xml:space="preserve"> en 2009, cette proportion est tombée à 98. En 2015, on a recensé 108</w:t>
      </w:r>
      <w:r w:rsidR="000516F8" w:rsidRPr="004C7F84">
        <w:t> </w:t>
      </w:r>
      <w:r w:rsidRPr="004C7F84">
        <w:t>naissances parmi les mères de moins de 18</w:t>
      </w:r>
      <w:r w:rsidR="000516F8" w:rsidRPr="004C7F84">
        <w:t> </w:t>
      </w:r>
      <w:r w:rsidRPr="004C7F84">
        <w:t>ans.</w:t>
      </w:r>
    </w:p>
    <w:p w14:paraId="2D62E370" w14:textId="3596565E" w:rsidR="00EB7905" w:rsidRPr="004C7F84" w:rsidRDefault="00EB7905" w:rsidP="00514306">
      <w:pPr>
        <w:pStyle w:val="SingleTxt"/>
        <w:numPr>
          <w:ilvl w:val="0"/>
          <w:numId w:val="23"/>
        </w:numPr>
        <w:spacing w:line="240" w:lineRule="exact"/>
        <w:ind w:left="1267" w:firstLine="0"/>
      </w:pPr>
      <w:r w:rsidRPr="004C7F84">
        <w:t>Aucune étude n</w:t>
      </w:r>
      <w:r w:rsidR="00773F5D" w:rsidRPr="004C7F84">
        <w:t>’</w:t>
      </w:r>
      <w:r w:rsidRPr="004C7F84">
        <w:t>a été effectuée pour déterminer les raisons de cette baisse, mais l</w:t>
      </w:r>
      <w:r w:rsidR="00773F5D" w:rsidRPr="004C7F84">
        <w:t>’</w:t>
      </w:r>
      <w:r w:rsidRPr="004C7F84">
        <w:t>augmentation des taux de scolarisation des filles et des garçons dans l</w:t>
      </w:r>
      <w:r w:rsidR="00773F5D" w:rsidRPr="004C7F84">
        <w:t>’</w:t>
      </w:r>
      <w:r w:rsidRPr="004C7F84">
        <w:t>enseignement secondaire pourrait expliquer leur adoption tardive de comportements risquant de déboucher sur des grossesses. Dans le document directif sur le Programme d</w:t>
      </w:r>
      <w:r w:rsidR="00773F5D" w:rsidRPr="004C7F84">
        <w:t>’</w:t>
      </w:r>
      <w:r w:rsidRPr="004C7F84">
        <w:t>éducation à la santé et à la vie de famille, les auteurs de l</w:t>
      </w:r>
      <w:r w:rsidR="00773F5D" w:rsidRPr="004C7F84">
        <w:t>’</w:t>
      </w:r>
      <w:r w:rsidRPr="004C7F84">
        <w:t>étude sur les grossesses d</w:t>
      </w:r>
      <w:r w:rsidR="00773F5D" w:rsidRPr="004C7F84">
        <w:t>’</w:t>
      </w:r>
      <w:r w:rsidRPr="004C7F84">
        <w:t>adolescentes ont émis l</w:t>
      </w:r>
      <w:r w:rsidR="00773F5D" w:rsidRPr="004C7F84">
        <w:t>’</w:t>
      </w:r>
      <w:r w:rsidRPr="004C7F84">
        <w:t>hypothèse que la chute des taux pouvait être liée aux changements économiques, sociaux, éducatifs et médicaux intervenus au cours de la période considérée (Ibid.</w:t>
      </w:r>
      <w:r w:rsidR="00773F5D" w:rsidRPr="004C7F84">
        <w:t> :</w:t>
      </w:r>
      <w:r w:rsidRPr="004C7F84">
        <w:t xml:space="preserve"> 14).</w:t>
      </w:r>
    </w:p>
    <w:p w14:paraId="4BEF2B7B" w14:textId="53C654DC" w:rsidR="0034195A" w:rsidRPr="004C7F84" w:rsidRDefault="00EB7905" w:rsidP="00514306">
      <w:pPr>
        <w:pStyle w:val="SingleTxt"/>
        <w:numPr>
          <w:ilvl w:val="0"/>
          <w:numId w:val="23"/>
        </w:numPr>
        <w:spacing w:line="240" w:lineRule="exact"/>
        <w:ind w:left="1267" w:firstLine="0"/>
      </w:pPr>
      <w:r w:rsidRPr="004C7F84">
        <w:t>Malgré la baisse du taux de grossesses chez les adolescentes, il ne faut pas oublier que chacune de ces grossesses représente un risque d</w:t>
      </w:r>
      <w:r w:rsidR="00773F5D" w:rsidRPr="004C7F84">
        <w:t>’</w:t>
      </w:r>
      <w:r w:rsidRPr="004C7F84">
        <w:t>abandon scolaire. En général, les élèves sont autorisées à poursuivre leurs études, ce qui indique clairement que les normes culturelles obligeant les filles enceintes à abandonner leur scolarité ont quelque peu évolué. En outre, tout en reconnaissant qu</w:t>
      </w:r>
      <w:r w:rsidR="00773F5D" w:rsidRPr="004C7F84">
        <w:t>’</w:t>
      </w:r>
      <w:r w:rsidRPr="004C7F84">
        <w:t>il est important de régler le problème des grossesses d</w:t>
      </w:r>
      <w:r w:rsidR="00773F5D" w:rsidRPr="004C7F84">
        <w:t>’</w:t>
      </w:r>
      <w:r w:rsidRPr="004C7F84">
        <w:t>adolescentes, l</w:t>
      </w:r>
      <w:r w:rsidR="00773F5D" w:rsidRPr="004C7F84">
        <w:t>’</w:t>
      </w:r>
      <w:r w:rsidRPr="004C7F84">
        <w:t>État partie s</w:t>
      </w:r>
      <w:r w:rsidR="00773F5D" w:rsidRPr="004C7F84">
        <w:t>’</w:t>
      </w:r>
      <w:r w:rsidRPr="004C7F84">
        <w:t>emploie également à promouvoir l</w:t>
      </w:r>
      <w:r w:rsidR="00773F5D" w:rsidRPr="004C7F84">
        <w:t>’</w:t>
      </w:r>
      <w:r w:rsidRPr="004C7F84">
        <w:t>éducation à la santé sexuelle et d</w:t>
      </w:r>
      <w:r w:rsidR="00773F5D" w:rsidRPr="004C7F84">
        <w:t>’</w:t>
      </w:r>
      <w:r w:rsidRPr="004C7F84">
        <w:t>autres stratégies. </w:t>
      </w:r>
    </w:p>
    <w:p w14:paraId="3163EF77" w14:textId="77777777" w:rsidR="0034195A" w:rsidRPr="004C7F84" w:rsidRDefault="0034195A" w:rsidP="0034195A">
      <w:pPr>
        <w:pStyle w:val="SingleTxt"/>
        <w:spacing w:after="0" w:line="120" w:lineRule="exact"/>
        <w:rPr>
          <w:rFonts w:asciiTheme="majorBidi" w:hAnsiTheme="majorBidi" w:cstheme="majorBidi"/>
          <w:sz w:val="10"/>
        </w:rPr>
      </w:pPr>
    </w:p>
    <w:p w14:paraId="61E683A4" w14:textId="2A11C32A"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EB7905" w:rsidRPr="004C7F84">
        <w:rPr>
          <w:lang w:val="fr-FR"/>
        </w:rPr>
        <w:t>Statut illégal de l</w:t>
      </w:r>
      <w:r w:rsidR="00773F5D" w:rsidRPr="004C7F84">
        <w:rPr>
          <w:lang w:val="fr-FR"/>
        </w:rPr>
        <w:t>’</w:t>
      </w:r>
      <w:r w:rsidR="00EB7905" w:rsidRPr="004C7F84">
        <w:rPr>
          <w:lang w:val="fr-FR"/>
        </w:rPr>
        <w:t>avortement</w:t>
      </w:r>
    </w:p>
    <w:p w14:paraId="63551B7E" w14:textId="77777777" w:rsidR="0034195A" w:rsidRPr="004C7F84" w:rsidRDefault="0034195A" w:rsidP="0034195A">
      <w:pPr>
        <w:pStyle w:val="SingleTxt"/>
        <w:spacing w:after="0" w:line="120" w:lineRule="exact"/>
        <w:rPr>
          <w:rFonts w:asciiTheme="majorBidi" w:hAnsiTheme="majorBidi" w:cstheme="majorBidi"/>
          <w:sz w:val="10"/>
        </w:rPr>
      </w:pPr>
    </w:p>
    <w:p w14:paraId="530CA6B6" w14:textId="58F695D8" w:rsidR="0034195A" w:rsidRPr="004C7F84" w:rsidRDefault="00EB7905" w:rsidP="00514306">
      <w:pPr>
        <w:pStyle w:val="SingleTxt"/>
        <w:numPr>
          <w:ilvl w:val="0"/>
          <w:numId w:val="23"/>
        </w:numPr>
        <w:spacing w:line="240" w:lineRule="exact"/>
        <w:ind w:left="1267" w:firstLine="0"/>
        <w:rPr>
          <w:rFonts w:asciiTheme="majorBidi" w:hAnsiTheme="majorBidi" w:cstheme="majorBidi"/>
        </w:rPr>
      </w:pPr>
      <w:r w:rsidRPr="004C7F84">
        <w:t>Dans l</w:t>
      </w:r>
      <w:r w:rsidR="00773F5D" w:rsidRPr="004C7F84">
        <w:t>’</w:t>
      </w:r>
      <w:r w:rsidRPr="004C7F84">
        <w:t xml:space="preserve">observation </w:t>
      </w:r>
      <w:r w:rsidR="0076068E" w:rsidRPr="004C7F84">
        <w:t>n</w:t>
      </w:r>
      <w:r w:rsidR="0076068E" w:rsidRPr="004C7F84">
        <w:rPr>
          <w:vertAlign w:val="superscript"/>
        </w:rPr>
        <w:t>o</w:t>
      </w:r>
      <w:r w:rsidR="0076068E" w:rsidRPr="004C7F84">
        <w:t> </w:t>
      </w:r>
      <w:r w:rsidRPr="004C7F84">
        <w:t>258, le Comité « a noté avec préoccupation que l</w:t>
      </w:r>
      <w:r w:rsidR="00773F5D" w:rsidRPr="004C7F84">
        <w:t>’</w:t>
      </w:r>
      <w:r w:rsidRPr="004C7F84">
        <w:t>avortement était toujours illégal, ce qui conduisait à des avortements pratiqués dans de mauvaises conditions de sécurité ». L</w:t>
      </w:r>
      <w:r w:rsidR="00773F5D" w:rsidRPr="004C7F84">
        <w:t>’</w:t>
      </w:r>
      <w:r w:rsidRPr="004C7F84">
        <w:t>avortement est effectivement encore illégal à Antigua-et-Barbuda et l</w:t>
      </w:r>
      <w:r w:rsidR="00773F5D" w:rsidRPr="004C7F84">
        <w:t>’</w:t>
      </w:r>
      <w:r w:rsidRPr="004C7F84">
        <w:t>on ne dispose donc pas de statistiques sur le nombre d</w:t>
      </w:r>
      <w:r w:rsidR="00773F5D" w:rsidRPr="004C7F84">
        <w:t>’</w:t>
      </w:r>
      <w:r w:rsidRPr="004C7F84">
        <w:t>avortements. Mais étant donné la petite taille du p</w:t>
      </w:r>
      <w:r w:rsidR="0076068E" w:rsidRPr="004C7F84">
        <w:t>ays, tout le monde sait qu</w:t>
      </w:r>
      <w:r w:rsidR="00773F5D" w:rsidRPr="004C7F84">
        <w:t>’</w:t>
      </w:r>
      <w:r w:rsidR="0076068E" w:rsidRPr="004C7F84">
        <w:t xml:space="preserve">ils </w:t>
      </w:r>
      <w:r w:rsidRPr="004C7F84">
        <w:t>sont pratiqués en toute sécurité dans les cabinets de certains médecins de ville. À ce jour, personne n</w:t>
      </w:r>
      <w:r w:rsidR="00773F5D" w:rsidRPr="004C7F84">
        <w:t>’</w:t>
      </w:r>
      <w:r w:rsidRPr="004C7F84">
        <w:t>a jamais été poursuivi pour avoir avorté ou pratiqué un avortement.</w:t>
      </w:r>
      <w:r w:rsidRPr="004C7F84">
        <w:rPr>
          <w:rFonts w:asciiTheme="majorBidi" w:hAnsiTheme="majorBidi" w:cstheme="majorBidi"/>
        </w:rPr>
        <w:t xml:space="preserve"> </w:t>
      </w:r>
    </w:p>
    <w:p w14:paraId="508D9970" w14:textId="634438E0" w:rsidR="00EB7905" w:rsidRPr="004C7F84" w:rsidRDefault="00EB7905" w:rsidP="00EB7905">
      <w:pPr>
        <w:pStyle w:val="SingleTxt"/>
        <w:spacing w:after="0" w:line="120" w:lineRule="exact"/>
        <w:rPr>
          <w:rFonts w:asciiTheme="majorBidi" w:hAnsiTheme="majorBidi" w:cstheme="majorBidi"/>
          <w:sz w:val="10"/>
        </w:rPr>
      </w:pPr>
    </w:p>
    <w:p w14:paraId="524B6824" w14:textId="710C198D"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EB7905" w:rsidRPr="004C7F84">
        <w:rPr>
          <w:lang w:val="fr-FR"/>
        </w:rPr>
        <w:t>Planification de la famille</w:t>
      </w:r>
      <w:r w:rsidRPr="004C7F84">
        <w:rPr>
          <w:lang w:val="fr-FR"/>
        </w:rPr>
        <w:t xml:space="preserve"> </w:t>
      </w:r>
    </w:p>
    <w:p w14:paraId="31E714B5" w14:textId="77777777" w:rsidR="0034195A" w:rsidRPr="004C7F84" w:rsidRDefault="0034195A" w:rsidP="0034195A">
      <w:pPr>
        <w:pStyle w:val="SingleTxt"/>
        <w:spacing w:after="0" w:line="120" w:lineRule="exact"/>
        <w:rPr>
          <w:rFonts w:asciiTheme="majorBidi" w:hAnsiTheme="majorBidi" w:cstheme="majorBidi"/>
          <w:sz w:val="10"/>
        </w:rPr>
      </w:pPr>
    </w:p>
    <w:p w14:paraId="6BB06251" w14:textId="55A9D357" w:rsidR="00EB7905" w:rsidRPr="004C7F84" w:rsidRDefault="00EB7905" w:rsidP="00514306">
      <w:pPr>
        <w:pStyle w:val="SingleTxt"/>
        <w:numPr>
          <w:ilvl w:val="0"/>
          <w:numId w:val="23"/>
        </w:numPr>
        <w:spacing w:line="240" w:lineRule="exact"/>
        <w:ind w:left="1267" w:firstLine="0"/>
      </w:pPr>
      <w:r w:rsidRPr="004C7F84">
        <w:t>Il convient de noter qu</w:t>
      </w:r>
      <w:r w:rsidR="00773F5D" w:rsidRPr="004C7F84">
        <w:t>’</w:t>
      </w:r>
      <w:r w:rsidRPr="004C7F84">
        <w:t>une femme mariée a accès aux services de planification de la famille sans devoir demander l</w:t>
      </w:r>
      <w:r w:rsidR="00773F5D" w:rsidRPr="004C7F84">
        <w:t>’</w:t>
      </w:r>
      <w:r w:rsidRPr="004C7F84">
        <w:t xml:space="preserve">autorisation de son mari. </w:t>
      </w:r>
    </w:p>
    <w:p w14:paraId="63A29B7F" w14:textId="49010E19" w:rsidR="0034195A" w:rsidRPr="004C7F84" w:rsidRDefault="00EB7905" w:rsidP="00514306">
      <w:pPr>
        <w:pStyle w:val="SingleTxt"/>
        <w:numPr>
          <w:ilvl w:val="0"/>
          <w:numId w:val="23"/>
        </w:numPr>
        <w:spacing w:line="240" w:lineRule="exact"/>
        <w:ind w:left="1267" w:firstLine="0"/>
      </w:pPr>
      <w:r w:rsidRPr="004C7F84">
        <w:t>Le Comité s</w:t>
      </w:r>
      <w:r w:rsidR="00773F5D" w:rsidRPr="004C7F84">
        <w:t>’</w:t>
      </w:r>
      <w:r w:rsidRPr="004C7F84">
        <w:t>est déclaré « préoccupé par le fait qu</w:t>
      </w:r>
      <w:r w:rsidR="00773F5D" w:rsidRPr="004C7F84">
        <w:t>’</w:t>
      </w:r>
      <w:r w:rsidRPr="004C7F84">
        <w:t>il n</w:t>
      </w:r>
      <w:r w:rsidR="00773F5D" w:rsidRPr="004C7F84">
        <w:t>’</w:t>
      </w:r>
      <w:r w:rsidRPr="004C7F84">
        <w:t>existait pas de programmes d</w:t>
      </w:r>
      <w:r w:rsidR="00773F5D" w:rsidRPr="004C7F84">
        <w:t>’</w:t>
      </w:r>
      <w:r w:rsidRPr="004C7F84">
        <w:t>éducation en matière de planification familiale et que les contraceptifs n</w:t>
      </w:r>
      <w:r w:rsidR="00773F5D" w:rsidRPr="004C7F84">
        <w:t>’</w:t>
      </w:r>
      <w:r w:rsidRPr="004C7F84">
        <w:t>étaient pas pris en charge dans les régimes d</w:t>
      </w:r>
      <w:r w:rsidR="00773F5D" w:rsidRPr="004C7F84">
        <w:t>’</w:t>
      </w:r>
      <w:r w:rsidRPr="004C7F84">
        <w:t>assura</w:t>
      </w:r>
      <w:r w:rsidR="0076068E" w:rsidRPr="004C7F84">
        <w:t xml:space="preserve">nce médicale ». Plusieurs ONG, </w:t>
      </w:r>
      <w:r w:rsidRPr="004C7F84">
        <w:t>comme par exemple Antigua and Barbuda Planned Parenthood Association, Caribbean Family Association et Collaborative Committee for the Promotion of Emotional Health in Children, offrent des services d</w:t>
      </w:r>
      <w:r w:rsidR="00773F5D" w:rsidRPr="004C7F84">
        <w:t>’</w:t>
      </w:r>
      <w:r w:rsidRPr="004C7F84">
        <w:t>éducation en matière de planification familiale et de conseils sur la santé de la procréation. Leurs activités sont brièvement examinées ci-après.</w:t>
      </w:r>
    </w:p>
    <w:p w14:paraId="365B3142" w14:textId="637D74EF" w:rsidR="00EB7905" w:rsidRPr="004C7F84" w:rsidRDefault="00EB7905" w:rsidP="00EB7905">
      <w:pPr>
        <w:pStyle w:val="SingleTxt"/>
        <w:spacing w:after="0" w:line="120" w:lineRule="exact"/>
        <w:rPr>
          <w:sz w:val="10"/>
        </w:rPr>
      </w:pPr>
    </w:p>
    <w:p w14:paraId="70344D72" w14:textId="2680CD92" w:rsidR="0034195A" w:rsidRPr="00F05573" w:rsidRDefault="0034195A" w:rsidP="001136A4">
      <w:pPr>
        <w:pStyle w:val="H4"/>
        <w:ind w:right="1260"/>
        <w:rPr>
          <w:lang w:val="en-US"/>
        </w:rPr>
      </w:pPr>
      <w:r w:rsidRPr="00F05573">
        <w:rPr>
          <w:lang w:val="en-US"/>
        </w:rPr>
        <w:lastRenderedPageBreak/>
        <w:tab/>
      </w:r>
      <w:r w:rsidRPr="00F05573">
        <w:rPr>
          <w:lang w:val="en-US"/>
        </w:rPr>
        <w:tab/>
      </w:r>
      <w:r w:rsidR="00EB7905" w:rsidRPr="00F05573">
        <w:rPr>
          <w:lang w:val="en-US"/>
        </w:rPr>
        <w:t>Antigua and Barbuda Planned Parenthood Association</w:t>
      </w:r>
    </w:p>
    <w:p w14:paraId="218C075A" w14:textId="77777777" w:rsidR="0034195A" w:rsidRPr="00F05573" w:rsidRDefault="0034195A" w:rsidP="001136A4">
      <w:pPr>
        <w:pStyle w:val="SingleTxt"/>
        <w:keepNext/>
        <w:keepLines/>
        <w:spacing w:after="0" w:line="120" w:lineRule="exact"/>
        <w:rPr>
          <w:rFonts w:asciiTheme="majorBidi" w:hAnsiTheme="majorBidi" w:cstheme="majorBidi"/>
          <w:sz w:val="10"/>
          <w:lang w:val="en-US"/>
        </w:rPr>
      </w:pPr>
    </w:p>
    <w:p w14:paraId="64E20A44" w14:textId="183674F4" w:rsidR="00EB7905" w:rsidRPr="004C7F84" w:rsidRDefault="00EB7905" w:rsidP="00514306">
      <w:pPr>
        <w:pStyle w:val="SingleTxt"/>
        <w:numPr>
          <w:ilvl w:val="0"/>
          <w:numId w:val="23"/>
        </w:numPr>
        <w:spacing w:line="240" w:lineRule="exact"/>
        <w:ind w:left="1267" w:firstLine="0"/>
      </w:pPr>
      <w:r w:rsidRPr="004C7F84">
        <w:t>Dans son centre de consultation, cette organisation fournit des conseils gratuits à tous ses clients, y compris aux adolescents, ainsi que de nombreuses méthodes de contraception pour les hommes et les femmes, notamment des contraceptifs injectables et des préservatifs féminins. Dans son rapport initial, l</w:t>
      </w:r>
      <w:r w:rsidR="00773F5D" w:rsidRPr="004C7F84">
        <w:t>’</w:t>
      </w:r>
      <w:r w:rsidRPr="004C7F84">
        <w:t>État partie a fait observer qu</w:t>
      </w:r>
      <w:r w:rsidR="00773F5D" w:rsidRPr="004C7F84">
        <w:t>’</w:t>
      </w:r>
      <w:r w:rsidRPr="004C7F84">
        <w:t>aucune loi nationale n</w:t>
      </w:r>
      <w:r w:rsidR="00773F5D" w:rsidRPr="004C7F84">
        <w:t>’</w:t>
      </w:r>
      <w:r w:rsidRPr="004C7F84">
        <w:t>empêchait les personnes de moins de 18</w:t>
      </w:r>
      <w:r w:rsidR="00D47611" w:rsidRPr="004C7F84">
        <w:t> </w:t>
      </w:r>
      <w:r w:rsidRPr="004C7F84">
        <w:t>ans de demander des informations sur la contraception et les dispositifs contraceptifs de leur choix. Les auteurs d</w:t>
      </w:r>
      <w:r w:rsidR="00773F5D" w:rsidRPr="004C7F84">
        <w:t>’</w:t>
      </w:r>
      <w:r w:rsidRPr="004C7F84">
        <w:t>une étude sur les nouveaux utilisateurs de contraceptifs, effectuée en 2006 à partir des dossiers de l</w:t>
      </w:r>
      <w:r w:rsidR="00773F5D" w:rsidRPr="004C7F84">
        <w:t>’</w:t>
      </w:r>
      <w:r w:rsidRPr="004C7F84">
        <w:t>organisation, ont conclu qu</w:t>
      </w:r>
      <w:r w:rsidR="00773F5D" w:rsidRPr="004C7F84">
        <w:t>’</w:t>
      </w:r>
      <w:r w:rsidRPr="004C7F84">
        <w:t>au cours des six premiers mois de 2006, 17</w:t>
      </w:r>
      <w:r w:rsidR="0086373A" w:rsidRPr="004C7F84">
        <w:t> %</w:t>
      </w:r>
      <w:r w:rsidRPr="004C7F84">
        <w:t xml:space="preserve"> des nouveaux clients étaient des adolescents (Nunes et al., 2006). </w:t>
      </w:r>
    </w:p>
    <w:p w14:paraId="48D04D46" w14:textId="780333C9" w:rsidR="0034195A" w:rsidRPr="004C7F84" w:rsidRDefault="00EB7905" w:rsidP="00514306">
      <w:pPr>
        <w:pStyle w:val="SingleTxt"/>
        <w:numPr>
          <w:ilvl w:val="0"/>
          <w:numId w:val="23"/>
        </w:numPr>
        <w:spacing w:line="240" w:lineRule="exact"/>
        <w:ind w:left="1267" w:firstLine="0"/>
      </w:pPr>
      <w:r w:rsidRPr="004C7F84">
        <w:t>Bien qu</w:t>
      </w:r>
      <w:r w:rsidR="00773F5D" w:rsidRPr="004C7F84">
        <w:t>’</w:t>
      </w:r>
      <w:r w:rsidRPr="004C7F84">
        <w:t>ils ne soient pas entièrement</w:t>
      </w:r>
      <w:r w:rsidR="00D47611" w:rsidRPr="004C7F84">
        <w:t xml:space="preserve"> </w:t>
      </w:r>
      <w:r w:rsidRPr="004C7F84">
        <w:t>gratuits, les contraceptifs sont à présent disponibles à des prix fortement subventionnés dans tous les dispensaires de soins de santé primaires et pharmacies administrés par le Gouvernement. Les pharmacies sont gérées dans le cadre du régime d</w:t>
      </w:r>
      <w:r w:rsidR="00773F5D" w:rsidRPr="004C7F84">
        <w:t>’</w:t>
      </w:r>
      <w:r w:rsidR="00D47611" w:rsidRPr="004C7F84">
        <w:t xml:space="preserve">assurance médicale qui en est </w:t>
      </w:r>
      <w:r w:rsidRPr="004C7F84">
        <w:t>propriétaire. Après avoir consulté des infirmières dans les dispensaires, les clients se voient proposer une large gamme de contraceptifs allant des préservatifs masculins et féminins aux produits injectables. Toute personne qui se rend dans une p</w:t>
      </w:r>
      <w:r w:rsidR="00D47611" w:rsidRPr="004C7F84">
        <w:t xml:space="preserve">harmacie gérée dans le cadre du </w:t>
      </w:r>
      <w:r w:rsidRPr="004C7F84">
        <w:t>ré</w:t>
      </w:r>
      <w:r w:rsidR="00D47611" w:rsidRPr="004C7F84">
        <w:t>gime d</w:t>
      </w:r>
      <w:r w:rsidR="00773F5D" w:rsidRPr="004C7F84">
        <w:t>’</w:t>
      </w:r>
      <w:r w:rsidR="00D47611" w:rsidRPr="004C7F84">
        <w:t xml:space="preserve">assurance médicale </w:t>
      </w:r>
      <w:r w:rsidRPr="004C7F84">
        <w:t>peut emporter des préservatifs gratuits qui sont placés en évidence sur les comptoirs de la plupart, voire la totalité, des pharmacies.</w:t>
      </w:r>
    </w:p>
    <w:p w14:paraId="7A3164CC" w14:textId="77777777" w:rsidR="0034195A" w:rsidRPr="004C7F84" w:rsidRDefault="0034195A" w:rsidP="0034195A">
      <w:pPr>
        <w:pStyle w:val="SingleTxt"/>
        <w:spacing w:after="0" w:line="120" w:lineRule="exact"/>
        <w:rPr>
          <w:rFonts w:asciiTheme="majorBidi" w:hAnsiTheme="majorBidi" w:cstheme="majorBidi"/>
          <w:sz w:val="10"/>
        </w:rPr>
      </w:pPr>
    </w:p>
    <w:p w14:paraId="53F4D54D" w14:textId="53E0517A" w:rsidR="0034195A" w:rsidRPr="004C7F84" w:rsidRDefault="0034195A" w:rsidP="0034195A">
      <w:pPr>
        <w:pStyle w:val="H4"/>
        <w:ind w:right="1260"/>
      </w:pPr>
      <w:r w:rsidRPr="004C7F84">
        <w:tab/>
      </w:r>
      <w:r w:rsidRPr="004C7F84">
        <w:tab/>
      </w:r>
      <w:r w:rsidR="00EB7905" w:rsidRPr="004C7F84">
        <w:t>Caribbean Family Planning Association</w:t>
      </w:r>
      <w:r w:rsidR="00773F5D" w:rsidRPr="004C7F84">
        <w:t xml:space="preserve"> </w:t>
      </w:r>
    </w:p>
    <w:p w14:paraId="72A7DA17" w14:textId="77777777" w:rsidR="0034195A" w:rsidRPr="004C7F84" w:rsidRDefault="0034195A" w:rsidP="0034195A">
      <w:pPr>
        <w:pStyle w:val="SingleTxt"/>
        <w:spacing w:after="0" w:line="120" w:lineRule="exact"/>
        <w:rPr>
          <w:rFonts w:asciiTheme="majorBidi" w:hAnsiTheme="majorBidi" w:cstheme="majorBidi"/>
          <w:sz w:val="10"/>
        </w:rPr>
      </w:pPr>
    </w:p>
    <w:p w14:paraId="2C668C82" w14:textId="01E8C876" w:rsidR="0034195A" w:rsidRPr="004C7F84" w:rsidRDefault="00EB7905" w:rsidP="00514306">
      <w:pPr>
        <w:pStyle w:val="SingleTxt"/>
        <w:numPr>
          <w:ilvl w:val="0"/>
          <w:numId w:val="23"/>
        </w:numPr>
        <w:spacing w:line="240" w:lineRule="exact"/>
        <w:ind w:left="1267" w:firstLine="0"/>
        <w:rPr>
          <w:rFonts w:asciiTheme="majorBidi" w:hAnsiTheme="majorBidi" w:cstheme="majorBidi"/>
        </w:rPr>
      </w:pPr>
      <w:r w:rsidRPr="004C7F84">
        <w:t>Cette</w:t>
      </w:r>
      <w:r w:rsidRPr="004C7F84">
        <w:rPr>
          <w:rFonts w:asciiTheme="majorBidi" w:hAnsiTheme="majorBidi" w:cstheme="majorBidi"/>
        </w:rPr>
        <w:t xml:space="preserve"> organisation possède un bureau à Antigua et son personnel compéte</w:t>
      </w:r>
      <w:r w:rsidR="00D47611" w:rsidRPr="004C7F84">
        <w:rPr>
          <w:rFonts w:asciiTheme="majorBidi" w:hAnsiTheme="majorBidi" w:cstheme="majorBidi"/>
        </w:rPr>
        <w:t xml:space="preserve">nt dispense des conseils à tous </w:t>
      </w:r>
      <w:r w:rsidRPr="004C7F84">
        <w:rPr>
          <w:rFonts w:asciiTheme="majorBidi" w:hAnsiTheme="majorBidi" w:cstheme="majorBidi"/>
        </w:rPr>
        <w:t>ceux qu</w:t>
      </w:r>
      <w:r w:rsidR="00773F5D" w:rsidRPr="004C7F84">
        <w:rPr>
          <w:rFonts w:asciiTheme="majorBidi" w:hAnsiTheme="majorBidi" w:cstheme="majorBidi"/>
        </w:rPr>
        <w:t>’</w:t>
      </w:r>
      <w:r w:rsidRPr="004C7F84">
        <w:rPr>
          <w:rFonts w:asciiTheme="majorBidi" w:hAnsiTheme="majorBidi" w:cstheme="majorBidi"/>
        </w:rPr>
        <w:t>elle dessert. Elle a produit plusieurs affiches publicitaires sur le VIH/sida et autres MST ciblant spécifiquement les jeunes</w:t>
      </w:r>
      <w:r w:rsidR="0034195A" w:rsidRPr="004C7F84">
        <w:rPr>
          <w:rFonts w:asciiTheme="majorBidi" w:hAnsiTheme="majorBidi" w:cstheme="majorBidi"/>
        </w:rPr>
        <w:t xml:space="preserve">. </w:t>
      </w:r>
    </w:p>
    <w:p w14:paraId="75291D48" w14:textId="77777777" w:rsidR="0034195A" w:rsidRPr="004C7F84" w:rsidRDefault="0034195A" w:rsidP="0034195A">
      <w:pPr>
        <w:pStyle w:val="SingleTxt"/>
        <w:spacing w:after="0" w:line="120" w:lineRule="exact"/>
        <w:rPr>
          <w:rFonts w:asciiTheme="majorBidi" w:hAnsiTheme="majorBidi" w:cstheme="majorBidi"/>
          <w:sz w:val="10"/>
        </w:rPr>
      </w:pPr>
    </w:p>
    <w:p w14:paraId="45554CFD" w14:textId="5A1A74CA" w:rsidR="0034195A" w:rsidRPr="00F05573" w:rsidRDefault="0034195A" w:rsidP="0034195A">
      <w:pPr>
        <w:pStyle w:val="H4"/>
        <w:ind w:right="1260"/>
        <w:rPr>
          <w:lang w:val="en-US"/>
        </w:rPr>
      </w:pPr>
      <w:r w:rsidRPr="004C7F84">
        <w:tab/>
      </w:r>
      <w:r w:rsidRPr="004C7F84">
        <w:tab/>
      </w:r>
      <w:r w:rsidR="00EB7905" w:rsidRPr="00F05573">
        <w:rPr>
          <w:lang w:val="en-US"/>
        </w:rPr>
        <w:t>Collaborative Committee for the Promotion of Emotional Health in Children</w:t>
      </w:r>
      <w:r w:rsidRPr="00F05573">
        <w:rPr>
          <w:lang w:val="en-US"/>
        </w:rPr>
        <w:t xml:space="preserve"> </w:t>
      </w:r>
    </w:p>
    <w:p w14:paraId="74776D3C" w14:textId="77777777" w:rsidR="0034195A" w:rsidRPr="00F05573" w:rsidRDefault="0034195A" w:rsidP="0034195A">
      <w:pPr>
        <w:pStyle w:val="SingleTxt"/>
        <w:spacing w:after="0" w:line="120" w:lineRule="exact"/>
        <w:rPr>
          <w:rFonts w:asciiTheme="majorBidi" w:hAnsiTheme="majorBidi" w:cstheme="majorBidi"/>
          <w:sz w:val="10"/>
          <w:lang w:val="en-US"/>
        </w:rPr>
      </w:pPr>
    </w:p>
    <w:p w14:paraId="5CEBACAC" w14:textId="37894B38" w:rsidR="00EB7905" w:rsidRPr="004C7F84" w:rsidRDefault="00EB7905" w:rsidP="00514306">
      <w:pPr>
        <w:pStyle w:val="SingleTxt"/>
        <w:numPr>
          <w:ilvl w:val="0"/>
          <w:numId w:val="23"/>
        </w:numPr>
        <w:spacing w:line="240" w:lineRule="exact"/>
        <w:ind w:left="1267" w:firstLine="0"/>
      </w:pPr>
      <w:r w:rsidRPr="004C7F84">
        <w:t>Cette ONG, qui bénéficie d</w:t>
      </w:r>
      <w:r w:rsidR="00773F5D" w:rsidRPr="004C7F84">
        <w:t>’</w:t>
      </w:r>
      <w:r w:rsidRPr="004C7F84">
        <w:t>un soutien financier du Go</w:t>
      </w:r>
      <w:r w:rsidR="00D47611" w:rsidRPr="004C7F84">
        <w:t>uvernement, s</w:t>
      </w:r>
      <w:r w:rsidR="00773F5D" w:rsidRPr="004C7F84">
        <w:t>’</w:t>
      </w:r>
      <w:r w:rsidR="00D47611" w:rsidRPr="004C7F84">
        <w:t xml:space="preserve">attache à assurer </w:t>
      </w:r>
      <w:r w:rsidRPr="004C7F84">
        <w:t>la santé et le bien-être psychologique des enfants, en particulier ceux dont les mères sont adolescentes. Elle gère un centre d</w:t>
      </w:r>
      <w:r w:rsidR="00773F5D" w:rsidRPr="004C7F84">
        <w:t>’</w:t>
      </w:r>
      <w:r w:rsidRPr="004C7F84">
        <w:t>orientation de l</w:t>
      </w:r>
      <w:r w:rsidR="00773F5D" w:rsidRPr="004C7F84">
        <w:t>’</w:t>
      </w:r>
      <w:r w:rsidRPr="004C7F84">
        <w:t xml:space="preserve">enfance et de la famille, qui fournit des </w:t>
      </w:r>
      <w:r w:rsidRPr="004C7F84">
        <w:rPr>
          <w:rStyle w:val="preferred"/>
        </w:rPr>
        <w:t>services d</w:t>
      </w:r>
      <w:r w:rsidR="00773F5D" w:rsidRPr="004C7F84">
        <w:rPr>
          <w:rStyle w:val="preferred"/>
        </w:rPr>
        <w:t>’</w:t>
      </w:r>
      <w:r w:rsidRPr="004C7F84">
        <w:rPr>
          <w:rStyle w:val="preferred"/>
        </w:rPr>
        <w:t xml:space="preserve">appui socio-psychologique </w:t>
      </w:r>
      <w:r w:rsidR="00D47611" w:rsidRPr="004C7F84">
        <w:t xml:space="preserve">aux enfants. Elle administre </w:t>
      </w:r>
      <w:r w:rsidRPr="004C7F84">
        <w:t>également un centre d</w:t>
      </w:r>
      <w:r w:rsidR="00773F5D" w:rsidRPr="004C7F84">
        <w:t>’</w:t>
      </w:r>
      <w:r w:rsidRPr="004C7F84">
        <w:t>information sur l</w:t>
      </w:r>
      <w:r w:rsidR="00773F5D" w:rsidRPr="004C7F84">
        <w:t>’</w:t>
      </w:r>
      <w:r w:rsidRPr="004C7F84">
        <w:t>éducation parentale à l</w:t>
      </w:r>
      <w:r w:rsidR="00773F5D" w:rsidRPr="004C7F84">
        <w:t>’</w:t>
      </w:r>
      <w:r w:rsidRPr="004C7F84">
        <w:t>intention des parents des enfants qui participent à ses sessions de soutien psychologique. En 2013, environ 40</w:t>
      </w:r>
      <w:r w:rsidR="00D47611" w:rsidRPr="004C7F84">
        <w:t> </w:t>
      </w:r>
      <w:r w:rsidRPr="004C7F84">
        <w:t>enfants et 30</w:t>
      </w:r>
      <w:r w:rsidR="00D47611" w:rsidRPr="004C7F84">
        <w:t> </w:t>
      </w:r>
      <w:r w:rsidRPr="004C7F84">
        <w:t>parents (essentiellement des femmes) fréquentaient régulièrement ce centre.</w:t>
      </w:r>
    </w:p>
    <w:p w14:paraId="2301EF18" w14:textId="296B5520" w:rsidR="0034195A" w:rsidRPr="004C7F84" w:rsidRDefault="00EB7905" w:rsidP="00514306">
      <w:pPr>
        <w:pStyle w:val="SingleTxt"/>
        <w:numPr>
          <w:ilvl w:val="0"/>
          <w:numId w:val="23"/>
        </w:numPr>
        <w:spacing w:line="240" w:lineRule="exact"/>
        <w:ind w:left="1267" w:firstLine="0"/>
      </w:pPr>
      <w:r w:rsidRPr="004C7F84">
        <w:t>Outre la fourniture de conseils, ce centre accorde é</w:t>
      </w:r>
      <w:r w:rsidR="00D47611" w:rsidRPr="004C7F84">
        <w:t xml:space="preserve">galement aux mères une modeste </w:t>
      </w:r>
      <w:r w:rsidRPr="004C7F84">
        <w:t>allocation qui leur permet de se procurer des fournitures essentielles pour bébé. Il organise également, tous les samedis, des cours de rattrapage en lecture à l</w:t>
      </w:r>
      <w:r w:rsidR="00773F5D" w:rsidRPr="004C7F84">
        <w:t>’</w:t>
      </w:r>
      <w:r w:rsidRPr="004C7F84">
        <w:t>intention d</w:t>
      </w:r>
      <w:r w:rsidR="00773F5D" w:rsidRPr="004C7F84">
        <w:t>’</w:t>
      </w:r>
      <w:r w:rsidRPr="004C7F84">
        <w:t>une trentaine de parents. Si des mères adolescentes souhaitent reprendre leurs études, elles sont encouragées dans cette voie et elles bénéficient d</w:t>
      </w:r>
      <w:r w:rsidR="00773F5D" w:rsidRPr="004C7F84">
        <w:t>’</w:t>
      </w:r>
      <w:r w:rsidRPr="004C7F84">
        <w:t>une assistance</w:t>
      </w:r>
      <w:r w:rsidRPr="004C7F84">
        <w:rPr>
          <w:color w:val="FF0000"/>
        </w:rPr>
        <w:t xml:space="preserve"> </w:t>
      </w:r>
      <w:r w:rsidRPr="004C7F84">
        <w:t>à cette fin</w:t>
      </w:r>
      <w:r w:rsidR="0034195A" w:rsidRPr="004C7F84">
        <w:rPr>
          <w:rFonts w:asciiTheme="majorBidi" w:hAnsiTheme="majorBidi" w:cstheme="majorBidi"/>
        </w:rPr>
        <w:t xml:space="preserve">. </w:t>
      </w:r>
    </w:p>
    <w:p w14:paraId="1C3E3E98" w14:textId="77777777" w:rsidR="0034195A" w:rsidRPr="004C7F84" w:rsidRDefault="0034195A" w:rsidP="0034195A">
      <w:pPr>
        <w:pStyle w:val="SingleTxt"/>
        <w:spacing w:after="0" w:line="120" w:lineRule="exact"/>
        <w:rPr>
          <w:rFonts w:asciiTheme="majorBidi" w:hAnsiTheme="majorBidi" w:cstheme="majorBidi"/>
          <w:sz w:val="10"/>
        </w:rPr>
      </w:pPr>
    </w:p>
    <w:p w14:paraId="1AF3FCA7" w14:textId="48868CAB"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EB7905" w:rsidRPr="004C7F84">
        <w:rPr>
          <w:lang w:val="fr-FR"/>
        </w:rPr>
        <w:t>Taux de mortalité périnatale (pour 1</w:t>
      </w:r>
      <w:r w:rsidR="00D47611" w:rsidRPr="004C7F84">
        <w:rPr>
          <w:lang w:val="fr-FR"/>
        </w:rPr>
        <w:t> </w:t>
      </w:r>
      <w:r w:rsidR="00EB7905" w:rsidRPr="004C7F84">
        <w:rPr>
          <w:lang w:val="fr-FR"/>
        </w:rPr>
        <w:t>000 naissances vivantes)</w:t>
      </w:r>
    </w:p>
    <w:p w14:paraId="1D304552" w14:textId="77777777" w:rsidR="0034195A" w:rsidRPr="004C7F84" w:rsidRDefault="0034195A" w:rsidP="0034195A">
      <w:pPr>
        <w:pStyle w:val="SingleTxt"/>
        <w:spacing w:after="0" w:line="120" w:lineRule="exact"/>
        <w:rPr>
          <w:rFonts w:asciiTheme="majorBidi" w:hAnsiTheme="majorBidi" w:cstheme="majorBidi"/>
          <w:sz w:val="10"/>
        </w:rPr>
      </w:pPr>
    </w:p>
    <w:p w14:paraId="5FE02C89" w14:textId="527F3EC3" w:rsidR="0034195A" w:rsidRPr="004C7F84" w:rsidRDefault="00EB7905" w:rsidP="00514306">
      <w:pPr>
        <w:pStyle w:val="SingleTxt"/>
        <w:numPr>
          <w:ilvl w:val="0"/>
          <w:numId w:val="23"/>
        </w:numPr>
        <w:spacing w:line="240" w:lineRule="exact"/>
        <w:ind w:left="1267" w:firstLine="0"/>
        <w:rPr>
          <w:rFonts w:asciiTheme="majorBidi" w:hAnsiTheme="majorBidi" w:cstheme="majorBidi"/>
        </w:rPr>
      </w:pPr>
      <w:r w:rsidRPr="004C7F84">
        <w:t>Le Comité s</w:t>
      </w:r>
      <w:r w:rsidR="00773F5D" w:rsidRPr="004C7F84">
        <w:t>’</w:t>
      </w:r>
      <w:r w:rsidRPr="004C7F84">
        <w:t>est inquiété de la forte mortalité périnatale dans l</w:t>
      </w:r>
      <w:r w:rsidR="00773F5D" w:rsidRPr="004C7F84">
        <w:t>’</w:t>
      </w:r>
      <w:r w:rsidRPr="004C7F84">
        <w:t xml:space="preserve">observation </w:t>
      </w:r>
      <w:r w:rsidR="00D47611" w:rsidRPr="004C7F84">
        <w:t>n</w:t>
      </w:r>
      <w:r w:rsidR="00D47611" w:rsidRPr="004C7F84">
        <w:rPr>
          <w:vertAlign w:val="superscript"/>
        </w:rPr>
        <w:t>o</w:t>
      </w:r>
      <w:r w:rsidR="00D47611" w:rsidRPr="004C7F84">
        <w:t> </w:t>
      </w:r>
      <w:r w:rsidRPr="004C7F84">
        <w:t>260. Les taux cités dans le rapport précédent</w:t>
      </w:r>
      <w:r w:rsidR="00D47611" w:rsidRPr="004C7F84">
        <w:t xml:space="preserve"> portaient sur la période 1987­</w:t>
      </w:r>
      <w:r w:rsidRPr="004C7F84">
        <w:t>1992 (voir le tableau</w:t>
      </w:r>
      <w:r w:rsidR="00D47611" w:rsidRPr="004C7F84">
        <w:t> </w:t>
      </w:r>
      <w:r w:rsidRPr="004C7F84">
        <w:t>10 ci-après). Le taux de mortalité périnatale pour ces années était de 30,6 pour 1</w:t>
      </w:r>
      <w:r w:rsidR="00D47611" w:rsidRPr="004C7F84">
        <w:t> </w:t>
      </w:r>
      <w:r w:rsidRPr="004C7F84">
        <w:t>000 naissances vivantes en moyenne, avec un pic de 43,75 en 1988 et un creux de 22,6 en 1989.</w:t>
      </w:r>
    </w:p>
    <w:p w14:paraId="36196421" w14:textId="77777777" w:rsidR="0034195A" w:rsidRPr="004C7F84" w:rsidRDefault="0034195A" w:rsidP="0034195A">
      <w:pPr>
        <w:pStyle w:val="SingleTxt"/>
        <w:spacing w:after="0" w:line="120" w:lineRule="exact"/>
        <w:rPr>
          <w:rFonts w:asciiTheme="majorBidi" w:hAnsiTheme="majorBidi" w:cstheme="majorBidi"/>
          <w:sz w:val="10"/>
        </w:rPr>
      </w:pPr>
    </w:p>
    <w:p w14:paraId="07231019" w14:textId="2BC4F669"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b w:val="0"/>
          <w:bCs/>
          <w:lang w:val="fr-FR"/>
        </w:rPr>
        <w:tab/>
      </w:r>
      <w:r w:rsidRPr="004C7F84">
        <w:rPr>
          <w:b w:val="0"/>
          <w:bCs/>
          <w:lang w:val="fr-FR"/>
        </w:rPr>
        <w:tab/>
        <w:t>Table</w:t>
      </w:r>
      <w:r w:rsidR="00EB7905" w:rsidRPr="004C7F84">
        <w:rPr>
          <w:b w:val="0"/>
          <w:bCs/>
          <w:lang w:val="fr-FR"/>
        </w:rPr>
        <w:t>au</w:t>
      </w:r>
      <w:r w:rsidRPr="004C7F84">
        <w:rPr>
          <w:b w:val="0"/>
          <w:bCs/>
          <w:lang w:val="fr-FR"/>
        </w:rPr>
        <w:t xml:space="preserve"> 10 </w:t>
      </w:r>
      <w:r w:rsidRPr="004C7F84">
        <w:rPr>
          <w:lang w:val="fr-FR"/>
        </w:rPr>
        <w:br/>
      </w:r>
      <w:r w:rsidR="00EB7905" w:rsidRPr="004C7F84">
        <w:rPr>
          <w:lang w:val="fr-FR"/>
        </w:rPr>
        <w:t>Taux de mortalité périnatale – années retenues </w:t>
      </w:r>
    </w:p>
    <w:p w14:paraId="672D34D8" w14:textId="0E32A38E" w:rsidR="0034195A" w:rsidRPr="004C7F84" w:rsidRDefault="0034195A" w:rsidP="00D47611">
      <w:pPr>
        <w:pStyle w:val="SingleTxt"/>
        <w:spacing w:after="0" w:line="120" w:lineRule="exact"/>
        <w:rPr>
          <w:rFonts w:asciiTheme="majorBidi" w:hAnsiTheme="majorBidi" w:cstheme="majorBidi"/>
          <w:sz w:val="10"/>
        </w:rPr>
      </w:pPr>
    </w:p>
    <w:p w14:paraId="47B93A3B" w14:textId="77777777" w:rsidR="00D47611" w:rsidRPr="004C7F84" w:rsidRDefault="00D47611" w:rsidP="0034195A">
      <w:pPr>
        <w:pStyle w:val="SingleTxt"/>
        <w:spacing w:after="0" w:line="120" w:lineRule="exact"/>
        <w:rPr>
          <w:rFonts w:asciiTheme="majorBidi" w:hAnsiTheme="majorBidi" w:cstheme="majorBidi"/>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046"/>
        <w:gridCol w:w="1046"/>
        <w:gridCol w:w="1046"/>
        <w:gridCol w:w="1046"/>
        <w:gridCol w:w="1046"/>
        <w:gridCol w:w="1046"/>
        <w:gridCol w:w="1046"/>
      </w:tblGrid>
      <w:tr w:rsidR="0034195A" w:rsidRPr="004C7F84" w14:paraId="0BF9035C" w14:textId="77777777" w:rsidTr="0034195A">
        <w:trPr>
          <w:tblHeader/>
        </w:trPr>
        <w:tc>
          <w:tcPr>
            <w:tcW w:w="1046" w:type="dxa"/>
            <w:tcBorders>
              <w:top w:val="single" w:sz="4" w:space="0" w:color="auto"/>
              <w:bottom w:val="single" w:sz="12" w:space="0" w:color="auto"/>
            </w:tcBorders>
            <w:shd w:val="clear" w:color="auto" w:fill="auto"/>
            <w:vAlign w:val="bottom"/>
          </w:tcPr>
          <w:p w14:paraId="4C51314A" w14:textId="002A47EF" w:rsidR="0034195A" w:rsidRPr="004C7F84" w:rsidRDefault="00EB7905" w:rsidP="0034195A">
            <w:pPr>
              <w:tabs>
                <w:tab w:val="left" w:pos="288"/>
                <w:tab w:val="left" w:pos="576"/>
                <w:tab w:val="left" w:pos="864"/>
                <w:tab w:val="left" w:pos="1152"/>
              </w:tabs>
              <w:spacing w:before="81" w:after="81" w:line="160" w:lineRule="exact"/>
              <w:ind w:right="40"/>
              <w:rPr>
                <w:i/>
                <w:sz w:val="14"/>
              </w:rPr>
            </w:pPr>
            <w:r w:rsidRPr="004C7F84">
              <w:rPr>
                <w:i/>
                <w:sz w:val="14"/>
              </w:rPr>
              <w:t>Année</w:t>
            </w:r>
          </w:p>
        </w:tc>
        <w:tc>
          <w:tcPr>
            <w:tcW w:w="1046" w:type="dxa"/>
            <w:tcBorders>
              <w:top w:val="single" w:sz="4" w:space="0" w:color="auto"/>
              <w:bottom w:val="single" w:sz="12" w:space="0" w:color="auto"/>
            </w:tcBorders>
            <w:shd w:val="clear" w:color="auto" w:fill="auto"/>
            <w:vAlign w:val="bottom"/>
          </w:tcPr>
          <w:p w14:paraId="61DCB028"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1987</w:t>
            </w:r>
          </w:p>
        </w:tc>
        <w:tc>
          <w:tcPr>
            <w:tcW w:w="1046" w:type="dxa"/>
            <w:tcBorders>
              <w:top w:val="single" w:sz="4" w:space="0" w:color="auto"/>
              <w:bottom w:val="single" w:sz="12" w:space="0" w:color="auto"/>
            </w:tcBorders>
            <w:shd w:val="clear" w:color="auto" w:fill="auto"/>
            <w:vAlign w:val="bottom"/>
          </w:tcPr>
          <w:p w14:paraId="6A5EEB49"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1988</w:t>
            </w:r>
          </w:p>
        </w:tc>
        <w:tc>
          <w:tcPr>
            <w:tcW w:w="1046" w:type="dxa"/>
            <w:tcBorders>
              <w:top w:val="single" w:sz="4" w:space="0" w:color="auto"/>
              <w:bottom w:val="single" w:sz="12" w:space="0" w:color="auto"/>
            </w:tcBorders>
            <w:shd w:val="clear" w:color="auto" w:fill="auto"/>
            <w:vAlign w:val="bottom"/>
          </w:tcPr>
          <w:p w14:paraId="567539EB"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1989</w:t>
            </w:r>
          </w:p>
        </w:tc>
        <w:tc>
          <w:tcPr>
            <w:tcW w:w="1046" w:type="dxa"/>
            <w:tcBorders>
              <w:top w:val="single" w:sz="4" w:space="0" w:color="auto"/>
              <w:bottom w:val="single" w:sz="12" w:space="0" w:color="auto"/>
            </w:tcBorders>
            <w:shd w:val="clear" w:color="auto" w:fill="auto"/>
            <w:vAlign w:val="bottom"/>
          </w:tcPr>
          <w:p w14:paraId="6A3BC383"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1990</w:t>
            </w:r>
          </w:p>
        </w:tc>
        <w:tc>
          <w:tcPr>
            <w:tcW w:w="1046" w:type="dxa"/>
            <w:tcBorders>
              <w:top w:val="single" w:sz="4" w:space="0" w:color="auto"/>
              <w:bottom w:val="single" w:sz="12" w:space="0" w:color="auto"/>
            </w:tcBorders>
            <w:shd w:val="clear" w:color="auto" w:fill="auto"/>
            <w:vAlign w:val="bottom"/>
          </w:tcPr>
          <w:p w14:paraId="11C85BF3"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1991</w:t>
            </w:r>
          </w:p>
        </w:tc>
        <w:tc>
          <w:tcPr>
            <w:tcW w:w="1046" w:type="dxa"/>
            <w:tcBorders>
              <w:top w:val="single" w:sz="4" w:space="0" w:color="auto"/>
              <w:bottom w:val="single" w:sz="12" w:space="0" w:color="auto"/>
            </w:tcBorders>
            <w:shd w:val="clear" w:color="auto" w:fill="auto"/>
            <w:vAlign w:val="bottom"/>
          </w:tcPr>
          <w:p w14:paraId="4E7C2735"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1992</w:t>
            </w:r>
          </w:p>
        </w:tc>
      </w:tr>
      <w:tr w:rsidR="0034195A" w:rsidRPr="004C7F84" w14:paraId="64A1318B" w14:textId="77777777" w:rsidTr="0034195A">
        <w:trPr>
          <w:trHeight w:hRule="exact" w:val="115"/>
          <w:tblHeader/>
        </w:trPr>
        <w:tc>
          <w:tcPr>
            <w:tcW w:w="1046" w:type="dxa"/>
            <w:tcBorders>
              <w:top w:val="single" w:sz="12" w:space="0" w:color="auto"/>
            </w:tcBorders>
            <w:shd w:val="clear" w:color="auto" w:fill="auto"/>
            <w:vAlign w:val="bottom"/>
          </w:tcPr>
          <w:p w14:paraId="6B02917F" w14:textId="77777777" w:rsidR="0034195A" w:rsidRPr="004C7F84" w:rsidRDefault="0034195A" w:rsidP="0034195A">
            <w:pPr>
              <w:tabs>
                <w:tab w:val="left" w:pos="288"/>
                <w:tab w:val="left" w:pos="576"/>
                <w:tab w:val="left" w:pos="864"/>
                <w:tab w:val="left" w:pos="1152"/>
              </w:tabs>
              <w:spacing w:before="40" w:after="40" w:line="210" w:lineRule="exact"/>
              <w:ind w:right="40"/>
              <w:rPr>
                <w:sz w:val="17"/>
              </w:rPr>
            </w:pPr>
          </w:p>
        </w:tc>
        <w:tc>
          <w:tcPr>
            <w:tcW w:w="1046" w:type="dxa"/>
            <w:tcBorders>
              <w:top w:val="single" w:sz="12" w:space="0" w:color="auto"/>
            </w:tcBorders>
            <w:shd w:val="clear" w:color="auto" w:fill="auto"/>
            <w:vAlign w:val="bottom"/>
          </w:tcPr>
          <w:p w14:paraId="5C94B45D"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4FD83E1C"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35D38859"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0F227F73"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39800C56"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1046" w:type="dxa"/>
            <w:tcBorders>
              <w:top w:val="single" w:sz="12" w:space="0" w:color="auto"/>
            </w:tcBorders>
            <w:shd w:val="clear" w:color="auto" w:fill="auto"/>
            <w:vAlign w:val="bottom"/>
          </w:tcPr>
          <w:p w14:paraId="00660382"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r>
      <w:tr w:rsidR="0034195A" w:rsidRPr="004C7F84" w14:paraId="07CE20AC" w14:textId="77777777" w:rsidTr="0034195A">
        <w:tc>
          <w:tcPr>
            <w:tcW w:w="1046" w:type="dxa"/>
            <w:tcBorders>
              <w:bottom w:val="single" w:sz="12" w:space="0" w:color="auto"/>
            </w:tcBorders>
            <w:shd w:val="clear" w:color="auto" w:fill="auto"/>
            <w:vAlign w:val="bottom"/>
          </w:tcPr>
          <w:p w14:paraId="16F69EDB" w14:textId="01A1FAFE" w:rsidR="0034195A" w:rsidRPr="004C7F84" w:rsidRDefault="00EB7905" w:rsidP="0034195A">
            <w:pPr>
              <w:tabs>
                <w:tab w:val="left" w:pos="288"/>
                <w:tab w:val="left" w:pos="576"/>
                <w:tab w:val="left" w:pos="864"/>
                <w:tab w:val="left" w:pos="1152"/>
              </w:tabs>
              <w:spacing w:before="40" w:after="40" w:line="210" w:lineRule="exact"/>
              <w:ind w:right="40"/>
              <w:rPr>
                <w:sz w:val="17"/>
              </w:rPr>
            </w:pPr>
            <w:r w:rsidRPr="004C7F84">
              <w:rPr>
                <w:sz w:val="17"/>
              </w:rPr>
              <w:t>Taux</w:t>
            </w:r>
          </w:p>
        </w:tc>
        <w:tc>
          <w:tcPr>
            <w:tcW w:w="1046" w:type="dxa"/>
            <w:tcBorders>
              <w:bottom w:val="single" w:sz="12" w:space="0" w:color="auto"/>
            </w:tcBorders>
            <w:shd w:val="clear" w:color="auto" w:fill="auto"/>
            <w:vAlign w:val="bottom"/>
          </w:tcPr>
          <w:p w14:paraId="0E38F501" w14:textId="72090254"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26</w:t>
            </w:r>
            <w:r w:rsidR="008477BC" w:rsidRPr="004C7F84">
              <w:rPr>
                <w:sz w:val="17"/>
              </w:rPr>
              <w:t>,</w:t>
            </w:r>
            <w:r w:rsidRPr="004C7F84">
              <w:rPr>
                <w:sz w:val="17"/>
              </w:rPr>
              <w:t>80</w:t>
            </w:r>
          </w:p>
        </w:tc>
        <w:tc>
          <w:tcPr>
            <w:tcW w:w="1046" w:type="dxa"/>
            <w:tcBorders>
              <w:bottom w:val="single" w:sz="12" w:space="0" w:color="auto"/>
            </w:tcBorders>
            <w:shd w:val="clear" w:color="auto" w:fill="auto"/>
            <w:vAlign w:val="bottom"/>
          </w:tcPr>
          <w:p w14:paraId="3A1BD8BE" w14:textId="68EC0690"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43</w:t>
            </w:r>
            <w:r w:rsidR="008477BC" w:rsidRPr="004C7F84">
              <w:rPr>
                <w:sz w:val="17"/>
              </w:rPr>
              <w:t>,</w:t>
            </w:r>
            <w:r w:rsidRPr="004C7F84">
              <w:rPr>
                <w:sz w:val="17"/>
              </w:rPr>
              <w:t>75</w:t>
            </w:r>
          </w:p>
        </w:tc>
        <w:tc>
          <w:tcPr>
            <w:tcW w:w="1046" w:type="dxa"/>
            <w:tcBorders>
              <w:bottom w:val="single" w:sz="12" w:space="0" w:color="auto"/>
            </w:tcBorders>
            <w:shd w:val="clear" w:color="auto" w:fill="auto"/>
            <w:vAlign w:val="bottom"/>
          </w:tcPr>
          <w:p w14:paraId="5956BF66" w14:textId="31E050B9"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22</w:t>
            </w:r>
            <w:r w:rsidR="008477BC" w:rsidRPr="004C7F84">
              <w:rPr>
                <w:sz w:val="17"/>
              </w:rPr>
              <w:t>,</w:t>
            </w:r>
            <w:r w:rsidRPr="004C7F84">
              <w:rPr>
                <w:sz w:val="17"/>
              </w:rPr>
              <w:t>60</w:t>
            </w:r>
          </w:p>
        </w:tc>
        <w:tc>
          <w:tcPr>
            <w:tcW w:w="1046" w:type="dxa"/>
            <w:tcBorders>
              <w:bottom w:val="single" w:sz="12" w:space="0" w:color="auto"/>
            </w:tcBorders>
            <w:shd w:val="clear" w:color="auto" w:fill="auto"/>
            <w:vAlign w:val="bottom"/>
          </w:tcPr>
          <w:p w14:paraId="6FF985BE" w14:textId="73B5AA8E"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31</w:t>
            </w:r>
            <w:r w:rsidR="008477BC" w:rsidRPr="004C7F84">
              <w:rPr>
                <w:sz w:val="17"/>
              </w:rPr>
              <w:t>,</w:t>
            </w:r>
            <w:r w:rsidRPr="004C7F84">
              <w:rPr>
                <w:sz w:val="17"/>
              </w:rPr>
              <w:t>06</w:t>
            </w:r>
          </w:p>
        </w:tc>
        <w:tc>
          <w:tcPr>
            <w:tcW w:w="1046" w:type="dxa"/>
            <w:tcBorders>
              <w:bottom w:val="single" w:sz="12" w:space="0" w:color="auto"/>
            </w:tcBorders>
            <w:shd w:val="clear" w:color="auto" w:fill="auto"/>
            <w:vAlign w:val="bottom"/>
          </w:tcPr>
          <w:p w14:paraId="528CB41F" w14:textId="57342B42"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31</w:t>
            </w:r>
            <w:r w:rsidR="008477BC" w:rsidRPr="004C7F84">
              <w:rPr>
                <w:sz w:val="17"/>
              </w:rPr>
              <w:t>,</w:t>
            </w:r>
            <w:r w:rsidRPr="004C7F84">
              <w:rPr>
                <w:sz w:val="17"/>
              </w:rPr>
              <w:t>74</w:t>
            </w:r>
          </w:p>
        </w:tc>
        <w:tc>
          <w:tcPr>
            <w:tcW w:w="1046" w:type="dxa"/>
            <w:tcBorders>
              <w:bottom w:val="single" w:sz="12" w:space="0" w:color="auto"/>
            </w:tcBorders>
            <w:shd w:val="clear" w:color="auto" w:fill="auto"/>
            <w:vAlign w:val="bottom"/>
          </w:tcPr>
          <w:p w14:paraId="7AE6EAE4" w14:textId="6453E289"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27</w:t>
            </w:r>
            <w:r w:rsidR="008477BC" w:rsidRPr="004C7F84">
              <w:rPr>
                <w:sz w:val="17"/>
              </w:rPr>
              <w:t>,</w:t>
            </w:r>
            <w:r w:rsidRPr="004C7F84">
              <w:rPr>
                <w:sz w:val="17"/>
              </w:rPr>
              <w:t>59</w:t>
            </w:r>
          </w:p>
        </w:tc>
      </w:tr>
    </w:tbl>
    <w:p w14:paraId="09C81312" w14:textId="77777777" w:rsidR="0034195A" w:rsidRPr="004C7F84" w:rsidRDefault="0034195A" w:rsidP="0034195A">
      <w:pPr>
        <w:pStyle w:val="SingleTxt"/>
        <w:spacing w:after="0" w:line="120" w:lineRule="exact"/>
        <w:rPr>
          <w:rFonts w:asciiTheme="majorBidi" w:hAnsiTheme="majorBidi" w:cstheme="majorBidi"/>
          <w:sz w:val="10"/>
        </w:rPr>
      </w:pPr>
    </w:p>
    <w:p w14:paraId="5B904FF0" w14:textId="2D2B3E06" w:rsidR="0034195A" w:rsidRPr="004C7F84" w:rsidRDefault="0034195A" w:rsidP="0034195A">
      <w:pPr>
        <w:pStyle w:val="FootnoteText"/>
        <w:tabs>
          <w:tab w:val="clear" w:pos="418"/>
          <w:tab w:val="right" w:pos="1476"/>
          <w:tab w:val="left" w:pos="1548"/>
          <w:tab w:val="right" w:pos="1836"/>
          <w:tab w:val="left" w:pos="1908"/>
        </w:tabs>
        <w:ind w:left="1548" w:right="1267" w:hanging="288"/>
      </w:pPr>
      <w:r w:rsidRPr="004C7F84">
        <w:rPr>
          <w:i/>
          <w:iCs/>
        </w:rPr>
        <w:t>Source</w:t>
      </w:r>
      <w:r w:rsidR="00773F5D" w:rsidRPr="004C7F84">
        <w:rPr>
          <w:i/>
          <w:iCs/>
        </w:rPr>
        <w:t> :</w:t>
      </w:r>
      <w:r w:rsidRPr="004C7F84">
        <w:t xml:space="preserve"> </w:t>
      </w:r>
      <w:r w:rsidR="00EB7905" w:rsidRPr="004C7F84">
        <w:t>Division de l</w:t>
      </w:r>
      <w:r w:rsidR="00773F5D" w:rsidRPr="004C7F84">
        <w:t>’</w:t>
      </w:r>
      <w:r w:rsidR="00EB7905" w:rsidRPr="004C7F84">
        <w:t>information sanitaire, Ministère de la santé, Antigua-et-Barbuda</w:t>
      </w:r>
      <w:r w:rsidRPr="004C7F84">
        <w:t xml:space="preserve">. </w:t>
      </w:r>
    </w:p>
    <w:p w14:paraId="4A577F15" w14:textId="77777777" w:rsidR="0034195A" w:rsidRPr="004C7F84" w:rsidRDefault="0034195A" w:rsidP="0034195A">
      <w:pPr>
        <w:pStyle w:val="SingleTxt"/>
        <w:spacing w:after="0" w:line="120" w:lineRule="exact"/>
        <w:rPr>
          <w:rFonts w:asciiTheme="majorBidi" w:hAnsiTheme="majorBidi" w:cstheme="majorBidi"/>
          <w:sz w:val="10"/>
        </w:rPr>
      </w:pPr>
    </w:p>
    <w:p w14:paraId="19B31AC1" w14:textId="77777777" w:rsidR="0034195A" w:rsidRPr="004C7F84" w:rsidRDefault="0034195A" w:rsidP="0034195A">
      <w:pPr>
        <w:pStyle w:val="SingleTxt"/>
        <w:spacing w:after="0" w:line="120" w:lineRule="exact"/>
        <w:rPr>
          <w:rFonts w:asciiTheme="majorBidi" w:hAnsiTheme="majorBidi" w:cstheme="majorBidi"/>
          <w:sz w:val="10"/>
        </w:rPr>
      </w:pPr>
    </w:p>
    <w:p w14:paraId="07161497" w14:textId="1FE56D32" w:rsidR="0034195A" w:rsidRPr="004C7F84" w:rsidRDefault="008477BC" w:rsidP="00514306">
      <w:pPr>
        <w:pStyle w:val="SingleTxt"/>
        <w:numPr>
          <w:ilvl w:val="0"/>
          <w:numId w:val="23"/>
        </w:numPr>
        <w:spacing w:line="240" w:lineRule="exact"/>
        <w:ind w:left="1267" w:firstLine="0"/>
        <w:rPr>
          <w:rFonts w:asciiTheme="majorBidi" w:hAnsiTheme="majorBidi" w:cstheme="majorBidi"/>
        </w:rPr>
      </w:pPr>
      <w:r w:rsidRPr="004C7F84">
        <w:t>Des statistiques plus récentes sont disponibles uniquement pour les décès périnatals mais pas pour le taux de mortalité (voir le tableau 11 ci-après)</w:t>
      </w:r>
      <w:r w:rsidR="0034195A" w:rsidRPr="004C7F84">
        <w:rPr>
          <w:rFonts w:asciiTheme="majorBidi" w:hAnsiTheme="majorBidi" w:cstheme="majorBidi"/>
        </w:rPr>
        <w:t xml:space="preserve">. </w:t>
      </w:r>
    </w:p>
    <w:p w14:paraId="75209A5A" w14:textId="77777777" w:rsidR="0034195A" w:rsidRPr="004C7F84" w:rsidRDefault="0034195A" w:rsidP="0034195A">
      <w:pPr>
        <w:pStyle w:val="SingleTxt"/>
        <w:spacing w:after="0" w:line="120" w:lineRule="exact"/>
        <w:rPr>
          <w:rFonts w:asciiTheme="majorBidi" w:hAnsiTheme="majorBidi" w:cstheme="majorBidi"/>
          <w:sz w:val="10"/>
        </w:rPr>
      </w:pPr>
    </w:p>
    <w:p w14:paraId="7ECE630E" w14:textId="41A0A974"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b w:val="0"/>
          <w:bCs/>
          <w:lang w:val="fr-FR"/>
        </w:rPr>
        <w:tab/>
      </w:r>
      <w:r w:rsidRPr="004C7F84">
        <w:rPr>
          <w:b w:val="0"/>
          <w:bCs/>
          <w:lang w:val="fr-FR"/>
        </w:rPr>
        <w:tab/>
      </w:r>
      <w:r w:rsidR="008477BC" w:rsidRPr="004C7F84">
        <w:rPr>
          <w:b w:val="0"/>
          <w:bCs/>
          <w:lang w:val="fr-FR"/>
        </w:rPr>
        <w:t>Tableau</w:t>
      </w:r>
      <w:r w:rsidRPr="004C7F84">
        <w:rPr>
          <w:b w:val="0"/>
          <w:bCs/>
          <w:lang w:val="fr-FR"/>
        </w:rPr>
        <w:t>11</w:t>
      </w:r>
      <w:r w:rsidRPr="004C7F84">
        <w:rPr>
          <w:lang w:val="fr-FR"/>
        </w:rPr>
        <w:t xml:space="preserve"> </w:t>
      </w:r>
      <w:r w:rsidRPr="004C7F84">
        <w:rPr>
          <w:lang w:val="fr-FR"/>
        </w:rPr>
        <w:br/>
      </w:r>
      <w:r w:rsidR="008477BC" w:rsidRPr="004C7F84">
        <w:rPr>
          <w:lang w:val="fr-FR"/>
        </w:rPr>
        <w:t>Taux de mortalité périnatale – années retenues</w:t>
      </w:r>
    </w:p>
    <w:p w14:paraId="4EBB13BC" w14:textId="27FBB364" w:rsidR="0034195A" w:rsidRPr="004C7F84" w:rsidRDefault="0034195A" w:rsidP="00D47611">
      <w:pPr>
        <w:pStyle w:val="SingleTxt"/>
        <w:spacing w:after="0" w:line="120" w:lineRule="exact"/>
        <w:rPr>
          <w:rFonts w:asciiTheme="majorBidi" w:hAnsiTheme="majorBidi" w:cstheme="majorBidi"/>
          <w:sz w:val="10"/>
        </w:rPr>
      </w:pPr>
    </w:p>
    <w:p w14:paraId="7E1DC184" w14:textId="77777777" w:rsidR="00D47611" w:rsidRPr="004C7F84" w:rsidRDefault="00D47611" w:rsidP="0034195A">
      <w:pPr>
        <w:pStyle w:val="SingleTxt"/>
        <w:spacing w:after="0" w:line="120" w:lineRule="exact"/>
        <w:rPr>
          <w:rFonts w:asciiTheme="majorBidi" w:hAnsiTheme="majorBidi" w:cstheme="majorBidi"/>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0"/>
        <w:gridCol w:w="1830"/>
        <w:gridCol w:w="1830"/>
        <w:gridCol w:w="1830"/>
      </w:tblGrid>
      <w:tr w:rsidR="0034195A" w:rsidRPr="004C7F84" w14:paraId="05CD3EBB" w14:textId="77777777" w:rsidTr="0034195A">
        <w:trPr>
          <w:tblHeader/>
        </w:trPr>
        <w:tc>
          <w:tcPr>
            <w:tcW w:w="1830" w:type="dxa"/>
            <w:tcBorders>
              <w:top w:val="single" w:sz="4" w:space="0" w:color="auto"/>
              <w:bottom w:val="single" w:sz="12" w:space="0" w:color="auto"/>
            </w:tcBorders>
            <w:shd w:val="clear" w:color="auto" w:fill="auto"/>
            <w:vAlign w:val="bottom"/>
          </w:tcPr>
          <w:p w14:paraId="79F0F2AD" w14:textId="2D7A879D" w:rsidR="0034195A" w:rsidRPr="004C7F84" w:rsidRDefault="008477BC"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4C7F84">
              <w:rPr>
                <w:i/>
                <w:sz w:val="14"/>
              </w:rPr>
              <w:t>Année</w:t>
            </w:r>
          </w:p>
        </w:tc>
        <w:tc>
          <w:tcPr>
            <w:tcW w:w="1830" w:type="dxa"/>
            <w:tcBorders>
              <w:top w:val="single" w:sz="4" w:space="0" w:color="auto"/>
              <w:bottom w:val="single" w:sz="12" w:space="0" w:color="auto"/>
            </w:tcBorders>
            <w:shd w:val="clear" w:color="auto" w:fill="auto"/>
            <w:vAlign w:val="bottom"/>
          </w:tcPr>
          <w:p w14:paraId="2B9ADFD1" w14:textId="020CD549" w:rsidR="0034195A" w:rsidRPr="004C7F84" w:rsidRDefault="008477BC"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Garçons</w:t>
            </w:r>
          </w:p>
        </w:tc>
        <w:tc>
          <w:tcPr>
            <w:tcW w:w="1830" w:type="dxa"/>
            <w:tcBorders>
              <w:top w:val="single" w:sz="4" w:space="0" w:color="auto"/>
              <w:bottom w:val="single" w:sz="12" w:space="0" w:color="auto"/>
            </w:tcBorders>
            <w:shd w:val="clear" w:color="auto" w:fill="auto"/>
            <w:vAlign w:val="bottom"/>
          </w:tcPr>
          <w:p w14:paraId="6F893043" w14:textId="72C8B968" w:rsidR="0034195A" w:rsidRPr="004C7F84" w:rsidRDefault="008477BC"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4C7F84">
              <w:rPr>
                <w:i/>
                <w:sz w:val="14"/>
              </w:rPr>
              <w:t>Filles</w:t>
            </w:r>
          </w:p>
        </w:tc>
        <w:tc>
          <w:tcPr>
            <w:tcW w:w="1830" w:type="dxa"/>
            <w:tcBorders>
              <w:top w:val="single" w:sz="4" w:space="0" w:color="auto"/>
              <w:bottom w:val="single" w:sz="12" w:space="0" w:color="auto"/>
            </w:tcBorders>
            <w:shd w:val="clear" w:color="auto" w:fill="auto"/>
            <w:vAlign w:val="bottom"/>
          </w:tcPr>
          <w:p w14:paraId="7D0D6449"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4C7F84">
              <w:rPr>
                <w:b/>
                <w:bCs/>
                <w:i/>
                <w:sz w:val="14"/>
              </w:rPr>
              <w:t>Total</w:t>
            </w:r>
          </w:p>
        </w:tc>
      </w:tr>
      <w:tr w:rsidR="0034195A" w:rsidRPr="004C7F84" w14:paraId="10465F22" w14:textId="77777777" w:rsidTr="0034195A">
        <w:trPr>
          <w:trHeight w:hRule="exact" w:val="115"/>
          <w:tblHeader/>
        </w:trPr>
        <w:tc>
          <w:tcPr>
            <w:tcW w:w="1830" w:type="dxa"/>
            <w:tcBorders>
              <w:top w:val="single" w:sz="12" w:space="0" w:color="auto"/>
            </w:tcBorders>
            <w:shd w:val="clear" w:color="auto" w:fill="auto"/>
            <w:vAlign w:val="bottom"/>
          </w:tcPr>
          <w:p w14:paraId="2DEC494D"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830" w:type="dxa"/>
            <w:tcBorders>
              <w:top w:val="single" w:sz="12" w:space="0" w:color="auto"/>
            </w:tcBorders>
            <w:shd w:val="clear" w:color="auto" w:fill="auto"/>
            <w:vAlign w:val="bottom"/>
          </w:tcPr>
          <w:p w14:paraId="5CC4DFBE"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07C874E3"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3038DB6B"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r>
      <w:tr w:rsidR="0034195A" w:rsidRPr="004C7F84" w14:paraId="74FE7B96" w14:textId="77777777" w:rsidTr="0034195A">
        <w:tc>
          <w:tcPr>
            <w:tcW w:w="1830" w:type="dxa"/>
            <w:shd w:val="clear" w:color="auto" w:fill="auto"/>
            <w:vAlign w:val="bottom"/>
          </w:tcPr>
          <w:p w14:paraId="76BC44DC"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C7F84">
              <w:rPr>
                <w:sz w:val="17"/>
              </w:rPr>
              <w:t>2006</w:t>
            </w:r>
          </w:p>
        </w:tc>
        <w:tc>
          <w:tcPr>
            <w:tcW w:w="1830" w:type="dxa"/>
            <w:shd w:val="clear" w:color="auto" w:fill="auto"/>
            <w:vAlign w:val="bottom"/>
          </w:tcPr>
          <w:p w14:paraId="2FAA9DE4"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5</w:t>
            </w:r>
          </w:p>
        </w:tc>
        <w:tc>
          <w:tcPr>
            <w:tcW w:w="1830" w:type="dxa"/>
            <w:shd w:val="clear" w:color="auto" w:fill="auto"/>
            <w:vAlign w:val="bottom"/>
          </w:tcPr>
          <w:p w14:paraId="3F77F1F2"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1</w:t>
            </w:r>
          </w:p>
        </w:tc>
        <w:tc>
          <w:tcPr>
            <w:tcW w:w="1830" w:type="dxa"/>
            <w:shd w:val="clear" w:color="auto" w:fill="auto"/>
            <w:vAlign w:val="bottom"/>
          </w:tcPr>
          <w:p w14:paraId="77899AA4"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6</w:t>
            </w:r>
          </w:p>
        </w:tc>
      </w:tr>
      <w:tr w:rsidR="0034195A" w:rsidRPr="004C7F84" w14:paraId="60C64B74" w14:textId="77777777" w:rsidTr="0034195A">
        <w:tc>
          <w:tcPr>
            <w:tcW w:w="1830" w:type="dxa"/>
            <w:shd w:val="clear" w:color="auto" w:fill="auto"/>
            <w:vAlign w:val="bottom"/>
          </w:tcPr>
          <w:p w14:paraId="61D82CFD"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C7F84">
              <w:rPr>
                <w:sz w:val="17"/>
              </w:rPr>
              <w:t>2007</w:t>
            </w:r>
          </w:p>
        </w:tc>
        <w:tc>
          <w:tcPr>
            <w:tcW w:w="1830" w:type="dxa"/>
            <w:shd w:val="clear" w:color="auto" w:fill="auto"/>
            <w:vAlign w:val="bottom"/>
          </w:tcPr>
          <w:p w14:paraId="3D42DDB9"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3</w:t>
            </w:r>
          </w:p>
        </w:tc>
        <w:tc>
          <w:tcPr>
            <w:tcW w:w="1830" w:type="dxa"/>
            <w:shd w:val="clear" w:color="auto" w:fill="auto"/>
            <w:vAlign w:val="bottom"/>
          </w:tcPr>
          <w:p w14:paraId="4940C6B1"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10</w:t>
            </w:r>
          </w:p>
        </w:tc>
        <w:tc>
          <w:tcPr>
            <w:tcW w:w="1830" w:type="dxa"/>
            <w:shd w:val="clear" w:color="auto" w:fill="auto"/>
            <w:vAlign w:val="bottom"/>
          </w:tcPr>
          <w:p w14:paraId="55134EE3"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13</w:t>
            </w:r>
          </w:p>
        </w:tc>
      </w:tr>
      <w:tr w:rsidR="0034195A" w:rsidRPr="004C7F84" w14:paraId="41B66B4E" w14:textId="77777777" w:rsidTr="0034195A">
        <w:tc>
          <w:tcPr>
            <w:tcW w:w="1830" w:type="dxa"/>
            <w:shd w:val="clear" w:color="auto" w:fill="auto"/>
            <w:vAlign w:val="bottom"/>
          </w:tcPr>
          <w:p w14:paraId="32499E0C"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C7F84">
              <w:rPr>
                <w:sz w:val="17"/>
              </w:rPr>
              <w:t>2008</w:t>
            </w:r>
          </w:p>
        </w:tc>
        <w:tc>
          <w:tcPr>
            <w:tcW w:w="1830" w:type="dxa"/>
            <w:shd w:val="clear" w:color="auto" w:fill="auto"/>
            <w:vAlign w:val="bottom"/>
          </w:tcPr>
          <w:p w14:paraId="4D410455"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12</w:t>
            </w:r>
          </w:p>
        </w:tc>
        <w:tc>
          <w:tcPr>
            <w:tcW w:w="1830" w:type="dxa"/>
            <w:shd w:val="clear" w:color="auto" w:fill="auto"/>
            <w:vAlign w:val="bottom"/>
          </w:tcPr>
          <w:p w14:paraId="524FFFC7"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7</w:t>
            </w:r>
          </w:p>
        </w:tc>
        <w:tc>
          <w:tcPr>
            <w:tcW w:w="1830" w:type="dxa"/>
            <w:shd w:val="clear" w:color="auto" w:fill="auto"/>
            <w:vAlign w:val="bottom"/>
          </w:tcPr>
          <w:p w14:paraId="62145965"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19</w:t>
            </w:r>
          </w:p>
        </w:tc>
      </w:tr>
      <w:tr w:rsidR="0034195A" w:rsidRPr="004C7F84" w14:paraId="52DF37BA" w14:textId="77777777" w:rsidTr="0034195A">
        <w:tc>
          <w:tcPr>
            <w:tcW w:w="1830" w:type="dxa"/>
            <w:shd w:val="clear" w:color="auto" w:fill="auto"/>
            <w:vAlign w:val="bottom"/>
          </w:tcPr>
          <w:p w14:paraId="0E3F7398"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C7F84">
              <w:rPr>
                <w:sz w:val="17"/>
              </w:rPr>
              <w:t>2009</w:t>
            </w:r>
          </w:p>
        </w:tc>
        <w:tc>
          <w:tcPr>
            <w:tcW w:w="1830" w:type="dxa"/>
            <w:shd w:val="clear" w:color="auto" w:fill="auto"/>
            <w:vAlign w:val="bottom"/>
          </w:tcPr>
          <w:p w14:paraId="3342430B"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2</w:t>
            </w:r>
          </w:p>
        </w:tc>
        <w:tc>
          <w:tcPr>
            <w:tcW w:w="1830" w:type="dxa"/>
            <w:shd w:val="clear" w:color="auto" w:fill="auto"/>
            <w:vAlign w:val="bottom"/>
          </w:tcPr>
          <w:p w14:paraId="1012D903"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2</w:t>
            </w:r>
          </w:p>
        </w:tc>
        <w:tc>
          <w:tcPr>
            <w:tcW w:w="1830" w:type="dxa"/>
            <w:shd w:val="clear" w:color="auto" w:fill="auto"/>
            <w:vAlign w:val="bottom"/>
          </w:tcPr>
          <w:p w14:paraId="3E1BFDAA"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4</w:t>
            </w:r>
          </w:p>
        </w:tc>
      </w:tr>
      <w:tr w:rsidR="0034195A" w:rsidRPr="004C7F84" w14:paraId="2D8E6DBB" w14:textId="77777777" w:rsidTr="0034195A">
        <w:tc>
          <w:tcPr>
            <w:tcW w:w="1830" w:type="dxa"/>
            <w:shd w:val="clear" w:color="auto" w:fill="auto"/>
            <w:vAlign w:val="bottom"/>
          </w:tcPr>
          <w:p w14:paraId="5869B3A9"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C7F84">
              <w:rPr>
                <w:sz w:val="17"/>
              </w:rPr>
              <w:t>2010</w:t>
            </w:r>
          </w:p>
        </w:tc>
        <w:tc>
          <w:tcPr>
            <w:tcW w:w="1830" w:type="dxa"/>
            <w:shd w:val="clear" w:color="auto" w:fill="auto"/>
            <w:vAlign w:val="bottom"/>
          </w:tcPr>
          <w:p w14:paraId="6A1E331B"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3</w:t>
            </w:r>
          </w:p>
        </w:tc>
        <w:tc>
          <w:tcPr>
            <w:tcW w:w="1830" w:type="dxa"/>
            <w:shd w:val="clear" w:color="auto" w:fill="auto"/>
            <w:vAlign w:val="bottom"/>
          </w:tcPr>
          <w:p w14:paraId="239B9569"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1</w:t>
            </w:r>
          </w:p>
        </w:tc>
        <w:tc>
          <w:tcPr>
            <w:tcW w:w="1830" w:type="dxa"/>
            <w:shd w:val="clear" w:color="auto" w:fill="auto"/>
            <w:vAlign w:val="bottom"/>
          </w:tcPr>
          <w:p w14:paraId="22BFA7A0"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4</w:t>
            </w:r>
          </w:p>
        </w:tc>
      </w:tr>
      <w:tr w:rsidR="0034195A" w:rsidRPr="004C7F84" w14:paraId="2686C731" w14:textId="77777777" w:rsidTr="0034195A">
        <w:tc>
          <w:tcPr>
            <w:tcW w:w="1830" w:type="dxa"/>
            <w:shd w:val="clear" w:color="auto" w:fill="auto"/>
            <w:vAlign w:val="bottom"/>
          </w:tcPr>
          <w:p w14:paraId="4C147926"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C7F84">
              <w:rPr>
                <w:sz w:val="17"/>
              </w:rPr>
              <w:t>2011</w:t>
            </w:r>
          </w:p>
        </w:tc>
        <w:tc>
          <w:tcPr>
            <w:tcW w:w="1830" w:type="dxa"/>
            <w:shd w:val="clear" w:color="auto" w:fill="auto"/>
            <w:vAlign w:val="bottom"/>
          </w:tcPr>
          <w:p w14:paraId="487874F4"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7</w:t>
            </w:r>
          </w:p>
        </w:tc>
        <w:tc>
          <w:tcPr>
            <w:tcW w:w="1830" w:type="dxa"/>
            <w:shd w:val="clear" w:color="auto" w:fill="auto"/>
            <w:vAlign w:val="bottom"/>
          </w:tcPr>
          <w:p w14:paraId="502B9FCA"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3</w:t>
            </w:r>
          </w:p>
        </w:tc>
        <w:tc>
          <w:tcPr>
            <w:tcW w:w="1830" w:type="dxa"/>
            <w:shd w:val="clear" w:color="auto" w:fill="auto"/>
            <w:vAlign w:val="bottom"/>
          </w:tcPr>
          <w:p w14:paraId="349DD87B"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2</w:t>
            </w:r>
          </w:p>
        </w:tc>
      </w:tr>
      <w:tr w:rsidR="0034195A" w:rsidRPr="004C7F84" w14:paraId="0A1FDBBC" w14:textId="77777777" w:rsidTr="0034195A">
        <w:tc>
          <w:tcPr>
            <w:tcW w:w="1830" w:type="dxa"/>
            <w:shd w:val="clear" w:color="auto" w:fill="auto"/>
            <w:vAlign w:val="bottom"/>
          </w:tcPr>
          <w:p w14:paraId="1B947AD8"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C7F84">
              <w:rPr>
                <w:sz w:val="17"/>
              </w:rPr>
              <w:t>2012</w:t>
            </w:r>
          </w:p>
        </w:tc>
        <w:tc>
          <w:tcPr>
            <w:tcW w:w="1830" w:type="dxa"/>
            <w:shd w:val="clear" w:color="auto" w:fill="auto"/>
            <w:vAlign w:val="bottom"/>
          </w:tcPr>
          <w:p w14:paraId="2A39745B"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2</w:t>
            </w:r>
          </w:p>
        </w:tc>
        <w:tc>
          <w:tcPr>
            <w:tcW w:w="1830" w:type="dxa"/>
            <w:shd w:val="clear" w:color="auto" w:fill="auto"/>
            <w:vAlign w:val="bottom"/>
          </w:tcPr>
          <w:p w14:paraId="79319043"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0</w:t>
            </w:r>
          </w:p>
        </w:tc>
        <w:tc>
          <w:tcPr>
            <w:tcW w:w="1830" w:type="dxa"/>
            <w:shd w:val="clear" w:color="auto" w:fill="auto"/>
            <w:vAlign w:val="bottom"/>
          </w:tcPr>
          <w:p w14:paraId="7D7845EF"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2</w:t>
            </w:r>
          </w:p>
        </w:tc>
      </w:tr>
      <w:tr w:rsidR="0034195A" w:rsidRPr="004C7F84" w14:paraId="5724B502" w14:textId="77777777" w:rsidTr="0034195A">
        <w:tc>
          <w:tcPr>
            <w:tcW w:w="1830" w:type="dxa"/>
            <w:shd w:val="clear" w:color="auto" w:fill="auto"/>
            <w:vAlign w:val="bottom"/>
          </w:tcPr>
          <w:p w14:paraId="033D8328"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C7F84">
              <w:rPr>
                <w:sz w:val="17"/>
              </w:rPr>
              <w:t>2013</w:t>
            </w:r>
          </w:p>
        </w:tc>
        <w:tc>
          <w:tcPr>
            <w:tcW w:w="1830" w:type="dxa"/>
            <w:shd w:val="clear" w:color="auto" w:fill="auto"/>
            <w:vAlign w:val="bottom"/>
          </w:tcPr>
          <w:p w14:paraId="69DD506C"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6</w:t>
            </w:r>
          </w:p>
        </w:tc>
        <w:tc>
          <w:tcPr>
            <w:tcW w:w="1830" w:type="dxa"/>
            <w:shd w:val="clear" w:color="auto" w:fill="auto"/>
            <w:vAlign w:val="bottom"/>
          </w:tcPr>
          <w:p w14:paraId="6A633698"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0</w:t>
            </w:r>
          </w:p>
        </w:tc>
        <w:tc>
          <w:tcPr>
            <w:tcW w:w="1830" w:type="dxa"/>
            <w:shd w:val="clear" w:color="auto" w:fill="auto"/>
            <w:vAlign w:val="bottom"/>
          </w:tcPr>
          <w:p w14:paraId="7B32639F"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6</w:t>
            </w:r>
          </w:p>
        </w:tc>
      </w:tr>
      <w:tr w:rsidR="0034195A" w:rsidRPr="004C7F84" w14:paraId="6A953AB1" w14:textId="77777777" w:rsidTr="0034195A">
        <w:tc>
          <w:tcPr>
            <w:tcW w:w="1830" w:type="dxa"/>
            <w:tcBorders>
              <w:bottom w:val="single" w:sz="12" w:space="0" w:color="auto"/>
            </w:tcBorders>
            <w:shd w:val="clear" w:color="auto" w:fill="auto"/>
            <w:vAlign w:val="bottom"/>
          </w:tcPr>
          <w:p w14:paraId="3640FD72"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4C7F84">
              <w:rPr>
                <w:sz w:val="17"/>
              </w:rPr>
              <w:t>2014</w:t>
            </w:r>
          </w:p>
        </w:tc>
        <w:tc>
          <w:tcPr>
            <w:tcW w:w="1830" w:type="dxa"/>
            <w:tcBorders>
              <w:bottom w:val="single" w:sz="12" w:space="0" w:color="auto"/>
            </w:tcBorders>
            <w:shd w:val="clear" w:color="auto" w:fill="auto"/>
            <w:vAlign w:val="bottom"/>
          </w:tcPr>
          <w:p w14:paraId="7647D195"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4</w:t>
            </w:r>
          </w:p>
        </w:tc>
        <w:tc>
          <w:tcPr>
            <w:tcW w:w="1830" w:type="dxa"/>
            <w:tcBorders>
              <w:bottom w:val="single" w:sz="12" w:space="0" w:color="auto"/>
            </w:tcBorders>
            <w:shd w:val="clear" w:color="auto" w:fill="auto"/>
            <w:vAlign w:val="bottom"/>
          </w:tcPr>
          <w:p w14:paraId="3C4032CC"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4C7F84">
              <w:rPr>
                <w:sz w:val="17"/>
              </w:rPr>
              <w:t>3</w:t>
            </w:r>
          </w:p>
        </w:tc>
        <w:tc>
          <w:tcPr>
            <w:tcW w:w="1830" w:type="dxa"/>
            <w:tcBorders>
              <w:bottom w:val="single" w:sz="12" w:space="0" w:color="auto"/>
            </w:tcBorders>
            <w:shd w:val="clear" w:color="auto" w:fill="auto"/>
            <w:vAlign w:val="bottom"/>
          </w:tcPr>
          <w:p w14:paraId="05E984B8" w14:textId="77777777" w:rsidR="0034195A" w:rsidRPr="004C7F84" w:rsidRDefault="0034195A" w:rsidP="0034195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4C7F84">
              <w:rPr>
                <w:b/>
                <w:bCs/>
                <w:sz w:val="17"/>
              </w:rPr>
              <w:t>7</w:t>
            </w:r>
          </w:p>
        </w:tc>
      </w:tr>
    </w:tbl>
    <w:p w14:paraId="79F98CD0" w14:textId="77777777" w:rsidR="0034195A" w:rsidRPr="004C7F84" w:rsidRDefault="0034195A" w:rsidP="0034195A">
      <w:pPr>
        <w:pStyle w:val="SingleTxt"/>
        <w:spacing w:after="0" w:line="120" w:lineRule="exact"/>
        <w:rPr>
          <w:rFonts w:asciiTheme="majorBidi" w:hAnsiTheme="majorBidi" w:cstheme="majorBidi"/>
          <w:sz w:val="10"/>
        </w:rPr>
      </w:pPr>
    </w:p>
    <w:p w14:paraId="7309DE4D" w14:textId="7099486C" w:rsidR="0034195A" w:rsidRPr="004C7F84" w:rsidRDefault="008477BC" w:rsidP="008477BC">
      <w:pPr>
        <w:pStyle w:val="FootnoteText"/>
        <w:tabs>
          <w:tab w:val="clear" w:pos="418"/>
          <w:tab w:val="right" w:pos="1476"/>
          <w:tab w:val="left" w:pos="1548"/>
          <w:tab w:val="right" w:pos="1836"/>
          <w:tab w:val="left" w:pos="1908"/>
        </w:tabs>
        <w:ind w:left="1548" w:right="1267" w:hanging="288"/>
      </w:pPr>
      <w:r w:rsidRPr="004C7F84">
        <w:rPr>
          <w:i/>
          <w:iCs/>
        </w:rPr>
        <w:tab/>
      </w:r>
      <w:r w:rsidRPr="004C7F84">
        <w:rPr>
          <w:i/>
          <w:iCs/>
        </w:rPr>
        <w:tab/>
      </w:r>
      <w:r w:rsidR="0034195A" w:rsidRPr="004C7F84">
        <w:rPr>
          <w:i/>
          <w:iCs/>
        </w:rPr>
        <w:t>Source</w:t>
      </w:r>
      <w:r w:rsidR="00773F5D" w:rsidRPr="004C7F84">
        <w:rPr>
          <w:i/>
          <w:iCs/>
        </w:rPr>
        <w:t> :</w:t>
      </w:r>
      <w:r w:rsidR="0034195A" w:rsidRPr="004C7F84">
        <w:t xml:space="preserve"> </w:t>
      </w:r>
      <w:r w:rsidRPr="004C7F84">
        <w:t>Division de l</w:t>
      </w:r>
      <w:r w:rsidR="00773F5D" w:rsidRPr="004C7F84">
        <w:t>’</w:t>
      </w:r>
      <w:r w:rsidRPr="004C7F84">
        <w:t>information sanitaire, Ministère de la santé, Antigua-et-Barbuda</w:t>
      </w:r>
      <w:r w:rsidR="001136A4" w:rsidRPr="004C7F84">
        <w:t>.</w:t>
      </w:r>
    </w:p>
    <w:p w14:paraId="5F231370" w14:textId="5695DC03" w:rsidR="008477BC" w:rsidRPr="004C7F84" w:rsidRDefault="008477BC" w:rsidP="00D47611">
      <w:pPr>
        <w:pStyle w:val="FootnoteText"/>
        <w:tabs>
          <w:tab w:val="clear" w:pos="418"/>
          <w:tab w:val="right" w:pos="1476"/>
          <w:tab w:val="left" w:pos="1548"/>
          <w:tab w:val="right" w:pos="1836"/>
          <w:tab w:val="left" w:pos="1908"/>
        </w:tabs>
        <w:spacing w:line="120" w:lineRule="exact"/>
        <w:ind w:left="1548" w:right="1267" w:hanging="288"/>
        <w:rPr>
          <w:rFonts w:asciiTheme="majorBidi" w:hAnsiTheme="majorBidi" w:cstheme="majorBidi"/>
          <w:sz w:val="10"/>
        </w:rPr>
      </w:pPr>
    </w:p>
    <w:p w14:paraId="4E26510E" w14:textId="1AFF7BE2" w:rsidR="00D47611" w:rsidRPr="004C7F84" w:rsidRDefault="00D47611" w:rsidP="00E36352">
      <w:pPr>
        <w:pStyle w:val="FootnoteText"/>
        <w:tabs>
          <w:tab w:val="clear" w:pos="418"/>
          <w:tab w:val="right" w:pos="1476"/>
          <w:tab w:val="left" w:pos="1548"/>
          <w:tab w:val="right" w:pos="1836"/>
          <w:tab w:val="left" w:pos="1908"/>
        </w:tabs>
        <w:spacing w:line="120" w:lineRule="exact"/>
        <w:ind w:left="1548" w:right="1267" w:hanging="288"/>
        <w:rPr>
          <w:rFonts w:asciiTheme="majorBidi" w:hAnsiTheme="majorBidi" w:cstheme="majorBidi"/>
          <w:sz w:val="10"/>
        </w:rPr>
      </w:pPr>
    </w:p>
    <w:p w14:paraId="564042AD" w14:textId="77777777" w:rsidR="00E36352" w:rsidRPr="004C7F84" w:rsidRDefault="00E36352" w:rsidP="008477BC">
      <w:pPr>
        <w:pStyle w:val="FootnoteText"/>
        <w:tabs>
          <w:tab w:val="clear" w:pos="418"/>
          <w:tab w:val="right" w:pos="1476"/>
          <w:tab w:val="left" w:pos="1548"/>
          <w:tab w:val="right" w:pos="1836"/>
          <w:tab w:val="left" w:pos="1908"/>
        </w:tabs>
        <w:ind w:left="1548" w:right="1267" w:hanging="288"/>
        <w:rPr>
          <w:rFonts w:asciiTheme="majorBidi" w:hAnsiTheme="majorBidi" w:cstheme="majorBidi"/>
          <w:sz w:val="10"/>
        </w:rPr>
      </w:pPr>
    </w:p>
    <w:p w14:paraId="5CA22D2D" w14:textId="4E4F0524"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8477BC" w:rsidRPr="004C7F84">
        <w:rPr>
          <w:lang w:val="fr-FR"/>
        </w:rPr>
        <w:t>VIH/sida et la toxicomanie parmi les femmes</w:t>
      </w:r>
    </w:p>
    <w:p w14:paraId="54AC0544" w14:textId="77777777" w:rsidR="0034195A" w:rsidRPr="004C7F84" w:rsidRDefault="0034195A" w:rsidP="0034195A">
      <w:pPr>
        <w:pStyle w:val="SingleTxt"/>
        <w:spacing w:after="0" w:line="120" w:lineRule="exact"/>
        <w:rPr>
          <w:rFonts w:asciiTheme="majorBidi" w:hAnsiTheme="majorBidi" w:cstheme="majorBidi"/>
          <w:sz w:val="10"/>
        </w:rPr>
      </w:pPr>
    </w:p>
    <w:p w14:paraId="6652ED73" w14:textId="32EBDC9E" w:rsidR="0034195A" w:rsidRPr="004C7F84" w:rsidRDefault="0034195A" w:rsidP="0034195A">
      <w:pPr>
        <w:pStyle w:val="H4"/>
        <w:ind w:right="1260"/>
      </w:pPr>
      <w:r w:rsidRPr="004C7F84">
        <w:tab/>
      </w:r>
      <w:r w:rsidRPr="004C7F84">
        <w:tab/>
      </w:r>
      <w:r w:rsidR="008477BC" w:rsidRPr="004C7F84">
        <w:t>VIH/sida</w:t>
      </w:r>
      <w:r w:rsidRPr="004C7F84">
        <w:t xml:space="preserve"> </w:t>
      </w:r>
    </w:p>
    <w:p w14:paraId="166C3643" w14:textId="77777777" w:rsidR="0034195A" w:rsidRPr="004C7F84" w:rsidRDefault="0034195A" w:rsidP="0034195A">
      <w:pPr>
        <w:pStyle w:val="SingleTxt"/>
        <w:spacing w:after="0" w:line="120" w:lineRule="exact"/>
        <w:rPr>
          <w:rFonts w:asciiTheme="majorBidi" w:hAnsiTheme="majorBidi" w:cstheme="majorBidi"/>
          <w:sz w:val="10"/>
        </w:rPr>
      </w:pPr>
    </w:p>
    <w:p w14:paraId="629FFABD" w14:textId="5B667565" w:rsidR="008477BC" w:rsidRPr="004C7F84" w:rsidRDefault="008477BC" w:rsidP="00514306">
      <w:pPr>
        <w:pStyle w:val="SingleTxt"/>
        <w:numPr>
          <w:ilvl w:val="0"/>
          <w:numId w:val="23"/>
        </w:numPr>
        <w:spacing w:line="240" w:lineRule="exact"/>
        <w:ind w:left="1267" w:firstLine="0"/>
      </w:pPr>
      <w:r w:rsidRPr="004C7F84">
        <w:t>Dans l</w:t>
      </w:r>
      <w:r w:rsidR="00773F5D" w:rsidRPr="004C7F84">
        <w:t>’</w:t>
      </w:r>
      <w:r w:rsidR="0076068E" w:rsidRPr="004C7F84">
        <w:t>observation n</w:t>
      </w:r>
      <w:r w:rsidR="0076068E" w:rsidRPr="004C7F84">
        <w:rPr>
          <w:vertAlign w:val="superscript"/>
        </w:rPr>
        <w:t>o</w:t>
      </w:r>
      <w:r w:rsidR="0076068E" w:rsidRPr="004C7F84">
        <w:t> </w:t>
      </w:r>
      <w:r w:rsidR="00D47611" w:rsidRPr="004C7F84">
        <w:t>261, le Comité a noté qu</w:t>
      </w:r>
      <w:r w:rsidR="00773F5D" w:rsidRPr="004C7F84">
        <w:t>’</w:t>
      </w:r>
      <w:r w:rsidR="00D47611" w:rsidRPr="004C7F84">
        <w:t>il n</w:t>
      </w:r>
      <w:r w:rsidR="00773F5D" w:rsidRPr="004C7F84">
        <w:t>’</w:t>
      </w:r>
      <w:r w:rsidR="00D47611" w:rsidRPr="004C7F84">
        <w:t xml:space="preserve">y avait aucune </w:t>
      </w:r>
      <w:r w:rsidRPr="004C7F84">
        <w:t>mesure particulière en faveur des femmes atteintes du VIH/sida ni aucune mesure de lutte contre la toxicomanie dans la population féminine. L</w:t>
      </w:r>
      <w:r w:rsidR="00773F5D" w:rsidRPr="004C7F84">
        <w:t>’</w:t>
      </w:r>
      <w:r w:rsidRPr="004C7F84">
        <w:t>État partie a mené, depuis la présentation du rapport pré</w:t>
      </w:r>
      <w:r w:rsidR="00D47611" w:rsidRPr="004C7F84">
        <w:t xml:space="preserve">cédent, de nombreuses activités </w:t>
      </w:r>
      <w:r w:rsidRPr="004C7F84">
        <w:t>pour améliorer la situation des personnes vivant avec le VIH/sida. Le Secrétariat à la lutte contre le sida a activement encouragé les personnes atteintes à s</w:t>
      </w:r>
      <w:r w:rsidR="00773F5D" w:rsidRPr="004C7F84">
        <w:t>’</w:t>
      </w:r>
      <w:r w:rsidRPr="004C7F84">
        <w:t>inscrire à son bureau. Les statistiques qu</w:t>
      </w:r>
      <w:r w:rsidR="00773F5D" w:rsidRPr="004C7F84">
        <w:t>’</w:t>
      </w:r>
      <w:r w:rsidRPr="004C7F84">
        <w:t>il a collectées figurent dans les tableaux 12</w:t>
      </w:r>
      <w:r w:rsidR="00D47611" w:rsidRPr="004C7F84">
        <w:t> </w:t>
      </w:r>
      <w:r w:rsidRPr="004C7F84">
        <w:t>a) et 12</w:t>
      </w:r>
      <w:r w:rsidR="00D47611" w:rsidRPr="004C7F84">
        <w:t> </w:t>
      </w:r>
      <w:r w:rsidRPr="004C7F84">
        <w:t xml:space="preserve">b) ci-après. </w:t>
      </w:r>
    </w:p>
    <w:p w14:paraId="1D1FFDC7" w14:textId="74A506FA" w:rsidR="0034195A" w:rsidRPr="004C7F84" w:rsidRDefault="008477BC" w:rsidP="00514306">
      <w:pPr>
        <w:pStyle w:val="SingleTxt"/>
        <w:numPr>
          <w:ilvl w:val="0"/>
          <w:numId w:val="23"/>
        </w:numPr>
        <w:spacing w:line="240" w:lineRule="exact"/>
        <w:ind w:left="1267" w:firstLine="0"/>
        <w:rPr>
          <w:rFonts w:asciiTheme="majorBidi" w:hAnsiTheme="majorBidi" w:cstheme="majorBidi"/>
        </w:rPr>
      </w:pPr>
      <w:r w:rsidRPr="004C7F84">
        <w:t>Le Secrétariat à</w:t>
      </w:r>
      <w:r w:rsidR="00D47611" w:rsidRPr="004C7F84">
        <w:t xml:space="preserve"> la lutte contre le sida recueille </w:t>
      </w:r>
      <w:r w:rsidRPr="004C7F84">
        <w:t>depuis 1985 des statistiques sur les cas d</w:t>
      </w:r>
      <w:r w:rsidR="00773F5D" w:rsidRPr="004C7F84">
        <w:t>’</w:t>
      </w:r>
      <w:r w:rsidRPr="004C7F84">
        <w:t>infection à VIH et de sida. Ces dernières ne correspondent pas nécessairement au nombre réel de cas, du fait que les personnes atteintes ne</w:t>
      </w:r>
      <w:r w:rsidR="00D47611" w:rsidRPr="004C7F84">
        <w:t xml:space="preserve"> sont pas tenues de se déclarer </w:t>
      </w:r>
      <w:r w:rsidRPr="004C7F84">
        <w:t>et que certaines d</w:t>
      </w:r>
      <w:r w:rsidR="00773F5D" w:rsidRPr="004C7F84">
        <w:t>’</w:t>
      </w:r>
      <w:r w:rsidRPr="004C7F84">
        <w:t>entre elles partent se soigner à l</w:t>
      </w:r>
      <w:r w:rsidR="00773F5D" w:rsidRPr="004C7F84">
        <w:t>’</w:t>
      </w:r>
      <w:r w:rsidRPr="004C7F84">
        <w:t xml:space="preserve">étranger. En 2015, le nombre de </w:t>
      </w:r>
      <w:r w:rsidR="00D47611" w:rsidRPr="004C7F84">
        <w:t xml:space="preserve">personnes infectées est tombé à </w:t>
      </w:r>
      <w:r w:rsidRPr="004C7F84">
        <w:t>48, dont 27</w:t>
      </w:r>
      <w:r w:rsidR="00D47611" w:rsidRPr="004C7F84">
        <w:t> </w:t>
      </w:r>
      <w:r w:rsidRPr="004C7F84">
        <w:t>femmes (soit 52</w:t>
      </w:r>
      <w:r w:rsidR="0086373A" w:rsidRPr="004C7F84">
        <w:t> %</w:t>
      </w:r>
      <w:r w:rsidR="00D47611" w:rsidRPr="004C7F84">
        <w:t xml:space="preserve">). Le nombre total de cas </w:t>
      </w:r>
      <w:r w:rsidRPr="004C7F84">
        <w:t>enregistrés entre 1985 et 2015 était de 1</w:t>
      </w:r>
      <w:r w:rsidR="00D47611" w:rsidRPr="004C7F84">
        <w:t> </w:t>
      </w:r>
      <w:r w:rsidRPr="004C7F84">
        <w:t>090, dont 493</w:t>
      </w:r>
      <w:r w:rsidR="00D47611" w:rsidRPr="004C7F84">
        <w:t> </w:t>
      </w:r>
      <w:r w:rsidRPr="004C7F84">
        <w:t>femmes (soit 46</w:t>
      </w:r>
      <w:r w:rsidR="0086373A" w:rsidRPr="004C7F84">
        <w:t> %</w:t>
      </w:r>
      <w:r w:rsidRPr="004C7F84">
        <w:t>). Les chiffres montrent qu</w:t>
      </w:r>
      <w:r w:rsidR="00773F5D" w:rsidRPr="004C7F84">
        <w:t>’</w:t>
      </w:r>
      <w:r w:rsidRPr="004C7F84">
        <w:t>au cours des ans, le nombre de femmes ayant contracté le virus était moins élevé que celui des hommes. Toutefois, d</w:t>
      </w:r>
      <w:r w:rsidR="00773F5D" w:rsidRPr="004C7F84">
        <w:t>’</w:t>
      </w:r>
      <w:r w:rsidRPr="004C7F84">
        <w:t>après le Secrétariat à la lutte contre le sida, le nombre de femmes atteintes était plus important que celui des hommes dans les groupes d</w:t>
      </w:r>
      <w:r w:rsidR="00773F5D" w:rsidRPr="004C7F84">
        <w:t>’</w:t>
      </w:r>
      <w:r w:rsidRPr="004C7F84">
        <w:t>âge plus jeunes</w:t>
      </w:r>
      <w:r w:rsidR="00773F5D" w:rsidRPr="004C7F84">
        <w:t> :</w:t>
      </w:r>
      <w:r w:rsidRPr="004C7F84">
        <w:t xml:space="preserve"> en 2003, </w:t>
      </w:r>
      <w:r w:rsidRPr="004C7F84">
        <w:lastRenderedPageBreak/>
        <w:t>parmi les jeunes de 25 à 29</w:t>
      </w:r>
      <w:r w:rsidR="00D47611" w:rsidRPr="004C7F84">
        <w:t> </w:t>
      </w:r>
      <w:r w:rsidRPr="004C7F84">
        <w:t>ans, la</w:t>
      </w:r>
      <w:r w:rsidR="00D47611" w:rsidRPr="004C7F84">
        <w:t xml:space="preserve"> proportion de femmes infectées </w:t>
      </w:r>
      <w:r w:rsidRPr="004C7F84">
        <w:t>par rapport aux hommes était de 35 à 28, et chez les jeunes âgés de 15 à 19</w:t>
      </w:r>
      <w:r w:rsidR="00D47611" w:rsidRPr="004C7F84">
        <w:t> </w:t>
      </w:r>
      <w:r w:rsidRPr="004C7F84">
        <w:t>ans, elle</w:t>
      </w:r>
      <w:r w:rsidRPr="004C7F84">
        <w:rPr>
          <w:color w:val="FF0000"/>
        </w:rPr>
        <w:t xml:space="preserve"> </w:t>
      </w:r>
      <w:r w:rsidRPr="004C7F84">
        <w:t>était encore plus forte</w:t>
      </w:r>
      <w:r w:rsidR="00773F5D" w:rsidRPr="004C7F84">
        <w:t> :</w:t>
      </w:r>
      <w:r w:rsidRPr="004C7F84">
        <w:t xml:space="preserve"> 15 à 1. Mais il est encourageant de noter que, depuis lors, le nombre de nouveaux cas est en diminution, de même que les disparités entre les femmes et les hommes dans les groupes d</w:t>
      </w:r>
      <w:r w:rsidR="00773F5D" w:rsidRPr="004C7F84">
        <w:t>’</w:t>
      </w:r>
      <w:r w:rsidR="00D47611" w:rsidRPr="004C7F84">
        <w:t>âge plus jeunes.</w:t>
      </w:r>
    </w:p>
    <w:p w14:paraId="6F57895E" w14:textId="77777777" w:rsidR="0034195A" w:rsidRPr="004C7F84" w:rsidRDefault="0034195A" w:rsidP="0034195A">
      <w:pPr>
        <w:pStyle w:val="SingleTxt"/>
        <w:spacing w:after="0" w:line="120" w:lineRule="exact"/>
        <w:rPr>
          <w:rFonts w:asciiTheme="majorBidi" w:hAnsiTheme="majorBidi" w:cstheme="majorBidi"/>
          <w:sz w:val="10"/>
        </w:rPr>
      </w:pPr>
    </w:p>
    <w:p w14:paraId="0C3DBF55" w14:textId="2FAA5B47"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b w:val="0"/>
          <w:bCs/>
          <w:lang w:val="fr-FR"/>
        </w:rPr>
        <w:tab/>
      </w:r>
      <w:r w:rsidRPr="004C7F84">
        <w:rPr>
          <w:b w:val="0"/>
          <w:bCs/>
          <w:lang w:val="fr-FR"/>
        </w:rPr>
        <w:tab/>
        <w:t>Table</w:t>
      </w:r>
      <w:r w:rsidR="008477BC" w:rsidRPr="004C7F84">
        <w:rPr>
          <w:b w:val="0"/>
          <w:bCs/>
          <w:lang w:val="fr-FR"/>
        </w:rPr>
        <w:t>au</w:t>
      </w:r>
      <w:r w:rsidRPr="004C7F84">
        <w:rPr>
          <w:b w:val="0"/>
          <w:bCs/>
          <w:lang w:val="fr-FR"/>
        </w:rPr>
        <w:t xml:space="preserve"> 12 </w:t>
      </w:r>
      <w:r w:rsidR="00D52AF6" w:rsidRPr="004C7F84">
        <w:rPr>
          <w:b w:val="0"/>
          <w:bCs/>
          <w:lang w:val="fr-FR"/>
        </w:rPr>
        <w:br/>
      </w:r>
      <w:r w:rsidR="008477BC" w:rsidRPr="004C7F84">
        <w:rPr>
          <w:lang w:val="fr-FR"/>
        </w:rPr>
        <w:t>Cas de VIH/sida par sexe et par groupe d</w:t>
      </w:r>
      <w:r w:rsidR="00773F5D" w:rsidRPr="004C7F84">
        <w:rPr>
          <w:lang w:val="fr-FR"/>
        </w:rPr>
        <w:t>’</w:t>
      </w:r>
      <w:r w:rsidR="008477BC" w:rsidRPr="004C7F84">
        <w:rPr>
          <w:lang w:val="fr-FR"/>
        </w:rPr>
        <w:t>âge - années retenues</w:t>
      </w:r>
    </w:p>
    <w:p w14:paraId="37E1CDD0" w14:textId="3E855010" w:rsidR="0034195A" w:rsidRPr="004C7F84" w:rsidRDefault="0034195A" w:rsidP="00D47611">
      <w:pPr>
        <w:pStyle w:val="SingleTxt"/>
        <w:spacing w:after="0" w:line="120" w:lineRule="exact"/>
        <w:rPr>
          <w:rFonts w:asciiTheme="majorBidi" w:hAnsiTheme="majorBidi" w:cstheme="majorBidi"/>
          <w:sz w:val="10"/>
        </w:rPr>
      </w:pPr>
    </w:p>
    <w:p w14:paraId="1B5D5580" w14:textId="77777777" w:rsidR="00D47611" w:rsidRPr="004C7F84" w:rsidRDefault="00D47611" w:rsidP="0034195A">
      <w:pPr>
        <w:pStyle w:val="SingleTxt"/>
        <w:spacing w:after="0" w:line="120" w:lineRule="exact"/>
        <w:rPr>
          <w:rFonts w:asciiTheme="majorBidi" w:hAnsiTheme="majorBidi" w:cstheme="majorBidi"/>
          <w:sz w:val="10"/>
        </w:rPr>
      </w:pPr>
    </w:p>
    <w:tbl>
      <w:tblPr>
        <w:tblW w:w="7320" w:type="dxa"/>
        <w:tblInd w:w="1260" w:type="dxa"/>
        <w:tblLayout w:type="fixed"/>
        <w:tblCellMar>
          <w:left w:w="0" w:type="dxa"/>
          <w:right w:w="0" w:type="dxa"/>
        </w:tblCellMar>
        <w:tblLook w:val="0000" w:firstRow="0" w:lastRow="0" w:firstColumn="0" w:lastColumn="0" w:noHBand="0" w:noVBand="0"/>
      </w:tblPr>
      <w:tblGrid>
        <w:gridCol w:w="915"/>
        <w:gridCol w:w="915"/>
        <w:gridCol w:w="915"/>
        <w:gridCol w:w="63"/>
        <w:gridCol w:w="852"/>
        <w:gridCol w:w="915"/>
        <w:gridCol w:w="69"/>
        <w:gridCol w:w="846"/>
        <w:gridCol w:w="915"/>
        <w:gridCol w:w="915"/>
      </w:tblGrid>
      <w:tr w:rsidR="0034195A" w:rsidRPr="004C7F84" w14:paraId="5A944E85" w14:textId="77777777" w:rsidTr="0034195A">
        <w:trPr>
          <w:tblHeader/>
        </w:trPr>
        <w:tc>
          <w:tcPr>
            <w:tcW w:w="915" w:type="dxa"/>
            <w:tcBorders>
              <w:top w:val="single" w:sz="4" w:space="0" w:color="auto"/>
            </w:tcBorders>
            <w:shd w:val="clear" w:color="auto" w:fill="auto"/>
            <w:vAlign w:val="bottom"/>
          </w:tcPr>
          <w:p w14:paraId="6CA1654C" w14:textId="77777777" w:rsidR="0034195A" w:rsidRPr="004C7F84" w:rsidRDefault="0034195A" w:rsidP="0034195A">
            <w:pPr>
              <w:tabs>
                <w:tab w:val="left" w:pos="288"/>
                <w:tab w:val="left" w:pos="576"/>
                <w:tab w:val="left" w:pos="864"/>
                <w:tab w:val="left" w:pos="1152"/>
              </w:tabs>
              <w:spacing w:before="81" w:after="81" w:line="160" w:lineRule="exact"/>
              <w:ind w:right="40"/>
              <w:rPr>
                <w:i/>
                <w:sz w:val="14"/>
              </w:rPr>
            </w:pPr>
          </w:p>
        </w:tc>
        <w:tc>
          <w:tcPr>
            <w:tcW w:w="1830" w:type="dxa"/>
            <w:gridSpan w:val="2"/>
            <w:tcBorders>
              <w:top w:val="single" w:sz="4" w:space="0" w:color="auto"/>
              <w:bottom w:val="single" w:sz="4" w:space="0" w:color="auto"/>
            </w:tcBorders>
            <w:shd w:val="clear" w:color="auto" w:fill="auto"/>
            <w:vAlign w:val="bottom"/>
          </w:tcPr>
          <w:p w14:paraId="06B8126B" w14:textId="7B17F7E7" w:rsidR="0034195A" w:rsidRPr="004C7F84" w:rsidRDefault="008477BC" w:rsidP="008477BC">
            <w:pPr>
              <w:tabs>
                <w:tab w:val="left" w:pos="288"/>
                <w:tab w:val="left" w:pos="576"/>
                <w:tab w:val="left" w:pos="864"/>
                <w:tab w:val="left" w:pos="1152"/>
              </w:tabs>
              <w:spacing w:before="81" w:after="81" w:line="160" w:lineRule="exact"/>
              <w:ind w:right="40"/>
              <w:jc w:val="center"/>
              <w:rPr>
                <w:i/>
                <w:sz w:val="14"/>
              </w:rPr>
            </w:pPr>
            <w:r w:rsidRPr="004C7F84">
              <w:rPr>
                <w:i/>
                <w:sz w:val="14"/>
              </w:rPr>
              <w:t>Année</w:t>
            </w:r>
            <w:r w:rsidR="0034195A" w:rsidRPr="004C7F84">
              <w:rPr>
                <w:i/>
                <w:sz w:val="14"/>
              </w:rPr>
              <w:t xml:space="preserve"> 2012</w:t>
            </w:r>
          </w:p>
        </w:tc>
        <w:tc>
          <w:tcPr>
            <w:tcW w:w="63" w:type="dxa"/>
            <w:tcBorders>
              <w:top w:val="single" w:sz="4" w:space="0" w:color="auto"/>
            </w:tcBorders>
            <w:shd w:val="clear" w:color="auto" w:fill="auto"/>
            <w:vAlign w:val="bottom"/>
          </w:tcPr>
          <w:p w14:paraId="5EA74572" w14:textId="77777777" w:rsidR="0034195A" w:rsidRPr="004C7F84" w:rsidRDefault="0034195A" w:rsidP="0034195A">
            <w:pPr>
              <w:tabs>
                <w:tab w:val="left" w:pos="288"/>
                <w:tab w:val="left" w:pos="576"/>
                <w:tab w:val="left" w:pos="864"/>
                <w:tab w:val="left" w:pos="1152"/>
              </w:tabs>
              <w:spacing w:before="81" w:after="81" w:line="160" w:lineRule="exact"/>
              <w:ind w:right="40"/>
              <w:jc w:val="center"/>
              <w:rPr>
                <w:i/>
                <w:sz w:val="14"/>
              </w:rPr>
            </w:pPr>
          </w:p>
        </w:tc>
        <w:tc>
          <w:tcPr>
            <w:tcW w:w="1767" w:type="dxa"/>
            <w:gridSpan w:val="2"/>
            <w:tcBorders>
              <w:top w:val="single" w:sz="4" w:space="0" w:color="auto"/>
              <w:bottom w:val="single" w:sz="4" w:space="0" w:color="auto"/>
            </w:tcBorders>
            <w:shd w:val="clear" w:color="auto" w:fill="auto"/>
            <w:vAlign w:val="bottom"/>
          </w:tcPr>
          <w:p w14:paraId="5220178E" w14:textId="621A99B4" w:rsidR="0034195A" w:rsidRPr="004C7F84" w:rsidRDefault="008477BC" w:rsidP="0034195A">
            <w:pPr>
              <w:tabs>
                <w:tab w:val="left" w:pos="288"/>
                <w:tab w:val="left" w:pos="576"/>
                <w:tab w:val="left" w:pos="864"/>
                <w:tab w:val="left" w:pos="1152"/>
              </w:tabs>
              <w:spacing w:before="81" w:after="81" w:line="160" w:lineRule="exact"/>
              <w:ind w:right="40"/>
              <w:jc w:val="center"/>
              <w:rPr>
                <w:i/>
                <w:sz w:val="14"/>
              </w:rPr>
            </w:pPr>
            <w:r w:rsidRPr="004C7F84">
              <w:rPr>
                <w:i/>
                <w:sz w:val="14"/>
              </w:rPr>
              <w:t>Année</w:t>
            </w:r>
            <w:r w:rsidR="0034195A" w:rsidRPr="004C7F84">
              <w:rPr>
                <w:i/>
                <w:sz w:val="14"/>
              </w:rPr>
              <w:t xml:space="preserve"> 2013</w:t>
            </w:r>
          </w:p>
        </w:tc>
        <w:tc>
          <w:tcPr>
            <w:tcW w:w="69" w:type="dxa"/>
            <w:tcBorders>
              <w:top w:val="single" w:sz="4" w:space="0" w:color="auto"/>
            </w:tcBorders>
            <w:shd w:val="clear" w:color="auto" w:fill="auto"/>
            <w:vAlign w:val="bottom"/>
          </w:tcPr>
          <w:p w14:paraId="34348711" w14:textId="77777777" w:rsidR="0034195A" w:rsidRPr="004C7F84" w:rsidRDefault="0034195A" w:rsidP="0034195A">
            <w:pPr>
              <w:tabs>
                <w:tab w:val="left" w:pos="288"/>
                <w:tab w:val="left" w:pos="576"/>
                <w:tab w:val="left" w:pos="864"/>
                <w:tab w:val="left" w:pos="1152"/>
              </w:tabs>
              <w:spacing w:before="81" w:after="81" w:line="160" w:lineRule="exact"/>
              <w:ind w:right="40"/>
              <w:jc w:val="center"/>
              <w:rPr>
                <w:i/>
                <w:sz w:val="14"/>
              </w:rPr>
            </w:pPr>
          </w:p>
        </w:tc>
        <w:tc>
          <w:tcPr>
            <w:tcW w:w="1761" w:type="dxa"/>
            <w:gridSpan w:val="2"/>
            <w:tcBorders>
              <w:top w:val="single" w:sz="4" w:space="0" w:color="auto"/>
              <w:bottom w:val="single" w:sz="4" w:space="0" w:color="auto"/>
            </w:tcBorders>
            <w:shd w:val="clear" w:color="auto" w:fill="auto"/>
            <w:vAlign w:val="bottom"/>
          </w:tcPr>
          <w:p w14:paraId="5E2E60E7" w14:textId="32E18F2B" w:rsidR="0034195A" w:rsidRPr="004C7F84" w:rsidRDefault="008477BC" w:rsidP="0034195A">
            <w:pPr>
              <w:tabs>
                <w:tab w:val="left" w:pos="288"/>
                <w:tab w:val="left" w:pos="576"/>
                <w:tab w:val="left" w:pos="864"/>
                <w:tab w:val="left" w:pos="1152"/>
              </w:tabs>
              <w:spacing w:before="81" w:after="81" w:line="160" w:lineRule="exact"/>
              <w:ind w:right="40"/>
              <w:jc w:val="center"/>
              <w:rPr>
                <w:i/>
                <w:sz w:val="14"/>
              </w:rPr>
            </w:pPr>
            <w:r w:rsidRPr="004C7F84">
              <w:rPr>
                <w:i/>
                <w:sz w:val="14"/>
              </w:rPr>
              <w:t>Année</w:t>
            </w:r>
            <w:r w:rsidR="0034195A" w:rsidRPr="004C7F84">
              <w:rPr>
                <w:i/>
                <w:sz w:val="14"/>
              </w:rPr>
              <w:t xml:space="preserve"> 2014</w:t>
            </w:r>
          </w:p>
        </w:tc>
        <w:tc>
          <w:tcPr>
            <w:tcW w:w="915" w:type="dxa"/>
            <w:tcBorders>
              <w:top w:val="single" w:sz="4" w:space="0" w:color="auto"/>
            </w:tcBorders>
            <w:shd w:val="clear" w:color="auto" w:fill="auto"/>
            <w:vAlign w:val="bottom"/>
          </w:tcPr>
          <w:p w14:paraId="344873EE" w14:textId="77777777" w:rsidR="0034195A" w:rsidRPr="004C7F84" w:rsidRDefault="0034195A" w:rsidP="0034195A">
            <w:pPr>
              <w:tabs>
                <w:tab w:val="left" w:pos="288"/>
                <w:tab w:val="left" w:pos="576"/>
                <w:tab w:val="left" w:pos="864"/>
                <w:tab w:val="left" w:pos="1152"/>
              </w:tabs>
              <w:spacing w:before="81" w:after="81" w:line="160" w:lineRule="exact"/>
              <w:ind w:left="144" w:right="40"/>
              <w:jc w:val="right"/>
              <w:rPr>
                <w:i/>
                <w:sz w:val="14"/>
              </w:rPr>
            </w:pPr>
          </w:p>
        </w:tc>
      </w:tr>
      <w:tr w:rsidR="008477BC" w:rsidRPr="004C7F84" w14:paraId="563729B7" w14:textId="77777777" w:rsidTr="0034195A">
        <w:trPr>
          <w:tblHeader/>
        </w:trPr>
        <w:tc>
          <w:tcPr>
            <w:tcW w:w="915" w:type="dxa"/>
            <w:tcBorders>
              <w:bottom w:val="single" w:sz="12" w:space="0" w:color="auto"/>
            </w:tcBorders>
            <w:shd w:val="clear" w:color="auto" w:fill="auto"/>
            <w:vAlign w:val="bottom"/>
          </w:tcPr>
          <w:p w14:paraId="06953516" w14:textId="027D1EF2" w:rsidR="008477BC" w:rsidRPr="004C7F84" w:rsidRDefault="008477BC" w:rsidP="0034195A">
            <w:pPr>
              <w:tabs>
                <w:tab w:val="left" w:pos="288"/>
                <w:tab w:val="left" w:pos="576"/>
                <w:tab w:val="left" w:pos="864"/>
                <w:tab w:val="left" w:pos="1152"/>
              </w:tabs>
              <w:spacing w:before="81" w:after="81" w:line="160" w:lineRule="exact"/>
              <w:ind w:right="40"/>
              <w:rPr>
                <w:i/>
                <w:sz w:val="14"/>
              </w:rPr>
            </w:pPr>
            <w:r w:rsidRPr="004C7F84">
              <w:rPr>
                <w:i/>
                <w:sz w:val="14"/>
              </w:rPr>
              <w:t>Groupe d</w:t>
            </w:r>
            <w:r w:rsidR="00773F5D" w:rsidRPr="004C7F84">
              <w:rPr>
                <w:i/>
                <w:sz w:val="14"/>
              </w:rPr>
              <w:t>’</w:t>
            </w:r>
            <w:r w:rsidRPr="004C7F84">
              <w:rPr>
                <w:i/>
                <w:sz w:val="14"/>
              </w:rPr>
              <w:t>âge</w:t>
            </w:r>
          </w:p>
        </w:tc>
        <w:tc>
          <w:tcPr>
            <w:tcW w:w="915" w:type="dxa"/>
            <w:tcBorders>
              <w:top w:val="single" w:sz="4" w:space="0" w:color="auto"/>
              <w:bottom w:val="single" w:sz="12" w:space="0" w:color="auto"/>
            </w:tcBorders>
            <w:shd w:val="clear" w:color="auto" w:fill="auto"/>
            <w:vAlign w:val="bottom"/>
          </w:tcPr>
          <w:p w14:paraId="25224EA2" w14:textId="755A0FCB" w:rsidR="008477BC" w:rsidRPr="004C7F84" w:rsidRDefault="008477BC"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Hommes</w:t>
            </w:r>
          </w:p>
        </w:tc>
        <w:tc>
          <w:tcPr>
            <w:tcW w:w="915" w:type="dxa"/>
            <w:tcBorders>
              <w:top w:val="single" w:sz="4" w:space="0" w:color="auto"/>
              <w:bottom w:val="single" w:sz="12" w:space="0" w:color="auto"/>
            </w:tcBorders>
            <w:shd w:val="clear" w:color="auto" w:fill="auto"/>
            <w:vAlign w:val="bottom"/>
          </w:tcPr>
          <w:p w14:paraId="302F54D3" w14:textId="395AB339" w:rsidR="008477BC" w:rsidRPr="004C7F84" w:rsidRDefault="008477BC"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Femmes</w:t>
            </w:r>
          </w:p>
        </w:tc>
        <w:tc>
          <w:tcPr>
            <w:tcW w:w="915" w:type="dxa"/>
            <w:gridSpan w:val="2"/>
            <w:tcBorders>
              <w:bottom w:val="single" w:sz="12" w:space="0" w:color="auto"/>
            </w:tcBorders>
            <w:shd w:val="clear" w:color="auto" w:fill="auto"/>
            <w:vAlign w:val="bottom"/>
          </w:tcPr>
          <w:p w14:paraId="22D5F06E" w14:textId="488F57FE" w:rsidR="008477BC" w:rsidRPr="004C7F84" w:rsidRDefault="008477BC"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Hommes</w:t>
            </w:r>
          </w:p>
        </w:tc>
        <w:tc>
          <w:tcPr>
            <w:tcW w:w="915" w:type="dxa"/>
            <w:tcBorders>
              <w:bottom w:val="single" w:sz="12" w:space="0" w:color="auto"/>
            </w:tcBorders>
            <w:shd w:val="clear" w:color="auto" w:fill="auto"/>
            <w:vAlign w:val="bottom"/>
          </w:tcPr>
          <w:p w14:paraId="04757445" w14:textId="43319741" w:rsidR="008477BC" w:rsidRPr="004C7F84" w:rsidRDefault="008477BC"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Femmes</w:t>
            </w:r>
          </w:p>
        </w:tc>
        <w:tc>
          <w:tcPr>
            <w:tcW w:w="915" w:type="dxa"/>
            <w:gridSpan w:val="2"/>
            <w:tcBorders>
              <w:bottom w:val="single" w:sz="12" w:space="0" w:color="auto"/>
            </w:tcBorders>
            <w:shd w:val="clear" w:color="auto" w:fill="auto"/>
            <w:vAlign w:val="bottom"/>
          </w:tcPr>
          <w:p w14:paraId="28FA3969" w14:textId="546FD468" w:rsidR="008477BC" w:rsidRPr="004C7F84" w:rsidRDefault="008477BC"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Hommes</w:t>
            </w:r>
          </w:p>
        </w:tc>
        <w:tc>
          <w:tcPr>
            <w:tcW w:w="915" w:type="dxa"/>
            <w:tcBorders>
              <w:bottom w:val="single" w:sz="12" w:space="0" w:color="auto"/>
            </w:tcBorders>
            <w:shd w:val="clear" w:color="auto" w:fill="auto"/>
            <w:vAlign w:val="bottom"/>
          </w:tcPr>
          <w:p w14:paraId="2279296B" w14:textId="360A9800" w:rsidR="008477BC" w:rsidRPr="004C7F84" w:rsidRDefault="008477BC"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Femmes</w:t>
            </w:r>
          </w:p>
        </w:tc>
        <w:tc>
          <w:tcPr>
            <w:tcW w:w="915" w:type="dxa"/>
            <w:tcBorders>
              <w:bottom w:val="single" w:sz="12" w:space="0" w:color="auto"/>
            </w:tcBorders>
            <w:shd w:val="clear" w:color="auto" w:fill="auto"/>
            <w:vAlign w:val="bottom"/>
          </w:tcPr>
          <w:p w14:paraId="1D36B129" w14:textId="7FAE35BD" w:rsidR="008477BC" w:rsidRPr="004C7F84" w:rsidRDefault="008477BC" w:rsidP="0034195A">
            <w:pPr>
              <w:tabs>
                <w:tab w:val="left" w:pos="288"/>
                <w:tab w:val="left" w:pos="576"/>
                <w:tab w:val="left" w:pos="864"/>
                <w:tab w:val="left" w:pos="1152"/>
              </w:tabs>
              <w:spacing w:before="81" w:after="81" w:line="160" w:lineRule="exact"/>
              <w:ind w:left="144" w:right="40"/>
              <w:jc w:val="right"/>
              <w:rPr>
                <w:i/>
                <w:sz w:val="14"/>
              </w:rPr>
            </w:pPr>
            <w:r w:rsidRPr="004C7F84">
              <w:rPr>
                <w:i/>
                <w:sz w:val="14"/>
              </w:rPr>
              <w:t>Total</w:t>
            </w:r>
          </w:p>
        </w:tc>
      </w:tr>
      <w:tr w:rsidR="0034195A" w:rsidRPr="004C7F84" w14:paraId="05C275DC" w14:textId="77777777" w:rsidTr="0034195A">
        <w:trPr>
          <w:trHeight w:hRule="exact" w:val="115"/>
          <w:tblHeader/>
        </w:trPr>
        <w:tc>
          <w:tcPr>
            <w:tcW w:w="915" w:type="dxa"/>
            <w:tcBorders>
              <w:top w:val="single" w:sz="12" w:space="0" w:color="auto"/>
            </w:tcBorders>
            <w:shd w:val="clear" w:color="auto" w:fill="auto"/>
            <w:vAlign w:val="bottom"/>
          </w:tcPr>
          <w:p w14:paraId="1D4837AF" w14:textId="77777777" w:rsidR="0034195A" w:rsidRPr="004C7F84" w:rsidRDefault="0034195A" w:rsidP="0034195A">
            <w:pPr>
              <w:tabs>
                <w:tab w:val="left" w:pos="288"/>
                <w:tab w:val="left" w:pos="576"/>
                <w:tab w:val="left" w:pos="864"/>
                <w:tab w:val="left" w:pos="1152"/>
              </w:tabs>
              <w:spacing w:before="40" w:after="40" w:line="210" w:lineRule="exact"/>
              <w:ind w:right="40"/>
              <w:rPr>
                <w:sz w:val="17"/>
              </w:rPr>
            </w:pPr>
          </w:p>
        </w:tc>
        <w:tc>
          <w:tcPr>
            <w:tcW w:w="915" w:type="dxa"/>
            <w:tcBorders>
              <w:top w:val="single" w:sz="12" w:space="0" w:color="auto"/>
            </w:tcBorders>
            <w:shd w:val="clear" w:color="auto" w:fill="auto"/>
            <w:vAlign w:val="bottom"/>
          </w:tcPr>
          <w:p w14:paraId="768D051E"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915" w:type="dxa"/>
            <w:tcBorders>
              <w:top w:val="single" w:sz="12" w:space="0" w:color="auto"/>
            </w:tcBorders>
            <w:shd w:val="clear" w:color="auto" w:fill="auto"/>
            <w:vAlign w:val="bottom"/>
          </w:tcPr>
          <w:p w14:paraId="1B0A5A38"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915" w:type="dxa"/>
            <w:gridSpan w:val="2"/>
            <w:tcBorders>
              <w:top w:val="single" w:sz="12" w:space="0" w:color="auto"/>
            </w:tcBorders>
            <w:shd w:val="clear" w:color="auto" w:fill="auto"/>
            <w:vAlign w:val="bottom"/>
          </w:tcPr>
          <w:p w14:paraId="7733D5CE"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915" w:type="dxa"/>
            <w:tcBorders>
              <w:top w:val="single" w:sz="12" w:space="0" w:color="auto"/>
            </w:tcBorders>
            <w:shd w:val="clear" w:color="auto" w:fill="auto"/>
            <w:vAlign w:val="bottom"/>
          </w:tcPr>
          <w:p w14:paraId="1A9E3A45"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915" w:type="dxa"/>
            <w:gridSpan w:val="2"/>
            <w:tcBorders>
              <w:top w:val="single" w:sz="12" w:space="0" w:color="auto"/>
            </w:tcBorders>
            <w:shd w:val="clear" w:color="auto" w:fill="auto"/>
            <w:vAlign w:val="bottom"/>
          </w:tcPr>
          <w:p w14:paraId="432E3B6A"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915" w:type="dxa"/>
            <w:tcBorders>
              <w:top w:val="single" w:sz="12" w:space="0" w:color="auto"/>
            </w:tcBorders>
            <w:shd w:val="clear" w:color="auto" w:fill="auto"/>
            <w:vAlign w:val="bottom"/>
          </w:tcPr>
          <w:p w14:paraId="5FAA1CE2"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915" w:type="dxa"/>
            <w:tcBorders>
              <w:top w:val="single" w:sz="12" w:space="0" w:color="auto"/>
            </w:tcBorders>
            <w:shd w:val="clear" w:color="auto" w:fill="auto"/>
            <w:vAlign w:val="bottom"/>
          </w:tcPr>
          <w:p w14:paraId="1C22FFF7"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r>
      <w:tr w:rsidR="0034195A" w:rsidRPr="004C7F84" w14:paraId="6BB8E42E" w14:textId="77777777" w:rsidTr="0034195A">
        <w:tc>
          <w:tcPr>
            <w:tcW w:w="915" w:type="dxa"/>
            <w:shd w:val="clear" w:color="auto" w:fill="auto"/>
            <w:vAlign w:val="bottom"/>
          </w:tcPr>
          <w:p w14:paraId="10302535" w14:textId="04030E80" w:rsidR="0034195A" w:rsidRPr="004C7F84" w:rsidRDefault="0034195A" w:rsidP="008477BC">
            <w:pPr>
              <w:tabs>
                <w:tab w:val="left" w:pos="288"/>
                <w:tab w:val="left" w:pos="576"/>
                <w:tab w:val="left" w:pos="864"/>
                <w:tab w:val="left" w:pos="1152"/>
              </w:tabs>
              <w:spacing w:before="40" w:after="40" w:line="210" w:lineRule="exact"/>
              <w:ind w:right="40"/>
              <w:rPr>
                <w:sz w:val="17"/>
              </w:rPr>
            </w:pPr>
            <w:r w:rsidRPr="004C7F84">
              <w:rPr>
                <w:sz w:val="17"/>
              </w:rPr>
              <w:t>15</w:t>
            </w:r>
            <w:r w:rsidR="008477BC" w:rsidRPr="004C7F84">
              <w:rPr>
                <w:sz w:val="17"/>
              </w:rPr>
              <w:t>-</w:t>
            </w:r>
            <w:r w:rsidRPr="004C7F84">
              <w:rPr>
                <w:sz w:val="17"/>
              </w:rPr>
              <w:t>19</w:t>
            </w:r>
          </w:p>
        </w:tc>
        <w:tc>
          <w:tcPr>
            <w:tcW w:w="915" w:type="dxa"/>
            <w:shd w:val="clear" w:color="auto" w:fill="auto"/>
            <w:vAlign w:val="bottom"/>
          </w:tcPr>
          <w:p w14:paraId="22102325"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w:t>
            </w:r>
          </w:p>
        </w:tc>
        <w:tc>
          <w:tcPr>
            <w:tcW w:w="915" w:type="dxa"/>
            <w:shd w:val="clear" w:color="auto" w:fill="auto"/>
            <w:vAlign w:val="bottom"/>
          </w:tcPr>
          <w:p w14:paraId="60210174"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4</w:t>
            </w:r>
          </w:p>
        </w:tc>
        <w:tc>
          <w:tcPr>
            <w:tcW w:w="915" w:type="dxa"/>
            <w:gridSpan w:val="2"/>
            <w:shd w:val="clear" w:color="auto" w:fill="auto"/>
            <w:vAlign w:val="bottom"/>
          </w:tcPr>
          <w:p w14:paraId="6D41B620"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w:t>
            </w:r>
          </w:p>
        </w:tc>
        <w:tc>
          <w:tcPr>
            <w:tcW w:w="915" w:type="dxa"/>
            <w:shd w:val="clear" w:color="auto" w:fill="auto"/>
            <w:vAlign w:val="bottom"/>
          </w:tcPr>
          <w:p w14:paraId="0CF4D48D"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0</w:t>
            </w:r>
          </w:p>
        </w:tc>
        <w:tc>
          <w:tcPr>
            <w:tcW w:w="915" w:type="dxa"/>
            <w:gridSpan w:val="2"/>
            <w:shd w:val="clear" w:color="auto" w:fill="auto"/>
            <w:vAlign w:val="bottom"/>
          </w:tcPr>
          <w:p w14:paraId="278AE07E"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w:t>
            </w:r>
          </w:p>
        </w:tc>
        <w:tc>
          <w:tcPr>
            <w:tcW w:w="915" w:type="dxa"/>
            <w:shd w:val="clear" w:color="auto" w:fill="auto"/>
            <w:vAlign w:val="bottom"/>
          </w:tcPr>
          <w:p w14:paraId="15D30F41"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w:t>
            </w:r>
          </w:p>
        </w:tc>
        <w:tc>
          <w:tcPr>
            <w:tcW w:w="915" w:type="dxa"/>
            <w:shd w:val="clear" w:color="auto" w:fill="auto"/>
            <w:vAlign w:val="bottom"/>
          </w:tcPr>
          <w:p w14:paraId="5CFCDD0B"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10</w:t>
            </w:r>
          </w:p>
        </w:tc>
      </w:tr>
      <w:tr w:rsidR="0034195A" w:rsidRPr="004C7F84" w14:paraId="51BBAB9D" w14:textId="77777777" w:rsidTr="0034195A">
        <w:tc>
          <w:tcPr>
            <w:tcW w:w="915" w:type="dxa"/>
            <w:shd w:val="clear" w:color="auto" w:fill="auto"/>
            <w:vAlign w:val="bottom"/>
          </w:tcPr>
          <w:p w14:paraId="2F16BC36" w14:textId="517EC7AE" w:rsidR="0034195A" w:rsidRPr="004C7F84" w:rsidRDefault="008477BC" w:rsidP="0034195A">
            <w:pPr>
              <w:tabs>
                <w:tab w:val="left" w:pos="288"/>
                <w:tab w:val="left" w:pos="576"/>
                <w:tab w:val="left" w:pos="864"/>
                <w:tab w:val="left" w:pos="1152"/>
              </w:tabs>
              <w:spacing w:before="40" w:after="40" w:line="210" w:lineRule="exact"/>
              <w:ind w:right="40"/>
              <w:rPr>
                <w:sz w:val="17"/>
              </w:rPr>
            </w:pPr>
            <w:r w:rsidRPr="004C7F84">
              <w:rPr>
                <w:sz w:val="17"/>
              </w:rPr>
              <w:t>20-</w:t>
            </w:r>
            <w:r w:rsidR="0034195A" w:rsidRPr="004C7F84">
              <w:rPr>
                <w:sz w:val="17"/>
              </w:rPr>
              <w:t>24</w:t>
            </w:r>
          </w:p>
        </w:tc>
        <w:tc>
          <w:tcPr>
            <w:tcW w:w="915" w:type="dxa"/>
            <w:shd w:val="clear" w:color="auto" w:fill="auto"/>
            <w:vAlign w:val="bottom"/>
          </w:tcPr>
          <w:p w14:paraId="163F3511"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6</w:t>
            </w:r>
          </w:p>
        </w:tc>
        <w:tc>
          <w:tcPr>
            <w:tcW w:w="915" w:type="dxa"/>
            <w:shd w:val="clear" w:color="auto" w:fill="auto"/>
            <w:vAlign w:val="bottom"/>
          </w:tcPr>
          <w:p w14:paraId="11E391AA"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3</w:t>
            </w:r>
          </w:p>
        </w:tc>
        <w:tc>
          <w:tcPr>
            <w:tcW w:w="915" w:type="dxa"/>
            <w:gridSpan w:val="2"/>
            <w:shd w:val="clear" w:color="auto" w:fill="auto"/>
            <w:vAlign w:val="bottom"/>
          </w:tcPr>
          <w:p w14:paraId="6257DAFB"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w:t>
            </w:r>
          </w:p>
        </w:tc>
        <w:tc>
          <w:tcPr>
            <w:tcW w:w="915" w:type="dxa"/>
            <w:shd w:val="clear" w:color="auto" w:fill="auto"/>
            <w:vAlign w:val="bottom"/>
          </w:tcPr>
          <w:p w14:paraId="5F78C02D"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4</w:t>
            </w:r>
          </w:p>
        </w:tc>
        <w:tc>
          <w:tcPr>
            <w:tcW w:w="915" w:type="dxa"/>
            <w:gridSpan w:val="2"/>
            <w:shd w:val="clear" w:color="auto" w:fill="auto"/>
            <w:vAlign w:val="bottom"/>
          </w:tcPr>
          <w:p w14:paraId="367154E4"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6</w:t>
            </w:r>
          </w:p>
        </w:tc>
        <w:tc>
          <w:tcPr>
            <w:tcW w:w="915" w:type="dxa"/>
            <w:shd w:val="clear" w:color="auto" w:fill="auto"/>
            <w:vAlign w:val="bottom"/>
          </w:tcPr>
          <w:p w14:paraId="34D280CD"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3</w:t>
            </w:r>
          </w:p>
        </w:tc>
        <w:tc>
          <w:tcPr>
            <w:tcW w:w="915" w:type="dxa"/>
            <w:shd w:val="clear" w:color="auto" w:fill="auto"/>
            <w:vAlign w:val="bottom"/>
          </w:tcPr>
          <w:p w14:paraId="0AA40760"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24</w:t>
            </w:r>
          </w:p>
        </w:tc>
      </w:tr>
      <w:tr w:rsidR="0034195A" w:rsidRPr="004C7F84" w14:paraId="2B87FAC1" w14:textId="77777777" w:rsidTr="0034195A">
        <w:tc>
          <w:tcPr>
            <w:tcW w:w="915" w:type="dxa"/>
            <w:shd w:val="clear" w:color="auto" w:fill="auto"/>
            <w:vAlign w:val="bottom"/>
          </w:tcPr>
          <w:p w14:paraId="27B399A7" w14:textId="33CCD69D" w:rsidR="0034195A" w:rsidRPr="004C7F84" w:rsidRDefault="008477BC" w:rsidP="0034195A">
            <w:pPr>
              <w:tabs>
                <w:tab w:val="left" w:pos="288"/>
                <w:tab w:val="left" w:pos="576"/>
                <w:tab w:val="left" w:pos="864"/>
                <w:tab w:val="left" w:pos="1152"/>
              </w:tabs>
              <w:spacing w:before="40" w:after="40" w:line="210" w:lineRule="exact"/>
              <w:ind w:right="40"/>
              <w:rPr>
                <w:sz w:val="17"/>
              </w:rPr>
            </w:pPr>
            <w:r w:rsidRPr="004C7F84">
              <w:rPr>
                <w:sz w:val="17"/>
              </w:rPr>
              <w:t>25-</w:t>
            </w:r>
            <w:r w:rsidR="0034195A" w:rsidRPr="004C7F84">
              <w:rPr>
                <w:sz w:val="17"/>
              </w:rPr>
              <w:t>29</w:t>
            </w:r>
          </w:p>
        </w:tc>
        <w:tc>
          <w:tcPr>
            <w:tcW w:w="915" w:type="dxa"/>
            <w:shd w:val="clear" w:color="auto" w:fill="auto"/>
            <w:vAlign w:val="bottom"/>
          </w:tcPr>
          <w:p w14:paraId="301A598F"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3</w:t>
            </w:r>
          </w:p>
        </w:tc>
        <w:tc>
          <w:tcPr>
            <w:tcW w:w="915" w:type="dxa"/>
            <w:shd w:val="clear" w:color="auto" w:fill="auto"/>
            <w:vAlign w:val="bottom"/>
          </w:tcPr>
          <w:p w14:paraId="7DEA9E22"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w:t>
            </w:r>
          </w:p>
        </w:tc>
        <w:tc>
          <w:tcPr>
            <w:tcW w:w="915" w:type="dxa"/>
            <w:gridSpan w:val="2"/>
            <w:shd w:val="clear" w:color="auto" w:fill="auto"/>
            <w:vAlign w:val="bottom"/>
          </w:tcPr>
          <w:p w14:paraId="2CC180BA"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3</w:t>
            </w:r>
          </w:p>
        </w:tc>
        <w:tc>
          <w:tcPr>
            <w:tcW w:w="915" w:type="dxa"/>
            <w:shd w:val="clear" w:color="auto" w:fill="auto"/>
            <w:vAlign w:val="bottom"/>
          </w:tcPr>
          <w:p w14:paraId="16743B83"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w:t>
            </w:r>
          </w:p>
        </w:tc>
        <w:tc>
          <w:tcPr>
            <w:tcW w:w="915" w:type="dxa"/>
            <w:gridSpan w:val="2"/>
            <w:shd w:val="clear" w:color="auto" w:fill="auto"/>
            <w:vAlign w:val="bottom"/>
          </w:tcPr>
          <w:p w14:paraId="041BBF33"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3</w:t>
            </w:r>
          </w:p>
        </w:tc>
        <w:tc>
          <w:tcPr>
            <w:tcW w:w="915" w:type="dxa"/>
            <w:shd w:val="clear" w:color="auto" w:fill="auto"/>
            <w:vAlign w:val="bottom"/>
          </w:tcPr>
          <w:p w14:paraId="3782BA41"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w:t>
            </w:r>
          </w:p>
        </w:tc>
        <w:tc>
          <w:tcPr>
            <w:tcW w:w="915" w:type="dxa"/>
            <w:shd w:val="clear" w:color="auto" w:fill="auto"/>
            <w:vAlign w:val="bottom"/>
          </w:tcPr>
          <w:p w14:paraId="2D302854"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14</w:t>
            </w:r>
          </w:p>
        </w:tc>
      </w:tr>
      <w:tr w:rsidR="0034195A" w:rsidRPr="004C7F84" w14:paraId="4E7A3A9E" w14:textId="77777777" w:rsidTr="0034195A">
        <w:tc>
          <w:tcPr>
            <w:tcW w:w="915" w:type="dxa"/>
            <w:shd w:val="clear" w:color="auto" w:fill="auto"/>
            <w:vAlign w:val="bottom"/>
          </w:tcPr>
          <w:p w14:paraId="1AAB8898" w14:textId="005B765E" w:rsidR="0034195A" w:rsidRPr="004C7F84" w:rsidRDefault="008477BC" w:rsidP="0034195A">
            <w:pPr>
              <w:tabs>
                <w:tab w:val="left" w:pos="288"/>
                <w:tab w:val="left" w:pos="576"/>
                <w:tab w:val="left" w:pos="864"/>
                <w:tab w:val="left" w:pos="1152"/>
              </w:tabs>
              <w:spacing w:before="40" w:after="40" w:line="210" w:lineRule="exact"/>
              <w:ind w:right="40"/>
              <w:rPr>
                <w:sz w:val="17"/>
              </w:rPr>
            </w:pPr>
            <w:r w:rsidRPr="004C7F84">
              <w:rPr>
                <w:sz w:val="17"/>
              </w:rPr>
              <w:t>30-</w:t>
            </w:r>
            <w:r w:rsidR="0034195A" w:rsidRPr="004C7F84">
              <w:rPr>
                <w:sz w:val="17"/>
              </w:rPr>
              <w:t>34</w:t>
            </w:r>
          </w:p>
        </w:tc>
        <w:tc>
          <w:tcPr>
            <w:tcW w:w="915" w:type="dxa"/>
            <w:shd w:val="clear" w:color="auto" w:fill="auto"/>
            <w:vAlign w:val="bottom"/>
          </w:tcPr>
          <w:p w14:paraId="41A3F7D3"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5</w:t>
            </w:r>
          </w:p>
        </w:tc>
        <w:tc>
          <w:tcPr>
            <w:tcW w:w="915" w:type="dxa"/>
            <w:shd w:val="clear" w:color="auto" w:fill="auto"/>
            <w:vAlign w:val="bottom"/>
          </w:tcPr>
          <w:p w14:paraId="4A6733DE"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3</w:t>
            </w:r>
          </w:p>
        </w:tc>
        <w:tc>
          <w:tcPr>
            <w:tcW w:w="915" w:type="dxa"/>
            <w:gridSpan w:val="2"/>
            <w:shd w:val="clear" w:color="auto" w:fill="auto"/>
            <w:vAlign w:val="bottom"/>
          </w:tcPr>
          <w:p w14:paraId="743D99CC"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3</w:t>
            </w:r>
          </w:p>
        </w:tc>
        <w:tc>
          <w:tcPr>
            <w:tcW w:w="915" w:type="dxa"/>
            <w:shd w:val="clear" w:color="auto" w:fill="auto"/>
            <w:vAlign w:val="bottom"/>
          </w:tcPr>
          <w:p w14:paraId="7A421241"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0</w:t>
            </w:r>
          </w:p>
        </w:tc>
        <w:tc>
          <w:tcPr>
            <w:tcW w:w="915" w:type="dxa"/>
            <w:gridSpan w:val="2"/>
            <w:shd w:val="clear" w:color="auto" w:fill="auto"/>
            <w:vAlign w:val="bottom"/>
          </w:tcPr>
          <w:p w14:paraId="53C33E39"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0</w:t>
            </w:r>
          </w:p>
        </w:tc>
        <w:tc>
          <w:tcPr>
            <w:tcW w:w="915" w:type="dxa"/>
            <w:shd w:val="clear" w:color="auto" w:fill="auto"/>
            <w:vAlign w:val="bottom"/>
          </w:tcPr>
          <w:p w14:paraId="0436FF3B"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6</w:t>
            </w:r>
          </w:p>
        </w:tc>
        <w:tc>
          <w:tcPr>
            <w:tcW w:w="915" w:type="dxa"/>
            <w:shd w:val="clear" w:color="auto" w:fill="auto"/>
            <w:vAlign w:val="bottom"/>
          </w:tcPr>
          <w:p w14:paraId="4CEA2AD6"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17</w:t>
            </w:r>
          </w:p>
        </w:tc>
      </w:tr>
      <w:tr w:rsidR="0034195A" w:rsidRPr="004C7F84" w14:paraId="3C630927" w14:textId="77777777" w:rsidTr="0034195A">
        <w:tc>
          <w:tcPr>
            <w:tcW w:w="915" w:type="dxa"/>
            <w:tcBorders>
              <w:bottom w:val="single" w:sz="4" w:space="0" w:color="auto"/>
            </w:tcBorders>
            <w:shd w:val="clear" w:color="auto" w:fill="auto"/>
            <w:vAlign w:val="bottom"/>
          </w:tcPr>
          <w:p w14:paraId="4227A84C" w14:textId="7641ECE0" w:rsidR="0034195A" w:rsidRPr="004C7F84" w:rsidRDefault="008477BC" w:rsidP="0034195A">
            <w:pPr>
              <w:tabs>
                <w:tab w:val="left" w:pos="288"/>
                <w:tab w:val="left" w:pos="576"/>
                <w:tab w:val="left" w:pos="864"/>
                <w:tab w:val="left" w:pos="1152"/>
              </w:tabs>
              <w:spacing w:before="40" w:after="81" w:line="210" w:lineRule="exact"/>
              <w:ind w:right="40"/>
              <w:rPr>
                <w:sz w:val="17"/>
              </w:rPr>
            </w:pPr>
            <w:r w:rsidRPr="004C7F84">
              <w:rPr>
                <w:sz w:val="17"/>
              </w:rPr>
              <w:t>35-</w:t>
            </w:r>
            <w:r w:rsidR="0034195A" w:rsidRPr="004C7F84">
              <w:rPr>
                <w:sz w:val="17"/>
              </w:rPr>
              <w:t>39</w:t>
            </w:r>
          </w:p>
        </w:tc>
        <w:tc>
          <w:tcPr>
            <w:tcW w:w="915" w:type="dxa"/>
            <w:tcBorders>
              <w:bottom w:val="single" w:sz="4" w:space="0" w:color="auto"/>
            </w:tcBorders>
            <w:shd w:val="clear" w:color="auto" w:fill="auto"/>
            <w:vAlign w:val="bottom"/>
          </w:tcPr>
          <w:p w14:paraId="067050D7" w14:textId="77777777" w:rsidR="0034195A" w:rsidRPr="004C7F84" w:rsidRDefault="0034195A" w:rsidP="0034195A">
            <w:pPr>
              <w:tabs>
                <w:tab w:val="left" w:pos="288"/>
                <w:tab w:val="left" w:pos="576"/>
                <w:tab w:val="left" w:pos="864"/>
                <w:tab w:val="left" w:pos="1152"/>
              </w:tabs>
              <w:spacing w:before="40" w:after="81" w:line="210" w:lineRule="exact"/>
              <w:ind w:left="144" w:right="40"/>
              <w:jc w:val="right"/>
              <w:rPr>
                <w:sz w:val="17"/>
              </w:rPr>
            </w:pPr>
            <w:r w:rsidRPr="004C7F84">
              <w:rPr>
                <w:sz w:val="17"/>
              </w:rPr>
              <w:t>2</w:t>
            </w:r>
          </w:p>
        </w:tc>
        <w:tc>
          <w:tcPr>
            <w:tcW w:w="915" w:type="dxa"/>
            <w:tcBorders>
              <w:bottom w:val="single" w:sz="4" w:space="0" w:color="auto"/>
            </w:tcBorders>
            <w:shd w:val="clear" w:color="auto" w:fill="auto"/>
            <w:vAlign w:val="bottom"/>
          </w:tcPr>
          <w:p w14:paraId="1DDA0ACB" w14:textId="77777777" w:rsidR="0034195A" w:rsidRPr="004C7F84" w:rsidRDefault="0034195A" w:rsidP="0034195A">
            <w:pPr>
              <w:tabs>
                <w:tab w:val="left" w:pos="288"/>
                <w:tab w:val="left" w:pos="576"/>
                <w:tab w:val="left" w:pos="864"/>
                <w:tab w:val="left" w:pos="1152"/>
              </w:tabs>
              <w:spacing w:before="40" w:after="81" w:line="210" w:lineRule="exact"/>
              <w:ind w:left="144" w:right="40"/>
              <w:jc w:val="right"/>
              <w:rPr>
                <w:sz w:val="17"/>
              </w:rPr>
            </w:pPr>
            <w:r w:rsidRPr="004C7F84">
              <w:rPr>
                <w:sz w:val="17"/>
              </w:rPr>
              <w:t>4</w:t>
            </w:r>
          </w:p>
        </w:tc>
        <w:tc>
          <w:tcPr>
            <w:tcW w:w="915" w:type="dxa"/>
            <w:gridSpan w:val="2"/>
            <w:tcBorders>
              <w:bottom w:val="single" w:sz="4" w:space="0" w:color="auto"/>
            </w:tcBorders>
            <w:shd w:val="clear" w:color="auto" w:fill="auto"/>
            <w:vAlign w:val="bottom"/>
          </w:tcPr>
          <w:p w14:paraId="50DCDA8C" w14:textId="77777777" w:rsidR="0034195A" w:rsidRPr="004C7F84" w:rsidRDefault="0034195A" w:rsidP="0034195A">
            <w:pPr>
              <w:tabs>
                <w:tab w:val="left" w:pos="288"/>
                <w:tab w:val="left" w:pos="576"/>
                <w:tab w:val="left" w:pos="864"/>
                <w:tab w:val="left" w:pos="1152"/>
              </w:tabs>
              <w:spacing w:before="40" w:after="81" w:line="210" w:lineRule="exact"/>
              <w:ind w:left="144" w:right="40"/>
              <w:jc w:val="right"/>
              <w:rPr>
                <w:sz w:val="17"/>
              </w:rPr>
            </w:pPr>
            <w:r w:rsidRPr="004C7F84">
              <w:rPr>
                <w:sz w:val="17"/>
              </w:rPr>
              <w:t>2</w:t>
            </w:r>
          </w:p>
        </w:tc>
        <w:tc>
          <w:tcPr>
            <w:tcW w:w="915" w:type="dxa"/>
            <w:tcBorders>
              <w:bottom w:val="single" w:sz="4" w:space="0" w:color="auto"/>
            </w:tcBorders>
            <w:shd w:val="clear" w:color="auto" w:fill="auto"/>
            <w:vAlign w:val="bottom"/>
          </w:tcPr>
          <w:p w14:paraId="43B90DAB" w14:textId="77777777" w:rsidR="0034195A" w:rsidRPr="004C7F84" w:rsidRDefault="0034195A" w:rsidP="0034195A">
            <w:pPr>
              <w:tabs>
                <w:tab w:val="left" w:pos="288"/>
                <w:tab w:val="left" w:pos="576"/>
                <w:tab w:val="left" w:pos="864"/>
                <w:tab w:val="left" w:pos="1152"/>
              </w:tabs>
              <w:spacing w:before="40" w:after="81" w:line="210" w:lineRule="exact"/>
              <w:ind w:left="144" w:right="40"/>
              <w:jc w:val="right"/>
              <w:rPr>
                <w:sz w:val="17"/>
              </w:rPr>
            </w:pPr>
            <w:r w:rsidRPr="004C7F84">
              <w:rPr>
                <w:sz w:val="17"/>
              </w:rPr>
              <w:t>1</w:t>
            </w:r>
          </w:p>
        </w:tc>
        <w:tc>
          <w:tcPr>
            <w:tcW w:w="915" w:type="dxa"/>
            <w:gridSpan w:val="2"/>
            <w:tcBorders>
              <w:bottom w:val="single" w:sz="4" w:space="0" w:color="auto"/>
            </w:tcBorders>
            <w:shd w:val="clear" w:color="auto" w:fill="auto"/>
            <w:vAlign w:val="bottom"/>
          </w:tcPr>
          <w:p w14:paraId="2D4E26AC" w14:textId="77777777" w:rsidR="0034195A" w:rsidRPr="004C7F84" w:rsidRDefault="0034195A" w:rsidP="0034195A">
            <w:pPr>
              <w:tabs>
                <w:tab w:val="left" w:pos="288"/>
                <w:tab w:val="left" w:pos="576"/>
                <w:tab w:val="left" w:pos="864"/>
                <w:tab w:val="left" w:pos="1152"/>
              </w:tabs>
              <w:spacing w:before="40" w:after="81" w:line="210" w:lineRule="exact"/>
              <w:ind w:left="144" w:right="40"/>
              <w:jc w:val="right"/>
              <w:rPr>
                <w:sz w:val="17"/>
              </w:rPr>
            </w:pPr>
            <w:r w:rsidRPr="004C7F84">
              <w:rPr>
                <w:sz w:val="17"/>
              </w:rPr>
              <w:t>2</w:t>
            </w:r>
          </w:p>
        </w:tc>
        <w:tc>
          <w:tcPr>
            <w:tcW w:w="915" w:type="dxa"/>
            <w:tcBorders>
              <w:bottom w:val="single" w:sz="4" w:space="0" w:color="auto"/>
            </w:tcBorders>
            <w:shd w:val="clear" w:color="auto" w:fill="auto"/>
            <w:vAlign w:val="bottom"/>
          </w:tcPr>
          <w:p w14:paraId="2A2E6E40" w14:textId="77777777" w:rsidR="0034195A" w:rsidRPr="004C7F84" w:rsidRDefault="0034195A" w:rsidP="0034195A">
            <w:pPr>
              <w:tabs>
                <w:tab w:val="left" w:pos="288"/>
                <w:tab w:val="left" w:pos="576"/>
                <w:tab w:val="left" w:pos="864"/>
                <w:tab w:val="left" w:pos="1152"/>
              </w:tabs>
              <w:spacing w:before="40" w:after="81" w:line="210" w:lineRule="exact"/>
              <w:ind w:left="144" w:right="40"/>
              <w:jc w:val="right"/>
              <w:rPr>
                <w:sz w:val="17"/>
              </w:rPr>
            </w:pPr>
            <w:r w:rsidRPr="004C7F84">
              <w:rPr>
                <w:sz w:val="17"/>
              </w:rPr>
              <w:t>3</w:t>
            </w:r>
          </w:p>
        </w:tc>
        <w:tc>
          <w:tcPr>
            <w:tcW w:w="915" w:type="dxa"/>
            <w:tcBorders>
              <w:bottom w:val="single" w:sz="4" w:space="0" w:color="auto"/>
            </w:tcBorders>
            <w:shd w:val="clear" w:color="auto" w:fill="auto"/>
            <w:vAlign w:val="bottom"/>
          </w:tcPr>
          <w:p w14:paraId="524857F4" w14:textId="77777777" w:rsidR="0034195A" w:rsidRPr="004C7F84" w:rsidRDefault="0034195A" w:rsidP="0034195A">
            <w:pPr>
              <w:tabs>
                <w:tab w:val="left" w:pos="288"/>
                <w:tab w:val="left" w:pos="576"/>
                <w:tab w:val="left" w:pos="864"/>
                <w:tab w:val="left" w:pos="1152"/>
              </w:tabs>
              <w:spacing w:before="40" w:after="81" w:line="210" w:lineRule="exact"/>
              <w:ind w:left="144" w:right="40"/>
              <w:jc w:val="right"/>
              <w:rPr>
                <w:sz w:val="17"/>
              </w:rPr>
            </w:pPr>
            <w:r w:rsidRPr="004C7F84">
              <w:rPr>
                <w:sz w:val="17"/>
              </w:rPr>
              <w:t>14</w:t>
            </w:r>
          </w:p>
        </w:tc>
      </w:tr>
      <w:tr w:rsidR="0034195A" w:rsidRPr="004C7F84" w14:paraId="56BA6FEF" w14:textId="77777777" w:rsidTr="0034195A">
        <w:tc>
          <w:tcPr>
            <w:tcW w:w="915" w:type="dxa"/>
            <w:tcBorders>
              <w:top w:val="single" w:sz="4" w:space="0" w:color="auto"/>
              <w:bottom w:val="single" w:sz="12" w:space="0" w:color="auto"/>
            </w:tcBorders>
            <w:shd w:val="clear" w:color="auto" w:fill="auto"/>
            <w:vAlign w:val="bottom"/>
          </w:tcPr>
          <w:p w14:paraId="3E62EB05" w14:textId="5709807E" w:rsidR="0034195A" w:rsidRPr="004C7F84" w:rsidRDefault="0034195A" w:rsidP="0034195A">
            <w:pPr>
              <w:tabs>
                <w:tab w:val="left" w:pos="288"/>
                <w:tab w:val="left" w:pos="576"/>
                <w:tab w:val="left" w:pos="864"/>
                <w:tab w:val="left" w:pos="1152"/>
              </w:tabs>
              <w:spacing w:before="81" w:after="81" w:line="210" w:lineRule="exact"/>
              <w:ind w:right="40"/>
              <w:rPr>
                <w:b/>
                <w:sz w:val="17"/>
              </w:rPr>
            </w:pPr>
            <w:r w:rsidRPr="004C7F84">
              <w:rPr>
                <w:b/>
                <w:sz w:val="17"/>
              </w:rPr>
              <w:tab/>
              <w:t>Total</w:t>
            </w:r>
          </w:p>
        </w:tc>
        <w:tc>
          <w:tcPr>
            <w:tcW w:w="915" w:type="dxa"/>
            <w:tcBorders>
              <w:top w:val="single" w:sz="4" w:space="0" w:color="auto"/>
              <w:bottom w:val="single" w:sz="12" w:space="0" w:color="auto"/>
            </w:tcBorders>
            <w:shd w:val="clear" w:color="auto" w:fill="auto"/>
            <w:vAlign w:val="bottom"/>
          </w:tcPr>
          <w:p w14:paraId="73DEEE16" w14:textId="77777777" w:rsidR="0034195A" w:rsidRPr="004C7F84" w:rsidRDefault="0034195A" w:rsidP="0034195A">
            <w:pPr>
              <w:tabs>
                <w:tab w:val="left" w:pos="288"/>
                <w:tab w:val="left" w:pos="576"/>
                <w:tab w:val="left" w:pos="864"/>
                <w:tab w:val="left" w:pos="1152"/>
              </w:tabs>
              <w:spacing w:before="81" w:after="81" w:line="210" w:lineRule="exact"/>
              <w:ind w:left="144" w:right="40"/>
              <w:jc w:val="right"/>
              <w:rPr>
                <w:b/>
                <w:sz w:val="17"/>
              </w:rPr>
            </w:pPr>
            <w:r w:rsidRPr="004C7F84">
              <w:rPr>
                <w:b/>
                <w:sz w:val="17"/>
              </w:rPr>
              <w:t>17</w:t>
            </w:r>
          </w:p>
        </w:tc>
        <w:tc>
          <w:tcPr>
            <w:tcW w:w="915" w:type="dxa"/>
            <w:tcBorders>
              <w:top w:val="single" w:sz="4" w:space="0" w:color="auto"/>
              <w:bottom w:val="single" w:sz="12" w:space="0" w:color="auto"/>
            </w:tcBorders>
            <w:shd w:val="clear" w:color="auto" w:fill="auto"/>
            <w:vAlign w:val="bottom"/>
          </w:tcPr>
          <w:p w14:paraId="4A60C8F0" w14:textId="77777777" w:rsidR="0034195A" w:rsidRPr="004C7F84" w:rsidRDefault="0034195A" w:rsidP="0034195A">
            <w:pPr>
              <w:tabs>
                <w:tab w:val="left" w:pos="288"/>
                <w:tab w:val="left" w:pos="576"/>
                <w:tab w:val="left" w:pos="864"/>
                <w:tab w:val="left" w:pos="1152"/>
              </w:tabs>
              <w:spacing w:before="81" w:after="81" w:line="210" w:lineRule="exact"/>
              <w:ind w:left="144" w:right="40"/>
              <w:jc w:val="right"/>
              <w:rPr>
                <w:b/>
                <w:sz w:val="17"/>
              </w:rPr>
            </w:pPr>
            <w:r w:rsidRPr="004C7F84">
              <w:rPr>
                <w:b/>
                <w:sz w:val="17"/>
              </w:rPr>
              <w:t>16</w:t>
            </w:r>
          </w:p>
        </w:tc>
        <w:tc>
          <w:tcPr>
            <w:tcW w:w="915" w:type="dxa"/>
            <w:gridSpan w:val="2"/>
            <w:tcBorders>
              <w:top w:val="single" w:sz="4" w:space="0" w:color="auto"/>
              <w:bottom w:val="single" w:sz="12" w:space="0" w:color="auto"/>
            </w:tcBorders>
            <w:shd w:val="clear" w:color="auto" w:fill="auto"/>
            <w:vAlign w:val="bottom"/>
          </w:tcPr>
          <w:p w14:paraId="7E097E45" w14:textId="77777777" w:rsidR="0034195A" w:rsidRPr="004C7F84" w:rsidRDefault="0034195A" w:rsidP="0034195A">
            <w:pPr>
              <w:tabs>
                <w:tab w:val="left" w:pos="288"/>
                <w:tab w:val="left" w:pos="576"/>
                <w:tab w:val="left" w:pos="864"/>
                <w:tab w:val="left" w:pos="1152"/>
              </w:tabs>
              <w:spacing w:before="81" w:after="81" w:line="210" w:lineRule="exact"/>
              <w:ind w:left="144" w:right="40"/>
              <w:jc w:val="right"/>
              <w:rPr>
                <w:b/>
                <w:sz w:val="17"/>
              </w:rPr>
            </w:pPr>
            <w:r w:rsidRPr="004C7F84">
              <w:rPr>
                <w:b/>
                <w:sz w:val="17"/>
              </w:rPr>
              <w:t>12</w:t>
            </w:r>
          </w:p>
        </w:tc>
        <w:tc>
          <w:tcPr>
            <w:tcW w:w="915" w:type="dxa"/>
            <w:tcBorders>
              <w:top w:val="single" w:sz="4" w:space="0" w:color="auto"/>
              <w:bottom w:val="single" w:sz="12" w:space="0" w:color="auto"/>
            </w:tcBorders>
            <w:shd w:val="clear" w:color="auto" w:fill="auto"/>
            <w:vAlign w:val="bottom"/>
          </w:tcPr>
          <w:p w14:paraId="4D3E0A29" w14:textId="77777777" w:rsidR="0034195A" w:rsidRPr="004C7F84" w:rsidRDefault="0034195A" w:rsidP="0034195A">
            <w:pPr>
              <w:tabs>
                <w:tab w:val="left" w:pos="288"/>
                <w:tab w:val="left" w:pos="576"/>
                <w:tab w:val="left" w:pos="864"/>
                <w:tab w:val="left" w:pos="1152"/>
              </w:tabs>
              <w:spacing w:before="81" w:after="81" w:line="210" w:lineRule="exact"/>
              <w:ind w:left="144" w:right="40"/>
              <w:jc w:val="right"/>
              <w:rPr>
                <w:b/>
                <w:sz w:val="17"/>
              </w:rPr>
            </w:pPr>
            <w:r w:rsidRPr="004C7F84">
              <w:rPr>
                <w:b/>
                <w:sz w:val="17"/>
              </w:rPr>
              <w:t>7</w:t>
            </w:r>
          </w:p>
        </w:tc>
        <w:tc>
          <w:tcPr>
            <w:tcW w:w="915" w:type="dxa"/>
            <w:gridSpan w:val="2"/>
            <w:tcBorders>
              <w:top w:val="single" w:sz="4" w:space="0" w:color="auto"/>
              <w:bottom w:val="single" w:sz="12" w:space="0" w:color="auto"/>
            </w:tcBorders>
            <w:shd w:val="clear" w:color="auto" w:fill="auto"/>
            <w:vAlign w:val="bottom"/>
          </w:tcPr>
          <w:p w14:paraId="6018B2B7" w14:textId="77777777" w:rsidR="0034195A" w:rsidRPr="004C7F84" w:rsidRDefault="0034195A" w:rsidP="0034195A">
            <w:pPr>
              <w:tabs>
                <w:tab w:val="left" w:pos="288"/>
                <w:tab w:val="left" w:pos="576"/>
                <w:tab w:val="left" w:pos="864"/>
                <w:tab w:val="left" w:pos="1152"/>
              </w:tabs>
              <w:spacing w:before="81" w:after="81" w:line="210" w:lineRule="exact"/>
              <w:ind w:left="144" w:right="40"/>
              <w:jc w:val="right"/>
              <w:rPr>
                <w:b/>
                <w:sz w:val="17"/>
              </w:rPr>
            </w:pPr>
            <w:r w:rsidRPr="004C7F84">
              <w:rPr>
                <w:b/>
                <w:sz w:val="17"/>
              </w:rPr>
              <w:t>12</w:t>
            </w:r>
          </w:p>
        </w:tc>
        <w:tc>
          <w:tcPr>
            <w:tcW w:w="915" w:type="dxa"/>
            <w:tcBorders>
              <w:top w:val="single" w:sz="4" w:space="0" w:color="auto"/>
              <w:bottom w:val="single" w:sz="12" w:space="0" w:color="auto"/>
            </w:tcBorders>
            <w:shd w:val="clear" w:color="auto" w:fill="auto"/>
            <w:vAlign w:val="bottom"/>
          </w:tcPr>
          <w:p w14:paraId="2E8CFEEF" w14:textId="77777777" w:rsidR="0034195A" w:rsidRPr="004C7F84" w:rsidRDefault="0034195A" w:rsidP="0034195A">
            <w:pPr>
              <w:tabs>
                <w:tab w:val="left" w:pos="288"/>
                <w:tab w:val="left" w:pos="576"/>
                <w:tab w:val="left" w:pos="864"/>
                <w:tab w:val="left" w:pos="1152"/>
              </w:tabs>
              <w:spacing w:before="81" w:after="81" w:line="210" w:lineRule="exact"/>
              <w:ind w:left="144" w:right="40"/>
              <w:jc w:val="right"/>
              <w:rPr>
                <w:b/>
                <w:sz w:val="17"/>
              </w:rPr>
            </w:pPr>
            <w:r w:rsidRPr="004C7F84">
              <w:rPr>
                <w:b/>
                <w:sz w:val="17"/>
              </w:rPr>
              <w:t>15</w:t>
            </w:r>
          </w:p>
        </w:tc>
        <w:tc>
          <w:tcPr>
            <w:tcW w:w="915" w:type="dxa"/>
            <w:tcBorders>
              <w:top w:val="single" w:sz="4" w:space="0" w:color="auto"/>
              <w:bottom w:val="single" w:sz="12" w:space="0" w:color="auto"/>
            </w:tcBorders>
            <w:shd w:val="clear" w:color="auto" w:fill="auto"/>
            <w:vAlign w:val="bottom"/>
          </w:tcPr>
          <w:p w14:paraId="721CD23D" w14:textId="77777777" w:rsidR="0034195A" w:rsidRPr="004C7F84" w:rsidRDefault="0034195A" w:rsidP="0034195A">
            <w:pPr>
              <w:tabs>
                <w:tab w:val="left" w:pos="288"/>
                <w:tab w:val="left" w:pos="576"/>
                <w:tab w:val="left" w:pos="864"/>
                <w:tab w:val="left" w:pos="1152"/>
              </w:tabs>
              <w:spacing w:before="81" w:after="81" w:line="210" w:lineRule="exact"/>
              <w:ind w:left="144" w:right="40"/>
              <w:jc w:val="right"/>
              <w:rPr>
                <w:b/>
                <w:sz w:val="17"/>
              </w:rPr>
            </w:pPr>
            <w:r w:rsidRPr="004C7F84">
              <w:rPr>
                <w:b/>
                <w:sz w:val="17"/>
              </w:rPr>
              <w:t>79</w:t>
            </w:r>
          </w:p>
        </w:tc>
      </w:tr>
    </w:tbl>
    <w:p w14:paraId="496514BE" w14:textId="77777777" w:rsidR="0034195A" w:rsidRPr="004C7F84" w:rsidRDefault="0034195A" w:rsidP="0034195A">
      <w:pPr>
        <w:pStyle w:val="SingleTxt"/>
        <w:spacing w:after="0" w:line="120" w:lineRule="exact"/>
        <w:rPr>
          <w:rFonts w:asciiTheme="majorBidi" w:hAnsiTheme="majorBidi" w:cstheme="majorBidi"/>
          <w:sz w:val="10"/>
        </w:rPr>
      </w:pPr>
    </w:p>
    <w:p w14:paraId="45D98C99" w14:textId="5BD96DDC" w:rsidR="0034195A" w:rsidRPr="004C7F84" w:rsidRDefault="005E3992" w:rsidP="0034195A">
      <w:pPr>
        <w:pStyle w:val="FootnoteText"/>
        <w:tabs>
          <w:tab w:val="clear" w:pos="418"/>
          <w:tab w:val="right" w:pos="1476"/>
          <w:tab w:val="left" w:pos="1548"/>
          <w:tab w:val="right" w:pos="1836"/>
          <w:tab w:val="left" w:pos="1908"/>
        </w:tabs>
        <w:ind w:left="1548" w:right="1267" w:hanging="288"/>
      </w:pPr>
      <w:r w:rsidRPr="004C7F84">
        <w:rPr>
          <w:i/>
          <w:iCs/>
        </w:rPr>
        <w:tab/>
      </w:r>
      <w:r w:rsidRPr="004C7F84">
        <w:rPr>
          <w:i/>
          <w:iCs/>
        </w:rPr>
        <w:tab/>
      </w:r>
      <w:r w:rsidR="0034195A" w:rsidRPr="004C7F84">
        <w:rPr>
          <w:i/>
          <w:iCs/>
        </w:rPr>
        <w:t>Source</w:t>
      </w:r>
      <w:r w:rsidR="00773F5D" w:rsidRPr="004C7F84">
        <w:rPr>
          <w:i/>
          <w:iCs/>
        </w:rPr>
        <w:t> :</w:t>
      </w:r>
      <w:r w:rsidR="0034195A" w:rsidRPr="004C7F84">
        <w:t xml:space="preserve"> </w:t>
      </w:r>
      <w:r w:rsidRPr="004C7F84">
        <w:t>Secrétariat à la lutte contre le sida, 2014, Gouvernement d</w:t>
      </w:r>
      <w:r w:rsidR="00773F5D" w:rsidRPr="004C7F84">
        <w:t>’</w:t>
      </w:r>
      <w:r w:rsidRPr="004C7F84">
        <w:t>Antigua-et-Barbuda</w:t>
      </w:r>
      <w:r w:rsidR="0034195A" w:rsidRPr="004C7F84">
        <w:t xml:space="preserve">. </w:t>
      </w:r>
    </w:p>
    <w:p w14:paraId="45F39FAD" w14:textId="77777777" w:rsidR="0034195A" w:rsidRPr="004C7F84" w:rsidRDefault="0034195A" w:rsidP="0034195A">
      <w:pPr>
        <w:pStyle w:val="SingleTxt"/>
        <w:spacing w:after="0" w:line="120" w:lineRule="exact"/>
        <w:rPr>
          <w:rFonts w:asciiTheme="majorBidi" w:hAnsiTheme="majorBidi" w:cstheme="majorBidi"/>
          <w:sz w:val="10"/>
        </w:rPr>
      </w:pPr>
    </w:p>
    <w:p w14:paraId="2E417E60" w14:textId="77777777" w:rsidR="0034195A" w:rsidRPr="004C7F84" w:rsidRDefault="0034195A" w:rsidP="0034195A">
      <w:pPr>
        <w:pStyle w:val="SingleTxt"/>
        <w:spacing w:after="0" w:line="120" w:lineRule="exact"/>
        <w:rPr>
          <w:rFonts w:asciiTheme="majorBidi" w:hAnsiTheme="majorBidi" w:cstheme="majorBidi"/>
          <w:sz w:val="10"/>
        </w:rPr>
      </w:pPr>
    </w:p>
    <w:p w14:paraId="2199EA24" w14:textId="753D6370" w:rsidR="0034195A" w:rsidRPr="004C7F84" w:rsidRDefault="005E3992" w:rsidP="00514306">
      <w:pPr>
        <w:pStyle w:val="SingleTxt"/>
        <w:numPr>
          <w:ilvl w:val="0"/>
          <w:numId w:val="23"/>
        </w:numPr>
        <w:spacing w:line="240" w:lineRule="exact"/>
        <w:ind w:left="1267" w:firstLine="0"/>
        <w:rPr>
          <w:rFonts w:asciiTheme="majorBidi" w:hAnsiTheme="majorBidi" w:cstheme="majorBidi"/>
        </w:rPr>
      </w:pPr>
      <w:r w:rsidRPr="004C7F84">
        <w:t>L</w:t>
      </w:r>
      <w:r w:rsidR="00773F5D" w:rsidRPr="004C7F84">
        <w:t>’</w:t>
      </w:r>
      <w:r w:rsidRPr="004C7F84">
        <w:t>État partie peut annoncer, avec une certaine satisfaction, que des progrès importants ont été accomplis dans l</w:t>
      </w:r>
      <w:r w:rsidR="00773F5D" w:rsidRPr="004C7F84">
        <w:t>’</w:t>
      </w:r>
      <w:r w:rsidRPr="004C7F84">
        <w:t xml:space="preserve">élimination de la </w:t>
      </w:r>
      <w:r w:rsidRPr="004C7F84">
        <w:rPr>
          <w:rStyle w:val="Emphasis"/>
          <w:i w:val="0"/>
        </w:rPr>
        <w:t>transmission</w:t>
      </w:r>
      <w:r w:rsidRPr="004C7F84">
        <w:rPr>
          <w:rStyle w:val="preferred"/>
        </w:rPr>
        <w:t xml:space="preserve"> mère-enfant</w:t>
      </w:r>
      <w:r w:rsidRPr="004C7F84">
        <w:t>. Aucun cas d</w:t>
      </w:r>
      <w:r w:rsidR="00773F5D" w:rsidRPr="004C7F84">
        <w:t>’</w:t>
      </w:r>
      <w:r w:rsidRPr="004C7F84">
        <w:t>infection à VIH</w:t>
      </w:r>
      <w:r w:rsidR="00D47611" w:rsidRPr="004C7F84">
        <w:t xml:space="preserve"> parmi les nouveau-nés </w:t>
      </w:r>
      <w:r w:rsidRPr="004C7F84">
        <w:t>n</w:t>
      </w:r>
      <w:r w:rsidR="00773F5D" w:rsidRPr="004C7F84">
        <w:t>’</w:t>
      </w:r>
      <w:r w:rsidRPr="004C7F84">
        <w:t>a été signalée de 2008 à 2012, lorsqu</w:t>
      </w:r>
      <w:r w:rsidR="00773F5D" w:rsidRPr="004C7F84">
        <w:t>’</w:t>
      </w:r>
      <w:r w:rsidRPr="004C7F84">
        <w:t>un seul cas a</w:t>
      </w:r>
      <w:r w:rsidR="00D47611" w:rsidRPr="004C7F84">
        <w:t xml:space="preserve"> été enregistré. Ces excellents </w:t>
      </w:r>
      <w:r w:rsidRPr="004C7F84">
        <w:t>résultats peuvent être attribués au dépi</w:t>
      </w:r>
      <w:r w:rsidR="00D47611" w:rsidRPr="004C7F84">
        <w:t xml:space="preserve">stage systématique du VIH parmi </w:t>
      </w:r>
      <w:r w:rsidRPr="004C7F84">
        <w:t>les fe</w:t>
      </w:r>
      <w:r w:rsidR="00D47611" w:rsidRPr="004C7F84">
        <w:t xml:space="preserve">mmes enceintes dans les centres </w:t>
      </w:r>
      <w:r w:rsidRPr="004C7F84">
        <w:t>de soins de santé primaires.</w:t>
      </w:r>
      <w:r w:rsidR="0034195A" w:rsidRPr="004C7F84">
        <w:rPr>
          <w:rFonts w:asciiTheme="majorBidi" w:hAnsiTheme="majorBidi" w:cstheme="majorBidi"/>
        </w:rPr>
        <w:t xml:space="preserve"> </w:t>
      </w:r>
    </w:p>
    <w:p w14:paraId="28B82293" w14:textId="77777777" w:rsidR="0034195A" w:rsidRPr="004C7F84" w:rsidRDefault="0034195A" w:rsidP="0034195A">
      <w:pPr>
        <w:pStyle w:val="SingleTxt"/>
        <w:spacing w:after="0" w:line="120" w:lineRule="exact"/>
        <w:rPr>
          <w:rFonts w:asciiTheme="majorBidi" w:hAnsiTheme="majorBidi" w:cstheme="majorBidi"/>
          <w:sz w:val="10"/>
        </w:rPr>
      </w:pPr>
    </w:p>
    <w:p w14:paraId="3B131D6C" w14:textId="305DF11D" w:rsidR="0034195A" w:rsidRPr="004C7F84" w:rsidRDefault="0034195A" w:rsidP="0034195A">
      <w:pPr>
        <w:pStyle w:val="H4"/>
        <w:ind w:right="1260"/>
      </w:pPr>
      <w:r w:rsidRPr="004C7F84">
        <w:tab/>
      </w:r>
      <w:r w:rsidRPr="004C7F84">
        <w:tab/>
      </w:r>
      <w:r w:rsidR="005E3992" w:rsidRPr="004C7F84">
        <w:t>Femmes toxicomanes</w:t>
      </w:r>
    </w:p>
    <w:p w14:paraId="675C7EAA" w14:textId="77777777" w:rsidR="0034195A" w:rsidRPr="004C7F84" w:rsidRDefault="0034195A" w:rsidP="0034195A">
      <w:pPr>
        <w:pStyle w:val="SingleTxt"/>
        <w:spacing w:after="0" w:line="120" w:lineRule="exact"/>
        <w:rPr>
          <w:rFonts w:asciiTheme="majorBidi" w:hAnsiTheme="majorBidi" w:cstheme="majorBidi"/>
          <w:sz w:val="10"/>
        </w:rPr>
      </w:pPr>
    </w:p>
    <w:p w14:paraId="142E40CA" w14:textId="576E0192" w:rsidR="005E3992" w:rsidRPr="004C7F84" w:rsidRDefault="005E3992" w:rsidP="00514306">
      <w:pPr>
        <w:pStyle w:val="SingleTxt"/>
        <w:numPr>
          <w:ilvl w:val="0"/>
          <w:numId w:val="23"/>
        </w:numPr>
        <w:spacing w:line="240" w:lineRule="exact"/>
        <w:ind w:left="1267" w:firstLine="0"/>
      </w:pPr>
      <w:r w:rsidRPr="004C7F84">
        <w:t>À ce jour, aucune mesure particulière n</w:t>
      </w:r>
      <w:r w:rsidR="00773F5D" w:rsidRPr="004C7F84">
        <w:t>’</w:t>
      </w:r>
      <w:r w:rsidR="00D47611" w:rsidRPr="004C7F84">
        <w:t xml:space="preserve">a été prise pour recenser </w:t>
      </w:r>
      <w:r w:rsidRPr="004C7F84">
        <w:t>les femmes toxicomanes. Bien qu</w:t>
      </w:r>
      <w:r w:rsidR="00773F5D" w:rsidRPr="004C7F84">
        <w:t>’</w:t>
      </w:r>
      <w:r w:rsidRPr="004C7F84">
        <w:t>aucune étude n</w:t>
      </w:r>
      <w:r w:rsidR="00773F5D" w:rsidRPr="004C7F84">
        <w:t>’</w:t>
      </w:r>
      <w:r w:rsidRPr="004C7F84">
        <w:t>ait été effectuée sur celles-ci, deux enquêtes importantes ont été menées parmi les jeunes</w:t>
      </w:r>
      <w:r w:rsidRPr="004C7F84">
        <w:rPr>
          <w:color w:val="FF0000"/>
        </w:rPr>
        <w:t xml:space="preserve"> </w:t>
      </w:r>
      <w:r w:rsidRPr="004C7F84">
        <w:t>par le Conseil national de la lutte contre les stupéfiants en 2005 et par la Division de la prévention de la toxicomanie du Ministère de la santé en 2013. En 2002, avant ces enquêtes sur l</w:t>
      </w:r>
      <w:r w:rsidR="00773F5D" w:rsidRPr="004C7F84">
        <w:t>’</w:t>
      </w:r>
      <w:r w:rsidRPr="004C7F84">
        <w:t xml:space="preserve">abus </w:t>
      </w:r>
      <w:r w:rsidRPr="004C7F84">
        <w:rPr>
          <w:rStyle w:val="preferred"/>
        </w:rPr>
        <w:t xml:space="preserve">des substances psychoactives </w:t>
      </w:r>
      <w:r w:rsidRPr="004C7F84">
        <w:t>parmi les jeunes, l</w:t>
      </w:r>
      <w:r w:rsidR="00773F5D" w:rsidRPr="004C7F84">
        <w:t>’</w:t>
      </w:r>
      <w:r w:rsidRPr="004C7F84">
        <w:t>Office national de lutte contre la toxicomanie et le blanchiment d</w:t>
      </w:r>
      <w:r w:rsidR="00773F5D" w:rsidRPr="004C7F84">
        <w:t>’</w:t>
      </w:r>
      <w:r w:rsidRPr="004C7F84">
        <w:t>argent avait lancé un plan quinquennal de lutte contre la drogue. Il faut reconnaître, toutefois, qu</w:t>
      </w:r>
      <w:r w:rsidR="00773F5D" w:rsidRPr="004C7F84">
        <w:t>’</w:t>
      </w:r>
      <w:r w:rsidRPr="004C7F84">
        <w:t xml:space="preserve">il faut porter une attention prioritaire aux femmes qui abusent de </w:t>
      </w:r>
      <w:r w:rsidRPr="004C7F84">
        <w:rPr>
          <w:rStyle w:val="preferred"/>
        </w:rPr>
        <w:t>substances psychoactives</w:t>
      </w:r>
      <w:r w:rsidRPr="004C7F84">
        <w:t xml:space="preserve">, car de manière générale, leurs enfants ne reçoivent pas </w:t>
      </w:r>
      <w:r w:rsidR="00D47611" w:rsidRPr="004C7F84">
        <w:t>les soins dont ils ont besoin.</w:t>
      </w:r>
    </w:p>
    <w:p w14:paraId="1F4B231D" w14:textId="1CB4A81E" w:rsidR="0034195A" w:rsidRPr="004C7F84" w:rsidRDefault="005E3992" w:rsidP="00514306">
      <w:pPr>
        <w:pStyle w:val="SingleTxt"/>
        <w:numPr>
          <w:ilvl w:val="0"/>
          <w:numId w:val="23"/>
        </w:numPr>
        <w:spacing w:line="240" w:lineRule="exact"/>
        <w:ind w:left="1267" w:firstLine="0"/>
        <w:rPr>
          <w:rFonts w:asciiTheme="majorBidi" w:hAnsiTheme="majorBidi" w:cstheme="majorBidi"/>
        </w:rPr>
      </w:pPr>
      <w:r w:rsidRPr="004C7F84">
        <w:t>En ce qui concerne la réadaptation des toxicomanes, le centr</w:t>
      </w:r>
      <w:r w:rsidR="00D47611" w:rsidRPr="004C7F84">
        <w:t xml:space="preserve">e de désintoxication de pointe Crossroads </w:t>
      </w:r>
      <w:r w:rsidRPr="004C7F84">
        <w:t>a été inauguré en 1998 à Antigua sous le parrainage d</w:t>
      </w:r>
      <w:r w:rsidR="00773F5D" w:rsidRPr="004C7F84">
        <w:t>’</w:t>
      </w:r>
      <w:r w:rsidRPr="004C7F84">
        <w:t>Eric Clapton,</w:t>
      </w:r>
      <w:r w:rsidRPr="004C7F84">
        <w:rPr>
          <w:color w:val="FF0000"/>
        </w:rPr>
        <w:t xml:space="preserve"> </w:t>
      </w:r>
      <w:r w:rsidR="00D47611" w:rsidRPr="004C7F84">
        <w:t xml:space="preserve">célèbre </w:t>
      </w:r>
      <w:r w:rsidRPr="004C7F84">
        <w:t xml:space="preserve">guitariste. Les toxicomanes qui </w:t>
      </w:r>
      <w:r w:rsidR="00D47611" w:rsidRPr="004C7F84">
        <w:t>n</w:t>
      </w:r>
      <w:r w:rsidR="00773F5D" w:rsidRPr="004C7F84">
        <w:t>’</w:t>
      </w:r>
      <w:r w:rsidR="00D47611" w:rsidRPr="004C7F84">
        <w:t xml:space="preserve">en ont pas les moyens </w:t>
      </w:r>
      <w:r w:rsidRPr="004C7F84">
        <w:t>bénéficient d</w:t>
      </w:r>
      <w:r w:rsidR="00773F5D" w:rsidRPr="004C7F84">
        <w:t>’</w:t>
      </w:r>
      <w:r w:rsidRPr="004C7F84">
        <w:t>une aide financière qui leur permet de s</w:t>
      </w:r>
      <w:r w:rsidR="00773F5D" w:rsidRPr="004C7F84">
        <w:t>’</w:t>
      </w:r>
      <w:r w:rsidRPr="004C7F84">
        <w:t>y faire soigner gratuitement. Les données concernant l</w:t>
      </w:r>
      <w:r w:rsidR="00773F5D" w:rsidRPr="004C7F84">
        <w:t>’</w:t>
      </w:r>
      <w:r w:rsidRPr="004C7F84">
        <w:t>admission des habitants dans ce centre au cours des sept dernières années figurent dans le tableau</w:t>
      </w:r>
      <w:r w:rsidR="00D47611" w:rsidRPr="004C7F84">
        <w:t> </w:t>
      </w:r>
      <w:r w:rsidRPr="004C7F84">
        <w:t>13 ci-après. Elles montrent que les hommes y sont beaucoup plus nombreux que les femmes.</w:t>
      </w:r>
      <w:r w:rsidR="0034195A" w:rsidRPr="004C7F84">
        <w:rPr>
          <w:rFonts w:asciiTheme="majorBidi" w:hAnsiTheme="majorBidi" w:cstheme="majorBidi"/>
        </w:rPr>
        <w:t xml:space="preserve"> </w:t>
      </w:r>
    </w:p>
    <w:p w14:paraId="208EC975" w14:textId="77777777" w:rsidR="0034195A" w:rsidRPr="004C7F84" w:rsidRDefault="0034195A" w:rsidP="0034195A">
      <w:pPr>
        <w:pStyle w:val="SingleTxt"/>
        <w:spacing w:after="0" w:line="120" w:lineRule="exact"/>
        <w:rPr>
          <w:rFonts w:asciiTheme="majorBidi" w:hAnsiTheme="majorBidi" w:cstheme="majorBidi"/>
          <w:sz w:val="10"/>
        </w:rPr>
      </w:pPr>
    </w:p>
    <w:p w14:paraId="20D350A4" w14:textId="16E1EBAB" w:rsidR="0034195A" w:rsidRPr="004C7F84" w:rsidRDefault="0034195A" w:rsidP="0076068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b w:val="0"/>
          <w:bCs/>
          <w:lang w:val="fr-FR"/>
        </w:rPr>
        <w:lastRenderedPageBreak/>
        <w:tab/>
      </w:r>
      <w:r w:rsidRPr="004C7F84">
        <w:rPr>
          <w:b w:val="0"/>
          <w:bCs/>
          <w:lang w:val="fr-FR"/>
        </w:rPr>
        <w:tab/>
        <w:t>Table</w:t>
      </w:r>
      <w:r w:rsidR="005E3992" w:rsidRPr="004C7F84">
        <w:rPr>
          <w:b w:val="0"/>
          <w:bCs/>
          <w:lang w:val="fr-FR"/>
        </w:rPr>
        <w:t>au</w:t>
      </w:r>
      <w:r w:rsidRPr="004C7F84">
        <w:rPr>
          <w:b w:val="0"/>
          <w:bCs/>
          <w:lang w:val="fr-FR"/>
        </w:rPr>
        <w:t xml:space="preserve"> 13 </w:t>
      </w:r>
      <w:r w:rsidRPr="004C7F84">
        <w:rPr>
          <w:b w:val="0"/>
          <w:bCs/>
          <w:lang w:val="fr-FR"/>
        </w:rPr>
        <w:br/>
      </w:r>
      <w:r w:rsidR="005E3992" w:rsidRPr="004C7F84">
        <w:rPr>
          <w:lang w:val="fr-FR"/>
        </w:rPr>
        <w:t>Crossroads Centre, Antigua - Admissions par sexe, 2008-2015</w:t>
      </w:r>
    </w:p>
    <w:p w14:paraId="65C973D3" w14:textId="1D1DE484" w:rsidR="0034195A" w:rsidRPr="004C7F84" w:rsidRDefault="0034195A" w:rsidP="00D47611">
      <w:pPr>
        <w:pStyle w:val="SingleTxt"/>
        <w:keepNext/>
        <w:keepLines/>
        <w:spacing w:after="0" w:line="120" w:lineRule="exact"/>
        <w:rPr>
          <w:rFonts w:asciiTheme="majorBidi" w:hAnsiTheme="majorBidi" w:cstheme="majorBidi"/>
          <w:sz w:val="10"/>
        </w:rPr>
      </w:pPr>
    </w:p>
    <w:p w14:paraId="1ED45041" w14:textId="77777777" w:rsidR="00D47611" w:rsidRPr="004C7F84" w:rsidRDefault="00D47611" w:rsidP="0076068E">
      <w:pPr>
        <w:pStyle w:val="SingleTxt"/>
        <w:keepNext/>
        <w:keepLines/>
        <w:spacing w:after="0" w:line="120" w:lineRule="exact"/>
        <w:rPr>
          <w:rFonts w:asciiTheme="majorBidi" w:hAnsiTheme="majorBidi" w:cstheme="majorBidi"/>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34195A" w:rsidRPr="004C7F84" w14:paraId="37EA7421" w14:textId="77777777" w:rsidTr="0034195A">
        <w:trPr>
          <w:tblHeader/>
        </w:trPr>
        <w:tc>
          <w:tcPr>
            <w:tcW w:w="1464" w:type="dxa"/>
            <w:tcBorders>
              <w:top w:val="single" w:sz="4" w:space="0" w:color="auto"/>
              <w:bottom w:val="single" w:sz="12" w:space="0" w:color="auto"/>
            </w:tcBorders>
            <w:shd w:val="clear" w:color="auto" w:fill="auto"/>
            <w:vAlign w:val="bottom"/>
          </w:tcPr>
          <w:p w14:paraId="7C6D5418" w14:textId="3F621ED6" w:rsidR="0034195A" w:rsidRPr="004C7F84" w:rsidRDefault="005E3992" w:rsidP="0076068E">
            <w:pPr>
              <w:keepNext/>
              <w:keepLines/>
              <w:tabs>
                <w:tab w:val="left" w:pos="288"/>
                <w:tab w:val="left" w:pos="576"/>
                <w:tab w:val="left" w:pos="864"/>
                <w:tab w:val="left" w:pos="1152"/>
              </w:tabs>
              <w:spacing w:before="81" w:after="81" w:line="160" w:lineRule="exact"/>
              <w:ind w:right="40"/>
              <w:rPr>
                <w:i/>
                <w:sz w:val="14"/>
              </w:rPr>
            </w:pPr>
            <w:r w:rsidRPr="004C7F84">
              <w:rPr>
                <w:i/>
                <w:sz w:val="14"/>
              </w:rPr>
              <w:t>Année</w:t>
            </w:r>
          </w:p>
        </w:tc>
        <w:tc>
          <w:tcPr>
            <w:tcW w:w="1464" w:type="dxa"/>
            <w:tcBorders>
              <w:top w:val="single" w:sz="4" w:space="0" w:color="auto"/>
              <w:bottom w:val="single" w:sz="12" w:space="0" w:color="auto"/>
            </w:tcBorders>
            <w:shd w:val="clear" w:color="auto" w:fill="auto"/>
            <w:vAlign w:val="bottom"/>
          </w:tcPr>
          <w:p w14:paraId="094012E2" w14:textId="390DAF41" w:rsidR="0034195A" w:rsidRPr="004C7F84" w:rsidRDefault="005E3992" w:rsidP="0076068E">
            <w:pPr>
              <w:keepNext/>
              <w:keepLines/>
              <w:tabs>
                <w:tab w:val="left" w:pos="288"/>
                <w:tab w:val="left" w:pos="576"/>
                <w:tab w:val="left" w:pos="864"/>
                <w:tab w:val="left" w:pos="1152"/>
              </w:tabs>
              <w:spacing w:before="81" w:after="81" w:line="160" w:lineRule="exact"/>
              <w:ind w:left="144" w:right="40"/>
              <w:jc w:val="right"/>
              <w:rPr>
                <w:i/>
                <w:sz w:val="14"/>
              </w:rPr>
            </w:pPr>
            <w:r w:rsidRPr="004C7F84">
              <w:rPr>
                <w:i/>
                <w:sz w:val="14"/>
              </w:rPr>
              <w:t>Hommes</w:t>
            </w:r>
          </w:p>
        </w:tc>
        <w:tc>
          <w:tcPr>
            <w:tcW w:w="1464" w:type="dxa"/>
            <w:tcBorders>
              <w:top w:val="single" w:sz="4" w:space="0" w:color="auto"/>
              <w:bottom w:val="single" w:sz="12" w:space="0" w:color="auto"/>
            </w:tcBorders>
            <w:shd w:val="clear" w:color="auto" w:fill="auto"/>
            <w:vAlign w:val="bottom"/>
          </w:tcPr>
          <w:p w14:paraId="7A212CCF" w14:textId="4180CEE7" w:rsidR="0034195A" w:rsidRPr="004C7F84" w:rsidRDefault="005E3992" w:rsidP="0076068E">
            <w:pPr>
              <w:keepNext/>
              <w:keepLines/>
              <w:tabs>
                <w:tab w:val="left" w:pos="288"/>
                <w:tab w:val="left" w:pos="576"/>
                <w:tab w:val="left" w:pos="864"/>
                <w:tab w:val="left" w:pos="1152"/>
              </w:tabs>
              <w:spacing w:before="81" w:after="81" w:line="160" w:lineRule="exact"/>
              <w:ind w:left="144" w:right="40"/>
              <w:jc w:val="right"/>
              <w:rPr>
                <w:i/>
                <w:sz w:val="14"/>
              </w:rPr>
            </w:pPr>
            <w:r w:rsidRPr="004C7F84">
              <w:rPr>
                <w:i/>
                <w:sz w:val="14"/>
              </w:rPr>
              <w:t>Femmes</w:t>
            </w:r>
          </w:p>
        </w:tc>
        <w:tc>
          <w:tcPr>
            <w:tcW w:w="1464" w:type="dxa"/>
            <w:tcBorders>
              <w:top w:val="single" w:sz="4" w:space="0" w:color="auto"/>
              <w:bottom w:val="single" w:sz="12" w:space="0" w:color="auto"/>
            </w:tcBorders>
            <w:shd w:val="clear" w:color="auto" w:fill="auto"/>
            <w:vAlign w:val="bottom"/>
          </w:tcPr>
          <w:p w14:paraId="65C0F0B1" w14:textId="3E4CE888" w:rsidR="0034195A" w:rsidRPr="004C7F84" w:rsidRDefault="005E3992" w:rsidP="0076068E">
            <w:pPr>
              <w:keepNext/>
              <w:keepLines/>
              <w:tabs>
                <w:tab w:val="left" w:pos="288"/>
                <w:tab w:val="left" w:pos="576"/>
                <w:tab w:val="left" w:pos="864"/>
                <w:tab w:val="left" w:pos="1152"/>
              </w:tabs>
              <w:spacing w:before="81" w:after="81" w:line="160" w:lineRule="exact"/>
              <w:ind w:left="144" w:right="40"/>
              <w:jc w:val="right"/>
              <w:rPr>
                <w:i/>
                <w:sz w:val="14"/>
              </w:rPr>
            </w:pPr>
            <w:r w:rsidRPr="004C7F84">
              <w:rPr>
                <w:i/>
                <w:sz w:val="14"/>
              </w:rPr>
              <w:t>% de femmes</w:t>
            </w:r>
          </w:p>
        </w:tc>
        <w:tc>
          <w:tcPr>
            <w:tcW w:w="1464" w:type="dxa"/>
            <w:tcBorders>
              <w:top w:val="single" w:sz="4" w:space="0" w:color="auto"/>
              <w:bottom w:val="single" w:sz="12" w:space="0" w:color="auto"/>
            </w:tcBorders>
            <w:shd w:val="clear" w:color="auto" w:fill="auto"/>
            <w:vAlign w:val="bottom"/>
          </w:tcPr>
          <w:p w14:paraId="35DE9AEE" w14:textId="2B5EBE8C" w:rsidR="0034195A" w:rsidRPr="004C7F84" w:rsidRDefault="005E3992" w:rsidP="0076068E">
            <w:pPr>
              <w:keepNext/>
              <w:keepLines/>
              <w:tabs>
                <w:tab w:val="left" w:pos="288"/>
                <w:tab w:val="left" w:pos="576"/>
                <w:tab w:val="left" w:pos="864"/>
                <w:tab w:val="left" w:pos="1152"/>
              </w:tabs>
              <w:spacing w:before="81" w:after="81" w:line="160" w:lineRule="exact"/>
              <w:ind w:left="144" w:right="40"/>
              <w:jc w:val="right"/>
              <w:rPr>
                <w:i/>
                <w:sz w:val="14"/>
              </w:rPr>
            </w:pPr>
            <w:r w:rsidRPr="004C7F84">
              <w:rPr>
                <w:i/>
                <w:sz w:val="14"/>
              </w:rPr>
              <w:t>Total</w:t>
            </w:r>
          </w:p>
        </w:tc>
      </w:tr>
      <w:tr w:rsidR="0034195A" w:rsidRPr="004C7F84" w14:paraId="027E614A" w14:textId="77777777" w:rsidTr="0034195A">
        <w:trPr>
          <w:trHeight w:hRule="exact" w:val="115"/>
          <w:tblHeader/>
        </w:trPr>
        <w:tc>
          <w:tcPr>
            <w:tcW w:w="1464" w:type="dxa"/>
            <w:tcBorders>
              <w:top w:val="single" w:sz="12" w:space="0" w:color="auto"/>
            </w:tcBorders>
            <w:shd w:val="clear" w:color="auto" w:fill="auto"/>
            <w:vAlign w:val="bottom"/>
          </w:tcPr>
          <w:p w14:paraId="3875DD65" w14:textId="77777777" w:rsidR="0034195A" w:rsidRPr="004C7F84" w:rsidRDefault="0034195A" w:rsidP="0034195A">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shd w:val="clear" w:color="auto" w:fill="auto"/>
            <w:vAlign w:val="bottom"/>
          </w:tcPr>
          <w:p w14:paraId="1CBB4981"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57FF9D39"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043F78DD"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120C7202"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p>
        </w:tc>
      </w:tr>
      <w:tr w:rsidR="0034195A" w:rsidRPr="004C7F84" w14:paraId="7B588330" w14:textId="77777777" w:rsidTr="0034195A">
        <w:tc>
          <w:tcPr>
            <w:tcW w:w="1464" w:type="dxa"/>
            <w:shd w:val="clear" w:color="auto" w:fill="auto"/>
            <w:vAlign w:val="bottom"/>
          </w:tcPr>
          <w:p w14:paraId="45670DF4" w14:textId="77777777" w:rsidR="0034195A" w:rsidRPr="004C7F84" w:rsidRDefault="0034195A" w:rsidP="0034195A">
            <w:pPr>
              <w:tabs>
                <w:tab w:val="left" w:pos="288"/>
                <w:tab w:val="left" w:pos="576"/>
                <w:tab w:val="left" w:pos="864"/>
                <w:tab w:val="left" w:pos="1152"/>
              </w:tabs>
              <w:spacing w:before="40" w:after="40" w:line="210" w:lineRule="exact"/>
              <w:ind w:right="40"/>
              <w:rPr>
                <w:sz w:val="17"/>
              </w:rPr>
            </w:pPr>
            <w:r w:rsidRPr="004C7F84">
              <w:rPr>
                <w:sz w:val="17"/>
              </w:rPr>
              <w:t>2008</w:t>
            </w:r>
          </w:p>
        </w:tc>
        <w:tc>
          <w:tcPr>
            <w:tcW w:w="1464" w:type="dxa"/>
            <w:shd w:val="clear" w:color="auto" w:fill="auto"/>
            <w:vAlign w:val="bottom"/>
          </w:tcPr>
          <w:p w14:paraId="1D8F1AB8"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33</w:t>
            </w:r>
          </w:p>
        </w:tc>
        <w:tc>
          <w:tcPr>
            <w:tcW w:w="1464" w:type="dxa"/>
            <w:shd w:val="clear" w:color="auto" w:fill="auto"/>
            <w:vAlign w:val="bottom"/>
          </w:tcPr>
          <w:p w14:paraId="1600BD7E"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3</w:t>
            </w:r>
          </w:p>
        </w:tc>
        <w:tc>
          <w:tcPr>
            <w:tcW w:w="1464" w:type="dxa"/>
            <w:shd w:val="clear" w:color="auto" w:fill="auto"/>
            <w:vAlign w:val="bottom"/>
          </w:tcPr>
          <w:p w14:paraId="35724A8A" w14:textId="3BE969D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8</w:t>
            </w:r>
            <w:r w:rsidR="005E3992" w:rsidRPr="004C7F84">
              <w:rPr>
                <w:sz w:val="17"/>
              </w:rPr>
              <w:t>,</w:t>
            </w:r>
            <w:r w:rsidRPr="004C7F84">
              <w:rPr>
                <w:sz w:val="17"/>
              </w:rPr>
              <w:t>3</w:t>
            </w:r>
          </w:p>
        </w:tc>
        <w:tc>
          <w:tcPr>
            <w:tcW w:w="1464" w:type="dxa"/>
            <w:shd w:val="clear" w:color="auto" w:fill="auto"/>
            <w:vAlign w:val="bottom"/>
          </w:tcPr>
          <w:p w14:paraId="7CA259B6"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36</w:t>
            </w:r>
          </w:p>
        </w:tc>
      </w:tr>
      <w:tr w:rsidR="0034195A" w:rsidRPr="004C7F84" w14:paraId="3E343BCB" w14:textId="77777777" w:rsidTr="0034195A">
        <w:tc>
          <w:tcPr>
            <w:tcW w:w="1464" w:type="dxa"/>
            <w:shd w:val="clear" w:color="auto" w:fill="auto"/>
            <w:vAlign w:val="bottom"/>
          </w:tcPr>
          <w:p w14:paraId="0DADD42F" w14:textId="77777777" w:rsidR="0034195A" w:rsidRPr="004C7F84" w:rsidRDefault="0034195A" w:rsidP="0034195A">
            <w:pPr>
              <w:tabs>
                <w:tab w:val="left" w:pos="288"/>
                <w:tab w:val="left" w:pos="576"/>
                <w:tab w:val="left" w:pos="864"/>
                <w:tab w:val="left" w:pos="1152"/>
              </w:tabs>
              <w:spacing w:before="40" w:after="40" w:line="210" w:lineRule="exact"/>
              <w:ind w:right="40"/>
              <w:rPr>
                <w:sz w:val="17"/>
              </w:rPr>
            </w:pPr>
            <w:r w:rsidRPr="004C7F84">
              <w:rPr>
                <w:sz w:val="17"/>
              </w:rPr>
              <w:t>2009</w:t>
            </w:r>
          </w:p>
        </w:tc>
        <w:tc>
          <w:tcPr>
            <w:tcW w:w="1464" w:type="dxa"/>
            <w:shd w:val="clear" w:color="auto" w:fill="auto"/>
            <w:vAlign w:val="bottom"/>
          </w:tcPr>
          <w:p w14:paraId="60B1B968"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23</w:t>
            </w:r>
          </w:p>
        </w:tc>
        <w:tc>
          <w:tcPr>
            <w:tcW w:w="1464" w:type="dxa"/>
            <w:shd w:val="clear" w:color="auto" w:fill="auto"/>
            <w:vAlign w:val="bottom"/>
          </w:tcPr>
          <w:p w14:paraId="1D22BCAD"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4</w:t>
            </w:r>
          </w:p>
        </w:tc>
        <w:tc>
          <w:tcPr>
            <w:tcW w:w="1464" w:type="dxa"/>
            <w:shd w:val="clear" w:color="auto" w:fill="auto"/>
            <w:vAlign w:val="bottom"/>
          </w:tcPr>
          <w:p w14:paraId="58ACEFEB" w14:textId="5E37FB16"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14</w:t>
            </w:r>
            <w:r w:rsidR="005E3992" w:rsidRPr="004C7F84">
              <w:rPr>
                <w:sz w:val="17"/>
              </w:rPr>
              <w:t>,</w:t>
            </w:r>
            <w:r w:rsidRPr="004C7F84">
              <w:rPr>
                <w:sz w:val="17"/>
              </w:rPr>
              <w:t>8</w:t>
            </w:r>
          </w:p>
        </w:tc>
        <w:tc>
          <w:tcPr>
            <w:tcW w:w="1464" w:type="dxa"/>
            <w:shd w:val="clear" w:color="auto" w:fill="auto"/>
            <w:vAlign w:val="bottom"/>
          </w:tcPr>
          <w:p w14:paraId="7D7CF79D"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27</w:t>
            </w:r>
          </w:p>
        </w:tc>
      </w:tr>
      <w:tr w:rsidR="0034195A" w:rsidRPr="004C7F84" w14:paraId="29DDC5D4" w14:textId="77777777" w:rsidTr="0034195A">
        <w:tc>
          <w:tcPr>
            <w:tcW w:w="1464" w:type="dxa"/>
            <w:shd w:val="clear" w:color="auto" w:fill="auto"/>
            <w:vAlign w:val="bottom"/>
          </w:tcPr>
          <w:p w14:paraId="74E6BB07" w14:textId="77777777" w:rsidR="0034195A" w:rsidRPr="004C7F84" w:rsidRDefault="0034195A" w:rsidP="0034195A">
            <w:pPr>
              <w:tabs>
                <w:tab w:val="left" w:pos="288"/>
                <w:tab w:val="left" w:pos="576"/>
                <w:tab w:val="left" w:pos="864"/>
                <w:tab w:val="left" w:pos="1152"/>
              </w:tabs>
              <w:spacing w:before="40" w:after="40" w:line="210" w:lineRule="exact"/>
              <w:ind w:right="40"/>
              <w:rPr>
                <w:sz w:val="17"/>
              </w:rPr>
            </w:pPr>
            <w:r w:rsidRPr="004C7F84">
              <w:rPr>
                <w:sz w:val="17"/>
              </w:rPr>
              <w:t>2010</w:t>
            </w:r>
          </w:p>
        </w:tc>
        <w:tc>
          <w:tcPr>
            <w:tcW w:w="1464" w:type="dxa"/>
            <w:shd w:val="clear" w:color="auto" w:fill="auto"/>
            <w:vAlign w:val="bottom"/>
          </w:tcPr>
          <w:p w14:paraId="52A1E50B"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26</w:t>
            </w:r>
          </w:p>
        </w:tc>
        <w:tc>
          <w:tcPr>
            <w:tcW w:w="1464" w:type="dxa"/>
            <w:shd w:val="clear" w:color="auto" w:fill="auto"/>
            <w:vAlign w:val="bottom"/>
          </w:tcPr>
          <w:p w14:paraId="27DCA73F"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4</w:t>
            </w:r>
          </w:p>
        </w:tc>
        <w:tc>
          <w:tcPr>
            <w:tcW w:w="1464" w:type="dxa"/>
            <w:shd w:val="clear" w:color="auto" w:fill="auto"/>
            <w:vAlign w:val="bottom"/>
          </w:tcPr>
          <w:p w14:paraId="5708E3F7" w14:textId="6A0D3290"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13</w:t>
            </w:r>
            <w:r w:rsidR="005E3992" w:rsidRPr="004C7F84">
              <w:rPr>
                <w:sz w:val="17"/>
              </w:rPr>
              <w:t>,</w:t>
            </w:r>
            <w:r w:rsidRPr="004C7F84">
              <w:rPr>
                <w:sz w:val="17"/>
              </w:rPr>
              <w:t>3</w:t>
            </w:r>
          </w:p>
        </w:tc>
        <w:tc>
          <w:tcPr>
            <w:tcW w:w="1464" w:type="dxa"/>
            <w:shd w:val="clear" w:color="auto" w:fill="auto"/>
            <w:vAlign w:val="bottom"/>
          </w:tcPr>
          <w:p w14:paraId="0B1E70E5"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30</w:t>
            </w:r>
          </w:p>
        </w:tc>
      </w:tr>
      <w:tr w:rsidR="0034195A" w:rsidRPr="004C7F84" w14:paraId="1FAB8051" w14:textId="77777777" w:rsidTr="0034195A">
        <w:tc>
          <w:tcPr>
            <w:tcW w:w="1464" w:type="dxa"/>
            <w:shd w:val="clear" w:color="auto" w:fill="auto"/>
            <w:vAlign w:val="bottom"/>
          </w:tcPr>
          <w:p w14:paraId="3BFB182E" w14:textId="77777777" w:rsidR="0034195A" w:rsidRPr="004C7F84" w:rsidRDefault="0034195A" w:rsidP="0034195A">
            <w:pPr>
              <w:tabs>
                <w:tab w:val="left" w:pos="288"/>
                <w:tab w:val="left" w:pos="576"/>
                <w:tab w:val="left" w:pos="864"/>
                <w:tab w:val="left" w:pos="1152"/>
              </w:tabs>
              <w:spacing w:before="40" w:after="40" w:line="210" w:lineRule="exact"/>
              <w:ind w:right="40"/>
              <w:rPr>
                <w:sz w:val="17"/>
              </w:rPr>
            </w:pPr>
            <w:r w:rsidRPr="004C7F84">
              <w:rPr>
                <w:sz w:val="17"/>
              </w:rPr>
              <w:t>2011</w:t>
            </w:r>
          </w:p>
        </w:tc>
        <w:tc>
          <w:tcPr>
            <w:tcW w:w="1464" w:type="dxa"/>
            <w:shd w:val="clear" w:color="auto" w:fill="auto"/>
            <w:vAlign w:val="bottom"/>
          </w:tcPr>
          <w:p w14:paraId="2ADB5F19"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24</w:t>
            </w:r>
          </w:p>
        </w:tc>
        <w:tc>
          <w:tcPr>
            <w:tcW w:w="1464" w:type="dxa"/>
            <w:shd w:val="clear" w:color="auto" w:fill="auto"/>
            <w:vAlign w:val="bottom"/>
          </w:tcPr>
          <w:p w14:paraId="3CDC1960"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7</w:t>
            </w:r>
          </w:p>
        </w:tc>
        <w:tc>
          <w:tcPr>
            <w:tcW w:w="1464" w:type="dxa"/>
            <w:shd w:val="clear" w:color="auto" w:fill="auto"/>
            <w:vAlign w:val="bottom"/>
          </w:tcPr>
          <w:p w14:paraId="62C642CD" w14:textId="68AF6278"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22</w:t>
            </w:r>
            <w:r w:rsidR="005E3992" w:rsidRPr="004C7F84">
              <w:rPr>
                <w:sz w:val="17"/>
              </w:rPr>
              <w:t>,</w:t>
            </w:r>
            <w:r w:rsidRPr="004C7F84">
              <w:rPr>
                <w:sz w:val="17"/>
              </w:rPr>
              <w:t>5</w:t>
            </w:r>
          </w:p>
        </w:tc>
        <w:tc>
          <w:tcPr>
            <w:tcW w:w="1464" w:type="dxa"/>
            <w:shd w:val="clear" w:color="auto" w:fill="auto"/>
            <w:vAlign w:val="bottom"/>
          </w:tcPr>
          <w:p w14:paraId="6AFDA4E3"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31</w:t>
            </w:r>
          </w:p>
        </w:tc>
      </w:tr>
      <w:tr w:rsidR="0034195A" w:rsidRPr="004C7F84" w14:paraId="13EB7490" w14:textId="77777777" w:rsidTr="0034195A">
        <w:tc>
          <w:tcPr>
            <w:tcW w:w="1464" w:type="dxa"/>
            <w:shd w:val="clear" w:color="auto" w:fill="auto"/>
            <w:vAlign w:val="bottom"/>
          </w:tcPr>
          <w:p w14:paraId="116673FA" w14:textId="77777777" w:rsidR="0034195A" w:rsidRPr="004C7F84" w:rsidRDefault="0034195A" w:rsidP="0034195A">
            <w:pPr>
              <w:tabs>
                <w:tab w:val="left" w:pos="288"/>
                <w:tab w:val="left" w:pos="576"/>
                <w:tab w:val="left" w:pos="864"/>
                <w:tab w:val="left" w:pos="1152"/>
              </w:tabs>
              <w:spacing w:before="40" w:after="40" w:line="210" w:lineRule="exact"/>
              <w:ind w:right="40"/>
              <w:rPr>
                <w:sz w:val="17"/>
              </w:rPr>
            </w:pPr>
            <w:r w:rsidRPr="004C7F84">
              <w:rPr>
                <w:sz w:val="17"/>
              </w:rPr>
              <w:t>2012</w:t>
            </w:r>
          </w:p>
        </w:tc>
        <w:tc>
          <w:tcPr>
            <w:tcW w:w="1464" w:type="dxa"/>
            <w:shd w:val="clear" w:color="auto" w:fill="auto"/>
            <w:vAlign w:val="bottom"/>
          </w:tcPr>
          <w:p w14:paraId="227BFB6A"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20</w:t>
            </w:r>
          </w:p>
        </w:tc>
        <w:tc>
          <w:tcPr>
            <w:tcW w:w="1464" w:type="dxa"/>
            <w:shd w:val="clear" w:color="auto" w:fill="auto"/>
            <w:vAlign w:val="bottom"/>
          </w:tcPr>
          <w:p w14:paraId="0968D0D3"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4</w:t>
            </w:r>
          </w:p>
        </w:tc>
        <w:tc>
          <w:tcPr>
            <w:tcW w:w="1464" w:type="dxa"/>
            <w:shd w:val="clear" w:color="auto" w:fill="auto"/>
            <w:vAlign w:val="bottom"/>
          </w:tcPr>
          <w:p w14:paraId="151FF4CA" w14:textId="56022FB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16</w:t>
            </w:r>
            <w:r w:rsidR="005E3992" w:rsidRPr="004C7F84">
              <w:rPr>
                <w:sz w:val="17"/>
              </w:rPr>
              <w:t>,</w:t>
            </w:r>
            <w:r w:rsidRPr="004C7F84">
              <w:rPr>
                <w:sz w:val="17"/>
              </w:rPr>
              <w:t>6</w:t>
            </w:r>
          </w:p>
        </w:tc>
        <w:tc>
          <w:tcPr>
            <w:tcW w:w="1464" w:type="dxa"/>
            <w:shd w:val="clear" w:color="auto" w:fill="auto"/>
            <w:vAlign w:val="bottom"/>
          </w:tcPr>
          <w:p w14:paraId="05FE9D76"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24</w:t>
            </w:r>
          </w:p>
        </w:tc>
      </w:tr>
      <w:tr w:rsidR="0034195A" w:rsidRPr="004C7F84" w14:paraId="6CB856D6" w14:textId="77777777" w:rsidTr="0034195A">
        <w:tc>
          <w:tcPr>
            <w:tcW w:w="1464" w:type="dxa"/>
            <w:shd w:val="clear" w:color="auto" w:fill="auto"/>
            <w:vAlign w:val="bottom"/>
          </w:tcPr>
          <w:p w14:paraId="4AE370BC" w14:textId="77777777" w:rsidR="0034195A" w:rsidRPr="004C7F84" w:rsidRDefault="0034195A" w:rsidP="0034195A">
            <w:pPr>
              <w:tabs>
                <w:tab w:val="left" w:pos="288"/>
                <w:tab w:val="left" w:pos="576"/>
                <w:tab w:val="left" w:pos="864"/>
                <w:tab w:val="left" w:pos="1152"/>
              </w:tabs>
              <w:spacing w:before="40" w:after="40" w:line="210" w:lineRule="exact"/>
              <w:ind w:right="40"/>
              <w:rPr>
                <w:sz w:val="17"/>
              </w:rPr>
            </w:pPr>
            <w:r w:rsidRPr="004C7F84">
              <w:rPr>
                <w:sz w:val="17"/>
              </w:rPr>
              <w:t>2013</w:t>
            </w:r>
          </w:p>
        </w:tc>
        <w:tc>
          <w:tcPr>
            <w:tcW w:w="1464" w:type="dxa"/>
            <w:shd w:val="clear" w:color="auto" w:fill="auto"/>
            <w:vAlign w:val="bottom"/>
          </w:tcPr>
          <w:p w14:paraId="1268AD86"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19</w:t>
            </w:r>
          </w:p>
        </w:tc>
        <w:tc>
          <w:tcPr>
            <w:tcW w:w="1464" w:type="dxa"/>
            <w:shd w:val="clear" w:color="auto" w:fill="auto"/>
            <w:vAlign w:val="bottom"/>
          </w:tcPr>
          <w:p w14:paraId="54D59D42"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4</w:t>
            </w:r>
          </w:p>
        </w:tc>
        <w:tc>
          <w:tcPr>
            <w:tcW w:w="1464" w:type="dxa"/>
            <w:shd w:val="clear" w:color="auto" w:fill="auto"/>
            <w:vAlign w:val="bottom"/>
          </w:tcPr>
          <w:p w14:paraId="21FED3EE" w14:textId="2C488545"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17</w:t>
            </w:r>
            <w:r w:rsidR="005E3992" w:rsidRPr="004C7F84">
              <w:rPr>
                <w:sz w:val="17"/>
              </w:rPr>
              <w:t>,</w:t>
            </w:r>
            <w:r w:rsidRPr="004C7F84">
              <w:rPr>
                <w:sz w:val="17"/>
              </w:rPr>
              <w:t>4</w:t>
            </w:r>
          </w:p>
        </w:tc>
        <w:tc>
          <w:tcPr>
            <w:tcW w:w="1464" w:type="dxa"/>
            <w:shd w:val="clear" w:color="auto" w:fill="auto"/>
            <w:vAlign w:val="bottom"/>
          </w:tcPr>
          <w:p w14:paraId="48151AF7"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23</w:t>
            </w:r>
          </w:p>
        </w:tc>
      </w:tr>
      <w:tr w:rsidR="0034195A" w:rsidRPr="004C7F84" w14:paraId="661D640E" w14:textId="77777777" w:rsidTr="0034195A">
        <w:tc>
          <w:tcPr>
            <w:tcW w:w="1464" w:type="dxa"/>
            <w:shd w:val="clear" w:color="auto" w:fill="auto"/>
            <w:vAlign w:val="bottom"/>
          </w:tcPr>
          <w:p w14:paraId="76E8392A" w14:textId="77777777" w:rsidR="0034195A" w:rsidRPr="004C7F84" w:rsidRDefault="0034195A" w:rsidP="0034195A">
            <w:pPr>
              <w:tabs>
                <w:tab w:val="left" w:pos="288"/>
                <w:tab w:val="left" w:pos="576"/>
                <w:tab w:val="left" w:pos="864"/>
                <w:tab w:val="left" w:pos="1152"/>
              </w:tabs>
              <w:spacing w:before="40" w:after="40" w:line="210" w:lineRule="exact"/>
              <w:ind w:right="40"/>
              <w:rPr>
                <w:sz w:val="17"/>
              </w:rPr>
            </w:pPr>
            <w:r w:rsidRPr="004C7F84">
              <w:rPr>
                <w:sz w:val="17"/>
              </w:rPr>
              <w:t>2014</w:t>
            </w:r>
          </w:p>
        </w:tc>
        <w:tc>
          <w:tcPr>
            <w:tcW w:w="1464" w:type="dxa"/>
            <w:shd w:val="clear" w:color="auto" w:fill="auto"/>
            <w:vAlign w:val="bottom"/>
          </w:tcPr>
          <w:p w14:paraId="45E5EFFA"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21</w:t>
            </w:r>
          </w:p>
        </w:tc>
        <w:tc>
          <w:tcPr>
            <w:tcW w:w="1464" w:type="dxa"/>
            <w:shd w:val="clear" w:color="auto" w:fill="auto"/>
            <w:vAlign w:val="bottom"/>
          </w:tcPr>
          <w:p w14:paraId="21341D11"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8</w:t>
            </w:r>
          </w:p>
        </w:tc>
        <w:tc>
          <w:tcPr>
            <w:tcW w:w="1464" w:type="dxa"/>
            <w:shd w:val="clear" w:color="auto" w:fill="auto"/>
            <w:vAlign w:val="bottom"/>
          </w:tcPr>
          <w:p w14:paraId="674BE772" w14:textId="68BEADEC"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27</w:t>
            </w:r>
            <w:r w:rsidR="005E3992" w:rsidRPr="004C7F84">
              <w:rPr>
                <w:sz w:val="17"/>
              </w:rPr>
              <w:t>,</w:t>
            </w:r>
            <w:r w:rsidRPr="004C7F84">
              <w:rPr>
                <w:sz w:val="17"/>
              </w:rPr>
              <w:t>5</w:t>
            </w:r>
          </w:p>
        </w:tc>
        <w:tc>
          <w:tcPr>
            <w:tcW w:w="1464" w:type="dxa"/>
            <w:shd w:val="clear" w:color="auto" w:fill="auto"/>
            <w:vAlign w:val="bottom"/>
          </w:tcPr>
          <w:p w14:paraId="65FAEB2F" w14:textId="77777777" w:rsidR="0034195A" w:rsidRPr="004C7F84" w:rsidRDefault="0034195A" w:rsidP="0034195A">
            <w:pPr>
              <w:tabs>
                <w:tab w:val="left" w:pos="288"/>
                <w:tab w:val="left" w:pos="576"/>
                <w:tab w:val="left" w:pos="864"/>
                <w:tab w:val="left" w:pos="1152"/>
              </w:tabs>
              <w:spacing w:before="40" w:after="40" w:line="210" w:lineRule="exact"/>
              <w:ind w:left="144" w:right="40"/>
              <w:jc w:val="right"/>
              <w:rPr>
                <w:sz w:val="17"/>
              </w:rPr>
            </w:pPr>
            <w:r w:rsidRPr="004C7F84">
              <w:rPr>
                <w:sz w:val="17"/>
              </w:rPr>
              <w:t>29</w:t>
            </w:r>
          </w:p>
        </w:tc>
      </w:tr>
      <w:tr w:rsidR="0034195A" w:rsidRPr="004C7F84" w14:paraId="6E34CC5B" w14:textId="77777777" w:rsidTr="0034195A">
        <w:tc>
          <w:tcPr>
            <w:tcW w:w="1464" w:type="dxa"/>
            <w:tcBorders>
              <w:bottom w:val="single" w:sz="4" w:space="0" w:color="auto"/>
            </w:tcBorders>
            <w:shd w:val="clear" w:color="auto" w:fill="auto"/>
            <w:vAlign w:val="bottom"/>
          </w:tcPr>
          <w:p w14:paraId="10946234" w14:textId="77777777" w:rsidR="0034195A" w:rsidRPr="004C7F84" w:rsidRDefault="0034195A" w:rsidP="0034195A">
            <w:pPr>
              <w:tabs>
                <w:tab w:val="left" w:pos="288"/>
                <w:tab w:val="left" w:pos="576"/>
                <w:tab w:val="left" w:pos="864"/>
                <w:tab w:val="left" w:pos="1152"/>
              </w:tabs>
              <w:spacing w:before="40" w:after="81" w:line="210" w:lineRule="exact"/>
              <w:ind w:right="40"/>
              <w:rPr>
                <w:sz w:val="17"/>
              </w:rPr>
            </w:pPr>
            <w:r w:rsidRPr="004C7F84">
              <w:rPr>
                <w:sz w:val="17"/>
              </w:rPr>
              <w:t>2015</w:t>
            </w:r>
          </w:p>
        </w:tc>
        <w:tc>
          <w:tcPr>
            <w:tcW w:w="1464" w:type="dxa"/>
            <w:tcBorders>
              <w:bottom w:val="single" w:sz="4" w:space="0" w:color="auto"/>
            </w:tcBorders>
            <w:shd w:val="clear" w:color="auto" w:fill="auto"/>
            <w:vAlign w:val="bottom"/>
          </w:tcPr>
          <w:p w14:paraId="278814B2" w14:textId="77777777" w:rsidR="0034195A" w:rsidRPr="004C7F84" w:rsidRDefault="0034195A" w:rsidP="0034195A">
            <w:pPr>
              <w:tabs>
                <w:tab w:val="left" w:pos="288"/>
                <w:tab w:val="left" w:pos="576"/>
                <w:tab w:val="left" w:pos="864"/>
                <w:tab w:val="left" w:pos="1152"/>
              </w:tabs>
              <w:spacing w:before="40" w:after="81" w:line="210" w:lineRule="exact"/>
              <w:ind w:left="144" w:right="40"/>
              <w:jc w:val="right"/>
              <w:rPr>
                <w:sz w:val="17"/>
              </w:rPr>
            </w:pPr>
            <w:r w:rsidRPr="004C7F84">
              <w:rPr>
                <w:sz w:val="17"/>
              </w:rPr>
              <w:t>21</w:t>
            </w:r>
          </w:p>
        </w:tc>
        <w:tc>
          <w:tcPr>
            <w:tcW w:w="1464" w:type="dxa"/>
            <w:tcBorders>
              <w:bottom w:val="single" w:sz="4" w:space="0" w:color="auto"/>
            </w:tcBorders>
            <w:shd w:val="clear" w:color="auto" w:fill="auto"/>
            <w:vAlign w:val="bottom"/>
          </w:tcPr>
          <w:p w14:paraId="2A8EC629" w14:textId="77777777" w:rsidR="0034195A" w:rsidRPr="004C7F84" w:rsidRDefault="0034195A" w:rsidP="0034195A">
            <w:pPr>
              <w:tabs>
                <w:tab w:val="left" w:pos="288"/>
                <w:tab w:val="left" w:pos="576"/>
                <w:tab w:val="left" w:pos="864"/>
                <w:tab w:val="left" w:pos="1152"/>
              </w:tabs>
              <w:spacing w:before="40" w:after="81" w:line="210" w:lineRule="exact"/>
              <w:ind w:left="144" w:right="40"/>
              <w:jc w:val="right"/>
              <w:rPr>
                <w:sz w:val="17"/>
              </w:rPr>
            </w:pPr>
            <w:r w:rsidRPr="004C7F84">
              <w:rPr>
                <w:sz w:val="17"/>
              </w:rPr>
              <w:t>6</w:t>
            </w:r>
          </w:p>
        </w:tc>
        <w:tc>
          <w:tcPr>
            <w:tcW w:w="1464" w:type="dxa"/>
            <w:tcBorders>
              <w:bottom w:val="single" w:sz="4" w:space="0" w:color="auto"/>
            </w:tcBorders>
            <w:shd w:val="clear" w:color="auto" w:fill="auto"/>
            <w:vAlign w:val="bottom"/>
          </w:tcPr>
          <w:p w14:paraId="4254D009" w14:textId="3FD728AC" w:rsidR="0034195A" w:rsidRPr="004C7F84" w:rsidRDefault="0034195A" w:rsidP="0034195A">
            <w:pPr>
              <w:tabs>
                <w:tab w:val="left" w:pos="288"/>
                <w:tab w:val="left" w:pos="576"/>
                <w:tab w:val="left" w:pos="864"/>
                <w:tab w:val="left" w:pos="1152"/>
              </w:tabs>
              <w:spacing w:before="40" w:after="81" w:line="210" w:lineRule="exact"/>
              <w:ind w:left="144" w:right="40"/>
              <w:jc w:val="right"/>
              <w:rPr>
                <w:sz w:val="17"/>
              </w:rPr>
            </w:pPr>
            <w:r w:rsidRPr="004C7F84">
              <w:rPr>
                <w:sz w:val="17"/>
              </w:rPr>
              <w:t>22</w:t>
            </w:r>
            <w:r w:rsidR="005E3992" w:rsidRPr="004C7F84">
              <w:rPr>
                <w:sz w:val="17"/>
              </w:rPr>
              <w:t>,</w:t>
            </w:r>
            <w:r w:rsidRPr="004C7F84">
              <w:rPr>
                <w:sz w:val="17"/>
              </w:rPr>
              <w:t>2</w:t>
            </w:r>
          </w:p>
        </w:tc>
        <w:tc>
          <w:tcPr>
            <w:tcW w:w="1464" w:type="dxa"/>
            <w:tcBorders>
              <w:bottom w:val="single" w:sz="4" w:space="0" w:color="auto"/>
            </w:tcBorders>
            <w:shd w:val="clear" w:color="auto" w:fill="auto"/>
            <w:vAlign w:val="bottom"/>
          </w:tcPr>
          <w:p w14:paraId="4ABDCB80" w14:textId="77777777" w:rsidR="0034195A" w:rsidRPr="004C7F84" w:rsidRDefault="0034195A" w:rsidP="0034195A">
            <w:pPr>
              <w:tabs>
                <w:tab w:val="left" w:pos="288"/>
                <w:tab w:val="left" w:pos="576"/>
                <w:tab w:val="left" w:pos="864"/>
                <w:tab w:val="left" w:pos="1152"/>
              </w:tabs>
              <w:spacing w:before="40" w:after="81" w:line="210" w:lineRule="exact"/>
              <w:ind w:left="144" w:right="40"/>
              <w:jc w:val="right"/>
              <w:rPr>
                <w:sz w:val="17"/>
              </w:rPr>
            </w:pPr>
            <w:r w:rsidRPr="004C7F84">
              <w:rPr>
                <w:sz w:val="17"/>
              </w:rPr>
              <w:t>27</w:t>
            </w:r>
          </w:p>
        </w:tc>
      </w:tr>
      <w:tr w:rsidR="0034195A" w:rsidRPr="004C7F84" w14:paraId="757FA1A9" w14:textId="77777777" w:rsidTr="0034195A">
        <w:tc>
          <w:tcPr>
            <w:tcW w:w="1464" w:type="dxa"/>
            <w:tcBorders>
              <w:top w:val="single" w:sz="4" w:space="0" w:color="auto"/>
              <w:bottom w:val="single" w:sz="12" w:space="0" w:color="auto"/>
            </w:tcBorders>
            <w:shd w:val="clear" w:color="auto" w:fill="auto"/>
            <w:vAlign w:val="bottom"/>
          </w:tcPr>
          <w:p w14:paraId="7A90BD9C" w14:textId="77777777" w:rsidR="0034195A" w:rsidRPr="004C7F84" w:rsidRDefault="0034195A" w:rsidP="0034195A">
            <w:pPr>
              <w:tabs>
                <w:tab w:val="left" w:pos="288"/>
                <w:tab w:val="left" w:pos="576"/>
                <w:tab w:val="left" w:pos="864"/>
                <w:tab w:val="left" w:pos="1152"/>
              </w:tabs>
              <w:spacing w:before="81" w:after="81" w:line="210" w:lineRule="exact"/>
              <w:ind w:right="40"/>
              <w:rPr>
                <w:b/>
                <w:sz w:val="17"/>
              </w:rPr>
            </w:pPr>
            <w:r w:rsidRPr="004C7F84">
              <w:rPr>
                <w:b/>
                <w:sz w:val="17"/>
              </w:rPr>
              <w:tab/>
              <w:t>Total</w:t>
            </w:r>
          </w:p>
        </w:tc>
        <w:tc>
          <w:tcPr>
            <w:tcW w:w="1464" w:type="dxa"/>
            <w:tcBorders>
              <w:top w:val="single" w:sz="4" w:space="0" w:color="auto"/>
              <w:bottom w:val="single" w:sz="12" w:space="0" w:color="auto"/>
            </w:tcBorders>
            <w:shd w:val="clear" w:color="auto" w:fill="auto"/>
            <w:vAlign w:val="bottom"/>
          </w:tcPr>
          <w:p w14:paraId="1DC701EF" w14:textId="77777777" w:rsidR="0034195A" w:rsidRPr="004C7F84" w:rsidRDefault="0034195A" w:rsidP="0034195A">
            <w:pPr>
              <w:tabs>
                <w:tab w:val="left" w:pos="288"/>
                <w:tab w:val="left" w:pos="576"/>
                <w:tab w:val="left" w:pos="864"/>
                <w:tab w:val="left" w:pos="1152"/>
              </w:tabs>
              <w:spacing w:before="81" w:after="81" w:line="210" w:lineRule="exact"/>
              <w:ind w:left="144" w:right="40"/>
              <w:jc w:val="right"/>
              <w:rPr>
                <w:b/>
                <w:sz w:val="17"/>
              </w:rPr>
            </w:pPr>
            <w:r w:rsidRPr="004C7F84">
              <w:rPr>
                <w:b/>
                <w:sz w:val="17"/>
              </w:rPr>
              <w:t>187</w:t>
            </w:r>
          </w:p>
        </w:tc>
        <w:tc>
          <w:tcPr>
            <w:tcW w:w="1464" w:type="dxa"/>
            <w:tcBorders>
              <w:top w:val="single" w:sz="4" w:space="0" w:color="auto"/>
              <w:bottom w:val="single" w:sz="12" w:space="0" w:color="auto"/>
            </w:tcBorders>
            <w:shd w:val="clear" w:color="auto" w:fill="auto"/>
            <w:vAlign w:val="bottom"/>
          </w:tcPr>
          <w:p w14:paraId="76A1F5D4" w14:textId="77777777" w:rsidR="0034195A" w:rsidRPr="004C7F84" w:rsidRDefault="0034195A" w:rsidP="0034195A">
            <w:pPr>
              <w:tabs>
                <w:tab w:val="left" w:pos="288"/>
                <w:tab w:val="left" w:pos="576"/>
                <w:tab w:val="left" w:pos="864"/>
                <w:tab w:val="left" w:pos="1152"/>
              </w:tabs>
              <w:spacing w:before="81" w:after="81" w:line="210" w:lineRule="exact"/>
              <w:ind w:left="144" w:right="40"/>
              <w:jc w:val="right"/>
              <w:rPr>
                <w:b/>
                <w:sz w:val="17"/>
              </w:rPr>
            </w:pPr>
            <w:r w:rsidRPr="004C7F84">
              <w:rPr>
                <w:b/>
                <w:sz w:val="17"/>
              </w:rPr>
              <w:t>40</w:t>
            </w:r>
          </w:p>
        </w:tc>
        <w:tc>
          <w:tcPr>
            <w:tcW w:w="1464" w:type="dxa"/>
            <w:tcBorders>
              <w:top w:val="single" w:sz="4" w:space="0" w:color="auto"/>
              <w:bottom w:val="single" w:sz="12" w:space="0" w:color="auto"/>
            </w:tcBorders>
            <w:shd w:val="clear" w:color="auto" w:fill="auto"/>
            <w:vAlign w:val="bottom"/>
          </w:tcPr>
          <w:p w14:paraId="3E60B536" w14:textId="77777777" w:rsidR="0034195A" w:rsidRPr="004C7F84" w:rsidRDefault="0034195A" w:rsidP="0034195A">
            <w:pPr>
              <w:tabs>
                <w:tab w:val="left" w:pos="288"/>
                <w:tab w:val="left" w:pos="576"/>
                <w:tab w:val="left" w:pos="864"/>
                <w:tab w:val="left" w:pos="1152"/>
              </w:tabs>
              <w:spacing w:before="81" w:after="81" w:line="210" w:lineRule="exact"/>
              <w:ind w:left="144" w:right="40"/>
              <w:jc w:val="right"/>
              <w:rPr>
                <w:b/>
                <w:sz w:val="17"/>
              </w:rPr>
            </w:pPr>
            <w:r w:rsidRPr="004C7F84">
              <w:rPr>
                <w:b/>
                <w:sz w:val="17"/>
              </w:rPr>
              <w:t>17.6</w:t>
            </w:r>
          </w:p>
        </w:tc>
        <w:tc>
          <w:tcPr>
            <w:tcW w:w="1464" w:type="dxa"/>
            <w:tcBorders>
              <w:top w:val="single" w:sz="4" w:space="0" w:color="auto"/>
              <w:bottom w:val="single" w:sz="12" w:space="0" w:color="auto"/>
            </w:tcBorders>
            <w:shd w:val="clear" w:color="auto" w:fill="auto"/>
            <w:vAlign w:val="bottom"/>
          </w:tcPr>
          <w:p w14:paraId="1F14A160" w14:textId="77777777" w:rsidR="0034195A" w:rsidRPr="004C7F84" w:rsidRDefault="0034195A" w:rsidP="0034195A">
            <w:pPr>
              <w:tabs>
                <w:tab w:val="left" w:pos="288"/>
                <w:tab w:val="left" w:pos="576"/>
                <w:tab w:val="left" w:pos="864"/>
                <w:tab w:val="left" w:pos="1152"/>
              </w:tabs>
              <w:spacing w:before="81" w:after="81" w:line="210" w:lineRule="exact"/>
              <w:ind w:left="144" w:right="40"/>
              <w:jc w:val="right"/>
              <w:rPr>
                <w:b/>
                <w:sz w:val="17"/>
              </w:rPr>
            </w:pPr>
            <w:r w:rsidRPr="004C7F84">
              <w:rPr>
                <w:b/>
                <w:sz w:val="17"/>
              </w:rPr>
              <w:t>227</w:t>
            </w:r>
          </w:p>
        </w:tc>
      </w:tr>
    </w:tbl>
    <w:p w14:paraId="3C69BCAB" w14:textId="77777777" w:rsidR="0034195A" w:rsidRPr="004C7F84" w:rsidRDefault="0034195A" w:rsidP="0034195A">
      <w:pPr>
        <w:pStyle w:val="SingleTxt"/>
        <w:spacing w:after="0" w:line="120" w:lineRule="exact"/>
        <w:rPr>
          <w:rFonts w:asciiTheme="majorBidi" w:hAnsiTheme="majorBidi" w:cstheme="majorBidi"/>
          <w:sz w:val="10"/>
        </w:rPr>
      </w:pPr>
    </w:p>
    <w:p w14:paraId="3F77B1BB" w14:textId="3DD68E95" w:rsidR="0034195A" w:rsidRPr="004C7F84" w:rsidRDefault="005E3992" w:rsidP="0034195A">
      <w:pPr>
        <w:pStyle w:val="FootnoteText"/>
        <w:tabs>
          <w:tab w:val="clear" w:pos="418"/>
          <w:tab w:val="right" w:pos="1476"/>
          <w:tab w:val="left" w:pos="1548"/>
          <w:tab w:val="right" w:pos="1836"/>
          <w:tab w:val="left" w:pos="1908"/>
        </w:tabs>
        <w:ind w:left="1548" w:right="1267" w:hanging="288"/>
      </w:pPr>
      <w:r w:rsidRPr="004C7F84">
        <w:rPr>
          <w:i/>
          <w:iCs/>
        </w:rPr>
        <w:tab/>
      </w:r>
      <w:r w:rsidRPr="004C7F84">
        <w:rPr>
          <w:i/>
          <w:iCs/>
        </w:rPr>
        <w:tab/>
      </w:r>
      <w:r w:rsidR="0034195A" w:rsidRPr="004C7F84">
        <w:rPr>
          <w:i/>
          <w:iCs/>
        </w:rPr>
        <w:t>Source</w:t>
      </w:r>
      <w:r w:rsidR="00773F5D" w:rsidRPr="004C7F84">
        <w:rPr>
          <w:i/>
          <w:iCs/>
        </w:rPr>
        <w:t> :</w:t>
      </w:r>
      <w:r w:rsidR="0034195A" w:rsidRPr="004C7F84">
        <w:t xml:space="preserve"> Crossroads Centre, Antigua, 2015. </w:t>
      </w:r>
    </w:p>
    <w:p w14:paraId="6DEA22F4" w14:textId="77777777" w:rsidR="0034195A" w:rsidRPr="004C7F84" w:rsidRDefault="0034195A" w:rsidP="0034195A">
      <w:pPr>
        <w:pStyle w:val="SingleTxt"/>
        <w:spacing w:after="0" w:line="120" w:lineRule="exact"/>
        <w:rPr>
          <w:rFonts w:asciiTheme="majorBidi" w:hAnsiTheme="majorBidi" w:cstheme="majorBidi"/>
          <w:sz w:val="10"/>
        </w:rPr>
      </w:pPr>
    </w:p>
    <w:p w14:paraId="4A4BEA8B" w14:textId="77777777" w:rsidR="0034195A" w:rsidRPr="004C7F84" w:rsidRDefault="0034195A" w:rsidP="0034195A">
      <w:pPr>
        <w:pStyle w:val="SingleTxt"/>
        <w:spacing w:after="0" w:line="120" w:lineRule="exact"/>
        <w:rPr>
          <w:rFonts w:asciiTheme="majorBidi" w:hAnsiTheme="majorBidi" w:cstheme="majorBidi"/>
          <w:sz w:val="10"/>
        </w:rPr>
      </w:pPr>
    </w:p>
    <w:p w14:paraId="5D71B2BB" w14:textId="77777777" w:rsidR="0034195A" w:rsidRPr="004C7F84" w:rsidRDefault="0034195A" w:rsidP="0034195A">
      <w:pPr>
        <w:pStyle w:val="SingleTxt"/>
        <w:spacing w:after="0" w:line="120" w:lineRule="exact"/>
        <w:rPr>
          <w:rFonts w:asciiTheme="majorBidi" w:hAnsiTheme="majorBidi" w:cstheme="majorBidi"/>
          <w:sz w:val="10"/>
        </w:rPr>
      </w:pPr>
    </w:p>
    <w:p w14:paraId="6DE2A0C6" w14:textId="1443A62B" w:rsidR="0034195A" w:rsidRPr="004C7F84" w:rsidRDefault="0034195A" w:rsidP="0034195A">
      <w:pPr>
        <w:pStyle w:val="H1"/>
        <w:ind w:right="1260"/>
      </w:pPr>
      <w:r w:rsidRPr="004C7F84">
        <w:tab/>
      </w:r>
      <w:r w:rsidRPr="004C7F84">
        <w:tab/>
        <w:t>Article 13</w:t>
      </w:r>
      <w:r w:rsidR="00773F5D" w:rsidRPr="004C7F84">
        <w:t> :</w:t>
      </w:r>
      <w:r w:rsidRPr="004C7F84">
        <w:t xml:space="preserve"> </w:t>
      </w:r>
      <w:r w:rsidR="005E3992" w:rsidRPr="004C7F84">
        <w:t>Prestations familiales, crédit financier et activités récréatives</w:t>
      </w:r>
    </w:p>
    <w:p w14:paraId="2A3EBAE6" w14:textId="77777777" w:rsidR="0034195A" w:rsidRPr="004C7F84" w:rsidRDefault="0034195A" w:rsidP="0034195A">
      <w:pPr>
        <w:pStyle w:val="SingleTxt"/>
        <w:spacing w:after="0" w:line="120" w:lineRule="exact"/>
        <w:rPr>
          <w:rFonts w:asciiTheme="majorBidi" w:hAnsiTheme="majorBidi" w:cstheme="majorBidi"/>
          <w:sz w:val="10"/>
        </w:rPr>
      </w:pPr>
    </w:p>
    <w:p w14:paraId="4394E3D8" w14:textId="77777777" w:rsidR="0034195A" w:rsidRPr="004C7F84" w:rsidRDefault="0034195A" w:rsidP="0034195A">
      <w:pPr>
        <w:pStyle w:val="SingleTxt"/>
        <w:spacing w:after="0" w:line="120" w:lineRule="exact"/>
        <w:rPr>
          <w:rFonts w:asciiTheme="majorBidi" w:hAnsiTheme="majorBidi" w:cstheme="majorBidi"/>
          <w:sz w:val="10"/>
        </w:rPr>
      </w:pPr>
    </w:p>
    <w:p w14:paraId="41F5AA96" w14:textId="4E8754AC"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5E3992" w:rsidRPr="004C7F84">
        <w:rPr>
          <w:lang w:val="fr-FR"/>
        </w:rPr>
        <w:t>Droit aux prestations familiales</w:t>
      </w:r>
    </w:p>
    <w:p w14:paraId="089E2386" w14:textId="77777777" w:rsidR="0034195A" w:rsidRPr="004C7F84" w:rsidRDefault="0034195A" w:rsidP="0034195A">
      <w:pPr>
        <w:pStyle w:val="SingleTxt"/>
        <w:spacing w:after="0" w:line="120" w:lineRule="exact"/>
        <w:rPr>
          <w:rFonts w:asciiTheme="majorBidi" w:hAnsiTheme="majorBidi" w:cstheme="majorBidi"/>
          <w:sz w:val="10"/>
        </w:rPr>
      </w:pPr>
    </w:p>
    <w:p w14:paraId="1901F61B" w14:textId="07E28EED" w:rsidR="005E3992" w:rsidRPr="004C7F84" w:rsidRDefault="005E3992" w:rsidP="00514306">
      <w:pPr>
        <w:pStyle w:val="SingleTxt"/>
        <w:numPr>
          <w:ilvl w:val="0"/>
          <w:numId w:val="23"/>
        </w:numPr>
        <w:spacing w:line="240" w:lineRule="exact"/>
        <w:ind w:left="1267" w:firstLine="0"/>
      </w:pPr>
      <w:r w:rsidRPr="004C7F84">
        <w:t>D</w:t>
      </w:r>
      <w:r w:rsidR="00773F5D" w:rsidRPr="004C7F84">
        <w:t>’</w:t>
      </w:r>
      <w:r w:rsidRPr="004C7F84">
        <w:t>après le rapport de 2007 sur l</w:t>
      </w:r>
      <w:r w:rsidR="00773F5D" w:rsidRPr="004C7F84">
        <w:t>’</w:t>
      </w:r>
      <w:r w:rsidRPr="004C7F84">
        <w:t>évaluation de la pauvreté</w:t>
      </w:r>
      <w:r w:rsidR="00D47611" w:rsidRPr="004C7F84">
        <w:t xml:space="preserve"> </w:t>
      </w:r>
      <w:r w:rsidRPr="004C7F84">
        <w:t>à Antigua-et-Barbuda, 52,8</w:t>
      </w:r>
      <w:r w:rsidR="0086373A" w:rsidRPr="004C7F84">
        <w:t> %</w:t>
      </w:r>
      <w:r w:rsidRPr="004C7F84">
        <w:t xml:space="preserve"> de femmes et 47,25</w:t>
      </w:r>
      <w:r w:rsidR="0086373A" w:rsidRPr="004C7F84">
        <w:t> %</w:t>
      </w:r>
      <w:r w:rsidRPr="004C7F84">
        <w:t xml:space="preserve"> d</w:t>
      </w:r>
      <w:r w:rsidR="00773F5D" w:rsidRPr="004C7F84">
        <w:t>’</w:t>
      </w:r>
      <w:r w:rsidRPr="004C7F84">
        <w:t>hommes vivaient en-dessous du seuil de pauvreté. Lors du dernier recensement en 2011, 960</w:t>
      </w:r>
      <w:r w:rsidR="00D47611" w:rsidRPr="004C7F84">
        <w:t> </w:t>
      </w:r>
      <w:r w:rsidRPr="004C7F84">
        <w:t>personnes, dont 520</w:t>
      </w:r>
      <w:r w:rsidR="00D47611" w:rsidRPr="004C7F84">
        <w:t> </w:t>
      </w:r>
      <w:r w:rsidRPr="004C7F84">
        <w:t>femmes (soit 54</w:t>
      </w:r>
      <w:r w:rsidR="00D47611" w:rsidRPr="004C7F84">
        <w:t xml:space="preserve"> %), </w:t>
      </w:r>
      <w:r w:rsidRPr="004C7F84">
        <w:t>dans la population active âgée d</w:t>
      </w:r>
      <w:r w:rsidR="00773F5D" w:rsidRPr="004C7F84">
        <w:t>’</w:t>
      </w:r>
      <w:r w:rsidRPr="004C7F84">
        <w:t>au moins 15</w:t>
      </w:r>
      <w:r w:rsidR="00D47611" w:rsidRPr="004C7F84">
        <w:t> </w:t>
      </w:r>
      <w:r w:rsidRPr="004C7F84">
        <w:t>ans se déclaraient incapables de travailler en raison d</w:t>
      </w:r>
      <w:r w:rsidR="00773F5D" w:rsidRPr="004C7F84">
        <w:t>’</w:t>
      </w:r>
      <w:r w:rsidRPr="004C7F84">
        <w:t xml:space="preserve">un handicap. </w:t>
      </w:r>
    </w:p>
    <w:p w14:paraId="7344A35E" w14:textId="6F4E15CF" w:rsidR="0034195A" w:rsidRPr="004C7F84" w:rsidRDefault="005E3992" w:rsidP="00514306">
      <w:pPr>
        <w:pStyle w:val="SingleTxt"/>
        <w:numPr>
          <w:ilvl w:val="0"/>
          <w:numId w:val="23"/>
        </w:numPr>
        <w:spacing w:line="240" w:lineRule="exact"/>
        <w:ind w:left="1267" w:firstLine="0"/>
        <w:rPr>
          <w:rFonts w:asciiTheme="majorBidi" w:hAnsiTheme="majorBidi" w:cstheme="majorBidi"/>
        </w:rPr>
      </w:pPr>
      <w:r w:rsidRPr="004C7F84">
        <w:t>Le nombre croissant de femmes âgées démunies est un problème social grave qui commence à se manifester à Antigua-et-Barbuda. Le Fiennes Institute, géré par le gouvernement, est un établissement qui accueille gratuitement les personnes ayant besoin de soins de longue durée à domicile, en particulier les personnes âgées. Mais il ne compte pas un nombre suffisant de chambres qui lui permette d</w:t>
      </w:r>
      <w:r w:rsidR="00773F5D" w:rsidRPr="004C7F84">
        <w:t>’</w:t>
      </w:r>
      <w:r w:rsidRPr="004C7F84">
        <w:t>admettre toutes les personnes qui remplissent les conditions. Le personnel du Mount St. John Medical Centre a fait savoir que ces dernières années, plusieurs femmes âgées y avaient été admises pour manque de soins. L</w:t>
      </w:r>
      <w:r w:rsidR="00773F5D" w:rsidRPr="004C7F84">
        <w:t>’</w:t>
      </w:r>
      <w:r w:rsidRPr="004C7F84">
        <w:t>État partie est profondément conscient de ce problème et il a mis en place des programmes pour atténuer dans une certaine mesure la détresse des pauvres, des personnes âgées et des personnes handicapées</w:t>
      </w:r>
      <w:r w:rsidR="0034195A" w:rsidRPr="004C7F84">
        <w:rPr>
          <w:rFonts w:asciiTheme="majorBidi" w:hAnsiTheme="majorBidi" w:cstheme="majorBidi"/>
        </w:rPr>
        <w:t xml:space="preserve">. </w:t>
      </w:r>
    </w:p>
    <w:p w14:paraId="2B3C36F3" w14:textId="77777777" w:rsidR="0034195A" w:rsidRPr="004C7F84" w:rsidRDefault="0034195A" w:rsidP="0034195A">
      <w:pPr>
        <w:pStyle w:val="SingleTxt"/>
        <w:spacing w:after="0" w:line="120" w:lineRule="exact"/>
        <w:rPr>
          <w:rFonts w:asciiTheme="majorBidi" w:hAnsiTheme="majorBidi" w:cstheme="majorBidi"/>
          <w:sz w:val="10"/>
        </w:rPr>
      </w:pPr>
    </w:p>
    <w:p w14:paraId="4014CE09" w14:textId="77777777" w:rsidR="0034195A" w:rsidRPr="004C7F84" w:rsidRDefault="0034195A" w:rsidP="0034195A">
      <w:pPr>
        <w:pStyle w:val="H4"/>
        <w:ind w:right="1260"/>
      </w:pPr>
      <w:r w:rsidRPr="004C7F84">
        <w:tab/>
      </w:r>
      <w:r w:rsidRPr="004C7F84">
        <w:tab/>
        <w:t xml:space="preserve">GRACE </w:t>
      </w:r>
    </w:p>
    <w:p w14:paraId="79310D3A" w14:textId="77777777" w:rsidR="0034195A" w:rsidRPr="004C7F84" w:rsidRDefault="0034195A" w:rsidP="0034195A">
      <w:pPr>
        <w:pStyle w:val="SingleTxt"/>
        <w:spacing w:after="0" w:line="120" w:lineRule="exact"/>
        <w:rPr>
          <w:rFonts w:asciiTheme="majorBidi" w:hAnsiTheme="majorBidi" w:cstheme="majorBidi"/>
          <w:sz w:val="10"/>
        </w:rPr>
      </w:pPr>
    </w:p>
    <w:p w14:paraId="69D561BB" w14:textId="2C94C816" w:rsidR="0034195A" w:rsidRPr="004C7F84" w:rsidRDefault="005E3992" w:rsidP="00514306">
      <w:pPr>
        <w:pStyle w:val="SingleTxt"/>
        <w:numPr>
          <w:ilvl w:val="0"/>
          <w:numId w:val="23"/>
        </w:numPr>
        <w:spacing w:line="240" w:lineRule="exact"/>
        <w:ind w:left="1267" w:firstLine="0"/>
        <w:rPr>
          <w:rFonts w:asciiTheme="majorBidi" w:hAnsiTheme="majorBidi" w:cstheme="majorBidi"/>
        </w:rPr>
      </w:pPr>
      <w:r w:rsidRPr="004C7F84">
        <w:t>En 1999, le Gouvernement d</w:t>
      </w:r>
      <w:r w:rsidR="00773F5D" w:rsidRPr="004C7F84">
        <w:t>’</w:t>
      </w:r>
      <w:r w:rsidRPr="004C7F84">
        <w:t>Antigua-et-Barbuda a approuvé un programme, lancé par la Direction de la problématique hommes-femmes, dans le cadre duquel l</w:t>
      </w:r>
      <w:r w:rsidR="00773F5D" w:rsidRPr="004C7F84">
        <w:t>’</w:t>
      </w:r>
      <w:r w:rsidRPr="004C7F84">
        <w:t>État prenait à sa charge les factures d</w:t>
      </w:r>
      <w:r w:rsidR="00773F5D" w:rsidRPr="004C7F84">
        <w:t>’</w:t>
      </w:r>
      <w:r w:rsidRPr="004C7F84">
        <w:t>électricité et d</w:t>
      </w:r>
      <w:r w:rsidR="00773F5D" w:rsidRPr="004C7F84">
        <w:t>’</w:t>
      </w:r>
      <w:r w:rsidRPr="004C7F84">
        <w:t>eau des personnes dans le besoin, en particulier les femmes vivan</w:t>
      </w:r>
      <w:r w:rsidR="00441F8D" w:rsidRPr="004C7F84">
        <w:t xml:space="preserve">t seules, dont le revenu était </w:t>
      </w:r>
      <w:r w:rsidRPr="004C7F84">
        <w:t>insuffisant ou inexistant.</w:t>
      </w:r>
    </w:p>
    <w:p w14:paraId="3A131FEC" w14:textId="77777777" w:rsidR="0034195A" w:rsidRPr="004C7F84" w:rsidRDefault="0034195A" w:rsidP="0034195A">
      <w:pPr>
        <w:pStyle w:val="SingleTxt"/>
        <w:spacing w:after="0" w:line="120" w:lineRule="exact"/>
        <w:rPr>
          <w:rFonts w:asciiTheme="majorBidi" w:hAnsiTheme="majorBidi" w:cstheme="majorBidi"/>
          <w:sz w:val="10"/>
        </w:rPr>
      </w:pPr>
    </w:p>
    <w:p w14:paraId="0ABC642C" w14:textId="475AF74E" w:rsidR="0034195A" w:rsidRPr="004C7F84" w:rsidRDefault="0034195A" w:rsidP="00441F8D">
      <w:pPr>
        <w:pStyle w:val="H4"/>
        <w:ind w:right="1260"/>
      </w:pPr>
      <w:r w:rsidRPr="004C7F84">
        <w:lastRenderedPageBreak/>
        <w:tab/>
      </w:r>
      <w:r w:rsidRPr="004C7F84">
        <w:tab/>
      </w:r>
      <w:r w:rsidR="005E3992" w:rsidRPr="004C7F84">
        <w:t xml:space="preserve">Subvention accordée aux personnes âgées pour le paiement des factures </w:t>
      </w:r>
      <w:r w:rsidR="005E3992" w:rsidRPr="004C7F84">
        <w:br/>
        <w:t>d</w:t>
      </w:r>
      <w:r w:rsidR="00773F5D" w:rsidRPr="004C7F84">
        <w:t>’</w:t>
      </w:r>
      <w:r w:rsidR="005E3992" w:rsidRPr="004C7F84">
        <w:t>eau et d</w:t>
      </w:r>
      <w:r w:rsidR="00773F5D" w:rsidRPr="004C7F84">
        <w:t>’</w:t>
      </w:r>
      <w:r w:rsidR="005E3992" w:rsidRPr="004C7F84">
        <w:t>électricité (2008)</w:t>
      </w:r>
    </w:p>
    <w:p w14:paraId="785BB1BD" w14:textId="77777777" w:rsidR="0034195A" w:rsidRPr="004C7F84" w:rsidRDefault="0034195A" w:rsidP="00441F8D">
      <w:pPr>
        <w:pStyle w:val="SingleTxt"/>
        <w:keepNext/>
        <w:keepLines/>
        <w:spacing w:after="0" w:line="120" w:lineRule="exact"/>
        <w:rPr>
          <w:rFonts w:asciiTheme="majorBidi" w:hAnsiTheme="majorBidi" w:cstheme="majorBidi"/>
          <w:sz w:val="10"/>
        </w:rPr>
      </w:pPr>
    </w:p>
    <w:p w14:paraId="70BEA3FB" w14:textId="029571CD" w:rsidR="0034195A" w:rsidRPr="004C7F84" w:rsidRDefault="005E3992" w:rsidP="00514306">
      <w:pPr>
        <w:pStyle w:val="SingleTxt"/>
        <w:keepNext/>
        <w:keepLines/>
        <w:numPr>
          <w:ilvl w:val="0"/>
          <w:numId w:val="23"/>
        </w:numPr>
        <w:spacing w:line="240" w:lineRule="exact"/>
        <w:ind w:left="1267" w:firstLine="0"/>
        <w:rPr>
          <w:rFonts w:asciiTheme="majorBidi" w:hAnsiTheme="majorBidi" w:cstheme="majorBidi"/>
        </w:rPr>
      </w:pPr>
      <w:r w:rsidRPr="004C7F84">
        <w:t>Les adultes reçoivent tous les mois des bons de 100</w:t>
      </w:r>
      <w:r w:rsidR="00441F8D" w:rsidRPr="004C7F84">
        <w:t> </w:t>
      </w:r>
      <w:r w:rsidRPr="004C7F84">
        <w:rPr>
          <w:rStyle w:val="freetext"/>
        </w:rPr>
        <w:t>dollars des Caraïbes orientales</w:t>
      </w:r>
      <w:r w:rsidRPr="004C7F84">
        <w:t>, qu</w:t>
      </w:r>
      <w:r w:rsidR="00773F5D" w:rsidRPr="004C7F84">
        <w:t>’</w:t>
      </w:r>
      <w:r w:rsidRPr="004C7F84">
        <w:t>ils peuvent présenter à l</w:t>
      </w:r>
      <w:r w:rsidR="00773F5D" w:rsidRPr="004C7F84">
        <w:t>’</w:t>
      </w:r>
      <w:r w:rsidRPr="004C7F84">
        <w:t>Administration des services publics de distribution d</w:t>
      </w:r>
      <w:r w:rsidR="00773F5D" w:rsidRPr="004C7F84">
        <w:t>’</w:t>
      </w:r>
      <w:r w:rsidRPr="004C7F84">
        <w:t>Antigua pour acquitter leurs factures d</w:t>
      </w:r>
      <w:r w:rsidR="00773F5D" w:rsidRPr="004C7F84">
        <w:t>’</w:t>
      </w:r>
      <w:r w:rsidRPr="004C7F84">
        <w:t>électricité ou d</w:t>
      </w:r>
      <w:r w:rsidR="00773F5D" w:rsidRPr="004C7F84">
        <w:t>’</w:t>
      </w:r>
      <w:r w:rsidRPr="004C7F84">
        <w:t>eau. Cette subvention est octroyée à toutes les personnes qui remplissent les conditions requises, indépendamment de leur sexe ou de leur situation matrimoniale.</w:t>
      </w:r>
    </w:p>
    <w:p w14:paraId="5CA5CBFE" w14:textId="77777777" w:rsidR="0034195A" w:rsidRPr="004C7F84" w:rsidRDefault="0034195A" w:rsidP="0034195A">
      <w:pPr>
        <w:pStyle w:val="SingleTxt"/>
        <w:spacing w:after="0" w:line="120" w:lineRule="exact"/>
        <w:rPr>
          <w:rFonts w:asciiTheme="majorBidi" w:hAnsiTheme="majorBidi" w:cstheme="majorBidi"/>
          <w:sz w:val="10"/>
        </w:rPr>
      </w:pPr>
    </w:p>
    <w:p w14:paraId="5F8FBA32" w14:textId="17E38536" w:rsidR="0034195A" w:rsidRPr="004C7F84" w:rsidRDefault="0034195A" w:rsidP="0034195A">
      <w:pPr>
        <w:pStyle w:val="H4"/>
        <w:ind w:right="1260"/>
      </w:pPr>
      <w:r w:rsidRPr="004C7F84">
        <w:tab/>
      </w:r>
      <w:r w:rsidRPr="004C7F84">
        <w:tab/>
      </w:r>
      <w:r w:rsidR="005E3992" w:rsidRPr="004C7F84">
        <w:t>Programme d</w:t>
      </w:r>
      <w:r w:rsidR="00773F5D" w:rsidRPr="004C7F84">
        <w:t>’</w:t>
      </w:r>
      <w:r w:rsidR="005E3992" w:rsidRPr="004C7F84">
        <w:t>allocations versées aux personnes en situation précaire (2009)</w:t>
      </w:r>
    </w:p>
    <w:p w14:paraId="27E6F1B9" w14:textId="77777777" w:rsidR="0034195A" w:rsidRPr="004C7F84" w:rsidRDefault="0034195A" w:rsidP="0034195A">
      <w:pPr>
        <w:pStyle w:val="SingleTxt"/>
        <w:spacing w:after="0" w:line="120" w:lineRule="exact"/>
        <w:rPr>
          <w:rFonts w:asciiTheme="majorBidi" w:hAnsiTheme="majorBidi" w:cstheme="majorBidi"/>
          <w:sz w:val="10"/>
        </w:rPr>
      </w:pPr>
    </w:p>
    <w:p w14:paraId="2FD14D8F" w14:textId="7ADF239D" w:rsidR="005E3992" w:rsidRPr="004C7F84" w:rsidRDefault="005E3992" w:rsidP="00514306">
      <w:pPr>
        <w:pStyle w:val="SingleTxt"/>
        <w:numPr>
          <w:ilvl w:val="0"/>
          <w:numId w:val="23"/>
        </w:numPr>
        <w:spacing w:line="240" w:lineRule="exact"/>
        <w:ind w:left="1267" w:firstLine="0"/>
      </w:pPr>
      <w:r w:rsidRPr="004C7F84">
        <w:t>Le programme d</w:t>
      </w:r>
      <w:r w:rsidR="00773F5D" w:rsidRPr="004C7F84">
        <w:t>’</w:t>
      </w:r>
      <w:r w:rsidRPr="004C7F84">
        <w:t>allocations versées aux personnes en situation précaire, lancé en 2009, vise à apporter une assistance à certaines catégories de personnes, telles que les enfants âgés de moins de 18</w:t>
      </w:r>
      <w:r w:rsidR="00441F8D" w:rsidRPr="004C7F84">
        <w:t> </w:t>
      </w:r>
      <w:r w:rsidRPr="004C7F84">
        <w:t>ans, les personnes économiquement défavorisées, à savoir les ressortissants au chômage, dont le revenu mensuel des ménages était inférieur à 800</w:t>
      </w:r>
      <w:r w:rsidR="00441F8D" w:rsidRPr="004C7F84">
        <w:t> </w:t>
      </w:r>
      <w:r w:rsidRPr="004C7F84">
        <w:t>dollars des Caraïbes orientales, ainsi que les personnes handicapées qui étaient au chômage.</w:t>
      </w:r>
      <w:r w:rsidR="00773F5D" w:rsidRPr="004C7F84">
        <w:t xml:space="preserve"> </w:t>
      </w:r>
    </w:p>
    <w:p w14:paraId="0B992AFD" w14:textId="7FBC1E24" w:rsidR="005E3992" w:rsidRPr="004C7F84" w:rsidRDefault="005E3992" w:rsidP="00514306">
      <w:pPr>
        <w:pStyle w:val="SingleTxt"/>
        <w:numPr>
          <w:ilvl w:val="0"/>
          <w:numId w:val="23"/>
        </w:numPr>
        <w:spacing w:line="240" w:lineRule="exact"/>
        <w:ind w:left="1267" w:firstLine="0"/>
      </w:pPr>
      <w:r w:rsidRPr="004C7F84">
        <w:t>En 2015, 2</w:t>
      </w:r>
      <w:r w:rsidR="00441F8D" w:rsidRPr="004C7F84">
        <w:t> </w:t>
      </w:r>
      <w:r w:rsidRPr="004C7F84">
        <w:t>625 personnes (2</w:t>
      </w:r>
      <w:r w:rsidR="00441F8D" w:rsidRPr="004C7F84">
        <w:t> </w:t>
      </w:r>
      <w:r w:rsidRPr="004C7F84">
        <w:t>580 à Antigua et 45 à Barbuda) touchent cette allocation. Les femmes d</w:t>
      </w:r>
      <w:r w:rsidR="00773F5D" w:rsidRPr="004C7F84">
        <w:t>’</w:t>
      </w:r>
      <w:r w:rsidRPr="004C7F84">
        <w:t>Antigua représentent 80,7</w:t>
      </w:r>
      <w:r w:rsidR="0086373A" w:rsidRPr="004C7F84">
        <w:t> %</w:t>
      </w:r>
      <w:r w:rsidRPr="004C7F84">
        <w:t xml:space="preserve"> des allocataires et celles de Barbuda 57,7</w:t>
      </w:r>
      <w:r w:rsidR="0086373A" w:rsidRPr="004C7F84">
        <w:t> %</w:t>
      </w:r>
      <w:r w:rsidRPr="004C7F84">
        <w:t>. 78</w:t>
      </w:r>
      <w:r w:rsidR="00441F8D" w:rsidRPr="004C7F84">
        <w:t> </w:t>
      </w:r>
      <w:r w:rsidRPr="004C7F84">
        <w:t>enfants d</w:t>
      </w:r>
      <w:r w:rsidR="00773F5D" w:rsidRPr="004C7F84">
        <w:t>’</w:t>
      </w:r>
      <w:r w:rsidRPr="004C7F84">
        <w:t>Antigua et 3 de Barbuda bénéficient également de cette allocation</w:t>
      </w:r>
      <w:r w:rsidR="00773F5D" w:rsidRPr="004C7F84">
        <w:t> ;</w:t>
      </w:r>
      <w:r w:rsidRPr="004C7F84">
        <w:t xml:space="preserve"> la plupart d</w:t>
      </w:r>
      <w:r w:rsidR="00773F5D" w:rsidRPr="004C7F84">
        <w:t>’</w:t>
      </w:r>
      <w:r w:rsidRPr="004C7F84">
        <w:t>entre eux sont handicapés, et environ 89</w:t>
      </w:r>
      <w:r w:rsidR="0086373A" w:rsidRPr="004C7F84">
        <w:t> %</w:t>
      </w:r>
      <w:r w:rsidRPr="004C7F84">
        <w:t xml:space="preserve"> de ces enfants sont des filles. Dans la catégorie des personnes handicapées, 628 (soit 56,5</w:t>
      </w:r>
      <w:r w:rsidR="0076068E" w:rsidRPr="004C7F84">
        <w:t> </w:t>
      </w:r>
      <w:r w:rsidRPr="004C7F84">
        <w:t>%) des 1</w:t>
      </w:r>
      <w:r w:rsidR="00441F8D" w:rsidRPr="004C7F84">
        <w:t> </w:t>
      </w:r>
      <w:r w:rsidRPr="004C7F84">
        <w:t>111</w:t>
      </w:r>
      <w:r w:rsidR="00441F8D" w:rsidRPr="004C7F84">
        <w:t> </w:t>
      </w:r>
      <w:r w:rsidRPr="004C7F84">
        <w:t>personnes qui ont droit à ces prestations sont des femmes. Sur les 1</w:t>
      </w:r>
      <w:r w:rsidR="00441F8D" w:rsidRPr="004C7F84">
        <w:t> </w:t>
      </w:r>
      <w:r w:rsidRPr="004C7F84">
        <w:t>391</w:t>
      </w:r>
      <w:r w:rsidR="00441F8D" w:rsidRPr="004C7F84">
        <w:t> </w:t>
      </w:r>
      <w:r w:rsidRPr="004C7F84">
        <w:t>personnes économiquement défavorisées qui bénéficient de cette allocation, on compte 927</w:t>
      </w:r>
      <w:r w:rsidR="00441F8D" w:rsidRPr="004C7F84">
        <w:t> </w:t>
      </w:r>
      <w:r w:rsidRPr="004C7F84">
        <w:t>femmes (soit 66,6</w:t>
      </w:r>
      <w:r w:rsidR="0086373A" w:rsidRPr="004C7F84">
        <w:t> %</w:t>
      </w:r>
      <w:r w:rsidRPr="004C7F84">
        <w:t xml:space="preserve">). </w:t>
      </w:r>
    </w:p>
    <w:p w14:paraId="4307DA81" w14:textId="7C42E439" w:rsidR="0034195A" w:rsidRPr="004C7F84" w:rsidRDefault="005E3992" w:rsidP="00514306">
      <w:pPr>
        <w:pStyle w:val="SingleTxt"/>
        <w:numPr>
          <w:ilvl w:val="0"/>
          <w:numId w:val="23"/>
        </w:numPr>
        <w:spacing w:line="240" w:lineRule="exact"/>
        <w:ind w:left="1267" w:firstLine="0"/>
      </w:pPr>
      <w:r w:rsidRPr="004C7F84">
        <w:t>Aucune discrimination n</w:t>
      </w:r>
      <w:r w:rsidR="00773F5D" w:rsidRPr="004C7F84">
        <w:t>’</w:t>
      </w:r>
      <w:r w:rsidRPr="004C7F84">
        <w:t>est exercée à l</w:t>
      </w:r>
      <w:r w:rsidR="00773F5D" w:rsidRPr="004C7F84">
        <w:t>’</w:t>
      </w:r>
      <w:r w:rsidRPr="004C7F84">
        <w:t>égard des femmes en ce qui concerne l</w:t>
      </w:r>
      <w:r w:rsidR="00773F5D" w:rsidRPr="004C7F84">
        <w:t>’</w:t>
      </w:r>
      <w:r w:rsidRPr="004C7F84">
        <w:t>accès aux programmes de protection sociale. Mais il est évident, d</w:t>
      </w:r>
      <w:r w:rsidR="00773F5D" w:rsidRPr="004C7F84">
        <w:t>’</w:t>
      </w:r>
      <w:r w:rsidRPr="004C7F84">
        <w:t>après les statistiques susmentionnées, qu</w:t>
      </w:r>
      <w:r w:rsidR="00773F5D" w:rsidRPr="004C7F84">
        <w:t>’</w:t>
      </w:r>
      <w:r w:rsidRPr="004C7F84">
        <w:t>elles constituent la majorité des pauvres qui ont besoin d</w:t>
      </w:r>
      <w:r w:rsidR="00773F5D" w:rsidRPr="004C7F84">
        <w:t>’</w:t>
      </w:r>
      <w:r w:rsidRPr="004C7F84">
        <w:t>une assistance pour répondre à leurs besoins de base.</w:t>
      </w:r>
      <w:r w:rsidR="0034195A" w:rsidRPr="004C7F84">
        <w:t xml:space="preserve"> </w:t>
      </w:r>
    </w:p>
    <w:p w14:paraId="1F566786" w14:textId="77777777" w:rsidR="0034195A" w:rsidRPr="004C7F84" w:rsidRDefault="0034195A" w:rsidP="0034195A">
      <w:pPr>
        <w:pStyle w:val="SingleTxt"/>
        <w:spacing w:after="0" w:line="120" w:lineRule="exact"/>
        <w:rPr>
          <w:rFonts w:asciiTheme="majorBidi" w:hAnsiTheme="majorBidi" w:cstheme="majorBidi"/>
          <w:sz w:val="10"/>
        </w:rPr>
      </w:pPr>
    </w:p>
    <w:p w14:paraId="50CE3F4B" w14:textId="2B541486"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5E3992" w:rsidRPr="004C7F84">
        <w:rPr>
          <w:lang w:val="fr-FR"/>
        </w:rPr>
        <w:t xml:space="preserve">Droit aux prêts bancaires, prêts hypothécaires et autres formes </w:t>
      </w:r>
      <w:r w:rsidR="005E3992" w:rsidRPr="004C7F84">
        <w:rPr>
          <w:lang w:val="fr-FR"/>
        </w:rPr>
        <w:br/>
        <w:t>de crédit financier</w:t>
      </w:r>
    </w:p>
    <w:p w14:paraId="135F0241" w14:textId="77777777" w:rsidR="0034195A" w:rsidRPr="004C7F84" w:rsidRDefault="0034195A" w:rsidP="0034195A">
      <w:pPr>
        <w:pStyle w:val="SingleTxt"/>
        <w:spacing w:after="0" w:line="120" w:lineRule="exact"/>
        <w:rPr>
          <w:rFonts w:asciiTheme="majorBidi" w:hAnsiTheme="majorBidi" w:cstheme="majorBidi"/>
          <w:sz w:val="10"/>
        </w:rPr>
      </w:pPr>
    </w:p>
    <w:p w14:paraId="1F2C9CE1" w14:textId="36B378CE" w:rsidR="005E3992" w:rsidRPr="004C7F84" w:rsidRDefault="005E3992" w:rsidP="00514306">
      <w:pPr>
        <w:pStyle w:val="SingleTxt"/>
        <w:numPr>
          <w:ilvl w:val="0"/>
          <w:numId w:val="23"/>
        </w:numPr>
        <w:spacing w:line="240" w:lineRule="exact"/>
        <w:ind w:left="1267" w:firstLine="0"/>
      </w:pPr>
      <w:r w:rsidRPr="004C7F84">
        <w:t>Comme indiqué dans le rapport précédent, la législation d</w:t>
      </w:r>
      <w:r w:rsidR="00773F5D" w:rsidRPr="004C7F84">
        <w:t>’</w:t>
      </w:r>
      <w:r w:rsidRPr="004C7F84">
        <w:t>Antigua-et-Barbuda ne contient aucune disposition discriminatoire qui empêcherait une femme d</w:t>
      </w:r>
      <w:r w:rsidR="00773F5D" w:rsidRPr="004C7F84">
        <w:t>’</w:t>
      </w:r>
      <w:r w:rsidRPr="004C7F84">
        <w:t>avoir accès aux prêts bancaires, prêts hypothécaires et autres formes de crédit financier en raison de son sexe. Toutefois, lors de l</w:t>
      </w:r>
      <w:r w:rsidR="00773F5D" w:rsidRPr="004C7F84">
        <w:t>’</w:t>
      </w:r>
      <w:r w:rsidRPr="004C7F84">
        <w:t>évaluation de l</w:t>
      </w:r>
      <w:r w:rsidR="00773F5D" w:rsidRPr="004C7F84">
        <w:t>’</w:t>
      </w:r>
      <w:r w:rsidRPr="004C7F84">
        <w:t>égalité des sexes dans les pays des Caraïbes, effectuée à la demande de la Banque de développement des Caraïbes, les auteurs de cette étude font observer qu</w:t>
      </w:r>
      <w:r w:rsidR="00773F5D" w:rsidRPr="004C7F84">
        <w:t>’</w:t>
      </w:r>
      <w:r w:rsidRPr="004C7F84">
        <w:t>à Antigua-et-Barbuda, la possession et le contrôle par les femmes des moyens de production (notamment la terre et le crédit) sont limités (Banque de développement des Caraïbes 2014</w:t>
      </w:r>
      <w:r w:rsidR="00773F5D" w:rsidRPr="004C7F84">
        <w:t> :</w:t>
      </w:r>
      <w:r w:rsidRPr="004C7F84">
        <w:t xml:space="preserve"> 2). Peu d</w:t>
      </w:r>
      <w:r w:rsidR="00773F5D" w:rsidRPr="004C7F84">
        <w:t>’</w:t>
      </w:r>
      <w:r w:rsidRPr="004C7F84">
        <w:t>entre elles bénéficient donc de prêts bancaires et de prêts hypothécaires du fait qu</w:t>
      </w:r>
      <w:r w:rsidR="00773F5D" w:rsidRPr="004C7F84">
        <w:t>’</w:t>
      </w:r>
      <w:r w:rsidRPr="004C7F84">
        <w:t>elles ne sont pas en mesure, au même titre que les hommes, de remettre de biens en nantissement.</w:t>
      </w:r>
      <w:r w:rsidR="00773F5D" w:rsidRPr="004C7F84">
        <w:t xml:space="preserve"> </w:t>
      </w:r>
    </w:p>
    <w:p w14:paraId="0D8B13FF" w14:textId="6F81098C" w:rsidR="005E3992" w:rsidRPr="004C7F84" w:rsidRDefault="005E3992" w:rsidP="00514306">
      <w:pPr>
        <w:pStyle w:val="SingleTxt"/>
        <w:numPr>
          <w:ilvl w:val="0"/>
          <w:numId w:val="23"/>
        </w:numPr>
        <w:spacing w:line="240" w:lineRule="exact"/>
        <w:ind w:left="1267" w:firstLine="0"/>
      </w:pPr>
      <w:r w:rsidRPr="004C7F84">
        <w:t>L</w:t>
      </w:r>
      <w:r w:rsidR="00773F5D" w:rsidRPr="004C7F84">
        <w:t>’</w:t>
      </w:r>
      <w:r w:rsidRPr="004C7F84">
        <w:t>État partie a adopté en 2007 la loi sur le développement des petites entreprises, qui fournit une assistance aux petites et moyennes entreprises (PME) pour encourager l</w:t>
      </w:r>
      <w:r w:rsidR="00773F5D" w:rsidRPr="004C7F84">
        <w:t>’</w:t>
      </w:r>
      <w:r w:rsidRPr="004C7F84">
        <w:t>expansion de ce secteur. Aux termes de cette loi, les prêts inférieurs à 100</w:t>
      </w:r>
      <w:r w:rsidR="00441F8D" w:rsidRPr="004C7F84">
        <w:t> </w:t>
      </w:r>
      <w:r w:rsidRPr="004C7F84">
        <w:t>000 dollars des Caraïbes orientales seraient garantis par Antigua and Barbuda Development Bank, organisme qui relève du Gouvernement. Mais de nombreux entrepreneurs des deux sexes jugent les conditions de prêt extrêmement strictes et parviennent difficilement à les remplir.</w:t>
      </w:r>
      <w:r w:rsidR="00773F5D" w:rsidRPr="004C7F84">
        <w:t xml:space="preserve"> </w:t>
      </w:r>
    </w:p>
    <w:p w14:paraId="7A097421" w14:textId="7BE96DA5" w:rsidR="0034195A" w:rsidRPr="004C7F84" w:rsidRDefault="005E3992" w:rsidP="00514306">
      <w:pPr>
        <w:pStyle w:val="SingleTxt"/>
        <w:numPr>
          <w:ilvl w:val="0"/>
          <w:numId w:val="23"/>
        </w:numPr>
        <w:spacing w:line="240" w:lineRule="exact"/>
        <w:ind w:left="1267" w:firstLine="0"/>
      </w:pPr>
      <w:r w:rsidRPr="004C7F84">
        <w:lastRenderedPageBreak/>
        <w:t>Récemment, l</w:t>
      </w:r>
      <w:r w:rsidR="00773F5D" w:rsidRPr="004C7F84">
        <w:t>’</w:t>
      </w:r>
      <w:r w:rsidRPr="004C7F84">
        <w:t>établissement financier AXCEL Finances a commencé à déployer ses activités dans de nombreux pays membres de l</w:t>
      </w:r>
      <w:r w:rsidR="00773F5D" w:rsidRPr="004C7F84">
        <w:t>’</w:t>
      </w:r>
      <w:r w:rsidRPr="004C7F84">
        <w:t>Organisation des États des Caraïbes orientales (OECO), notamment à Antigua-et-Barbuda. Il offre des microcrédits et des services financiers aux PME. Mais cette initiative de microfinancement exclut les entreprises du secteur non structuré de l</w:t>
      </w:r>
      <w:r w:rsidR="00773F5D" w:rsidRPr="004C7F84">
        <w:t>’</w:t>
      </w:r>
      <w:r w:rsidRPr="004C7F84">
        <w:t>économie, qui appartiennent pour la plupart à des femmes.</w:t>
      </w:r>
    </w:p>
    <w:p w14:paraId="57B907E1" w14:textId="77777777" w:rsidR="0034195A" w:rsidRPr="004C7F84" w:rsidRDefault="0034195A" w:rsidP="0034195A">
      <w:pPr>
        <w:pStyle w:val="SingleTxt"/>
        <w:spacing w:after="0" w:line="120" w:lineRule="exact"/>
        <w:rPr>
          <w:rFonts w:asciiTheme="majorBidi" w:hAnsiTheme="majorBidi" w:cstheme="majorBidi"/>
          <w:sz w:val="10"/>
        </w:rPr>
      </w:pPr>
    </w:p>
    <w:p w14:paraId="7070202C" w14:textId="2F81C1F7"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5E3992" w:rsidRPr="004C7F84">
        <w:rPr>
          <w:lang w:val="fr-FR"/>
        </w:rPr>
        <w:t xml:space="preserve">Droit de participer aux activités récréatives et sportives </w:t>
      </w:r>
      <w:r w:rsidR="005E3992" w:rsidRPr="004C7F84">
        <w:rPr>
          <w:lang w:val="fr-FR"/>
        </w:rPr>
        <w:br/>
        <w:t>et à tous les aspects de la vie culturelle</w:t>
      </w:r>
    </w:p>
    <w:p w14:paraId="188F253C" w14:textId="77777777" w:rsidR="0034195A" w:rsidRPr="004C7F84" w:rsidRDefault="0034195A" w:rsidP="0034195A">
      <w:pPr>
        <w:pStyle w:val="SingleTxt"/>
        <w:spacing w:after="0" w:line="120" w:lineRule="exact"/>
        <w:rPr>
          <w:rFonts w:asciiTheme="majorBidi" w:hAnsiTheme="majorBidi" w:cstheme="majorBidi"/>
          <w:sz w:val="10"/>
        </w:rPr>
      </w:pPr>
    </w:p>
    <w:p w14:paraId="46941BFB" w14:textId="3AB4D9DE" w:rsidR="0034195A" w:rsidRPr="004C7F84" w:rsidRDefault="005E3992" w:rsidP="00514306">
      <w:pPr>
        <w:pStyle w:val="SingleTxt"/>
        <w:numPr>
          <w:ilvl w:val="0"/>
          <w:numId w:val="23"/>
        </w:numPr>
        <w:spacing w:line="240" w:lineRule="exact"/>
        <w:ind w:left="1267" w:firstLine="0"/>
        <w:rPr>
          <w:rFonts w:asciiTheme="majorBidi" w:hAnsiTheme="majorBidi" w:cstheme="majorBidi"/>
        </w:rPr>
      </w:pPr>
      <w:r w:rsidRPr="004C7F84">
        <w:t>Les femmes et les filles d</w:t>
      </w:r>
      <w:r w:rsidR="00773F5D" w:rsidRPr="004C7F84">
        <w:t>’</w:t>
      </w:r>
      <w:r w:rsidRPr="004C7F84">
        <w:t>Antigua-et-Barbuda ont le droit de participer aux activités récréatives et à tous les aspects de la vie culturelle, mais dans certains domaines, l</w:t>
      </w:r>
      <w:r w:rsidR="00773F5D" w:rsidRPr="004C7F84">
        <w:t>’</w:t>
      </w:r>
      <w:r w:rsidRPr="004C7F84">
        <w:t>égalité avec les hommes n</w:t>
      </w:r>
      <w:r w:rsidR="00773F5D" w:rsidRPr="004C7F84">
        <w:t>’</w:t>
      </w:r>
      <w:r w:rsidRPr="004C7F84">
        <w:t>est pas encore la règle. Comme dans la plupart des sociétés où le christianisme est la religion dominante, les femmes pratiquantes à Antigua-et-Barbuda sont généra</w:t>
      </w:r>
      <w:r w:rsidR="00441F8D" w:rsidRPr="004C7F84">
        <w:t xml:space="preserve">lement plus nombreuses que les </w:t>
      </w:r>
      <w:r w:rsidRPr="004C7F84">
        <w:t>hommes. Or le sommet de la hiérarchie, est encore composé pour une</w:t>
      </w:r>
      <w:r w:rsidR="00441F8D" w:rsidRPr="004C7F84">
        <w:t xml:space="preserve"> grande part d</w:t>
      </w:r>
      <w:r w:rsidR="00773F5D" w:rsidRPr="004C7F84">
        <w:t>’</w:t>
      </w:r>
      <w:r w:rsidR="00441F8D" w:rsidRPr="004C7F84">
        <w:t>hommes</w:t>
      </w:r>
      <w:r w:rsidR="00773F5D" w:rsidRPr="004C7F84">
        <w:t> ;</w:t>
      </w:r>
      <w:r w:rsidRPr="004C7F84">
        <w:t xml:space="preserve"> certaines églises interdisent expressément aux femmes d</w:t>
      </w:r>
      <w:r w:rsidR="00773F5D" w:rsidRPr="004C7F84">
        <w:t>’</w:t>
      </w:r>
      <w:r w:rsidRPr="004C7F84">
        <w:t>occuper des postes de responsabilité</w:t>
      </w:r>
      <w:r w:rsidRPr="004C7F84">
        <w:rPr>
          <w:rFonts w:asciiTheme="majorBidi" w:hAnsiTheme="majorBidi" w:cstheme="majorBidi"/>
        </w:rPr>
        <w:t>.</w:t>
      </w:r>
    </w:p>
    <w:p w14:paraId="3B0233F7" w14:textId="77777777" w:rsidR="0034195A" w:rsidRPr="004C7F84" w:rsidRDefault="0034195A" w:rsidP="0034195A">
      <w:pPr>
        <w:pStyle w:val="SingleTxt"/>
        <w:spacing w:after="0" w:line="120" w:lineRule="exact"/>
        <w:rPr>
          <w:rFonts w:asciiTheme="majorBidi" w:hAnsiTheme="majorBidi" w:cstheme="majorBidi"/>
          <w:sz w:val="10"/>
        </w:rPr>
      </w:pPr>
    </w:p>
    <w:p w14:paraId="5E906504" w14:textId="73106010" w:rsidR="0034195A" w:rsidRPr="004C7F84" w:rsidRDefault="0034195A" w:rsidP="009D1D54">
      <w:pPr>
        <w:pStyle w:val="H4"/>
        <w:ind w:right="1260"/>
      </w:pPr>
      <w:r w:rsidRPr="004C7F84">
        <w:tab/>
      </w:r>
      <w:r w:rsidRPr="004C7F84">
        <w:tab/>
      </w:r>
      <w:r w:rsidR="005E3992" w:rsidRPr="004C7F84">
        <w:t>Activités culturelles</w:t>
      </w:r>
    </w:p>
    <w:p w14:paraId="648045EF" w14:textId="77777777" w:rsidR="0034195A" w:rsidRPr="004C7F84" w:rsidRDefault="0034195A" w:rsidP="009D1D54">
      <w:pPr>
        <w:pStyle w:val="SingleTxt"/>
        <w:keepNext/>
        <w:keepLines/>
        <w:spacing w:after="0" w:line="120" w:lineRule="exact"/>
        <w:rPr>
          <w:rFonts w:asciiTheme="majorBidi" w:hAnsiTheme="majorBidi" w:cstheme="majorBidi"/>
          <w:sz w:val="10"/>
        </w:rPr>
      </w:pPr>
    </w:p>
    <w:p w14:paraId="2807C8DA" w14:textId="5853BF64" w:rsidR="0034195A" w:rsidRPr="004C7F84" w:rsidRDefault="005E3992" w:rsidP="00514306">
      <w:pPr>
        <w:pStyle w:val="SingleTxt"/>
        <w:numPr>
          <w:ilvl w:val="0"/>
          <w:numId w:val="23"/>
        </w:numPr>
        <w:spacing w:line="240" w:lineRule="exact"/>
        <w:ind w:left="1267" w:firstLine="0"/>
        <w:rPr>
          <w:rFonts w:asciiTheme="majorBidi" w:hAnsiTheme="majorBidi" w:cstheme="majorBidi"/>
        </w:rPr>
      </w:pPr>
      <w:r w:rsidRPr="004C7F84">
        <w:t>Les femmes sont libres de participer aux activités culturelles sur un pied d</w:t>
      </w:r>
      <w:r w:rsidR="00773F5D" w:rsidRPr="004C7F84">
        <w:t>’</w:t>
      </w:r>
      <w:r w:rsidRPr="004C7F84">
        <w:t>égalité avec les hommes</w:t>
      </w:r>
      <w:r w:rsidR="00773F5D" w:rsidRPr="004C7F84">
        <w:t> ;</w:t>
      </w:r>
      <w:r w:rsidRPr="004C7F84">
        <w:t xml:space="preserve"> ni la loi ni les coutumes ne le leur interdisent. Cependant, des organisations religieu</w:t>
      </w:r>
      <w:r w:rsidR="00441F8D" w:rsidRPr="004C7F84">
        <w:t xml:space="preserve">ses réprouvent la participation </w:t>
      </w:r>
      <w:r w:rsidRPr="004C7F84">
        <w:t>de leurs membres à certaines activités culturelles telles que le carnaval. Cette condamnation toutefois s</w:t>
      </w:r>
      <w:r w:rsidR="00773F5D" w:rsidRPr="004C7F84">
        <w:t>’</w:t>
      </w:r>
      <w:r w:rsidRPr="004C7F84">
        <w:t>applique aux hommes comme aux femmes. Il convient de noter également que les cas de harcèlement sexuel et les agressions sexuelles à l</w:t>
      </w:r>
      <w:r w:rsidR="00773F5D" w:rsidRPr="004C7F84">
        <w:t>’</w:t>
      </w:r>
      <w:r w:rsidRPr="004C7F84">
        <w:t>encontre des femmes se multiplient pendant le carnaval. La question de la v</w:t>
      </w:r>
      <w:r w:rsidR="00441F8D" w:rsidRPr="004C7F84">
        <w:t xml:space="preserve">iolence sexiste à cette période </w:t>
      </w:r>
      <w:r w:rsidRPr="004C7F84">
        <w:t>de l</w:t>
      </w:r>
      <w:r w:rsidR="00773F5D" w:rsidRPr="004C7F84">
        <w:t>’</w:t>
      </w:r>
      <w:r w:rsidRPr="004C7F84">
        <w:t>année a pris une grande importance récemment à l</w:t>
      </w:r>
      <w:r w:rsidR="00773F5D" w:rsidRPr="004C7F84">
        <w:t>’</w:t>
      </w:r>
      <w:r w:rsidRPr="004C7F84">
        <w:t xml:space="preserve">occasion des activités menées par les défenseurs des droits des femmes, en collaboration avec la Direction de la </w:t>
      </w:r>
      <w:r w:rsidRPr="004C7F84">
        <w:rPr>
          <w:rStyle w:val="preferred"/>
        </w:rPr>
        <w:t>problématique hommes-femmes</w:t>
      </w:r>
      <w:r w:rsidRPr="004C7F84">
        <w:t>, pour sensibiliser le public à ces pratiques néfastes.</w:t>
      </w:r>
    </w:p>
    <w:p w14:paraId="4DB123AB" w14:textId="77777777" w:rsidR="0034195A" w:rsidRPr="004C7F84" w:rsidRDefault="0034195A" w:rsidP="0034195A">
      <w:pPr>
        <w:pStyle w:val="SingleTxt"/>
        <w:spacing w:after="0" w:line="120" w:lineRule="exact"/>
        <w:rPr>
          <w:rFonts w:asciiTheme="majorBidi" w:hAnsiTheme="majorBidi" w:cstheme="majorBidi"/>
          <w:sz w:val="10"/>
        </w:rPr>
      </w:pPr>
    </w:p>
    <w:p w14:paraId="1FB2341C" w14:textId="77777777" w:rsidR="0034195A" w:rsidRPr="004C7F84" w:rsidRDefault="0034195A" w:rsidP="0034195A">
      <w:pPr>
        <w:pStyle w:val="SingleTxt"/>
        <w:spacing w:after="0" w:line="120" w:lineRule="exact"/>
        <w:rPr>
          <w:rFonts w:asciiTheme="majorBidi" w:hAnsiTheme="majorBidi" w:cstheme="majorBidi"/>
          <w:sz w:val="10"/>
        </w:rPr>
      </w:pPr>
    </w:p>
    <w:p w14:paraId="1285D99C" w14:textId="40A864A3" w:rsidR="0034195A" w:rsidRPr="004C7F84" w:rsidRDefault="0034195A" w:rsidP="0034195A">
      <w:pPr>
        <w:pStyle w:val="H1"/>
        <w:ind w:right="1260"/>
      </w:pPr>
      <w:r w:rsidRPr="004C7F84">
        <w:tab/>
      </w:r>
      <w:r w:rsidRPr="004C7F84">
        <w:tab/>
        <w:t>Article 14</w:t>
      </w:r>
      <w:r w:rsidR="00773F5D" w:rsidRPr="004C7F84">
        <w:t> :</w:t>
      </w:r>
      <w:r w:rsidRPr="004C7F84">
        <w:t xml:space="preserve"> </w:t>
      </w:r>
      <w:r w:rsidR="005E3992" w:rsidRPr="004C7F84">
        <w:t>Femmes rurales</w:t>
      </w:r>
    </w:p>
    <w:p w14:paraId="33F9FB6E" w14:textId="77777777" w:rsidR="0034195A" w:rsidRPr="004C7F84" w:rsidRDefault="0034195A" w:rsidP="0034195A">
      <w:pPr>
        <w:pStyle w:val="SingleTxt"/>
        <w:spacing w:after="0" w:line="120" w:lineRule="exact"/>
        <w:rPr>
          <w:rFonts w:asciiTheme="majorBidi" w:hAnsiTheme="majorBidi" w:cstheme="majorBidi"/>
          <w:sz w:val="10"/>
        </w:rPr>
      </w:pPr>
    </w:p>
    <w:p w14:paraId="182F88EC" w14:textId="77777777" w:rsidR="0034195A" w:rsidRPr="004C7F84" w:rsidRDefault="0034195A" w:rsidP="0034195A">
      <w:pPr>
        <w:pStyle w:val="SingleTxt"/>
        <w:spacing w:after="0" w:line="120" w:lineRule="exact"/>
        <w:rPr>
          <w:rFonts w:asciiTheme="majorBidi" w:hAnsiTheme="majorBidi" w:cstheme="majorBidi"/>
          <w:sz w:val="10"/>
        </w:rPr>
      </w:pPr>
    </w:p>
    <w:p w14:paraId="70637D4D" w14:textId="05657C9B" w:rsidR="005E3992" w:rsidRPr="004C7F84" w:rsidRDefault="005E3992" w:rsidP="00514306">
      <w:pPr>
        <w:pStyle w:val="SingleTxt"/>
        <w:numPr>
          <w:ilvl w:val="0"/>
          <w:numId w:val="23"/>
        </w:numPr>
        <w:spacing w:line="240" w:lineRule="exact"/>
        <w:ind w:left="1267" w:firstLine="0"/>
      </w:pPr>
      <w:r w:rsidRPr="004C7F84">
        <w:t>Antigua et Barbuda sont de petites îles, aussi la distinction entre zones urbaines et zones rurales n</w:t>
      </w:r>
      <w:r w:rsidR="00773F5D" w:rsidRPr="004C7F84">
        <w:t>’</w:t>
      </w:r>
      <w:r w:rsidRPr="004C7F84">
        <w:t>est-elle pas aussi marquée que dans les pays plus grands. Ceci dit, il convient de noter que, par rapport à Antigua, Barbuda peut être considérée comme relativement «</w:t>
      </w:r>
      <w:r w:rsidR="00441F8D" w:rsidRPr="004C7F84">
        <w:t> </w:t>
      </w:r>
      <w:r w:rsidRPr="004C7F84">
        <w:t>rurale</w:t>
      </w:r>
      <w:r w:rsidR="00441F8D" w:rsidRPr="004C7F84">
        <w:t> </w:t>
      </w:r>
      <w:r w:rsidRPr="004C7F84">
        <w:t>» du fait que l</w:t>
      </w:r>
      <w:r w:rsidR="00773F5D" w:rsidRPr="004C7F84">
        <w:t>’</w:t>
      </w:r>
      <w:r w:rsidRPr="004C7F84">
        <w:t>accès aux commerces et aux établissements bancaires, par exemple, n</w:t>
      </w:r>
      <w:r w:rsidR="00773F5D" w:rsidRPr="004C7F84">
        <w:t>’</w:t>
      </w:r>
      <w:r w:rsidRPr="004C7F84">
        <w:t>est pas aussi aisé qu</w:t>
      </w:r>
      <w:r w:rsidR="00773F5D" w:rsidRPr="004C7F84">
        <w:t>’</w:t>
      </w:r>
      <w:r w:rsidRPr="004C7F84">
        <w:t>à Antigua. Toutefois, la plupart des habitants de Barbuda vivent dans la petite ville de Codrington.</w:t>
      </w:r>
      <w:r w:rsidR="00773F5D" w:rsidRPr="004C7F84">
        <w:t xml:space="preserve"> </w:t>
      </w:r>
      <w:r w:rsidRPr="004C7F84">
        <w:t xml:space="preserve">Antigua Commercial Bank a pris en 1971une mesure remarquée en ouvrant une agence à Barbuda, facilitant ainsi les transactions bancaires pour la population barbudienne. </w:t>
      </w:r>
    </w:p>
    <w:p w14:paraId="33CAEDB5" w14:textId="200B322F" w:rsidR="005E3992" w:rsidRPr="004C7F84" w:rsidRDefault="005E3992" w:rsidP="00514306">
      <w:pPr>
        <w:pStyle w:val="SingleTxt"/>
        <w:numPr>
          <w:ilvl w:val="0"/>
          <w:numId w:val="23"/>
        </w:numPr>
        <w:spacing w:line="240" w:lineRule="exact"/>
        <w:ind w:left="1267" w:firstLine="0"/>
      </w:pPr>
      <w:r w:rsidRPr="004C7F84">
        <w:t>Les soins de santé primaires sont relativement accessibles aux femmes d</w:t>
      </w:r>
      <w:r w:rsidR="00773F5D" w:rsidRPr="004C7F84">
        <w:t>’</w:t>
      </w:r>
      <w:r w:rsidRPr="004C7F84">
        <w:t>Antigua qui vivent e</w:t>
      </w:r>
      <w:r w:rsidR="00441F8D" w:rsidRPr="004C7F84">
        <w:t>n dehors de la ville de St John</w:t>
      </w:r>
      <w:r w:rsidR="00773F5D" w:rsidRPr="004C7F84">
        <w:t>’</w:t>
      </w:r>
      <w:r w:rsidRPr="004C7F84">
        <w:t>s du fait que chaque paroisse ou communauté rurale importante compte au moins un des 26</w:t>
      </w:r>
      <w:r w:rsidR="00441F8D" w:rsidRPr="004C7F84">
        <w:t> </w:t>
      </w:r>
      <w:r w:rsidRPr="004C7F84">
        <w:t>dispensaires ou pharmacies gérés par le Gouvernement. Barbuda dispose également d</w:t>
      </w:r>
      <w:r w:rsidR="00773F5D" w:rsidRPr="004C7F84">
        <w:t>’</w:t>
      </w:r>
      <w:r w:rsidRPr="004C7F84">
        <w:t>un centre de soins de santé primaires et d</w:t>
      </w:r>
      <w:r w:rsidR="00773F5D" w:rsidRPr="004C7F84">
        <w:t>’</w:t>
      </w:r>
      <w:r w:rsidRPr="004C7F84">
        <w:t>un hôpital gérés par le Gouvernement. Toutefois, un problème sanitaire se pose à Barbuda du fait que ces deux établissements ne sont pas en mesure de prendre en charge les personnes gravement malades qui doivent être transportées vers Antigua par avion ou par transbordeur.</w:t>
      </w:r>
    </w:p>
    <w:p w14:paraId="0B0E0077" w14:textId="4392C57C" w:rsidR="005E3992" w:rsidRPr="004C7F84" w:rsidRDefault="005E3992" w:rsidP="00514306">
      <w:pPr>
        <w:pStyle w:val="SingleTxt"/>
        <w:numPr>
          <w:ilvl w:val="0"/>
          <w:numId w:val="24"/>
        </w:numPr>
        <w:spacing w:line="240" w:lineRule="exact"/>
        <w:ind w:left="1267" w:firstLine="0"/>
      </w:pPr>
      <w:r w:rsidRPr="004C7F84">
        <w:lastRenderedPageBreak/>
        <w:t>Il est indéniable que l</w:t>
      </w:r>
      <w:r w:rsidR="00773F5D" w:rsidRPr="004C7F84">
        <w:t>’</w:t>
      </w:r>
      <w:r w:rsidRPr="004C7F84">
        <w:t>insuffisance de moyens de transport adéquats est l</w:t>
      </w:r>
      <w:r w:rsidR="00773F5D" w:rsidRPr="004C7F84">
        <w:t>’</w:t>
      </w:r>
      <w:r w:rsidRPr="004C7F84">
        <w:t>un des principaux problèmes qui se posent aux femmes rurales d</w:t>
      </w:r>
      <w:r w:rsidR="00773F5D" w:rsidRPr="004C7F84">
        <w:t>’</w:t>
      </w:r>
      <w:r w:rsidRPr="004C7F84">
        <w:t xml:space="preserve">Antigua-et-Barbuda. Les transports entre les deux îles, qui sont assurés essentiellement par des entreprises privées et des particuliers, coûtent cher. Une exception notable est le ramassage des écoliers par des </w:t>
      </w:r>
      <w:r w:rsidR="00441F8D" w:rsidRPr="004C7F84">
        <w:t>bus appartenant au Gouvernement</w:t>
      </w:r>
      <w:r w:rsidR="00773F5D" w:rsidRPr="004C7F84">
        <w:t> ;</w:t>
      </w:r>
      <w:r w:rsidRPr="004C7F84">
        <w:t xml:space="preserve"> le coût pour eux est modique car subventionné. </w:t>
      </w:r>
    </w:p>
    <w:p w14:paraId="223C7A5C" w14:textId="06C57D1E" w:rsidR="0034195A" w:rsidRPr="004C7F84" w:rsidRDefault="005E3992" w:rsidP="00514306">
      <w:pPr>
        <w:pStyle w:val="SingleTxt"/>
        <w:numPr>
          <w:ilvl w:val="0"/>
          <w:numId w:val="24"/>
        </w:numPr>
        <w:spacing w:line="240" w:lineRule="exact"/>
        <w:ind w:left="1267" w:firstLine="0"/>
      </w:pPr>
      <w:r w:rsidRPr="004C7F84">
        <w:t>Les transports aériens et maritimes entre Barbuda et Antigua sont également extrêmement coûteux, si bien les contacts entre les populations des deux îles sont limités. Le port de fret et de ferry de Barbuda manque également d</w:t>
      </w:r>
      <w:r w:rsidR="00773F5D" w:rsidRPr="004C7F84">
        <w:t>’</w:t>
      </w:r>
      <w:r w:rsidRPr="004C7F84">
        <w:t>infrastructures adéquates. L</w:t>
      </w:r>
      <w:r w:rsidR="00773F5D" w:rsidRPr="004C7F84">
        <w:t>’</w:t>
      </w:r>
      <w:r w:rsidRPr="004C7F84">
        <w:t>État partie est tout à fait conscient de cette question et des plans sont en cours pour remédier à la situation.</w:t>
      </w:r>
    </w:p>
    <w:p w14:paraId="052ED2A6" w14:textId="77777777" w:rsidR="0034195A" w:rsidRPr="004C7F84" w:rsidRDefault="0034195A" w:rsidP="0034195A">
      <w:pPr>
        <w:pStyle w:val="SingleTxt"/>
        <w:spacing w:after="0" w:line="120" w:lineRule="exact"/>
        <w:rPr>
          <w:rFonts w:asciiTheme="majorBidi" w:hAnsiTheme="majorBidi" w:cstheme="majorBidi"/>
          <w:sz w:val="10"/>
        </w:rPr>
      </w:pPr>
    </w:p>
    <w:p w14:paraId="7053D8C2" w14:textId="77777777" w:rsidR="0034195A" w:rsidRPr="004C7F84" w:rsidRDefault="0034195A" w:rsidP="0034195A">
      <w:pPr>
        <w:pStyle w:val="SingleTxt"/>
        <w:spacing w:after="0" w:line="120" w:lineRule="exact"/>
        <w:rPr>
          <w:rFonts w:asciiTheme="majorBidi" w:hAnsiTheme="majorBidi" w:cstheme="majorBidi"/>
          <w:sz w:val="10"/>
        </w:rPr>
      </w:pPr>
    </w:p>
    <w:p w14:paraId="7634A04D" w14:textId="300372B8" w:rsidR="0034195A" w:rsidRPr="004C7F84" w:rsidRDefault="0034195A" w:rsidP="00F35F28">
      <w:pPr>
        <w:pStyle w:val="H1"/>
        <w:ind w:right="1260"/>
      </w:pPr>
      <w:r w:rsidRPr="004C7F84">
        <w:tab/>
      </w:r>
      <w:r w:rsidRPr="004C7F84">
        <w:tab/>
        <w:t>Article 15</w:t>
      </w:r>
      <w:r w:rsidR="00773F5D" w:rsidRPr="004C7F84">
        <w:t> :</w:t>
      </w:r>
      <w:r w:rsidRPr="004C7F84">
        <w:t xml:space="preserve"> </w:t>
      </w:r>
      <w:r w:rsidR="005E3992" w:rsidRPr="004C7F84">
        <w:t>Égalité de la femme avec l</w:t>
      </w:r>
      <w:r w:rsidR="00773F5D" w:rsidRPr="004C7F84">
        <w:t>’</w:t>
      </w:r>
      <w:r w:rsidR="005E3992" w:rsidRPr="004C7F84">
        <w:t>homme devant la loi</w:t>
      </w:r>
    </w:p>
    <w:p w14:paraId="22743955" w14:textId="1EFFC6B2" w:rsidR="005E3992" w:rsidRPr="004C7F84" w:rsidRDefault="005E3992" w:rsidP="005E3992">
      <w:pPr>
        <w:pStyle w:val="SingleTxt"/>
        <w:spacing w:after="0" w:line="120" w:lineRule="exact"/>
        <w:rPr>
          <w:sz w:val="10"/>
        </w:rPr>
      </w:pPr>
    </w:p>
    <w:p w14:paraId="2235E34D" w14:textId="716C538C" w:rsidR="0034195A" w:rsidRPr="004C7F84" w:rsidRDefault="0034195A" w:rsidP="00F35F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t>G</w:t>
      </w:r>
      <w:r w:rsidR="005E3992" w:rsidRPr="004C7F84">
        <w:rPr>
          <w:lang w:val="fr-FR"/>
        </w:rPr>
        <w:t>énéralités</w:t>
      </w:r>
    </w:p>
    <w:p w14:paraId="085DB461" w14:textId="77777777" w:rsidR="0034195A" w:rsidRPr="004C7F84" w:rsidRDefault="0034195A" w:rsidP="0034195A">
      <w:pPr>
        <w:pStyle w:val="SingleTxt"/>
        <w:spacing w:after="0" w:line="120" w:lineRule="exact"/>
        <w:rPr>
          <w:rFonts w:asciiTheme="majorBidi" w:hAnsiTheme="majorBidi" w:cstheme="majorBidi"/>
          <w:sz w:val="10"/>
        </w:rPr>
      </w:pPr>
    </w:p>
    <w:p w14:paraId="0DDD9195" w14:textId="616DAD15" w:rsidR="0034195A" w:rsidRPr="004C7F84" w:rsidRDefault="00F35F28" w:rsidP="00514306">
      <w:pPr>
        <w:pStyle w:val="SingleTxt"/>
        <w:numPr>
          <w:ilvl w:val="0"/>
          <w:numId w:val="24"/>
        </w:numPr>
        <w:spacing w:line="240" w:lineRule="exact"/>
        <w:ind w:left="1267" w:firstLine="0"/>
        <w:rPr>
          <w:rFonts w:asciiTheme="majorBidi" w:hAnsiTheme="majorBidi" w:cstheme="majorBidi"/>
        </w:rPr>
      </w:pPr>
      <w:r w:rsidRPr="004C7F84">
        <w:rPr>
          <w:spacing w:val="2"/>
          <w:w w:val="100"/>
        </w:rPr>
        <w:t>L</w:t>
      </w:r>
      <w:r w:rsidR="00773F5D" w:rsidRPr="004C7F84">
        <w:rPr>
          <w:spacing w:val="2"/>
          <w:w w:val="100"/>
        </w:rPr>
        <w:t>’</w:t>
      </w:r>
      <w:r w:rsidRPr="004C7F84">
        <w:rPr>
          <w:spacing w:val="2"/>
          <w:w w:val="100"/>
        </w:rPr>
        <w:t>égalité des femmes et des hommes devant la loi est garantie par l</w:t>
      </w:r>
      <w:r w:rsidR="00773F5D" w:rsidRPr="004C7F84">
        <w:rPr>
          <w:spacing w:val="2"/>
          <w:w w:val="100"/>
        </w:rPr>
        <w:t>’</w:t>
      </w:r>
      <w:r w:rsidRPr="004C7F84">
        <w:rPr>
          <w:spacing w:val="2"/>
          <w:w w:val="100"/>
        </w:rPr>
        <w:t>article 14 de la</w:t>
      </w:r>
      <w:r w:rsidRPr="004C7F84">
        <w:t xml:space="preserve"> Constitution d</w:t>
      </w:r>
      <w:r w:rsidR="00773F5D" w:rsidRPr="004C7F84">
        <w:t>’</w:t>
      </w:r>
      <w:r w:rsidRPr="004C7F84">
        <w:t>Antigua-et-Barbuda et par la législation nation</w:t>
      </w:r>
      <w:r w:rsidR="00441F8D" w:rsidRPr="004C7F84">
        <w:t xml:space="preserve">ale, conformément à ce principe </w:t>
      </w:r>
      <w:r w:rsidRPr="004C7F84">
        <w:t>constitutionnel. Toutefois, les lois relatives à des droits spécifiques</w:t>
      </w:r>
      <w:r w:rsidR="00441F8D" w:rsidRPr="004C7F84">
        <w:t xml:space="preserve"> ne mentionnent </w:t>
      </w:r>
      <w:r w:rsidRPr="004C7F84">
        <w:t>pas explicitement l</w:t>
      </w:r>
      <w:r w:rsidR="00773F5D" w:rsidRPr="004C7F84">
        <w:t>’</w:t>
      </w:r>
      <w:r w:rsidRPr="004C7F84">
        <w:t>égalité des droits pour les femmes et les hommes. Il en va de même pour le droit civil. À Antigua-et-Barbuda, les femmes disposent, sur un pied d</w:t>
      </w:r>
      <w:r w:rsidR="00773F5D" w:rsidRPr="004C7F84">
        <w:t>’</w:t>
      </w:r>
      <w:r w:rsidRPr="004C7F84">
        <w:t>égalité avec les hommes, de tous les moyens juridiques prévus par la loi pour défendre leurs droits</w:t>
      </w:r>
      <w:r w:rsidR="0034195A" w:rsidRPr="004C7F84">
        <w:rPr>
          <w:rFonts w:asciiTheme="majorBidi" w:hAnsiTheme="majorBidi" w:cstheme="majorBidi"/>
        </w:rPr>
        <w:t xml:space="preserve">. </w:t>
      </w:r>
    </w:p>
    <w:p w14:paraId="7034F604" w14:textId="3ACEE7EC" w:rsidR="00F35F28" w:rsidRPr="004C7F84" w:rsidRDefault="00F35F28" w:rsidP="00F35F28">
      <w:pPr>
        <w:pStyle w:val="SingleTxt"/>
        <w:spacing w:after="0" w:line="120" w:lineRule="exact"/>
        <w:rPr>
          <w:rFonts w:asciiTheme="majorBidi" w:hAnsiTheme="majorBidi" w:cstheme="majorBidi"/>
          <w:sz w:val="10"/>
        </w:rPr>
      </w:pPr>
    </w:p>
    <w:p w14:paraId="507849A5" w14:textId="697760A6"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F35F28" w:rsidRPr="004C7F84">
        <w:rPr>
          <w:lang w:val="fr-FR"/>
        </w:rPr>
        <w:t xml:space="preserve">Droit de conclure des contrats et égalité de traitement des femmes </w:t>
      </w:r>
      <w:r w:rsidR="00F35F28" w:rsidRPr="004C7F84">
        <w:rPr>
          <w:lang w:val="fr-FR"/>
        </w:rPr>
        <w:br/>
        <w:t>à tous les stades de la procédure judiciaire</w:t>
      </w:r>
    </w:p>
    <w:p w14:paraId="31AE0E37" w14:textId="77777777" w:rsidR="0034195A" w:rsidRPr="004C7F84" w:rsidRDefault="0034195A" w:rsidP="00F35F28">
      <w:pPr>
        <w:pStyle w:val="SingleTxt"/>
        <w:spacing w:after="0" w:line="120" w:lineRule="exact"/>
        <w:jc w:val="center"/>
        <w:rPr>
          <w:rFonts w:asciiTheme="majorBidi" w:hAnsiTheme="majorBidi" w:cstheme="majorBidi"/>
          <w:sz w:val="10"/>
        </w:rPr>
      </w:pPr>
    </w:p>
    <w:p w14:paraId="5559B5CE" w14:textId="22F0BA7C" w:rsidR="00F35F28" w:rsidRPr="004C7F84" w:rsidRDefault="00F35F28" w:rsidP="00514306">
      <w:pPr>
        <w:pStyle w:val="SingleTxt"/>
        <w:numPr>
          <w:ilvl w:val="0"/>
          <w:numId w:val="24"/>
        </w:numPr>
        <w:spacing w:line="240" w:lineRule="exact"/>
        <w:ind w:left="1267" w:firstLine="0"/>
      </w:pPr>
      <w:r w:rsidRPr="004C7F84">
        <w:t>En vertu de la législation d</w:t>
      </w:r>
      <w:r w:rsidR="00773F5D" w:rsidRPr="004C7F84">
        <w:t>’</w:t>
      </w:r>
      <w:r w:rsidRPr="004C7F84">
        <w:t>Antigua-et-Barbuda, une personne qui a atteint l</w:t>
      </w:r>
      <w:r w:rsidR="00773F5D" w:rsidRPr="004C7F84">
        <w:t>’</w:t>
      </w:r>
      <w:r w:rsidRPr="004C7F84">
        <w:t>âge de 18</w:t>
      </w:r>
      <w:r w:rsidR="00441F8D" w:rsidRPr="004C7F84">
        <w:t> </w:t>
      </w:r>
      <w:r w:rsidRPr="004C7F84">
        <w:t>ans jouit de la pleine</w:t>
      </w:r>
      <w:r w:rsidRPr="004C7F84">
        <w:rPr>
          <w:color w:val="FF0000"/>
        </w:rPr>
        <w:t xml:space="preserve"> </w:t>
      </w:r>
      <w:r w:rsidRPr="004C7F84">
        <w:t>capacité juridique, quel que soit son sexe. En conséquence, une femme âgée d</w:t>
      </w:r>
      <w:r w:rsidR="00773F5D" w:rsidRPr="004C7F84">
        <w:t>’</w:t>
      </w:r>
      <w:r w:rsidRPr="004C7F84">
        <w:t>au moins 18</w:t>
      </w:r>
      <w:r w:rsidR="00441F8D" w:rsidRPr="004C7F84">
        <w:t> </w:t>
      </w:r>
      <w:r w:rsidRPr="004C7F84">
        <w:t>ans n</w:t>
      </w:r>
      <w:r w:rsidR="00773F5D" w:rsidRPr="004C7F84">
        <w:t>’</w:t>
      </w:r>
      <w:r w:rsidRPr="004C7F84">
        <w:t xml:space="preserve">est plus mineure et peut conclure des contrats et administrer des biens en son nom propre. </w:t>
      </w:r>
      <w:r w:rsidR="00441F8D" w:rsidRPr="004C7F84">
        <w:t>À</w:t>
      </w:r>
      <w:r w:rsidRPr="004C7F84">
        <w:t xml:space="preserve"> Antigua-et-Barbuda, les femmes ont donc les mêmes droits que les hommes de conclure, en leur nom propre, des contrats sur des avoirs ou d</w:t>
      </w:r>
      <w:r w:rsidR="00773F5D" w:rsidRPr="004C7F84">
        <w:t>’</w:t>
      </w:r>
      <w:r w:rsidRPr="004C7F84">
        <w:t xml:space="preserve">administrer des biens. </w:t>
      </w:r>
    </w:p>
    <w:p w14:paraId="08415753" w14:textId="0C02F001" w:rsidR="0034195A" w:rsidRPr="004C7F84" w:rsidRDefault="00F35F28" w:rsidP="00514306">
      <w:pPr>
        <w:pStyle w:val="SingleTxt"/>
        <w:numPr>
          <w:ilvl w:val="0"/>
          <w:numId w:val="24"/>
        </w:numPr>
        <w:spacing w:line="240" w:lineRule="exact"/>
        <w:ind w:left="1267" w:firstLine="0"/>
        <w:rPr>
          <w:rFonts w:asciiTheme="majorBidi" w:hAnsiTheme="majorBidi" w:cstheme="majorBidi"/>
        </w:rPr>
      </w:pPr>
      <w:r w:rsidRPr="004C7F84">
        <w:t xml:space="preserve">Conformément à la législation en vigueur, une personne ne peut être obligée de témoigner contre son conjoint, quelles que soient les circonstances. En </w:t>
      </w:r>
      <w:r w:rsidRPr="004C7F84">
        <w:rPr>
          <w:i/>
        </w:rPr>
        <w:t>common law</w:t>
      </w:r>
      <w:r w:rsidRPr="004C7F84">
        <w:t>, une personne n</w:t>
      </w:r>
      <w:r w:rsidR="00773F5D" w:rsidRPr="004C7F84">
        <w:t>’</w:t>
      </w:r>
      <w:r w:rsidRPr="004C7F84">
        <w:t>est pas autorisée à témoigner pour ou contre son conjoint, sauf dans des circonstances limitées</w:t>
      </w:r>
      <w:r w:rsidR="0034195A" w:rsidRPr="004C7F84">
        <w:rPr>
          <w:rFonts w:asciiTheme="majorBidi" w:hAnsiTheme="majorBidi" w:cstheme="majorBidi"/>
        </w:rPr>
        <w:t xml:space="preserve">. </w:t>
      </w:r>
    </w:p>
    <w:p w14:paraId="4DBFCAEA" w14:textId="77777777" w:rsidR="0034195A" w:rsidRPr="004C7F84" w:rsidRDefault="0034195A" w:rsidP="0034195A">
      <w:pPr>
        <w:pStyle w:val="SingleTxt"/>
        <w:spacing w:after="0" w:line="120" w:lineRule="exact"/>
        <w:rPr>
          <w:rFonts w:asciiTheme="majorBidi" w:hAnsiTheme="majorBidi" w:cstheme="majorBidi"/>
          <w:sz w:val="10"/>
        </w:rPr>
      </w:pPr>
    </w:p>
    <w:p w14:paraId="51D862F3" w14:textId="483C2DCA"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F35F28" w:rsidRPr="004C7F84">
        <w:rPr>
          <w:lang w:val="fr-FR"/>
        </w:rPr>
        <w:t>Égalité à tous les stades de la procédure judiciaire</w:t>
      </w:r>
    </w:p>
    <w:p w14:paraId="7558EC5A" w14:textId="77777777" w:rsidR="0034195A" w:rsidRPr="004C7F84" w:rsidRDefault="0034195A" w:rsidP="0034195A">
      <w:pPr>
        <w:pStyle w:val="SingleTxt"/>
        <w:spacing w:after="0" w:line="120" w:lineRule="exact"/>
        <w:rPr>
          <w:rFonts w:asciiTheme="majorBidi" w:hAnsiTheme="majorBidi" w:cstheme="majorBidi"/>
          <w:sz w:val="10"/>
        </w:rPr>
      </w:pPr>
    </w:p>
    <w:p w14:paraId="44234A2B" w14:textId="4565FAAF" w:rsidR="00F35F28" w:rsidRPr="004C7F84" w:rsidRDefault="00F35F28" w:rsidP="00514306">
      <w:pPr>
        <w:pStyle w:val="SingleTxt"/>
        <w:numPr>
          <w:ilvl w:val="0"/>
          <w:numId w:val="24"/>
        </w:numPr>
        <w:spacing w:line="240" w:lineRule="exact"/>
        <w:ind w:left="1267" w:firstLine="0"/>
      </w:pPr>
      <w:r w:rsidRPr="004C7F84">
        <w:t>Les femmes d</w:t>
      </w:r>
      <w:r w:rsidR="00773F5D" w:rsidRPr="004C7F84">
        <w:t>’</w:t>
      </w:r>
      <w:r w:rsidRPr="004C7F84">
        <w:t>Antigua-et-Barbuda ont les mêmes droits que les hommes de faire acte de candidature aux postes du système judiciaire. L</w:t>
      </w:r>
      <w:r w:rsidR="00773F5D" w:rsidRPr="004C7F84">
        <w:t>’</w:t>
      </w:r>
      <w:r w:rsidRPr="004C7F84">
        <w:t>évaluation des candidats à la magistrature se fonde sur leurs qualifications, leur connaissance du droit, leurs opinions judiciaires et leur respect des formes. Le sexe du postulant n</w:t>
      </w:r>
      <w:r w:rsidR="00773F5D" w:rsidRPr="004C7F84">
        <w:t>’</w:t>
      </w:r>
      <w:r w:rsidRPr="004C7F84">
        <w:t>entre pas en ligne de compte. Tout comme les hommes, les femmes ont le droit de se présenter en justice en qualité de requérant, de plaignant ou d</w:t>
      </w:r>
      <w:r w:rsidR="00773F5D" w:rsidRPr="004C7F84">
        <w:t>’</w:t>
      </w:r>
      <w:r w:rsidRPr="004C7F84">
        <w:t xml:space="preserve">avocat de la défense. </w:t>
      </w:r>
    </w:p>
    <w:p w14:paraId="3B3BAFA8" w14:textId="3423B907" w:rsidR="0034195A" w:rsidRPr="004C7F84" w:rsidRDefault="00F35F28" w:rsidP="00514306">
      <w:pPr>
        <w:pStyle w:val="SingleTxt"/>
        <w:numPr>
          <w:ilvl w:val="0"/>
          <w:numId w:val="24"/>
        </w:numPr>
        <w:spacing w:line="240" w:lineRule="exact"/>
        <w:ind w:left="1267" w:firstLine="0"/>
        <w:rPr>
          <w:rFonts w:asciiTheme="majorBidi" w:hAnsiTheme="majorBidi" w:cstheme="majorBidi"/>
        </w:rPr>
      </w:pPr>
      <w:r w:rsidRPr="004C7F84">
        <w:t>La législation et la pratique judiciaire reposent sur le principe de l</w:t>
      </w:r>
      <w:r w:rsidR="00773F5D" w:rsidRPr="004C7F84">
        <w:t>’</w:t>
      </w:r>
      <w:r w:rsidRPr="004C7F84">
        <w:t>égalité des sexes. La pratique judiciaire ne comporte aucune décision défavorable aux femmes en raison de leur sexe. De même, la loi relative aux fonctions de juré n</w:t>
      </w:r>
      <w:r w:rsidR="00773F5D" w:rsidRPr="004C7F84">
        <w:t>’</w:t>
      </w:r>
      <w:r w:rsidRPr="004C7F84">
        <w:t>impose pas de restrictions à l</w:t>
      </w:r>
      <w:r w:rsidR="00773F5D" w:rsidRPr="004C7F84">
        <w:t>’</w:t>
      </w:r>
      <w:r w:rsidRPr="004C7F84">
        <w:t>inscription de femmes sur la liste des jurés. Elles ont donc le droit de siéger comme jurés et nombre d</w:t>
      </w:r>
      <w:r w:rsidR="00773F5D" w:rsidRPr="004C7F84">
        <w:t>’</w:t>
      </w:r>
      <w:r w:rsidRPr="004C7F84">
        <w:t>entre elles le font.</w:t>
      </w:r>
    </w:p>
    <w:p w14:paraId="7BCE88C9" w14:textId="77777777" w:rsidR="0034195A" w:rsidRPr="004C7F84" w:rsidRDefault="0034195A" w:rsidP="0034195A">
      <w:pPr>
        <w:pStyle w:val="SingleTxt"/>
        <w:spacing w:after="0" w:line="120" w:lineRule="exact"/>
        <w:rPr>
          <w:rFonts w:asciiTheme="majorBidi" w:hAnsiTheme="majorBidi" w:cstheme="majorBidi"/>
          <w:sz w:val="10"/>
        </w:rPr>
      </w:pPr>
    </w:p>
    <w:p w14:paraId="3D626F2C" w14:textId="789511B7" w:rsidR="0034195A" w:rsidRPr="004C7F84" w:rsidRDefault="0034195A" w:rsidP="0076068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F35F28" w:rsidRPr="004C7F84">
        <w:rPr>
          <w:lang w:val="fr-FR"/>
        </w:rPr>
        <w:t>Droit de choisir sa résidence et son domicile</w:t>
      </w:r>
      <w:r w:rsidR="00773F5D" w:rsidRPr="004C7F84">
        <w:rPr>
          <w:b w:val="0"/>
          <w:lang w:val="fr-FR"/>
        </w:rPr>
        <w:t xml:space="preserve"> </w:t>
      </w:r>
    </w:p>
    <w:p w14:paraId="044FB10C" w14:textId="11829374" w:rsidR="0034195A" w:rsidRPr="004C7F84" w:rsidRDefault="0034195A" w:rsidP="0076068E">
      <w:pPr>
        <w:pStyle w:val="SingleTxt"/>
        <w:keepNext/>
        <w:keepLines/>
        <w:tabs>
          <w:tab w:val="clear" w:pos="1742"/>
          <w:tab w:val="clear" w:pos="2218"/>
          <w:tab w:val="clear" w:pos="2693"/>
          <w:tab w:val="clear" w:pos="3182"/>
          <w:tab w:val="clear" w:pos="3658"/>
          <w:tab w:val="clear" w:pos="4133"/>
          <w:tab w:val="clear" w:pos="4622"/>
          <w:tab w:val="clear" w:pos="5098"/>
          <w:tab w:val="clear" w:pos="5573"/>
          <w:tab w:val="clear" w:pos="6048"/>
          <w:tab w:val="left" w:pos="1425"/>
          <w:tab w:val="left" w:pos="1900"/>
          <w:tab w:val="left" w:pos="2375"/>
          <w:tab w:val="left" w:pos="2850"/>
        </w:tabs>
        <w:spacing w:after="0" w:line="120" w:lineRule="exact"/>
        <w:rPr>
          <w:rFonts w:asciiTheme="majorBidi" w:hAnsiTheme="majorBidi" w:cstheme="majorBidi"/>
          <w:sz w:val="10"/>
        </w:rPr>
      </w:pPr>
    </w:p>
    <w:p w14:paraId="0047C678" w14:textId="4B922D95" w:rsidR="0034195A" w:rsidRPr="004C7F84" w:rsidRDefault="00F35F28" w:rsidP="00514306">
      <w:pPr>
        <w:pStyle w:val="SingleTxt"/>
        <w:keepNext/>
        <w:keepLines/>
        <w:numPr>
          <w:ilvl w:val="0"/>
          <w:numId w:val="24"/>
        </w:numPr>
        <w:spacing w:line="240" w:lineRule="exact"/>
        <w:ind w:left="1267" w:firstLine="0"/>
        <w:rPr>
          <w:rFonts w:asciiTheme="majorBidi" w:hAnsiTheme="majorBidi" w:cstheme="majorBidi"/>
        </w:rPr>
      </w:pPr>
      <w:r w:rsidRPr="004C7F84">
        <w:t>Les lois d</w:t>
      </w:r>
      <w:r w:rsidR="00773F5D" w:rsidRPr="004C7F84">
        <w:t>’</w:t>
      </w:r>
      <w:r w:rsidRPr="004C7F84">
        <w:t>Antigua-et-Barbuda garantissent aux femmes les mêmes droits que les hommes concernant le droit de circule</w:t>
      </w:r>
      <w:r w:rsidR="00441F8D" w:rsidRPr="004C7F84">
        <w:t xml:space="preserve">r librement et de choisir leur </w:t>
      </w:r>
      <w:r w:rsidRPr="004C7F84">
        <w:t>résidence. En conséquence, elles bénéficient, sur un pied d</w:t>
      </w:r>
      <w:r w:rsidR="00773F5D" w:rsidRPr="004C7F84">
        <w:t>’</w:t>
      </w:r>
      <w:r w:rsidRPr="004C7F84">
        <w:t>égalité avec les hommes, des droits en ce qui concerne la liberté de mouvement et le choix de leur résidence et de leur domicile.</w:t>
      </w:r>
    </w:p>
    <w:p w14:paraId="5C95AA68" w14:textId="77777777" w:rsidR="0034195A" w:rsidRPr="004C7F84" w:rsidRDefault="0034195A" w:rsidP="0034195A">
      <w:pPr>
        <w:pStyle w:val="SingleTxt"/>
        <w:spacing w:after="0" w:line="120" w:lineRule="exact"/>
        <w:rPr>
          <w:rFonts w:asciiTheme="majorBidi" w:hAnsiTheme="majorBidi" w:cstheme="majorBidi"/>
          <w:sz w:val="10"/>
        </w:rPr>
      </w:pPr>
    </w:p>
    <w:p w14:paraId="74B73631" w14:textId="77777777" w:rsidR="0034195A" w:rsidRPr="004C7F84" w:rsidRDefault="0034195A" w:rsidP="0034195A">
      <w:pPr>
        <w:pStyle w:val="SingleTxt"/>
        <w:spacing w:after="0" w:line="120" w:lineRule="exact"/>
        <w:rPr>
          <w:rFonts w:asciiTheme="majorBidi" w:hAnsiTheme="majorBidi" w:cstheme="majorBidi"/>
          <w:sz w:val="10"/>
        </w:rPr>
      </w:pPr>
    </w:p>
    <w:p w14:paraId="33A6D8EF" w14:textId="4321BBBD" w:rsidR="0034195A" w:rsidRPr="004C7F84" w:rsidRDefault="0034195A" w:rsidP="0034195A">
      <w:pPr>
        <w:pStyle w:val="H1"/>
        <w:ind w:right="1260"/>
      </w:pPr>
      <w:r w:rsidRPr="004C7F84">
        <w:tab/>
      </w:r>
      <w:r w:rsidRPr="004C7F84">
        <w:tab/>
        <w:t>Article 16</w:t>
      </w:r>
      <w:r w:rsidR="00773F5D" w:rsidRPr="004C7F84">
        <w:t> :</w:t>
      </w:r>
      <w:r w:rsidRPr="004C7F84">
        <w:t xml:space="preserve"> </w:t>
      </w:r>
      <w:r w:rsidR="00F35F28" w:rsidRPr="004C7F84">
        <w:t xml:space="preserve">Égalité dans le mariage et dans les rapports </w:t>
      </w:r>
      <w:r w:rsidR="0076068E" w:rsidRPr="004C7F84">
        <w:br/>
      </w:r>
      <w:r w:rsidR="00F35F28" w:rsidRPr="004C7F84">
        <w:t>familiaux</w:t>
      </w:r>
    </w:p>
    <w:p w14:paraId="22DD084A" w14:textId="77777777" w:rsidR="0034195A" w:rsidRPr="004C7F84" w:rsidRDefault="0034195A" w:rsidP="0034195A">
      <w:pPr>
        <w:pStyle w:val="SingleTxt"/>
        <w:spacing w:after="0" w:line="120" w:lineRule="exact"/>
        <w:rPr>
          <w:rFonts w:asciiTheme="majorBidi" w:hAnsiTheme="majorBidi" w:cstheme="majorBidi"/>
          <w:sz w:val="10"/>
        </w:rPr>
      </w:pPr>
    </w:p>
    <w:p w14:paraId="1493D2F5" w14:textId="77777777" w:rsidR="0034195A" w:rsidRPr="004C7F84" w:rsidRDefault="0034195A" w:rsidP="0034195A">
      <w:pPr>
        <w:pStyle w:val="SingleTxt"/>
        <w:spacing w:after="0" w:line="120" w:lineRule="exact"/>
        <w:rPr>
          <w:rFonts w:asciiTheme="majorBidi" w:hAnsiTheme="majorBidi" w:cstheme="majorBidi"/>
          <w:sz w:val="10"/>
        </w:rPr>
      </w:pPr>
    </w:p>
    <w:p w14:paraId="0610ACD7" w14:textId="37DD4ED3"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F35F28" w:rsidRPr="004C7F84">
        <w:rPr>
          <w:lang w:val="fr-FR"/>
        </w:rPr>
        <w:t>Même droit de contracter mariage</w:t>
      </w:r>
    </w:p>
    <w:p w14:paraId="48C3718C" w14:textId="77777777" w:rsidR="0034195A" w:rsidRPr="004C7F84" w:rsidRDefault="0034195A" w:rsidP="0034195A">
      <w:pPr>
        <w:pStyle w:val="SingleTxt"/>
        <w:spacing w:after="0" w:line="120" w:lineRule="exact"/>
        <w:rPr>
          <w:rFonts w:asciiTheme="majorBidi" w:hAnsiTheme="majorBidi" w:cstheme="majorBidi"/>
          <w:sz w:val="10"/>
        </w:rPr>
      </w:pPr>
    </w:p>
    <w:p w14:paraId="0CE7DF9B" w14:textId="14B727CC" w:rsidR="0034195A" w:rsidRPr="004C7F84" w:rsidRDefault="00F35F28" w:rsidP="00514306">
      <w:pPr>
        <w:pStyle w:val="SingleTxt"/>
        <w:numPr>
          <w:ilvl w:val="0"/>
          <w:numId w:val="24"/>
        </w:numPr>
        <w:spacing w:line="240" w:lineRule="exact"/>
        <w:ind w:left="1267" w:firstLine="0"/>
        <w:rPr>
          <w:rFonts w:asciiTheme="majorBidi" w:hAnsiTheme="majorBidi" w:cstheme="majorBidi"/>
        </w:rPr>
      </w:pPr>
      <w:r w:rsidRPr="004C7F84">
        <w:t>Comme indiqué dans le rapport précédent, les hommes et les femmes à Antigua-et-Barbuda sont libres de choisir un conjoint et de contracter mariage une fois qu</w:t>
      </w:r>
      <w:r w:rsidR="00773F5D" w:rsidRPr="004C7F84">
        <w:t>’</w:t>
      </w:r>
      <w:r w:rsidRPr="004C7F84">
        <w:t>ils ont atteint l</w:t>
      </w:r>
      <w:r w:rsidR="00773F5D" w:rsidRPr="004C7F84">
        <w:t>’</w:t>
      </w:r>
      <w:r w:rsidRPr="004C7F84">
        <w:t>âge de 18</w:t>
      </w:r>
      <w:r w:rsidR="00441F8D" w:rsidRPr="004C7F84">
        <w:t> </w:t>
      </w:r>
      <w:r w:rsidRPr="004C7F84">
        <w:t>ans. En vertu de l</w:t>
      </w:r>
      <w:r w:rsidR="00773F5D" w:rsidRPr="004C7F84">
        <w:t>’</w:t>
      </w:r>
      <w:r w:rsidRPr="004C7F84">
        <w:t>ordonnance relative au mariage, l</w:t>
      </w:r>
      <w:r w:rsidR="00773F5D" w:rsidRPr="004C7F84">
        <w:t>’</w:t>
      </w:r>
      <w:r w:rsidRPr="004C7F84">
        <w:t>âge de la majorité a été ramené de 21 à 18</w:t>
      </w:r>
      <w:r w:rsidR="00441F8D" w:rsidRPr="004C7F84">
        <w:t> </w:t>
      </w:r>
      <w:r w:rsidRPr="004C7F84">
        <w:t>ans. Toute personne de sexe masculin ou féminin désireux de se marier plus tôt doit obtenir le consentement d</w:t>
      </w:r>
      <w:r w:rsidR="00773F5D" w:rsidRPr="004C7F84">
        <w:t>’</w:t>
      </w:r>
      <w:r w:rsidRPr="004C7F84">
        <w:t>un parent ou d</w:t>
      </w:r>
      <w:r w:rsidR="00773F5D" w:rsidRPr="004C7F84">
        <w:t>’</w:t>
      </w:r>
      <w:r w:rsidRPr="004C7F84">
        <w:t>un tuteur. Les mariages d</w:t>
      </w:r>
      <w:r w:rsidR="00773F5D" w:rsidRPr="004C7F84">
        <w:t>’</w:t>
      </w:r>
      <w:r w:rsidRPr="004C7F84">
        <w:t>enfants de moins de 15</w:t>
      </w:r>
      <w:r w:rsidR="00441F8D" w:rsidRPr="004C7F84">
        <w:t> </w:t>
      </w:r>
      <w:r w:rsidRPr="004C7F84">
        <w:t>ans ne sont pas autorisés par la loi</w:t>
      </w:r>
      <w:r w:rsidR="0034195A" w:rsidRPr="004C7F84">
        <w:rPr>
          <w:rFonts w:asciiTheme="majorBidi" w:hAnsiTheme="majorBidi" w:cstheme="majorBidi"/>
        </w:rPr>
        <w:t xml:space="preserve">. </w:t>
      </w:r>
    </w:p>
    <w:p w14:paraId="3679E552" w14:textId="77777777" w:rsidR="0034195A" w:rsidRPr="004C7F84" w:rsidRDefault="0034195A" w:rsidP="0034195A">
      <w:pPr>
        <w:pStyle w:val="SingleTxt"/>
        <w:spacing w:after="0" w:line="120" w:lineRule="exact"/>
        <w:rPr>
          <w:rFonts w:asciiTheme="majorBidi" w:hAnsiTheme="majorBidi" w:cstheme="majorBidi"/>
          <w:sz w:val="10"/>
        </w:rPr>
      </w:pPr>
    </w:p>
    <w:p w14:paraId="7D5F547A" w14:textId="7A7F5B87"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F35F28" w:rsidRPr="004C7F84">
        <w:rPr>
          <w:lang w:val="fr-FR"/>
        </w:rPr>
        <w:t xml:space="preserve">Mêmes droits et mêmes responsabilités au cours du mariage </w:t>
      </w:r>
      <w:r w:rsidR="00F35F28" w:rsidRPr="004C7F84">
        <w:rPr>
          <w:lang w:val="fr-FR"/>
        </w:rPr>
        <w:br/>
        <w:t>et lors de sa dissolution</w:t>
      </w:r>
      <w:r w:rsidR="00F35F28" w:rsidRPr="004C7F84">
        <w:rPr>
          <w:b w:val="0"/>
          <w:lang w:val="fr-FR"/>
        </w:rPr>
        <w:t xml:space="preserve"> </w:t>
      </w:r>
    </w:p>
    <w:p w14:paraId="4D38B66B" w14:textId="77777777" w:rsidR="0034195A" w:rsidRPr="004C7F84" w:rsidRDefault="0034195A" w:rsidP="0034195A">
      <w:pPr>
        <w:pStyle w:val="SingleTxt"/>
        <w:spacing w:after="0" w:line="120" w:lineRule="exact"/>
        <w:rPr>
          <w:rFonts w:asciiTheme="majorBidi" w:hAnsiTheme="majorBidi" w:cstheme="majorBidi"/>
          <w:sz w:val="10"/>
        </w:rPr>
      </w:pPr>
    </w:p>
    <w:p w14:paraId="385879F6" w14:textId="392A5806" w:rsidR="00F35F28" w:rsidRPr="004C7F84" w:rsidRDefault="00F35F28" w:rsidP="00514306">
      <w:pPr>
        <w:pStyle w:val="SingleTxt"/>
        <w:numPr>
          <w:ilvl w:val="0"/>
          <w:numId w:val="24"/>
        </w:numPr>
        <w:spacing w:line="240" w:lineRule="exact"/>
        <w:ind w:left="1267" w:firstLine="0"/>
      </w:pPr>
      <w:r w:rsidRPr="004C7F84">
        <w:t>Comme le mentionne le rapport précédent, les hommes et les femmes peuvent invoquer les mêmes motifs pour dissoudre</w:t>
      </w:r>
      <w:r w:rsidRPr="004C7F84">
        <w:rPr>
          <w:color w:val="FF0000"/>
        </w:rPr>
        <w:t xml:space="preserve"> </w:t>
      </w:r>
      <w:r w:rsidRPr="004C7F84">
        <w:t>le</w:t>
      </w:r>
      <w:r w:rsidRPr="004C7F84">
        <w:rPr>
          <w:color w:val="FF0000"/>
        </w:rPr>
        <w:t xml:space="preserve"> </w:t>
      </w:r>
      <w:r w:rsidRPr="004C7F84">
        <w:t>mariage. Lors de la dissolution du mariage, la femme a le même droit que l</w:t>
      </w:r>
      <w:r w:rsidR="00773F5D" w:rsidRPr="004C7F84">
        <w:t>’</w:t>
      </w:r>
      <w:r w:rsidRPr="004C7F84">
        <w:t>homme de saisir le</w:t>
      </w:r>
      <w:r w:rsidR="00441F8D" w:rsidRPr="004C7F84">
        <w:t xml:space="preserve"> tribunal pour demander sa part </w:t>
      </w:r>
      <w:r w:rsidRPr="004C7F84">
        <w:t>des biens acquis durant le mariage.</w:t>
      </w:r>
      <w:r w:rsidR="00441F8D" w:rsidRPr="004C7F84">
        <w:t xml:space="preserve"> Elle peut également solliciter </w:t>
      </w:r>
      <w:r w:rsidRPr="004C7F84">
        <w:t>une pension alimentaire pour elle-même et les enfants nés du mariage. La loi sur les affaires matrimoniales définit les motifs pour lesquels un mari ou une femme peut demander un jugement de divorce</w:t>
      </w:r>
      <w:r w:rsidR="00773F5D" w:rsidRPr="004C7F84">
        <w:t> ;</w:t>
      </w:r>
      <w:r w:rsidRPr="004C7F84">
        <w:t xml:space="preserve"> ce sont</w:t>
      </w:r>
      <w:r w:rsidR="00773F5D" w:rsidRPr="004C7F84">
        <w:t> :</w:t>
      </w:r>
      <w:r w:rsidRPr="004C7F84">
        <w:t xml:space="preserve"> </w:t>
      </w:r>
      <w:r w:rsidRPr="004C7F84">
        <w:rPr>
          <w:spacing w:val="2"/>
          <w:w w:val="100"/>
        </w:rPr>
        <w:t>l</w:t>
      </w:r>
      <w:r w:rsidR="00773F5D" w:rsidRPr="004C7F84">
        <w:rPr>
          <w:spacing w:val="2"/>
          <w:w w:val="100"/>
        </w:rPr>
        <w:t>’</w:t>
      </w:r>
      <w:r w:rsidRPr="004C7F84">
        <w:rPr>
          <w:spacing w:val="2"/>
          <w:w w:val="100"/>
        </w:rPr>
        <w:t>adultère, l</w:t>
      </w:r>
      <w:r w:rsidR="00773F5D" w:rsidRPr="004C7F84">
        <w:rPr>
          <w:spacing w:val="2"/>
          <w:w w:val="100"/>
        </w:rPr>
        <w:t>’</w:t>
      </w:r>
      <w:r w:rsidRPr="004C7F84">
        <w:rPr>
          <w:spacing w:val="2"/>
          <w:w w:val="100"/>
        </w:rPr>
        <w:t>abandon sans motif du domicile conjugal pendant au moins trois ans, la c</w:t>
      </w:r>
      <w:r w:rsidR="00441F8D" w:rsidRPr="004C7F84">
        <w:rPr>
          <w:spacing w:val="2"/>
          <w:w w:val="100"/>
        </w:rPr>
        <w:t xml:space="preserve">ruauté, des troubles psychiques </w:t>
      </w:r>
      <w:r w:rsidRPr="004C7F84">
        <w:rPr>
          <w:spacing w:val="2"/>
          <w:w w:val="100"/>
        </w:rPr>
        <w:t>profonds et incurables ayant nécessit</w:t>
      </w:r>
      <w:r w:rsidR="00441F8D" w:rsidRPr="004C7F84">
        <w:rPr>
          <w:spacing w:val="2"/>
          <w:w w:val="100"/>
        </w:rPr>
        <w:t xml:space="preserve">é des traitements ininterrompus </w:t>
      </w:r>
      <w:r w:rsidRPr="004C7F84">
        <w:rPr>
          <w:spacing w:val="2"/>
          <w:w w:val="100"/>
        </w:rPr>
        <w:t>pendant au moins cinq ans</w:t>
      </w:r>
      <w:r w:rsidRPr="004C7F84">
        <w:t xml:space="preserve">. </w:t>
      </w:r>
    </w:p>
    <w:p w14:paraId="09420A58" w14:textId="249DE7D6" w:rsidR="0034195A" w:rsidRPr="004C7F84" w:rsidRDefault="00F35F28" w:rsidP="00514306">
      <w:pPr>
        <w:pStyle w:val="SingleTxt"/>
        <w:numPr>
          <w:ilvl w:val="0"/>
          <w:numId w:val="24"/>
        </w:numPr>
        <w:spacing w:line="240" w:lineRule="exact"/>
        <w:ind w:left="1267" w:firstLine="0"/>
        <w:rPr>
          <w:rFonts w:asciiTheme="majorBidi" w:hAnsiTheme="majorBidi" w:cstheme="majorBidi"/>
        </w:rPr>
      </w:pPr>
      <w:r w:rsidRPr="004C7F84">
        <w:t>Les unions libres (conjoints d</w:t>
      </w:r>
      <w:r w:rsidR="00441F8D" w:rsidRPr="004C7F84">
        <w:t xml:space="preserve">e fait et familles recomposées) sont courantes </w:t>
      </w:r>
      <w:r w:rsidRPr="004C7F84">
        <w:t>à tous les niveaux de la société, notamment p</w:t>
      </w:r>
      <w:r w:rsidR="00441F8D" w:rsidRPr="004C7F84">
        <w:t xml:space="preserve">armi les groupes </w:t>
      </w:r>
      <w:r w:rsidRPr="004C7F84">
        <w:t>socioéconomiques défavorisés. La loi dispose que les couples qui ont vécu de manière ininterrompue pendant au moins 5</w:t>
      </w:r>
      <w:r w:rsidR="00441F8D" w:rsidRPr="004C7F84">
        <w:t> </w:t>
      </w:r>
      <w:r w:rsidRPr="004C7F84">
        <w:t>ans peuvent intenter une procédure devant le tribunal pour faire valoir</w:t>
      </w:r>
      <w:r w:rsidR="00441F8D" w:rsidRPr="004C7F84">
        <w:t xml:space="preserve"> </w:t>
      </w:r>
      <w:r w:rsidRPr="004C7F84">
        <w:t>leurs droits sur les biens communs. Les enfants naturels ou nés du concubinage ont les mêmes droits que les e</w:t>
      </w:r>
      <w:r w:rsidR="00441F8D" w:rsidRPr="004C7F84">
        <w:t>nfants légitimes en matière de succession.</w:t>
      </w:r>
    </w:p>
    <w:p w14:paraId="45937E67" w14:textId="77777777" w:rsidR="0034195A" w:rsidRPr="004C7F84" w:rsidRDefault="0034195A" w:rsidP="0034195A">
      <w:pPr>
        <w:pStyle w:val="SingleTxt"/>
        <w:spacing w:after="0" w:line="120" w:lineRule="exact"/>
        <w:rPr>
          <w:rFonts w:asciiTheme="majorBidi" w:hAnsiTheme="majorBidi" w:cstheme="majorBidi"/>
          <w:sz w:val="10"/>
        </w:rPr>
      </w:pPr>
    </w:p>
    <w:p w14:paraId="4665043E" w14:textId="625601AB"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F35F28" w:rsidRPr="004C7F84">
        <w:rPr>
          <w:lang w:val="fr-FR"/>
        </w:rPr>
        <w:t>Mêmes droits et mêmes responsabilités en tant que parents</w:t>
      </w:r>
      <w:r w:rsidR="00773F5D" w:rsidRPr="004C7F84">
        <w:rPr>
          <w:b w:val="0"/>
          <w:lang w:val="fr-FR"/>
        </w:rPr>
        <w:t xml:space="preserve"> </w:t>
      </w:r>
    </w:p>
    <w:p w14:paraId="2C609BA9" w14:textId="77777777" w:rsidR="0034195A" w:rsidRPr="004C7F84" w:rsidRDefault="0034195A" w:rsidP="0034195A">
      <w:pPr>
        <w:pStyle w:val="SingleTxt"/>
        <w:spacing w:after="0" w:line="120" w:lineRule="exact"/>
        <w:rPr>
          <w:rFonts w:asciiTheme="majorBidi" w:hAnsiTheme="majorBidi" w:cstheme="majorBidi"/>
          <w:sz w:val="10"/>
        </w:rPr>
      </w:pPr>
    </w:p>
    <w:p w14:paraId="114073C5" w14:textId="31D5FE57" w:rsidR="0034195A" w:rsidRPr="004C7F84" w:rsidRDefault="00F35F28" w:rsidP="00514306">
      <w:pPr>
        <w:pStyle w:val="SingleTxt"/>
        <w:numPr>
          <w:ilvl w:val="0"/>
          <w:numId w:val="24"/>
        </w:numPr>
        <w:spacing w:line="240" w:lineRule="exact"/>
        <w:ind w:left="1267" w:firstLine="0"/>
        <w:rPr>
          <w:rFonts w:asciiTheme="majorBidi" w:hAnsiTheme="majorBidi" w:cstheme="majorBidi"/>
        </w:rPr>
      </w:pPr>
      <w:r w:rsidRPr="004C7F84">
        <w:t>La nouvelle loi de 2008 sur la pension alimentaire destinée à l</w:t>
      </w:r>
      <w:r w:rsidR="00773F5D" w:rsidRPr="004C7F84">
        <w:t>’</w:t>
      </w:r>
      <w:r w:rsidRPr="004C7F84">
        <w:t>entretien des enfants</w:t>
      </w:r>
      <w:r w:rsidR="00441F8D" w:rsidRPr="004C7F84">
        <w:t xml:space="preserve"> </w:t>
      </w:r>
      <w:r w:rsidRPr="004C7F84">
        <w:t>et sur le droit de visite rappelle</w:t>
      </w:r>
      <w:r w:rsidRPr="004C7F84">
        <w:rPr>
          <w:color w:val="FF0000"/>
        </w:rPr>
        <w:t xml:space="preserve"> </w:t>
      </w:r>
      <w:r w:rsidRPr="004C7F84">
        <w:t>les textes relatifs à l</w:t>
      </w:r>
      <w:r w:rsidR="00773F5D" w:rsidRPr="004C7F84">
        <w:t>’</w:t>
      </w:r>
      <w:r w:rsidRPr="004C7F84">
        <w:t>encadrement parental et aux responsabilités des parents. Les deux parents sont considérés comme égaux devant la loi, aucune distinction n</w:t>
      </w:r>
      <w:r w:rsidR="00773F5D" w:rsidRPr="004C7F84">
        <w:t>’</w:t>
      </w:r>
      <w:r w:rsidRPr="004C7F84">
        <w:t>étant établie entre le père et la mère.</w:t>
      </w:r>
    </w:p>
    <w:p w14:paraId="70A60A14" w14:textId="77777777" w:rsidR="0034195A" w:rsidRPr="004C7F84" w:rsidRDefault="0034195A" w:rsidP="0034195A">
      <w:pPr>
        <w:pStyle w:val="SingleTxt"/>
        <w:spacing w:after="0" w:line="120" w:lineRule="exact"/>
        <w:rPr>
          <w:rFonts w:asciiTheme="majorBidi" w:hAnsiTheme="majorBidi" w:cstheme="majorBidi"/>
          <w:sz w:val="10"/>
        </w:rPr>
      </w:pPr>
    </w:p>
    <w:p w14:paraId="2CDDA657" w14:textId="225F81CA" w:rsidR="0034195A" w:rsidRPr="004C7F84" w:rsidRDefault="0034195A" w:rsidP="0076068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lastRenderedPageBreak/>
        <w:tab/>
      </w:r>
      <w:r w:rsidRPr="004C7F84">
        <w:rPr>
          <w:lang w:val="fr-FR"/>
        </w:rPr>
        <w:tab/>
      </w:r>
      <w:r w:rsidR="00F35F28" w:rsidRPr="004C7F84">
        <w:rPr>
          <w:lang w:val="fr-FR"/>
        </w:rPr>
        <w:t>Mêmes droits de décider du nombre et de l</w:t>
      </w:r>
      <w:r w:rsidR="00773F5D" w:rsidRPr="004C7F84">
        <w:rPr>
          <w:lang w:val="fr-FR"/>
        </w:rPr>
        <w:t>’</w:t>
      </w:r>
      <w:r w:rsidR="00F35F28" w:rsidRPr="004C7F84">
        <w:rPr>
          <w:lang w:val="fr-FR"/>
        </w:rPr>
        <w:t>espacement des naissances</w:t>
      </w:r>
      <w:r w:rsidR="00773F5D" w:rsidRPr="004C7F84">
        <w:rPr>
          <w:b w:val="0"/>
          <w:lang w:val="fr-FR"/>
        </w:rPr>
        <w:t xml:space="preserve"> </w:t>
      </w:r>
    </w:p>
    <w:p w14:paraId="4E4321DC" w14:textId="77777777" w:rsidR="0034195A" w:rsidRPr="004C7F84" w:rsidRDefault="0034195A" w:rsidP="0076068E">
      <w:pPr>
        <w:pStyle w:val="SingleTxt"/>
        <w:keepNext/>
        <w:keepLines/>
        <w:spacing w:after="0" w:line="120" w:lineRule="exact"/>
        <w:rPr>
          <w:rFonts w:asciiTheme="majorBidi" w:hAnsiTheme="majorBidi" w:cstheme="majorBidi"/>
          <w:sz w:val="10"/>
        </w:rPr>
      </w:pPr>
    </w:p>
    <w:p w14:paraId="0076CEFD" w14:textId="1CDCB0F3" w:rsidR="0034195A" w:rsidRPr="004C7F84" w:rsidRDefault="00F35F28" w:rsidP="00514306">
      <w:pPr>
        <w:pStyle w:val="SingleTxt"/>
        <w:keepNext/>
        <w:keepLines/>
        <w:numPr>
          <w:ilvl w:val="0"/>
          <w:numId w:val="24"/>
        </w:numPr>
        <w:spacing w:line="240" w:lineRule="exact"/>
        <w:ind w:left="1267" w:firstLine="0"/>
        <w:rPr>
          <w:rFonts w:asciiTheme="majorBidi" w:hAnsiTheme="majorBidi" w:cstheme="majorBidi"/>
        </w:rPr>
      </w:pPr>
      <w:r w:rsidRPr="004C7F84">
        <w:t>Aucune loi à Antigua-et-Barbuda ne porte sur la question du nombre et de l</w:t>
      </w:r>
      <w:r w:rsidR="00773F5D" w:rsidRPr="004C7F84">
        <w:t>’</w:t>
      </w:r>
      <w:r w:rsidRPr="004C7F84">
        <w:t>espacement des naissances. L</w:t>
      </w:r>
      <w:r w:rsidR="00773F5D" w:rsidRPr="004C7F84">
        <w:t>’</w:t>
      </w:r>
      <w:r w:rsidRPr="004C7F84">
        <w:t>État partie n</w:t>
      </w:r>
      <w:r w:rsidR="00773F5D" w:rsidRPr="004C7F84">
        <w:t>’</w:t>
      </w:r>
      <w:r w:rsidRPr="004C7F84">
        <w:t>a pas connaissance de pratiques qui obligent une femme à avoir plus ou moins d</w:t>
      </w:r>
      <w:r w:rsidR="00773F5D" w:rsidRPr="004C7F84">
        <w:t>’</w:t>
      </w:r>
      <w:r w:rsidRPr="004C7F84">
        <w:t>enfants qu</w:t>
      </w:r>
      <w:r w:rsidR="00773F5D" w:rsidRPr="004C7F84">
        <w:t>’</w:t>
      </w:r>
      <w:r w:rsidRPr="004C7F84">
        <w:t>elle ne le souhaite</w:t>
      </w:r>
      <w:r w:rsidR="0034195A" w:rsidRPr="004C7F84">
        <w:rPr>
          <w:rFonts w:asciiTheme="majorBidi" w:hAnsiTheme="majorBidi" w:cstheme="majorBidi"/>
        </w:rPr>
        <w:t xml:space="preserve">. </w:t>
      </w:r>
    </w:p>
    <w:p w14:paraId="68EF801F" w14:textId="77777777" w:rsidR="0034195A" w:rsidRPr="004C7F84" w:rsidRDefault="0034195A" w:rsidP="0034195A">
      <w:pPr>
        <w:pStyle w:val="SingleTxt"/>
        <w:spacing w:after="0" w:line="120" w:lineRule="exact"/>
        <w:rPr>
          <w:rFonts w:asciiTheme="majorBidi" w:hAnsiTheme="majorBidi" w:cstheme="majorBidi"/>
          <w:sz w:val="10"/>
        </w:rPr>
      </w:pPr>
    </w:p>
    <w:p w14:paraId="471318A7" w14:textId="2E01113A"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F35F28" w:rsidRPr="004C7F84">
        <w:rPr>
          <w:lang w:val="fr-FR"/>
        </w:rPr>
        <w:t xml:space="preserve">Mêmes droits et responsabilités en matière de tutelle, de curatelle, </w:t>
      </w:r>
      <w:r w:rsidR="00F35F28" w:rsidRPr="004C7F84">
        <w:rPr>
          <w:lang w:val="fr-FR"/>
        </w:rPr>
        <w:br/>
        <w:t>de garde et d</w:t>
      </w:r>
      <w:r w:rsidR="00773F5D" w:rsidRPr="004C7F84">
        <w:rPr>
          <w:lang w:val="fr-FR"/>
        </w:rPr>
        <w:t>’</w:t>
      </w:r>
      <w:r w:rsidR="00F35F28" w:rsidRPr="004C7F84">
        <w:rPr>
          <w:lang w:val="fr-FR"/>
        </w:rPr>
        <w:t>adoption des enfants</w:t>
      </w:r>
    </w:p>
    <w:p w14:paraId="42A5997B" w14:textId="77777777" w:rsidR="0034195A" w:rsidRPr="004C7F84" w:rsidRDefault="0034195A" w:rsidP="0034195A">
      <w:pPr>
        <w:pStyle w:val="SingleTxt"/>
        <w:spacing w:after="0" w:line="120" w:lineRule="exact"/>
        <w:rPr>
          <w:rFonts w:asciiTheme="majorBidi" w:hAnsiTheme="majorBidi" w:cstheme="majorBidi"/>
          <w:sz w:val="10"/>
        </w:rPr>
      </w:pPr>
    </w:p>
    <w:p w14:paraId="65FDE337" w14:textId="3841C117" w:rsidR="0034195A" w:rsidRPr="004C7F84" w:rsidRDefault="00F35F28" w:rsidP="00514306">
      <w:pPr>
        <w:pStyle w:val="SingleTxt"/>
        <w:numPr>
          <w:ilvl w:val="0"/>
          <w:numId w:val="24"/>
        </w:numPr>
        <w:spacing w:line="240" w:lineRule="exact"/>
        <w:ind w:left="1267" w:firstLine="0"/>
        <w:rPr>
          <w:rFonts w:asciiTheme="majorBidi" w:hAnsiTheme="majorBidi" w:cstheme="majorBidi"/>
        </w:rPr>
      </w:pPr>
      <w:r w:rsidRPr="004C7F84">
        <w:t>Les femmes ont les mêmes droits et responsabilités que les hommes en matière de tutelle, de garde et d</w:t>
      </w:r>
      <w:r w:rsidR="00773F5D" w:rsidRPr="004C7F84">
        <w:t>’</w:t>
      </w:r>
      <w:r w:rsidRPr="004C7F84">
        <w:t>adoption des enfants. Les femmes non mariées peuvent adopter des enfants, mais celles qui sont mariées se heurtent à moins de difficultés</w:t>
      </w:r>
      <w:r w:rsidR="0034195A" w:rsidRPr="004C7F84">
        <w:rPr>
          <w:rFonts w:asciiTheme="majorBidi" w:hAnsiTheme="majorBidi" w:cstheme="majorBidi"/>
        </w:rPr>
        <w:t xml:space="preserve">. </w:t>
      </w:r>
    </w:p>
    <w:p w14:paraId="5802A586" w14:textId="77777777" w:rsidR="0034195A" w:rsidRPr="004C7F84" w:rsidRDefault="0034195A" w:rsidP="0034195A">
      <w:pPr>
        <w:pStyle w:val="SingleTxt"/>
        <w:spacing w:after="0" w:line="120" w:lineRule="exact"/>
        <w:rPr>
          <w:rFonts w:asciiTheme="majorBidi" w:hAnsiTheme="majorBidi" w:cstheme="majorBidi"/>
          <w:sz w:val="10"/>
        </w:rPr>
      </w:pPr>
    </w:p>
    <w:p w14:paraId="7894D8C6" w14:textId="30DF3923"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F35F28" w:rsidRPr="004C7F84">
        <w:rPr>
          <w:lang w:val="fr-FR"/>
        </w:rPr>
        <w:t xml:space="preserve">Mêmes droits en ce qui concerne le choix du nom de famille, </w:t>
      </w:r>
      <w:r w:rsidR="00F35F28" w:rsidRPr="004C7F84">
        <w:rPr>
          <w:lang w:val="fr-FR"/>
        </w:rPr>
        <w:br/>
        <w:t>d</w:t>
      </w:r>
      <w:r w:rsidR="00773F5D" w:rsidRPr="004C7F84">
        <w:rPr>
          <w:lang w:val="fr-FR"/>
        </w:rPr>
        <w:t>’</w:t>
      </w:r>
      <w:r w:rsidR="00F35F28" w:rsidRPr="004C7F84">
        <w:rPr>
          <w:lang w:val="fr-FR"/>
        </w:rPr>
        <w:t>une profession et d</w:t>
      </w:r>
      <w:r w:rsidR="00773F5D" w:rsidRPr="004C7F84">
        <w:rPr>
          <w:lang w:val="fr-FR"/>
        </w:rPr>
        <w:t>’</w:t>
      </w:r>
      <w:r w:rsidR="00F35F28" w:rsidRPr="004C7F84">
        <w:rPr>
          <w:lang w:val="fr-FR"/>
        </w:rPr>
        <w:t>une occupation</w:t>
      </w:r>
    </w:p>
    <w:p w14:paraId="014D0EA2" w14:textId="77777777" w:rsidR="0034195A" w:rsidRPr="004C7F84" w:rsidRDefault="0034195A" w:rsidP="0034195A">
      <w:pPr>
        <w:pStyle w:val="SingleTxt"/>
        <w:spacing w:after="0" w:line="120" w:lineRule="exact"/>
        <w:rPr>
          <w:rFonts w:asciiTheme="majorBidi" w:hAnsiTheme="majorBidi" w:cstheme="majorBidi"/>
          <w:sz w:val="10"/>
        </w:rPr>
      </w:pPr>
    </w:p>
    <w:p w14:paraId="04370325" w14:textId="4035E88D" w:rsidR="0034195A" w:rsidRPr="004C7F84" w:rsidRDefault="00F35F28" w:rsidP="00514306">
      <w:pPr>
        <w:pStyle w:val="SingleTxt"/>
        <w:numPr>
          <w:ilvl w:val="0"/>
          <w:numId w:val="24"/>
        </w:numPr>
        <w:spacing w:line="240" w:lineRule="exact"/>
        <w:ind w:left="1267" w:firstLine="0"/>
        <w:rPr>
          <w:rFonts w:asciiTheme="majorBidi" w:hAnsiTheme="majorBidi" w:cstheme="majorBidi"/>
        </w:rPr>
      </w:pPr>
      <w:r w:rsidRPr="004C7F84">
        <w:t>À Antigua-et-Barbuda, une femme peut décider de conserver son nom de jeune fille au moment du mariage. Elle n</w:t>
      </w:r>
      <w:r w:rsidR="00773F5D" w:rsidRPr="004C7F84">
        <w:t>’</w:t>
      </w:r>
      <w:r w:rsidRPr="004C7F84">
        <w:t>est pas tenue d</w:t>
      </w:r>
      <w:r w:rsidR="00773F5D" w:rsidRPr="004C7F84">
        <w:t>’</w:t>
      </w:r>
      <w:r w:rsidRPr="004C7F84">
        <w:t xml:space="preserve">utiliser le nom de son époux, bien que la majorité des femmes choisisse de le faire. Certaines femmes ajoutent le nom de leur conjoint au leur, créant ainsi un double patronyme. De même, les femmes sont libres, comme les hommes, de choisir leur activité ou profession. </w:t>
      </w:r>
    </w:p>
    <w:p w14:paraId="4D804EF3" w14:textId="77777777" w:rsidR="0034195A" w:rsidRPr="004C7F84" w:rsidRDefault="0034195A" w:rsidP="0034195A">
      <w:pPr>
        <w:pStyle w:val="SingleTxt"/>
        <w:spacing w:after="0" w:line="120" w:lineRule="exact"/>
        <w:rPr>
          <w:rFonts w:asciiTheme="majorBidi" w:hAnsiTheme="majorBidi" w:cstheme="majorBidi"/>
          <w:sz w:val="10"/>
        </w:rPr>
      </w:pPr>
    </w:p>
    <w:p w14:paraId="4E61A191" w14:textId="0DA64406"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7F84">
        <w:rPr>
          <w:lang w:val="fr-FR"/>
        </w:rPr>
        <w:tab/>
      </w:r>
      <w:r w:rsidRPr="004C7F84">
        <w:rPr>
          <w:lang w:val="fr-FR"/>
        </w:rPr>
        <w:tab/>
      </w:r>
      <w:r w:rsidR="00F35F28" w:rsidRPr="004C7F84">
        <w:rPr>
          <w:lang w:val="fr-FR"/>
        </w:rPr>
        <w:t>Mêmes droits en matière de propriété</w:t>
      </w:r>
    </w:p>
    <w:p w14:paraId="128017BD" w14:textId="77777777" w:rsidR="0034195A" w:rsidRPr="004C7F84" w:rsidRDefault="0034195A" w:rsidP="0034195A">
      <w:pPr>
        <w:pStyle w:val="SingleTxt"/>
        <w:spacing w:after="0" w:line="120" w:lineRule="exact"/>
        <w:rPr>
          <w:rFonts w:asciiTheme="majorBidi" w:hAnsiTheme="majorBidi" w:cstheme="majorBidi"/>
          <w:sz w:val="10"/>
        </w:rPr>
      </w:pPr>
    </w:p>
    <w:p w14:paraId="571B5BE4" w14:textId="5260F62C" w:rsidR="0034195A" w:rsidRPr="004C7F84" w:rsidRDefault="00F35F28" w:rsidP="00514306">
      <w:pPr>
        <w:pStyle w:val="SingleTxt"/>
        <w:numPr>
          <w:ilvl w:val="0"/>
          <w:numId w:val="24"/>
        </w:numPr>
        <w:spacing w:line="240" w:lineRule="exact"/>
        <w:ind w:left="1267" w:firstLine="0"/>
        <w:rPr>
          <w:rFonts w:asciiTheme="majorBidi" w:hAnsiTheme="majorBidi" w:cstheme="majorBidi"/>
        </w:rPr>
      </w:pPr>
      <w:r w:rsidRPr="004C7F84">
        <w:t>Aucune d</w:t>
      </w:r>
      <w:r w:rsidR="00441F8D" w:rsidRPr="004C7F84">
        <w:t>isposition juridique n</w:t>
      </w:r>
      <w:r w:rsidR="00773F5D" w:rsidRPr="004C7F84">
        <w:t>’</w:t>
      </w:r>
      <w:r w:rsidR="00441F8D" w:rsidRPr="004C7F84">
        <w:t xml:space="preserve">interdit </w:t>
      </w:r>
      <w:r w:rsidRPr="004C7F84">
        <w:t>aux femmes de posséder des biens en leur nom propre. La loi di</w:t>
      </w:r>
      <w:r w:rsidR="00441F8D" w:rsidRPr="004C7F84">
        <w:t xml:space="preserve">spose que </w:t>
      </w:r>
      <w:r w:rsidRPr="004C7F84">
        <w:t>les femmes ont les mêmes droits que les hommes en matière de succession</w:t>
      </w:r>
      <w:r w:rsidRPr="004C7F84">
        <w:rPr>
          <w:rFonts w:asciiTheme="majorBidi" w:hAnsiTheme="majorBidi" w:cstheme="majorBidi"/>
        </w:rPr>
        <w:t>.</w:t>
      </w:r>
    </w:p>
    <w:p w14:paraId="4FA11670" w14:textId="77777777" w:rsidR="0034195A" w:rsidRPr="004C7F84" w:rsidRDefault="0034195A" w:rsidP="0034195A">
      <w:pPr>
        <w:pStyle w:val="SingleTxt"/>
        <w:spacing w:after="0" w:line="120" w:lineRule="exact"/>
        <w:rPr>
          <w:rFonts w:asciiTheme="majorBidi" w:hAnsiTheme="majorBidi" w:cstheme="majorBidi"/>
          <w:sz w:val="10"/>
        </w:rPr>
      </w:pPr>
    </w:p>
    <w:p w14:paraId="71E6B401" w14:textId="2096B0C7" w:rsidR="0034195A" w:rsidRPr="004C7F84" w:rsidRDefault="0034195A" w:rsidP="003419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3"/>
          <w:lang w:val="fr-FR"/>
        </w:rPr>
      </w:pPr>
      <w:r w:rsidRPr="004C7F84">
        <w:rPr>
          <w:lang w:val="fr-FR"/>
        </w:rPr>
        <w:tab/>
      </w:r>
      <w:r w:rsidRPr="004C7F84">
        <w:rPr>
          <w:lang w:val="fr-FR"/>
        </w:rPr>
        <w:tab/>
      </w:r>
      <w:r w:rsidR="00F35F28" w:rsidRPr="004C7F84">
        <w:rPr>
          <w:lang w:val="fr-FR"/>
        </w:rPr>
        <w:t>Fixation d</w:t>
      </w:r>
      <w:r w:rsidR="00773F5D" w:rsidRPr="004C7F84">
        <w:rPr>
          <w:lang w:val="fr-FR"/>
        </w:rPr>
        <w:t>’</w:t>
      </w:r>
      <w:r w:rsidR="00F35F28" w:rsidRPr="004C7F84">
        <w:rPr>
          <w:lang w:val="fr-FR"/>
        </w:rPr>
        <w:t xml:space="preserve">un âge minimal pour le mariage et inscription obligatoire </w:t>
      </w:r>
      <w:r w:rsidR="00F35F28" w:rsidRPr="004C7F84">
        <w:rPr>
          <w:lang w:val="fr-FR"/>
        </w:rPr>
        <w:br/>
        <w:t>du mariage sur un registre officiel</w:t>
      </w:r>
    </w:p>
    <w:p w14:paraId="3A948B17" w14:textId="77777777" w:rsidR="0034195A" w:rsidRPr="004C7F84" w:rsidRDefault="0034195A" w:rsidP="0034195A">
      <w:pPr>
        <w:pStyle w:val="SingleTxt"/>
        <w:spacing w:after="0" w:line="120" w:lineRule="exact"/>
        <w:rPr>
          <w:rFonts w:asciiTheme="majorBidi" w:hAnsiTheme="majorBidi" w:cstheme="majorBidi"/>
          <w:sz w:val="10"/>
        </w:rPr>
      </w:pPr>
    </w:p>
    <w:p w14:paraId="1955E890" w14:textId="64C2C18E" w:rsidR="00F35F28" w:rsidRPr="004C7F84" w:rsidRDefault="00F35F28" w:rsidP="00514306">
      <w:pPr>
        <w:pStyle w:val="SingleTxt"/>
        <w:numPr>
          <w:ilvl w:val="0"/>
          <w:numId w:val="24"/>
        </w:numPr>
        <w:spacing w:line="240" w:lineRule="exact"/>
        <w:ind w:left="1267" w:firstLine="0"/>
      </w:pPr>
      <w:r w:rsidRPr="004C7F84">
        <w:t>L</w:t>
      </w:r>
      <w:r w:rsidR="00773F5D" w:rsidRPr="004C7F84">
        <w:t>’</w:t>
      </w:r>
      <w:r w:rsidRPr="004C7F84">
        <w:t>âge minimum légal à partir duquel une femme peut se marier sans consentement parental est fixé à 18</w:t>
      </w:r>
      <w:r w:rsidR="00441F8D" w:rsidRPr="004C7F84">
        <w:t> </w:t>
      </w:r>
      <w:r w:rsidRPr="004C7F84">
        <w:t>ans. Tous les mariages à Antigua-et-Barbuda doivent être inscrits au registre d</w:t>
      </w:r>
      <w:r w:rsidR="00773F5D" w:rsidRPr="004C7F84">
        <w:t>’</w:t>
      </w:r>
      <w:r w:rsidRPr="004C7F84">
        <w:t xml:space="preserve">état civil. La loi sur le mariage stipule également que le mariage doit être célébré avec la publication des bans et reconnu par une licence ou un certificat délivré par un magistrat. </w:t>
      </w:r>
    </w:p>
    <w:p w14:paraId="39E40AB3" w14:textId="1477295A" w:rsidR="0034195A" w:rsidRPr="004C7F84" w:rsidRDefault="00F35F28" w:rsidP="00514306">
      <w:pPr>
        <w:pStyle w:val="SingleTxt"/>
        <w:numPr>
          <w:ilvl w:val="0"/>
          <w:numId w:val="24"/>
        </w:numPr>
        <w:spacing w:line="240" w:lineRule="exact"/>
        <w:ind w:left="1267" w:firstLine="0"/>
        <w:rPr>
          <w:rFonts w:asciiTheme="majorBidi" w:hAnsiTheme="majorBidi" w:cstheme="majorBidi"/>
        </w:rPr>
      </w:pPr>
      <w:r w:rsidRPr="004C7F84">
        <w:t>La législation du travail à Antigua-et-Barbuda, qui s</w:t>
      </w:r>
      <w:r w:rsidR="00773F5D" w:rsidRPr="004C7F84">
        <w:t>’</w:t>
      </w:r>
      <w:r w:rsidRPr="004C7F84">
        <w:t>applique dans les secteurs public et privé, prévoit 13</w:t>
      </w:r>
      <w:r w:rsidR="00441F8D" w:rsidRPr="004C7F84">
        <w:t> </w:t>
      </w:r>
      <w:r w:rsidRPr="004C7F84">
        <w:t>semaines de congé de maternité payé pour les femmes, qu</w:t>
      </w:r>
      <w:r w:rsidR="00773F5D" w:rsidRPr="004C7F84">
        <w:t>’</w:t>
      </w:r>
      <w:r w:rsidRPr="004C7F84">
        <w:t>elles soient mariées ou non, leur salaire l</w:t>
      </w:r>
      <w:r w:rsidR="00441F8D" w:rsidRPr="004C7F84">
        <w:t xml:space="preserve">eur étant intégralement </w:t>
      </w:r>
      <w:r w:rsidRPr="004C7F84">
        <w:t>versé par leur employeur. D</w:t>
      </w:r>
      <w:r w:rsidR="00773F5D" w:rsidRPr="004C7F84">
        <w:t>’</w:t>
      </w:r>
      <w:r w:rsidRPr="004C7F84">
        <w:t>une manière générale, la majorité des femmes se voit accorder sans difficulté les 13</w:t>
      </w:r>
      <w:r w:rsidR="00441F8D" w:rsidRPr="004C7F84">
        <w:t> </w:t>
      </w:r>
      <w:r w:rsidRPr="004C7F84">
        <w:t>semaines prescrites par la loi et aucune femme ne peut être licenciée pour cause de grossesse. Toutefois, des femmes ont déclaré que leurs employeurs dans le secteur privé leur avaient demandé de ne pas devenir enceintes en cours d</w:t>
      </w:r>
      <w:r w:rsidR="00773F5D" w:rsidRPr="004C7F84">
        <w:t>’</w:t>
      </w:r>
      <w:r w:rsidRPr="004C7F84">
        <w:t>emploi. En l</w:t>
      </w:r>
      <w:r w:rsidR="00773F5D" w:rsidRPr="004C7F84">
        <w:t>’</w:t>
      </w:r>
      <w:r w:rsidRPr="004C7F84">
        <w:t>absence d</w:t>
      </w:r>
      <w:r w:rsidR="00773F5D" w:rsidRPr="004C7F84">
        <w:t>’</w:t>
      </w:r>
      <w:r w:rsidRPr="004C7F84">
        <w:t>étude sur cette question, il n</w:t>
      </w:r>
      <w:r w:rsidR="00773F5D" w:rsidRPr="004C7F84">
        <w:t>’</w:t>
      </w:r>
      <w:r w:rsidRPr="004C7F84">
        <w:t>est pas possible d</w:t>
      </w:r>
      <w:r w:rsidR="00773F5D" w:rsidRPr="004C7F84">
        <w:t>’</w:t>
      </w:r>
      <w:r w:rsidRPr="004C7F84">
        <w:t>affirmer avec certitude que les femmes font l</w:t>
      </w:r>
      <w:r w:rsidR="00773F5D" w:rsidRPr="004C7F84">
        <w:t>’</w:t>
      </w:r>
      <w:r w:rsidRPr="004C7F84">
        <w:t xml:space="preserve">objet de discrimination </w:t>
      </w:r>
      <w:r w:rsidR="00441F8D" w:rsidRPr="004C7F84">
        <w:t xml:space="preserve">du fait </w:t>
      </w:r>
      <w:r w:rsidRPr="004C7F84">
        <w:t>qu</w:t>
      </w:r>
      <w:r w:rsidR="00773F5D" w:rsidRPr="004C7F84">
        <w:t>’</w:t>
      </w:r>
      <w:r w:rsidRPr="004C7F84">
        <w:t>elles sont enceintes ou qu</w:t>
      </w:r>
      <w:r w:rsidR="00773F5D" w:rsidRPr="004C7F84">
        <w:t>’</w:t>
      </w:r>
      <w:r w:rsidRPr="004C7F84">
        <w:t>elles peuvent le devenir. Il est utile de noter que la loi ne prévoit pas de congé de paternité. Les hommes n</w:t>
      </w:r>
      <w:r w:rsidR="00773F5D" w:rsidRPr="004C7F84">
        <w:t>’</w:t>
      </w:r>
      <w:r w:rsidRPr="004C7F84">
        <w:t>ont droit à aucun congé à la n</w:t>
      </w:r>
      <w:r w:rsidR="00441F8D" w:rsidRPr="004C7F84">
        <w:t xml:space="preserve">aissance de leur enfant, ce qui </w:t>
      </w:r>
      <w:r w:rsidRPr="004C7F84">
        <w:t>a des conséquences importantes sur la dynamique familiale, le travail de parent étant considéré comme une responsabilité incombant essentiellement aux femmes. Il s</w:t>
      </w:r>
      <w:r w:rsidR="00773F5D" w:rsidRPr="004C7F84">
        <w:t>’</w:t>
      </w:r>
      <w:r w:rsidRPr="004C7F84">
        <w:t>agit là d</w:t>
      </w:r>
      <w:r w:rsidR="00773F5D" w:rsidRPr="004C7F84">
        <w:t>’</w:t>
      </w:r>
      <w:r w:rsidRPr="004C7F84">
        <w:t>un stéréotype qui non seulement impose un fardeau injuste aux femmes qui viennent d</w:t>
      </w:r>
      <w:r w:rsidR="00773F5D" w:rsidRPr="004C7F84">
        <w:t>’</w:t>
      </w:r>
      <w:r w:rsidRPr="004C7F84">
        <w:t>accoucher mais qui prive également les hommes de la possibilité de passer du temps avec leur enfant récemment venu au monde.</w:t>
      </w:r>
      <w:r w:rsidR="0034195A" w:rsidRPr="004C7F84">
        <w:rPr>
          <w:rFonts w:asciiTheme="majorBidi" w:hAnsiTheme="majorBidi" w:cstheme="majorBidi"/>
        </w:rPr>
        <w:t xml:space="preserve"> </w:t>
      </w:r>
    </w:p>
    <w:p w14:paraId="7C7B3DC8" w14:textId="77777777" w:rsidR="0034195A" w:rsidRPr="004C7F84" w:rsidRDefault="0034195A" w:rsidP="0034195A">
      <w:pPr>
        <w:pStyle w:val="SingleTxt"/>
        <w:spacing w:after="0" w:line="120" w:lineRule="exact"/>
        <w:rPr>
          <w:rFonts w:asciiTheme="majorBidi" w:hAnsiTheme="majorBidi" w:cstheme="majorBidi"/>
          <w:sz w:val="10"/>
        </w:rPr>
      </w:pPr>
    </w:p>
    <w:p w14:paraId="1EFE09CF" w14:textId="1C84E00C" w:rsidR="0034195A" w:rsidRPr="004C7F84" w:rsidRDefault="0034195A" w:rsidP="0034195A">
      <w:pPr>
        <w:pStyle w:val="H4"/>
        <w:ind w:right="1260"/>
      </w:pPr>
      <w:r w:rsidRPr="004C7F84">
        <w:lastRenderedPageBreak/>
        <w:tab/>
      </w:r>
      <w:r w:rsidRPr="004C7F84">
        <w:tab/>
      </w:r>
      <w:r w:rsidR="00F35F28" w:rsidRPr="004C7F84">
        <w:t>Soins aux enfants</w:t>
      </w:r>
      <w:r w:rsidR="00773F5D" w:rsidRPr="004C7F84">
        <w:t xml:space="preserve"> </w:t>
      </w:r>
    </w:p>
    <w:p w14:paraId="12CB1043" w14:textId="77777777" w:rsidR="0034195A" w:rsidRPr="004C7F84" w:rsidRDefault="0034195A" w:rsidP="0034195A">
      <w:pPr>
        <w:pStyle w:val="SingleTxt"/>
        <w:spacing w:after="0" w:line="120" w:lineRule="exact"/>
        <w:rPr>
          <w:rFonts w:asciiTheme="majorBidi" w:hAnsiTheme="majorBidi" w:cstheme="majorBidi"/>
          <w:sz w:val="10"/>
        </w:rPr>
      </w:pPr>
    </w:p>
    <w:p w14:paraId="133B8773" w14:textId="782396B4" w:rsidR="0034195A" w:rsidRPr="004C7F84" w:rsidRDefault="00F35F28" w:rsidP="00514306">
      <w:pPr>
        <w:pStyle w:val="SingleTxt"/>
        <w:numPr>
          <w:ilvl w:val="0"/>
          <w:numId w:val="24"/>
        </w:numPr>
        <w:spacing w:line="240" w:lineRule="exact"/>
        <w:ind w:left="1267" w:firstLine="0"/>
        <w:rPr>
          <w:rFonts w:asciiTheme="majorBidi" w:hAnsiTheme="majorBidi" w:cstheme="majorBidi"/>
        </w:rPr>
      </w:pPr>
      <w:r w:rsidRPr="004C7F84">
        <w:t>Antigua-et-Barbuda dispose d</w:t>
      </w:r>
      <w:r w:rsidR="00773F5D" w:rsidRPr="004C7F84">
        <w:t>’</w:t>
      </w:r>
      <w:r w:rsidRPr="004C7F84">
        <w:t>un réseau d</w:t>
      </w:r>
      <w:r w:rsidR="00773F5D" w:rsidRPr="004C7F84">
        <w:t>’</w:t>
      </w:r>
      <w:r w:rsidRPr="004C7F84">
        <w:t>établissements de garde d</w:t>
      </w:r>
      <w:r w:rsidR="00773F5D" w:rsidRPr="004C7F84">
        <w:t>’</w:t>
      </w:r>
      <w:r w:rsidRPr="004C7F84">
        <w:t>enfants. Le Gouvernement a adopté des dispositions juridiques réglementant la création et le fonctionnement de ces structures dans le cadre de la loi de 2008 sur l</w:t>
      </w:r>
      <w:r w:rsidR="00773F5D" w:rsidRPr="004C7F84">
        <w:t>’</w:t>
      </w:r>
      <w:r w:rsidRPr="004C7F84">
        <w:t>enseignement. Tous les établissements de garde d</w:t>
      </w:r>
      <w:r w:rsidR="00773F5D" w:rsidRPr="004C7F84">
        <w:t>’</w:t>
      </w:r>
      <w:r w:rsidRPr="004C7F84">
        <w:t xml:space="preserve">enfants et </w:t>
      </w:r>
      <w:r w:rsidRPr="004C7F84">
        <w:rPr>
          <w:rStyle w:val="preferred"/>
        </w:rPr>
        <w:t>structures d</w:t>
      </w:r>
      <w:r w:rsidR="00773F5D" w:rsidRPr="004C7F84">
        <w:rPr>
          <w:rStyle w:val="preferred"/>
        </w:rPr>
        <w:t>’</w:t>
      </w:r>
      <w:r w:rsidRPr="004C7F84">
        <w:rPr>
          <w:rStyle w:val="preferred"/>
        </w:rPr>
        <w:t xml:space="preserve">accueil préscolaire </w:t>
      </w:r>
      <w:r w:rsidRPr="004C7F84">
        <w:t>doivent être enregistrés auprès des autorités et se conformer aux procédures en vigueur. À ce jour, le Gouvernement a créé 8</w:t>
      </w:r>
      <w:r w:rsidR="00441F8D" w:rsidRPr="004C7F84">
        <w:t> </w:t>
      </w:r>
      <w:r w:rsidRPr="004C7F84">
        <w:t>établissements de garde d</w:t>
      </w:r>
      <w:r w:rsidR="00773F5D" w:rsidRPr="004C7F84">
        <w:t>’</w:t>
      </w:r>
      <w:r w:rsidRPr="004C7F84">
        <w:t>enfants et prévoit d</w:t>
      </w:r>
      <w:r w:rsidR="00773F5D" w:rsidRPr="004C7F84">
        <w:t>’</w:t>
      </w:r>
      <w:r w:rsidRPr="004C7F84">
        <w:t>en créer davantage à l</w:t>
      </w:r>
      <w:r w:rsidR="00773F5D" w:rsidRPr="004C7F84">
        <w:t>’</w:t>
      </w:r>
      <w:r w:rsidRPr="004C7F84">
        <w:t>intention des familles pauvres. De nouveaux protocoles, lois et politiques portent sur les soins aux enfants et la protection de l</w:t>
      </w:r>
      <w:r w:rsidR="00773F5D" w:rsidRPr="004C7F84">
        <w:t>’</w:t>
      </w:r>
      <w:r w:rsidRPr="004C7F84">
        <w:t xml:space="preserve">enfance. </w:t>
      </w:r>
    </w:p>
    <w:p w14:paraId="6DC80796" w14:textId="77777777" w:rsidR="0034195A" w:rsidRPr="004C7F84" w:rsidRDefault="0034195A" w:rsidP="0034195A">
      <w:pPr>
        <w:pStyle w:val="SingleTxt"/>
        <w:spacing w:after="0" w:line="120" w:lineRule="exact"/>
        <w:rPr>
          <w:rFonts w:asciiTheme="majorBidi" w:hAnsiTheme="majorBidi" w:cstheme="majorBidi"/>
          <w:sz w:val="10"/>
        </w:rPr>
      </w:pPr>
    </w:p>
    <w:p w14:paraId="2DD80A44" w14:textId="37B65B9C" w:rsidR="0034195A" w:rsidRPr="004C7F84" w:rsidRDefault="0034195A" w:rsidP="0034195A">
      <w:pPr>
        <w:pStyle w:val="H4"/>
        <w:ind w:right="1260"/>
      </w:pPr>
      <w:r w:rsidRPr="004C7F84">
        <w:tab/>
      </w:r>
      <w:r w:rsidRPr="004C7F84">
        <w:tab/>
      </w:r>
      <w:r w:rsidR="00F35F28" w:rsidRPr="004C7F84">
        <w:t>Placement en famille d</w:t>
      </w:r>
      <w:r w:rsidR="00773F5D" w:rsidRPr="004C7F84">
        <w:t>’</w:t>
      </w:r>
      <w:r w:rsidR="00F35F28" w:rsidRPr="004C7F84">
        <w:t>accueil</w:t>
      </w:r>
      <w:r w:rsidR="00773F5D" w:rsidRPr="004C7F84">
        <w:t xml:space="preserve"> </w:t>
      </w:r>
    </w:p>
    <w:p w14:paraId="540EA772" w14:textId="77777777" w:rsidR="0034195A" w:rsidRPr="004C7F84" w:rsidRDefault="0034195A" w:rsidP="0034195A">
      <w:pPr>
        <w:pStyle w:val="SingleTxt"/>
        <w:spacing w:after="0" w:line="120" w:lineRule="exact"/>
        <w:rPr>
          <w:rFonts w:asciiTheme="majorBidi" w:hAnsiTheme="majorBidi" w:cstheme="majorBidi"/>
          <w:sz w:val="10"/>
        </w:rPr>
      </w:pPr>
    </w:p>
    <w:p w14:paraId="513AAAF6" w14:textId="7CAE4E10" w:rsidR="0034195A" w:rsidRPr="004C7F84" w:rsidRDefault="00F35F28" w:rsidP="00514306">
      <w:pPr>
        <w:pStyle w:val="SingleTxt"/>
        <w:numPr>
          <w:ilvl w:val="0"/>
          <w:numId w:val="24"/>
        </w:numPr>
        <w:spacing w:line="240" w:lineRule="exact"/>
        <w:ind w:left="1267" w:firstLine="0"/>
        <w:rPr>
          <w:rFonts w:asciiTheme="majorBidi" w:hAnsiTheme="majorBidi" w:cstheme="majorBidi"/>
        </w:rPr>
      </w:pPr>
      <w:r w:rsidRPr="004C7F84">
        <w:t>Conformément à l</w:t>
      </w:r>
      <w:r w:rsidR="00773F5D" w:rsidRPr="004C7F84">
        <w:t>’</w:t>
      </w:r>
      <w:r w:rsidRPr="004C7F84">
        <w:t>article 12 de la loi sur les mineurs, les enfants qui ont besoin de soins que leur famille ne peut leur donner</w:t>
      </w:r>
      <w:r w:rsidRPr="004C7F84">
        <w:rPr>
          <w:color w:val="FF0000"/>
        </w:rPr>
        <w:t xml:space="preserve"> </w:t>
      </w:r>
      <w:r w:rsidRPr="004C7F84">
        <w:t>sont placés sous la garde d</w:t>
      </w:r>
      <w:r w:rsidR="00773F5D" w:rsidRPr="004C7F84">
        <w:t>’</w:t>
      </w:r>
      <w:r w:rsidRPr="004C7F84">
        <w:t>une personne apte à s</w:t>
      </w:r>
      <w:r w:rsidR="00773F5D" w:rsidRPr="004C7F84">
        <w:t>’</w:t>
      </w:r>
      <w:r w:rsidRPr="004C7F84">
        <w:t>en occuper. En 2009, le Gouvernement a élaboré une politique nationale de protection de l</w:t>
      </w:r>
      <w:r w:rsidR="00773F5D" w:rsidRPr="004C7F84">
        <w:t>’</w:t>
      </w:r>
      <w:r w:rsidRPr="004C7F84">
        <w:t>enfance, dans laquelle il reconnaissait la nécessité de créer un service de familles d</w:t>
      </w:r>
      <w:r w:rsidR="00773F5D" w:rsidRPr="004C7F84">
        <w:t>’</w:t>
      </w:r>
      <w:r w:rsidRPr="004C7F84">
        <w:t>accueil relevant d</w:t>
      </w:r>
      <w:r w:rsidR="00773F5D" w:rsidRPr="004C7F84">
        <w:t>’</w:t>
      </w:r>
      <w:r w:rsidR="00441F8D" w:rsidRPr="004C7F84">
        <w:t xml:space="preserve">une future </w:t>
      </w:r>
      <w:r w:rsidRPr="004C7F84">
        <w:t>agence de protection de l</w:t>
      </w:r>
      <w:r w:rsidR="00773F5D" w:rsidRPr="004C7F84">
        <w:t>’</w:t>
      </w:r>
      <w:r w:rsidRPr="004C7F84">
        <w:t>enfance. À l</w:t>
      </w:r>
      <w:r w:rsidR="00773F5D" w:rsidRPr="004C7F84">
        <w:t>’</w:t>
      </w:r>
      <w:r w:rsidRPr="004C7F84">
        <w:t>heure actuelle, la Division du bien-être de la popula</w:t>
      </w:r>
      <w:r w:rsidR="00441F8D" w:rsidRPr="004C7F84">
        <w:t xml:space="preserve">tion, qui relève </w:t>
      </w:r>
      <w:r w:rsidRPr="004C7F84">
        <w:t>du Ministère de la transformation sociale, continue d</w:t>
      </w:r>
      <w:r w:rsidR="00773F5D" w:rsidRPr="004C7F84">
        <w:t>’</w:t>
      </w:r>
      <w:r w:rsidRPr="004C7F84">
        <w:t>être responsable du placement des enfants en famille d</w:t>
      </w:r>
      <w:r w:rsidR="00773F5D" w:rsidRPr="004C7F84">
        <w:t>’</w:t>
      </w:r>
      <w:r w:rsidRPr="004C7F84">
        <w:t>accueil.</w:t>
      </w:r>
    </w:p>
    <w:p w14:paraId="52BD8472" w14:textId="77777777" w:rsidR="0034195A" w:rsidRPr="004C7F84" w:rsidRDefault="0034195A" w:rsidP="0034195A">
      <w:pPr>
        <w:pStyle w:val="SingleTxt"/>
        <w:spacing w:after="0" w:line="120" w:lineRule="exact"/>
        <w:rPr>
          <w:rFonts w:asciiTheme="majorBidi" w:hAnsiTheme="majorBidi" w:cstheme="majorBidi"/>
          <w:sz w:val="10"/>
        </w:rPr>
      </w:pPr>
    </w:p>
    <w:p w14:paraId="4B8EE487" w14:textId="77777777" w:rsidR="0034195A" w:rsidRPr="004C7F84" w:rsidRDefault="0034195A" w:rsidP="0034195A">
      <w:pPr>
        <w:pStyle w:val="H4"/>
        <w:ind w:right="1260"/>
      </w:pPr>
      <w:r w:rsidRPr="004C7F84">
        <w:tab/>
      </w:r>
      <w:r w:rsidRPr="004C7F84">
        <w:tab/>
        <w:t xml:space="preserve">Adoption </w:t>
      </w:r>
    </w:p>
    <w:p w14:paraId="43E1E416" w14:textId="77777777" w:rsidR="0034195A" w:rsidRPr="004C7F84" w:rsidRDefault="0034195A" w:rsidP="0034195A">
      <w:pPr>
        <w:pStyle w:val="SingleTxt"/>
        <w:spacing w:after="0" w:line="120" w:lineRule="exact"/>
        <w:rPr>
          <w:rFonts w:asciiTheme="majorBidi" w:hAnsiTheme="majorBidi" w:cstheme="majorBidi"/>
          <w:sz w:val="10"/>
        </w:rPr>
      </w:pPr>
    </w:p>
    <w:p w14:paraId="4BF8000D" w14:textId="29A73FF3" w:rsidR="0034195A" w:rsidRPr="004C7F84" w:rsidRDefault="00F35F28" w:rsidP="00514306">
      <w:pPr>
        <w:pStyle w:val="SingleTxt"/>
        <w:numPr>
          <w:ilvl w:val="0"/>
          <w:numId w:val="24"/>
        </w:numPr>
        <w:spacing w:line="240" w:lineRule="exact"/>
        <w:ind w:left="1267" w:firstLine="0"/>
        <w:rPr>
          <w:rFonts w:asciiTheme="majorBidi" w:hAnsiTheme="majorBidi" w:cstheme="majorBidi"/>
        </w:rPr>
      </w:pPr>
      <w:r w:rsidRPr="004C7F84">
        <w:t>En ce qui concerne l</w:t>
      </w:r>
      <w:r w:rsidR="00773F5D" w:rsidRPr="004C7F84">
        <w:t>’</w:t>
      </w:r>
      <w:r w:rsidRPr="004C7F84">
        <w:t>adoption, l</w:t>
      </w:r>
      <w:r w:rsidR="00773F5D" w:rsidRPr="004C7F84">
        <w:t>’</w:t>
      </w:r>
      <w:r w:rsidRPr="004C7F84">
        <w:t xml:space="preserve">État partie a adopté les </w:t>
      </w:r>
      <w:r w:rsidRPr="004C7F84">
        <w:rPr>
          <w:rStyle w:val="preferred"/>
        </w:rPr>
        <w:t xml:space="preserve">dispositions législatives types, </w:t>
      </w:r>
      <w:r w:rsidRPr="004C7F84">
        <w:t>élaborées par l</w:t>
      </w:r>
      <w:r w:rsidR="00773F5D" w:rsidRPr="004C7F84">
        <w:t>’</w:t>
      </w:r>
      <w:r w:rsidRPr="004C7F84">
        <w:t>OECO dans le cadre de son initiative visant à réformer le droit de la famille et la législation sur la violence familiale.</w:t>
      </w:r>
    </w:p>
    <w:p w14:paraId="0426C752" w14:textId="77777777" w:rsidR="0034195A" w:rsidRPr="004C7F84" w:rsidRDefault="0034195A" w:rsidP="0034195A">
      <w:pPr>
        <w:pStyle w:val="SingleTxt"/>
        <w:spacing w:after="0" w:line="120" w:lineRule="exact"/>
        <w:rPr>
          <w:rFonts w:asciiTheme="majorBidi" w:hAnsiTheme="majorBidi" w:cstheme="majorBidi"/>
          <w:sz w:val="10"/>
        </w:rPr>
      </w:pPr>
    </w:p>
    <w:p w14:paraId="5EB94B09" w14:textId="76B80B8C" w:rsidR="0034195A" w:rsidRPr="004C7F84" w:rsidRDefault="0034195A" w:rsidP="0034195A">
      <w:pPr>
        <w:pStyle w:val="H4"/>
        <w:ind w:right="1260"/>
      </w:pPr>
      <w:r w:rsidRPr="004C7F84">
        <w:tab/>
      </w:r>
      <w:r w:rsidRPr="004C7F84">
        <w:tab/>
      </w:r>
      <w:r w:rsidR="00D21A90" w:rsidRPr="004C7F84">
        <w:t>Pauses pour l</w:t>
      </w:r>
      <w:r w:rsidR="00773F5D" w:rsidRPr="004C7F84">
        <w:t>’</w:t>
      </w:r>
      <w:r w:rsidR="00D21A90" w:rsidRPr="004C7F84">
        <w:t>allaitement</w:t>
      </w:r>
    </w:p>
    <w:p w14:paraId="05808598" w14:textId="77777777" w:rsidR="0034195A" w:rsidRPr="004C7F84" w:rsidRDefault="0034195A" w:rsidP="0034195A">
      <w:pPr>
        <w:pStyle w:val="SingleTxt"/>
        <w:spacing w:after="0" w:line="120" w:lineRule="exact"/>
        <w:rPr>
          <w:rFonts w:asciiTheme="majorBidi" w:hAnsiTheme="majorBidi" w:cstheme="majorBidi"/>
          <w:sz w:val="10"/>
        </w:rPr>
      </w:pPr>
    </w:p>
    <w:p w14:paraId="2E91CC38" w14:textId="72E8E05A" w:rsidR="0034195A" w:rsidRPr="004C7F84" w:rsidRDefault="00D21A90" w:rsidP="00514306">
      <w:pPr>
        <w:pStyle w:val="SingleTxt"/>
        <w:numPr>
          <w:ilvl w:val="0"/>
          <w:numId w:val="24"/>
        </w:numPr>
        <w:spacing w:line="240" w:lineRule="exact"/>
        <w:ind w:left="1267" w:firstLine="0"/>
        <w:rPr>
          <w:rFonts w:asciiTheme="majorBidi" w:hAnsiTheme="majorBidi" w:cstheme="majorBidi"/>
        </w:rPr>
      </w:pPr>
      <w:r w:rsidRPr="004C7F84">
        <w:t>En vertu du Code du travail d</w:t>
      </w:r>
      <w:r w:rsidR="00773F5D" w:rsidRPr="004C7F84">
        <w:t>’</w:t>
      </w:r>
      <w:r w:rsidRPr="004C7F84">
        <w:t>Antigua-et-Barbuda, toutes les femmes bénéficient de 13</w:t>
      </w:r>
      <w:r w:rsidR="00441F8D" w:rsidRPr="004C7F84">
        <w:t> </w:t>
      </w:r>
      <w:r w:rsidRPr="004C7F84">
        <w:t>semaines de congé de maternité rémunéré, indépendamment de l</w:t>
      </w:r>
      <w:r w:rsidR="00773F5D" w:rsidRPr="004C7F84">
        <w:t>’</w:t>
      </w:r>
      <w:r w:rsidRPr="004C7F84">
        <w:t>emploi qu</w:t>
      </w:r>
      <w:r w:rsidR="00773F5D" w:rsidRPr="004C7F84">
        <w:t>’</w:t>
      </w:r>
      <w:r w:rsidRPr="004C7F84">
        <w:t>elles occupent. Les pauses pour l</w:t>
      </w:r>
      <w:r w:rsidR="00773F5D" w:rsidRPr="004C7F84">
        <w:t>’</w:t>
      </w:r>
      <w:r w:rsidRPr="004C7F84">
        <w:t>allaitement ne sont pas requises par la loi. Certaines femmes tirent leur lait qu</w:t>
      </w:r>
      <w:r w:rsidR="00773F5D" w:rsidRPr="004C7F84">
        <w:t>’</w:t>
      </w:r>
      <w:r w:rsidRPr="004C7F84">
        <w:t>elles laissent à la personne qui s</w:t>
      </w:r>
      <w:r w:rsidR="00773F5D" w:rsidRPr="004C7F84">
        <w:t>’</w:t>
      </w:r>
      <w:r w:rsidRPr="004C7F84">
        <w:t>occupe de leur enfant et qui le lui donne dans un biberon. La majorité des femmes n</w:t>
      </w:r>
      <w:r w:rsidR="00773F5D" w:rsidRPr="004C7F84">
        <w:t>’</w:t>
      </w:r>
      <w:r w:rsidRPr="004C7F84">
        <w:t>allaite</w:t>
      </w:r>
      <w:r w:rsidR="00AE0E2C" w:rsidRPr="004C7F84">
        <w:t>nt</w:t>
      </w:r>
      <w:r w:rsidRPr="004C7F84">
        <w:t xml:space="preserve"> pas sur le lieu de travail, mais</w:t>
      </w:r>
      <w:r w:rsidRPr="004C7F84">
        <w:rPr>
          <w:color w:val="FF0000"/>
        </w:rPr>
        <w:t xml:space="preserve"> </w:t>
      </w:r>
      <w:r w:rsidRPr="004C7F84">
        <w:t>des dispositions sont parfois prises, en accord avec les employeurs, pour donner aux mères le temps de rentrer chez elles pour nourrir leur bébé.</w:t>
      </w:r>
    </w:p>
    <w:p w14:paraId="2A545C6F" w14:textId="77777777" w:rsidR="0034195A" w:rsidRPr="004C7F84" w:rsidRDefault="0034195A" w:rsidP="0034195A">
      <w:pPr>
        <w:pStyle w:val="SingleTxt"/>
        <w:spacing w:after="0" w:line="120" w:lineRule="exact"/>
        <w:rPr>
          <w:rFonts w:asciiTheme="majorBidi" w:hAnsiTheme="majorBidi" w:cstheme="majorBidi"/>
          <w:sz w:val="10"/>
        </w:rPr>
      </w:pPr>
    </w:p>
    <w:p w14:paraId="016ACADF" w14:textId="0EBD0E0D" w:rsidR="0034195A" w:rsidRPr="004C7F84" w:rsidRDefault="0034195A" w:rsidP="0034195A">
      <w:pPr>
        <w:pStyle w:val="H4"/>
        <w:ind w:right="1260"/>
      </w:pPr>
      <w:r w:rsidRPr="004C7F84">
        <w:tab/>
      </w:r>
      <w:r w:rsidRPr="004C7F84">
        <w:tab/>
      </w:r>
      <w:r w:rsidR="00D21A90" w:rsidRPr="004C7F84">
        <w:t>Syndicalisation</w:t>
      </w:r>
    </w:p>
    <w:p w14:paraId="78F5777E" w14:textId="77777777" w:rsidR="0034195A" w:rsidRPr="004C7F84" w:rsidRDefault="0034195A" w:rsidP="0034195A">
      <w:pPr>
        <w:pStyle w:val="SingleTxt"/>
        <w:spacing w:after="0" w:line="120" w:lineRule="exact"/>
        <w:rPr>
          <w:rFonts w:asciiTheme="majorBidi" w:hAnsiTheme="majorBidi" w:cstheme="majorBidi"/>
          <w:sz w:val="10"/>
        </w:rPr>
      </w:pPr>
    </w:p>
    <w:p w14:paraId="7BF61C99" w14:textId="26A645A2" w:rsidR="0034195A" w:rsidRPr="004C7F84" w:rsidRDefault="00D21A90" w:rsidP="00514306">
      <w:pPr>
        <w:pStyle w:val="SingleTxt"/>
        <w:numPr>
          <w:ilvl w:val="0"/>
          <w:numId w:val="24"/>
        </w:numPr>
        <w:spacing w:line="240" w:lineRule="exact"/>
        <w:ind w:left="1267" w:firstLine="0"/>
        <w:rPr>
          <w:rFonts w:asciiTheme="majorBidi" w:hAnsiTheme="majorBidi" w:cstheme="majorBidi"/>
        </w:rPr>
      </w:pPr>
      <w:r w:rsidRPr="004C7F84">
        <w:t>Deux grands syndicats, Antigua and Barbuda Trades and Labour Union (ABTLU) et Antigua and Barbuda Workers</w:t>
      </w:r>
      <w:r w:rsidR="00773F5D" w:rsidRPr="004C7F84">
        <w:t>’</w:t>
      </w:r>
      <w:r w:rsidRPr="004C7F84">
        <w:t xml:space="preserve"> Union (ABWU), protègent les droits des travailleurs syndiqués dans les secteurs public et privé.</w:t>
      </w:r>
      <w:r w:rsidR="00441F8D" w:rsidRPr="004C7F84">
        <w:t xml:space="preserve"> Une grande partie du personnel </w:t>
      </w:r>
      <w:r w:rsidRPr="004C7F84">
        <w:t>des grandes entreprises et des socié</w:t>
      </w:r>
      <w:r w:rsidR="00441F8D" w:rsidRPr="004C7F84">
        <w:t xml:space="preserve">tés est </w:t>
      </w:r>
      <w:r w:rsidRPr="004C7F84">
        <w:t>syndiquée, notamment dans l</w:t>
      </w:r>
      <w:r w:rsidR="00773F5D" w:rsidRPr="004C7F84">
        <w:t>’</w:t>
      </w:r>
      <w:r w:rsidRPr="004C7F84">
        <w:t>enseignement et le secteur du tourisme, qui comptent une majorité des femmes. Les hommes occupent encore la plupart des postes de responsabilité dans ces deux syndicats. Ainsi, par exemple, au sein de l</w:t>
      </w:r>
      <w:r w:rsidR="00773F5D" w:rsidRPr="004C7F84">
        <w:t>’</w:t>
      </w:r>
      <w:r w:rsidRPr="004C7F84">
        <w:t>ABTLU, le plus ancien des deux syndicats, 8 seulement des 21</w:t>
      </w:r>
      <w:r w:rsidR="00441F8D" w:rsidRPr="004C7F84">
        <w:t> </w:t>
      </w:r>
      <w:r w:rsidRPr="004C7F84">
        <w:t>membres de l</w:t>
      </w:r>
      <w:r w:rsidR="00773F5D" w:rsidRPr="004C7F84">
        <w:t>’</w:t>
      </w:r>
      <w:r w:rsidRPr="004C7F84">
        <w:t>exécutif sont des femmes, qui représentent donc 38</w:t>
      </w:r>
      <w:r w:rsidR="0086373A" w:rsidRPr="004C7F84">
        <w:t> %</w:t>
      </w:r>
      <w:r w:rsidR="00441F8D" w:rsidRPr="004C7F84">
        <w:t xml:space="preserve"> </w:t>
      </w:r>
      <w:r w:rsidRPr="004C7F84">
        <w:t xml:space="preserve">de cet organe. La femme qui a le grade le plus élevé est la deuxième Vice-Présidente. Le Secrétaire général en exercice est également une femme. </w:t>
      </w:r>
    </w:p>
    <w:p w14:paraId="2BB420AE" w14:textId="77777777" w:rsidR="0034195A" w:rsidRPr="004C7F84" w:rsidRDefault="0034195A" w:rsidP="0034195A">
      <w:pPr>
        <w:pStyle w:val="SingleTxt"/>
        <w:spacing w:after="0" w:line="120" w:lineRule="exact"/>
        <w:rPr>
          <w:rFonts w:asciiTheme="majorBidi" w:hAnsiTheme="majorBidi" w:cstheme="majorBidi"/>
          <w:sz w:val="10"/>
        </w:rPr>
      </w:pPr>
    </w:p>
    <w:p w14:paraId="385679DE" w14:textId="5550EB36" w:rsidR="0034195A" w:rsidRPr="004C7F84" w:rsidRDefault="0034195A" w:rsidP="0034195A">
      <w:pPr>
        <w:pStyle w:val="H4"/>
        <w:ind w:right="1260"/>
      </w:pPr>
      <w:r w:rsidRPr="004C7F84">
        <w:lastRenderedPageBreak/>
        <w:tab/>
      </w:r>
      <w:r w:rsidRPr="004C7F84">
        <w:tab/>
      </w:r>
      <w:r w:rsidR="00D21A90" w:rsidRPr="004C7F84">
        <w:t>Harcèlement sexuel sur le lieu de travail</w:t>
      </w:r>
    </w:p>
    <w:p w14:paraId="688E1E80" w14:textId="77777777" w:rsidR="0034195A" w:rsidRPr="004C7F84" w:rsidRDefault="0034195A" w:rsidP="0034195A">
      <w:pPr>
        <w:pStyle w:val="SingleTxt"/>
        <w:spacing w:after="0" w:line="120" w:lineRule="exact"/>
        <w:rPr>
          <w:rFonts w:asciiTheme="majorBidi" w:hAnsiTheme="majorBidi" w:cstheme="majorBidi"/>
          <w:sz w:val="10"/>
        </w:rPr>
      </w:pPr>
    </w:p>
    <w:p w14:paraId="2F350113" w14:textId="4561E7C8" w:rsidR="0034195A" w:rsidRPr="004C7F84" w:rsidRDefault="00D21A90" w:rsidP="00514306">
      <w:pPr>
        <w:pStyle w:val="SingleTxt"/>
        <w:numPr>
          <w:ilvl w:val="0"/>
          <w:numId w:val="24"/>
        </w:numPr>
        <w:spacing w:line="240" w:lineRule="exact"/>
        <w:ind w:left="1267" w:firstLine="0"/>
        <w:rPr>
          <w:rFonts w:asciiTheme="majorBidi" w:hAnsiTheme="majorBidi" w:cstheme="majorBidi"/>
        </w:rPr>
      </w:pPr>
      <w:r w:rsidRPr="004C7F84">
        <w:t>Il est indéniable qu</w:t>
      </w:r>
      <w:r w:rsidR="00773F5D" w:rsidRPr="004C7F84">
        <w:t>’</w:t>
      </w:r>
      <w:r w:rsidRPr="004C7F84">
        <w:t>en raison des normes culturelles, le harcèlement sexuel est considéré comme « normal »</w:t>
      </w:r>
      <w:r w:rsidR="00773F5D" w:rsidRPr="004C7F84">
        <w:t> :</w:t>
      </w:r>
      <w:r w:rsidRPr="004C7F84">
        <w:t xml:space="preserve"> « c</w:t>
      </w:r>
      <w:r w:rsidR="00773F5D" w:rsidRPr="004C7F84">
        <w:t>’</w:t>
      </w:r>
      <w:r w:rsidRPr="004C7F84">
        <w:t>est simplement ainsi que les hommes se comportent</w:t>
      </w:r>
      <w:r w:rsidR="00441F8D" w:rsidRPr="004C7F84">
        <w:t> </w:t>
      </w:r>
      <w:r w:rsidRPr="004C7F84">
        <w:t xml:space="preserve">». </w:t>
      </w:r>
      <w:r w:rsidR="00441F8D" w:rsidRPr="004C7F84">
        <w:t xml:space="preserve">Compte tenu des dénonciations, </w:t>
      </w:r>
      <w:r w:rsidRPr="004C7F84">
        <w:t>des avances sexuelles déplacées se produisent encore fréquemment sur le lieu de travail. Les femmes, plutôt que les hommes, en sont généralement les victimes. Il est regrettable que jusqu</w:t>
      </w:r>
      <w:r w:rsidR="00773F5D" w:rsidRPr="004C7F84">
        <w:t>’</w:t>
      </w:r>
      <w:r w:rsidRPr="004C7F84">
        <w:t>à présent, l</w:t>
      </w:r>
      <w:r w:rsidR="00773F5D" w:rsidRPr="004C7F84">
        <w:t>’</w:t>
      </w:r>
      <w:r w:rsidRPr="004C7F84">
        <w:t>État partie n</w:t>
      </w:r>
      <w:r w:rsidR="00773F5D" w:rsidRPr="004C7F84">
        <w:t>’</w:t>
      </w:r>
      <w:r w:rsidRPr="004C7F84">
        <w:t>ait pris aucune mesure pour lutter contre le harcèlement sexuel et la violence à l</w:t>
      </w:r>
      <w:r w:rsidR="00773F5D" w:rsidRPr="004C7F84">
        <w:t>’</w:t>
      </w:r>
      <w:r w:rsidRPr="004C7F84">
        <w:t>égard des femmes sur le lieu de travail. L</w:t>
      </w:r>
      <w:r w:rsidR="00773F5D" w:rsidRPr="004C7F84">
        <w:t>’</w:t>
      </w:r>
      <w:r w:rsidRPr="004C7F84">
        <w:t>absence de lois spécifiques concernant le harcèlement sexuel est l</w:t>
      </w:r>
      <w:r w:rsidR="00773F5D" w:rsidRPr="004C7F84">
        <w:t>’</w:t>
      </w:r>
      <w:r w:rsidRPr="004C7F84">
        <w:t>un des principaux sujets de préoccupation qui continuent d</w:t>
      </w:r>
      <w:r w:rsidR="00773F5D" w:rsidRPr="004C7F84">
        <w:t>’</w:t>
      </w:r>
      <w:r w:rsidRPr="004C7F84">
        <w:t>être examinés par la Direction de la problématique hommes-femmes et d</w:t>
      </w:r>
      <w:r w:rsidR="00773F5D" w:rsidRPr="004C7F84">
        <w:t>’</w:t>
      </w:r>
      <w:r w:rsidRPr="004C7F84">
        <w:t>autres organisations de la société civile. L</w:t>
      </w:r>
      <w:r w:rsidR="00773F5D" w:rsidRPr="004C7F84">
        <w:t>’</w:t>
      </w:r>
      <w:r w:rsidRPr="004C7F84">
        <w:t>État partie s</w:t>
      </w:r>
      <w:r w:rsidR="00773F5D" w:rsidRPr="004C7F84">
        <w:t>’</w:t>
      </w:r>
      <w:r w:rsidRPr="004C7F84">
        <w:t>engage à régler dans les plus brefs délais cette question difficile.</w:t>
      </w:r>
    </w:p>
    <w:p w14:paraId="1F76F0F3" w14:textId="77777777" w:rsidR="0034195A" w:rsidRPr="004C7F84" w:rsidRDefault="0034195A" w:rsidP="0034195A">
      <w:pPr>
        <w:pStyle w:val="SingleTxt"/>
        <w:spacing w:after="0" w:line="120" w:lineRule="exact"/>
        <w:rPr>
          <w:rFonts w:asciiTheme="majorBidi" w:hAnsiTheme="majorBidi" w:cstheme="majorBidi"/>
          <w:sz w:val="10"/>
        </w:rPr>
      </w:pPr>
    </w:p>
    <w:p w14:paraId="310652D9" w14:textId="77777777" w:rsidR="0034195A" w:rsidRPr="004C7F84" w:rsidRDefault="0034195A" w:rsidP="0034195A">
      <w:pPr>
        <w:pStyle w:val="SingleTxt"/>
        <w:spacing w:after="0" w:line="120" w:lineRule="exact"/>
        <w:rPr>
          <w:rFonts w:asciiTheme="majorBidi" w:hAnsiTheme="majorBidi" w:cstheme="majorBidi"/>
          <w:sz w:val="10"/>
        </w:rPr>
      </w:pPr>
    </w:p>
    <w:p w14:paraId="5AA52DFD" w14:textId="4F567EC3" w:rsidR="0034195A" w:rsidRPr="004C7F84" w:rsidRDefault="0034195A" w:rsidP="0034195A">
      <w:pPr>
        <w:pStyle w:val="H1"/>
        <w:ind w:right="1260"/>
      </w:pPr>
      <w:r w:rsidRPr="004C7F84">
        <w:tab/>
      </w:r>
      <w:r w:rsidRPr="004C7F84">
        <w:tab/>
      </w:r>
      <w:r w:rsidR="00D21A90" w:rsidRPr="004C7F84">
        <w:t xml:space="preserve">Observations finales et priorités de réforme </w:t>
      </w:r>
    </w:p>
    <w:p w14:paraId="0DE236FA" w14:textId="77777777" w:rsidR="0034195A" w:rsidRPr="004C7F84" w:rsidRDefault="0034195A" w:rsidP="0034195A">
      <w:pPr>
        <w:pStyle w:val="SingleTxt"/>
        <w:spacing w:after="0" w:line="120" w:lineRule="exact"/>
        <w:rPr>
          <w:rFonts w:asciiTheme="majorBidi" w:hAnsiTheme="majorBidi" w:cstheme="majorBidi"/>
          <w:sz w:val="10"/>
        </w:rPr>
      </w:pPr>
    </w:p>
    <w:p w14:paraId="3A63D629" w14:textId="77777777" w:rsidR="0034195A" w:rsidRPr="004C7F84" w:rsidRDefault="0034195A" w:rsidP="0034195A">
      <w:pPr>
        <w:pStyle w:val="SingleTxt"/>
        <w:spacing w:after="0" w:line="120" w:lineRule="exact"/>
        <w:rPr>
          <w:rFonts w:asciiTheme="majorBidi" w:hAnsiTheme="majorBidi" w:cstheme="majorBidi"/>
          <w:sz w:val="10"/>
        </w:rPr>
      </w:pPr>
    </w:p>
    <w:p w14:paraId="06F90909" w14:textId="3876AFA3" w:rsidR="00D21A90" w:rsidRPr="004C7F84" w:rsidRDefault="00D21A90" w:rsidP="00514306">
      <w:pPr>
        <w:pStyle w:val="SingleTxt"/>
        <w:numPr>
          <w:ilvl w:val="0"/>
          <w:numId w:val="24"/>
        </w:numPr>
        <w:spacing w:line="240" w:lineRule="exact"/>
        <w:ind w:left="1267" w:firstLine="0"/>
      </w:pPr>
      <w:r w:rsidRPr="004C7F84">
        <w:t>L</w:t>
      </w:r>
      <w:r w:rsidR="00773F5D" w:rsidRPr="004C7F84">
        <w:t>’</w:t>
      </w:r>
      <w:r w:rsidRPr="004C7F84">
        <w:t>État partie tient à réaffirmer son attachement à la mise en œuvre de la Convention pour l</w:t>
      </w:r>
      <w:r w:rsidR="00773F5D" w:rsidRPr="004C7F84">
        <w:t>’</w:t>
      </w:r>
      <w:r w:rsidRPr="004C7F84">
        <w:t>élimination de toutes les formes de discrimination à l</w:t>
      </w:r>
      <w:r w:rsidR="00773F5D" w:rsidRPr="004C7F84">
        <w:t>’</w:t>
      </w:r>
      <w:r w:rsidRPr="004C7F84">
        <w:t>égard des femmes. Depuis la présentation du dernier rapport en 1995, le climat social et culturel a considérablement évolué si bien que les femmes prennent aujourd</w:t>
      </w:r>
      <w:r w:rsidR="00773F5D" w:rsidRPr="004C7F84">
        <w:t>’</w:t>
      </w:r>
      <w:r w:rsidRPr="004C7F84">
        <w:t>hui la place qui leur revient dans la société. La reconnaissance du droit des femmes à l</w:t>
      </w:r>
      <w:r w:rsidR="00773F5D" w:rsidRPr="004C7F84">
        <w:t>’</w:t>
      </w:r>
      <w:r w:rsidRPr="004C7F84">
        <w:t>égalité avec les hommes dans tous les domaines est encouragée dans les médias et d</w:t>
      </w:r>
      <w:r w:rsidR="00773F5D" w:rsidRPr="004C7F84">
        <w:t>’</w:t>
      </w:r>
      <w:r w:rsidRPr="004C7F84">
        <w:t>autres lieux d</w:t>
      </w:r>
      <w:r w:rsidR="00773F5D" w:rsidRPr="004C7F84">
        <w:t>’</w:t>
      </w:r>
      <w:r w:rsidRPr="004C7F84">
        <w:t>échanges publics.</w:t>
      </w:r>
    </w:p>
    <w:p w14:paraId="77657A98" w14:textId="17E8A476" w:rsidR="0034195A" w:rsidRPr="004C7F84" w:rsidRDefault="00D21A90" w:rsidP="00514306">
      <w:pPr>
        <w:pStyle w:val="SingleTxt"/>
        <w:numPr>
          <w:ilvl w:val="0"/>
          <w:numId w:val="24"/>
        </w:numPr>
        <w:spacing w:line="240" w:lineRule="exact"/>
        <w:ind w:left="1267" w:firstLine="0"/>
      </w:pPr>
      <w:r w:rsidRPr="004C7F84">
        <w:t>Antigua-et-Barbuda dispose de nombreuses lois qui portent sur l</w:t>
      </w:r>
      <w:r w:rsidR="00773F5D" w:rsidRPr="004C7F84">
        <w:t>’</w:t>
      </w:r>
      <w:r w:rsidRPr="004C7F84">
        <w:t>égalité des droits pour les femmes. Cependant, une application plus rigoureuse de ces textes et un système de suivi des violations sont nécessaires. La mise en place d</w:t>
      </w:r>
      <w:r w:rsidR="00773F5D" w:rsidRPr="004C7F84">
        <w:t>’</w:t>
      </w:r>
      <w:r w:rsidRPr="004C7F84">
        <w:t>une politique nationale d</w:t>
      </w:r>
      <w:r w:rsidR="00773F5D" w:rsidRPr="004C7F84">
        <w:t>’</w:t>
      </w:r>
      <w:r w:rsidRPr="004C7F84">
        <w:t>égalité des sexes et d</w:t>
      </w:r>
      <w:r w:rsidR="00773F5D" w:rsidRPr="004C7F84">
        <w:t>’</w:t>
      </w:r>
      <w:r w:rsidRPr="004C7F84">
        <w:t>un organe chargé expressément de suivre la mise en œuvre de la Convention, comme l</w:t>
      </w:r>
      <w:r w:rsidR="00773F5D" w:rsidRPr="004C7F84">
        <w:t>’</w:t>
      </w:r>
      <w:r w:rsidRPr="004C7F84">
        <w:t>a recommandé le Comité, est d</w:t>
      </w:r>
      <w:r w:rsidR="00773F5D" w:rsidRPr="004C7F84">
        <w:t>’</w:t>
      </w:r>
      <w:r w:rsidRPr="004C7F84">
        <w:t>une importance cruciale. En outre, des dispositions juridiques sont nécessaires pour renforcer le rôle des femmes dans la prise de décisions et leur représentation aux postes de responsabilité.</w:t>
      </w:r>
    </w:p>
    <w:p w14:paraId="0B1D0C16" w14:textId="77777777" w:rsidR="0034195A" w:rsidRPr="004C7F84" w:rsidRDefault="0034195A" w:rsidP="0034195A">
      <w:pPr>
        <w:suppressAutoHyphens w:val="0"/>
        <w:spacing w:after="200" w:line="276" w:lineRule="auto"/>
        <w:rPr>
          <w:rFonts w:asciiTheme="majorBidi" w:hAnsiTheme="majorBidi" w:cstheme="majorBidi"/>
        </w:rPr>
      </w:pPr>
      <w:r w:rsidRPr="004C7F84">
        <w:rPr>
          <w:rFonts w:asciiTheme="majorBidi" w:hAnsiTheme="majorBidi" w:cstheme="majorBidi"/>
        </w:rPr>
        <w:br w:type="page"/>
      </w:r>
    </w:p>
    <w:p w14:paraId="74656D00" w14:textId="3124826D" w:rsidR="0034195A" w:rsidRPr="00F05573" w:rsidRDefault="0034195A" w:rsidP="0034195A">
      <w:pPr>
        <w:pStyle w:val="HCh"/>
        <w:ind w:left="1267" w:right="1260" w:hanging="1267"/>
        <w:rPr>
          <w:lang w:val="en-US"/>
        </w:rPr>
      </w:pPr>
      <w:r w:rsidRPr="004C7F84">
        <w:lastRenderedPageBreak/>
        <w:tab/>
      </w:r>
      <w:r w:rsidRPr="004C7F84">
        <w:tab/>
      </w:r>
      <w:r w:rsidR="00D21A90" w:rsidRPr="00F05573">
        <w:rPr>
          <w:lang w:val="en-US"/>
        </w:rPr>
        <w:t>Bibliographie</w:t>
      </w:r>
      <w:r w:rsidRPr="00F05573">
        <w:rPr>
          <w:lang w:val="en-US"/>
        </w:rPr>
        <w:t xml:space="preserve"> </w:t>
      </w:r>
    </w:p>
    <w:p w14:paraId="72137E00" w14:textId="77777777" w:rsidR="0034195A" w:rsidRPr="00F05573" w:rsidRDefault="0034195A" w:rsidP="0034195A">
      <w:pPr>
        <w:pStyle w:val="SingleTxt"/>
        <w:spacing w:after="0" w:line="120" w:lineRule="exact"/>
        <w:rPr>
          <w:rFonts w:asciiTheme="majorBidi" w:hAnsiTheme="majorBidi" w:cstheme="majorBidi"/>
          <w:sz w:val="10"/>
          <w:lang w:val="en-US"/>
        </w:rPr>
      </w:pPr>
    </w:p>
    <w:p w14:paraId="70D5C081" w14:textId="77777777" w:rsidR="0034195A" w:rsidRPr="00F05573" w:rsidRDefault="0034195A" w:rsidP="0034195A">
      <w:pPr>
        <w:pStyle w:val="SingleTxt"/>
        <w:spacing w:after="0" w:line="120" w:lineRule="exact"/>
        <w:rPr>
          <w:rFonts w:asciiTheme="majorBidi" w:hAnsiTheme="majorBidi" w:cstheme="majorBidi"/>
          <w:sz w:val="10"/>
          <w:lang w:val="en-US"/>
        </w:rPr>
      </w:pPr>
    </w:p>
    <w:p w14:paraId="5571903C" w14:textId="1DE24FD9" w:rsidR="00D21A90" w:rsidRPr="00F05573" w:rsidRDefault="00247F01" w:rsidP="00D21A90">
      <w:pPr>
        <w:pStyle w:val="SingleTxt"/>
        <w:rPr>
          <w:rFonts w:asciiTheme="majorBidi" w:hAnsiTheme="majorBidi" w:cstheme="majorBidi"/>
          <w:lang w:val="en-US"/>
        </w:rPr>
      </w:pPr>
      <w:hyperlink r:id="rId17" w:history="1">
        <w:r w:rsidR="00D21A90" w:rsidRPr="00F05573">
          <w:rPr>
            <w:rStyle w:val="Hyperlink"/>
            <w:rFonts w:asciiTheme="majorBidi" w:hAnsiTheme="majorBidi" w:cstheme="majorBidi"/>
            <w:lang w:val="en-US"/>
          </w:rPr>
          <w:t>A/52/38/Rev.1</w:t>
        </w:r>
      </w:hyperlink>
      <w:r w:rsidR="00D21A90" w:rsidRPr="00F05573">
        <w:rPr>
          <w:rFonts w:asciiTheme="majorBidi" w:hAnsiTheme="majorBidi" w:cstheme="majorBidi"/>
          <w:lang w:val="en-US"/>
        </w:rPr>
        <w:t>, 1997.</w:t>
      </w:r>
    </w:p>
    <w:p w14:paraId="00B72445" w14:textId="77777777" w:rsidR="00D21A90" w:rsidRPr="00F05573" w:rsidRDefault="00D21A90" w:rsidP="001B7732">
      <w:pPr>
        <w:pStyle w:val="SingleTxt"/>
        <w:jc w:val="left"/>
        <w:rPr>
          <w:rFonts w:asciiTheme="majorBidi" w:hAnsiTheme="majorBidi" w:cstheme="majorBidi"/>
          <w:lang w:val="en-US"/>
        </w:rPr>
      </w:pPr>
      <w:r w:rsidRPr="00F05573">
        <w:rPr>
          <w:rFonts w:asciiTheme="majorBidi" w:hAnsiTheme="majorBidi" w:cstheme="majorBidi"/>
          <w:lang w:val="en-US"/>
        </w:rPr>
        <w:t>CARICOM, Health and Family Life Education Regional Curriculum Framework, CARICOM et UNICEF, 2009.</w:t>
      </w:r>
    </w:p>
    <w:p w14:paraId="0CF70FB6" w14:textId="0ACEB9CC" w:rsidR="00D21A90" w:rsidRPr="004C7F84" w:rsidRDefault="00D21A90" w:rsidP="001B7732">
      <w:pPr>
        <w:pStyle w:val="SingleTxt"/>
        <w:jc w:val="left"/>
        <w:rPr>
          <w:rFonts w:asciiTheme="majorBidi" w:hAnsiTheme="majorBidi" w:cstheme="majorBidi"/>
        </w:rPr>
      </w:pPr>
      <w:r w:rsidRPr="004C7F84">
        <w:rPr>
          <w:rFonts w:asciiTheme="majorBidi" w:hAnsiTheme="majorBidi" w:cstheme="majorBidi"/>
        </w:rPr>
        <w:t>CDB Country Gender Assessment, Vol</w:t>
      </w:r>
      <w:r w:rsidR="001B7732" w:rsidRPr="004C7F84">
        <w:rPr>
          <w:rFonts w:asciiTheme="majorBidi" w:hAnsiTheme="majorBidi" w:cstheme="majorBidi"/>
        </w:rPr>
        <w:t>. 1</w:t>
      </w:r>
      <w:r w:rsidRPr="004C7F84">
        <w:rPr>
          <w:rFonts w:asciiTheme="majorBidi" w:hAnsiTheme="majorBidi" w:cstheme="majorBidi"/>
        </w:rPr>
        <w:t>, document élaboré par Tamara Huggins, Rawwida Baksh et al., juin 2014.</w:t>
      </w:r>
    </w:p>
    <w:p w14:paraId="7D2265C6" w14:textId="484FB607" w:rsidR="00D21A90" w:rsidRPr="004C7F84" w:rsidRDefault="00D21A90" w:rsidP="001B7732">
      <w:pPr>
        <w:pStyle w:val="SingleTxt"/>
        <w:jc w:val="left"/>
        <w:rPr>
          <w:rFonts w:asciiTheme="majorBidi" w:hAnsiTheme="majorBidi" w:cstheme="majorBidi"/>
        </w:rPr>
      </w:pPr>
      <w:r w:rsidRPr="004C7F84">
        <w:rPr>
          <w:rFonts w:asciiTheme="majorBidi" w:hAnsiTheme="majorBidi" w:cstheme="majorBidi"/>
        </w:rPr>
        <w:t>Direction de la problématique hommes-femmes, Plan d</w:t>
      </w:r>
      <w:r w:rsidR="00773F5D" w:rsidRPr="004C7F84">
        <w:rPr>
          <w:rFonts w:asciiTheme="majorBidi" w:hAnsiTheme="majorBidi" w:cstheme="majorBidi"/>
        </w:rPr>
        <w:t>’</w:t>
      </w:r>
      <w:r w:rsidRPr="004C7F84">
        <w:rPr>
          <w:rFonts w:asciiTheme="majorBidi" w:hAnsiTheme="majorBidi" w:cstheme="majorBidi"/>
        </w:rPr>
        <w:t xml:space="preserve">action national visant à mettre un terme à la </w:t>
      </w:r>
      <w:r w:rsidRPr="004C7F84">
        <w:rPr>
          <w:rFonts w:asciiTheme="majorBidi" w:hAnsiTheme="majorBidi" w:cstheme="majorBidi"/>
          <w:iCs/>
        </w:rPr>
        <w:t>violence</w:t>
      </w:r>
      <w:r w:rsidRPr="004C7F84">
        <w:rPr>
          <w:rFonts w:asciiTheme="majorBidi" w:hAnsiTheme="majorBidi" w:cstheme="majorBidi"/>
        </w:rPr>
        <w:t xml:space="preserve"> sexiste, Ministère de l</w:t>
      </w:r>
      <w:r w:rsidR="00773F5D" w:rsidRPr="004C7F84">
        <w:rPr>
          <w:rFonts w:asciiTheme="majorBidi" w:hAnsiTheme="majorBidi" w:cstheme="majorBidi"/>
        </w:rPr>
        <w:t>’</w:t>
      </w:r>
      <w:r w:rsidRPr="004C7F84">
        <w:rPr>
          <w:rFonts w:asciiTheme="majorBidi" w:hAnsiTheme="majorBidi" w:cstheme="majorBidi"/>
        </w:rPr>
        <w:t>éducation, de la jeunesse, des sports et de la problématique hommes-femmes du Gouvernement d</w:t>
      </w:r>
      <w:r w:rsidR="00773F5D" w:rsidRPr="004C7F84">
        <w:rPr>
          <w:rFonts w:asciiTheme="majorBidi" w:hAnsiTheme="majorBidi" w:cstheme="majorBidi"/>
        </w:rPr>
        <w:t>’</w:t>
      </w:r>
      <w:r w:rsidRPr="004C7F84">
        <w:rPr>
          <w:rFonts w:asciiTheme="majorBidi" w:hAnsiTheme="majorBidi" w:cstheme="majorBidi"/>
        </w:rPr>
        <w:t>Antigua-et- Barbuda, 2013.</w:t>
      </w:r>
    </w:p>
    <w:p w14:paraId="2BA74C2A" w14:textId="6FB39DC3" w:rsidR="00D21A90" w:rsidRPr="004C7F84" w:rsidRDefault="001B7732" w:rsidP="001B7732">
      <w:pPr>
        <w:pStyle w:val="SingleTxt"/>
        <w:jc w:val="left"/>
        <w:rPr>
          <w:rFonts w:asciiTheme="majorBidi" w:hAnsiTheme="majorBidi" w:cstheme="majorBidi"/>
        </w:rPr>
      </w:pPr>
      <w:r w:rsidRPr="004C7F84">
        <w:rPr>
          <w:rFonts w:asciiTheme="majorBidi" w:hAnsiTheme="majorBidi" w:cstheme="majorBidi"/>
        </w:rPr>
        <w:t>Gouvernement d</w:t>
      </w:r>
      <w:r w:rsidR="00773F5D" w:rsidRPr="004C7F84">
        <w:rPr>
          <w:rFonts w:asciiTheme="majorBidi" w:hAnsiTheme="majorBidi" w:cstheme="majorBidi"/>
        </w:rPr>
        <w:t>’</w:t>
      </w:r>
      <w:r w:rsidRPr="004C7F84">
        <w:rPr>
          <w:rFonts w:asciiTheme="majorBidi" w:hAnsiTheme="majorBidi" w:cstheme="majorBidi"/>
        </w:rPr>
        <w:t>Antigua-et-</w:t>
      </w:r>
      <w:r w:rsidR="00D21A90" w:rsidRPr="004C7F84">
        <w:rPr>
          <w:rFonts w:asciiTheme="majorBidi" w:hAnsiTheme="majorBidi" w:cstheme="majorBidi"/>
        </w:rPr>
        <w:t xml:space="preserve">Barbuda, Rapport unique (valant deuxième, </w:t>
      </w:r>
      <w:r w:rsidRPr="004C7F84">
        <w:rPr>
          <w:rFonts w:asciiTheme="majorBidi" w:hAnsiTheme="majorBidi" w:cstheme="majorBidi"/>
        </w:rPr>
        <w:t xml:space="preserve">troisième et quatrième rapports </w:t>
      </w:r>
      <w:r w:rsidR="00D21A90" w:rsidRPr="004C7F84">
        <w:rPr>
          <w:rFonts w:asciiTheme="majorBidi" w:hAnsiTheme="majorBidi" w:cstheme="majorBidi"/>
        </w:rPr>
        <w:t>périodiques)</w:t>
      </w:r>
      <w:r w:rsidR="00773F5D" w:rsidRPr="004C7F84">
        <w:rPr>
          <w:rFonts w:asciiTheme="majorBidi" w:hAnsiTheme="majorBidi" w:cstheme="majorBidi"/>
        </w:rPr>
        <w:t> :</w:t>
      </w:r>
      <w:r w:rsidR="00D21A90" w:rsidRPr="004C7F84">
        <w:rPr>
          <w:rFonts w:asciiTheme="majorBidi" w:hAnsiTheme="majorBidi" w:cstheme="majorBidi"/>
        </w:rPr>
        <w:t xml:space="preserve"> relative aux droits de l</w:t>
      </w:r>
      <w:r w:rsidR="00773F5D" w:rsidRPr="004C7F84">
        <w:rPr>
          <w:rFonts w:asciiTheme="majorBidi" w:hAnsiTheme="majorBidi" w:cstheme="majorBidi"/>
        </w:rPr>
        <w:t>’</w:t>
      </w:r>
      <w:r w:rsidR="00D21A90" w:rsidRPr="004C7F84">
        <w:rPr>
          <w:rFonts w:asciiTheme="majorBidi" w:hAnsiTheme="majorBidi" w:cstheme="majorBidi"/>
        </w:rPr>
        <w:t>enfant, Antigua-et- Barbuda, 2013.</w:t>
      </w:r>
    </w:p>
    <w:p w14:paraId="4C21A047" w14:textId="6A114DE7" w:rsidR="00D21A90" w:rsidRPr="00F05573" w:rsidRDefault="00D21A90" w:rsidP="001B7732">
      <w:pPr>
        <w:pStyle w:val="SingleTxt"/>
        <w:jc w:val="left"/>
        <w:rPr>
          <w:rFonts w:asciiTheme="majorBidi" w:hAnsiTheme="majorBidi" w:cstheme="majorBidi"/>
          <w:lang w:val="en-US"/>
        </w:rPr>
      </w:pPr>
      <w:r w:rsidRPr="00F05573">
        <w:rPr>
          <w:rFonts w:asciiTheme="majorBidi" w:hAnsiTheme="majorBidi" w:cstheme="majorBidi"/>
          <w:lang w:val="en-US"/>
        </w:rPr>
        <w:t>Gouverneme</w:t>
      </w:r>
      <w:r w:rsidR="001B7732" w:rsidRPr="00F05573">
        <w:rPr>
          <w:rFonts w:asciiTheme="majorBidi" w:hAnsiTheme="majorBidi" w:cstheme="majorBidi"/>
          <w:lang w:val="en-US"/>
        </w:rPr>
        <w:t>nt d</w:t>
      </w:r>
      <w:r w:rsidR="00773F5D" w:rsidRPr="00F05573">
        <w:rPr>
          <w:rFonts w:asciiTheme="majorBidi" w:hAnsiTheme="majorBidi" w:cstheme="majorBidi"/>
          <w:lang w:val="en-US"/>
        </w:rPr>
        <w:t>’</w:t>
      </w:r>
      <w:r w:rsidR="001B7732" w:rsidRPr="00F05573">
        <w:rPr>
          <w:rFonts w:asciiTheme="majorBidi" w:hAnsiTheme="majorBidi" w:cstheme="majorBidi"/>
          <w:lang w:val="en-US"/>
        </w:rPr>
        <w:t>Antigua-et-</w:t>
      </w:r>
      <w:r w:rsidRPr="00F05573">
        <w:rPr>
          <w:rFonts w:asciiTheme="majorBidi" w:hAnsiTheme="majorBidi" w:cstheme="majorBidi"/>
          <w:lang w:val="en-US"/>
        </w:rPr>
        <w:t>Barbuda, Antigua and Barbuda National Review of the Beijing Platform for Action + 20, 2014.</w:t>
      </w:r>
    </w:p>
    <w:p w14:paraId="410EA666" w14:textId="3E490B4A" w:rsidR="00D21A90" w:rsidRPr="004C7F84" w:rsidRDefault="00D21A90" w:rsidP="001B7732">
      <w:pPr>
        <w:pStyle w:val="SingleTxt"/>
        <w:jc w:val="left"/>
        <w:rPr>
          <w:rFonts w:asciiTheme="majorBidi" w:hAnsiTheme="majorBidi" w:cstheme="majorBidi"/>
        </w:rPr>
      </w:pPr>
      <w:r w:rsidRPr="00F05573">
        <w:rPr>
          <w:rFonts w:asciiTheme="majorBidi" w:hAnsiTheme="majorBidi" w:cstheme="majorBidi"/>
          <w:lang w:val="en-US"/>
        </w:rPr>
        <w:t>GENIVAR, Sustainable Island Resource Management Zoning Plan for Antigua and Barbuda (including Redonda).</w:t>
      </w:r>
      <w:r w:rsidR="00D550EE" w:rsidRPr="00F05573">
        <w:rPr>
          <w:rFonts w:asciiTheme="majorBidi" w:hAnsiTheme="majorBidi" w:cstheme="majorBidi"/>
          <w:lang w:val="en-US"/>
        </w:rPr>
        <w:t xml:space="preserve"> </w:t>
      </w:r>
      <w:r w:rsidRPr="004C7F84">
        <w:rPr>
          <w:rFonts w:asciiTheme="majorBidi" w:hAnsiTheme="majorBidi" w:cstheme="majorBidi"/>
        </w:rPr>
        <w:t>GENIVAR, Trinité-et-Tobago, 2011.</w:t>
      </w:r>
    </w:p>
    <w:p w14:paraId="6A127264" w14:textId="09C819E6" w:rsidR="00D21A90" w:rsidRPr="004C7F84" w:rsidRDefault="00D21A90" w:rsidP="001B7732">
      <w:pPr>
        <w:pStyle w:val="SingleTxt"/>
        <w:jc w:val="left"/>
        <w:rPr>
          <w:rFonts w:asciiTheme="majorBidi" w:hAnsiTheme="majorBidi" w:cstheme="majorBidi"/>
        </w:rPr>
      </w:pPr>
      <w:r w:rsidRPr="004C7F84">
        <w:rPr>
          <w:rFonts w:asciiTheme="majorBidi" w:hAnsiTheme="majorBidi" w:cstheme="majorBidi"/>
        </w:rPr>
        <w:t>Huggins, Tamara, Review of Legislation and Policies on Gender-based and Sexual Violence: Antigua and Barbuda, document élaboré à la demande de la Direction de la problématique hommes-femmes du Gouvernement d</w:t>
      </w:r>
      <w:r w:rsidR="00773F5D" w:rsidRPr="004C7F84">
        <w:rPr>
          <w:rFonts w:asciiTheme="majorBidi" w:hAnsiTheme="majorBidi" w:cstheme="majorBidi"/>
        </w:rPr>
        <w:t>’</w:t>
      </w:r>
      <w:r w:rsidRPr="004C7F84">
        <w:rPr>
          <w:rFonts w:asciiTheme="majorBidi" w:hAnsiTheme="majorBidi" w:cstheme="majorBidi"/>
        </w:rPr>
        <w:t>Antigua-et- Barbuda, 2015.</w:t>
      </w:r>
    </w:p>
    <w:p w14:paraId="60BB5046" w14:textId="77777777" w:rsidR="00D21A90" w:rsidRPr="00F05573" w:rsidRDefault="00D21A90" w:rsidP="001B7732">
      <w:pPr>
        <w:pStyle w:val="SingleTxt"/>
        <w:jc w:val="left"/>
        <w:rPr>
          <w:rFonts w:asciiTheme="majorBidi" w:hAnsiTheme="majorBidi" w:cstheme="majorBidi"/>
          <w:lang w:val="en-US"/>
        </w:rPr>
      </w:pPr>
      <w:r w:rsidRPr="00F05573">
        <w:rPr>
          <w:rFonts w:asciiTheme="majorBidi" w:hAnsiTheme="majorBidi" w:cstheme="majorBidi"/>
          <w:lang w:val="en-US"/>
        </w:rPr>
        <w:t>Kairi Consultants Ltd, Country Assessment Poverty Report on Living Conditions in Antigua and Barbuda: Poverty in a Services Economy in Transition, Banque de développement des Caraïbes, 2007.</w:t>
      </w:r>
    </w:p>
    <w:p w14:paraId="0D03877E" w14:textId="7BC90C47" w:rsidR="00D21A90" w:rsidRPr="00F05573" w:rsidRDefault="00D21A90" w:rsidP="001B7732">
      <w:pPr>
        <w:pStyle w:val="SingleTxt"/>
        <w:jc w:val="left"/>
        <w:rPr>
          <w:rFonts w:asciiTheme="majorBidi" w:hAnsiTheme="majorBidi" w:cstheme="majorBidi"/>
          <w:lang w:val="en-US"/>
        </w:rPr>
      </w:pPr>
      <w:r w:rsidRPr="00F05573">
        <w:rPr>
          <w:rFonts w:asciiTheme="majorBidi" w:hAnsiTheme="majorBidi" w:cstheme="majorBidi"/>
          <w:lang w:val="en-US"/>
        </w:rPr>
        <w:t>Martin, T, Doyle, B. et Raphael, J., “Trends in the Prevalence of Adolescent Births in Antigua and Barbuda over 35 years”, in the West Indian Medical Journal, Vol.</w:t>
      </w:r>
      <w:r w:rsidR="001B7732" w:rsidRPr="00F05573">
        <w:rPr>
          <w:rFonts w:asciiTheme="majorBidi" w:hAnsiTheme="majorBidi" w:cstheme="majorBidi"/>
          <w:lang w:val="en-US"/>
        </w:rPr>
        <w:t> 57, n</w:t>
      </w:r>
      <w:r w:rsidR="001B7732" w:rsidRPr="00F05573">
        <w:rPr>
          <w:rFonts w:asciiTheme="majorBidi" w:hAnsiTheme="majorBidi" w:cstheme="majorBidi"/>
          <w:vertAlign w:val="superscript"/>
          <w:lang w:val="en-US"/>
        </w:rPr>
        <w:t>o</w:t>
      </w:r>
      <w:r w:rsidR="001B7732" w:rsidRPr="00F05573">
        <w:rPr>
          <w:rFonts w:asciiTheme="majorBidi" w:hAnsiTheme="majorBidi" w:cstheme="majorBidi"/>
          <w:lang w:val="en-US"/>
        </w:rPr>
        <w:t xml:space="preserve"> 2, 2008, p. 95 à </w:t>
      </w:r>
      <w:r w:rsidRPr="00F05573">
        <w:rPr>
          <w:rFonts w:asciiTheme="majorBidi" w:hAnsiTheme="majorBidi" w:cstheme="majorBidi"/>
          <w:lang w:val="en-US"/>
        </w:rPr>
        <w:t>100.</w:t>
      </w:r>
    </w:p>
    <w:p w14:paraId="5B719C20" w14:textId="46144A95" w:rsidR="00D21A90" w:rsidRPr="004C7F84" w:rsidRDefault="00D21A90" w:rsidP="001B7732">
      <w:pPr>
        <w:pStyle w:val="SingleTxt"/>
        <w:jc w:val="left"/>
        <w:rPr>
          <w:rFonts w:asciiTheme="majorBidi" w:hAnsiTheme="majorBidi" w:cstheme="majorBidi"/>
        </w:rPr>
      </w:pPr>
      <w:r w:rsidRPr="004C7F84">
        <w:rPr>
          <w:rFonts w:asciiTheme="majorBidi" w:hAnsiTheme="majorBidi" w:cstheme="majorBidi"/>
        </w:rPr>
        <w:t>Ministère de l</w:t>
      </w:r>
      <w:r w:rsidR="00773F5D" w:rsidRPr="004C7F84">
        <w:rPr>
          <w:rFonts w:asciiTheme="majorBidi" w:hAnsiTheme="majorBidi" w:cstheme="majorBidi"/>
        </w:rPr>
        <w:t>’</w:t>
      </w:r>
      <w:r w:rsidRPr="004C7F84">
        <w:rPr>
          <w:rFonts w:asciiTheme="majorBidi" w:hAnsiTheme="majorBidi" w:cstheme="majorBidi"/>
        </w:rPr>
        <w:t>éducation, National Policy on Health and Family Life Education, Ministère de l</w:t>
      </w:r>
      <w:r w:rsidR="00773F5D" w:rsidRPr="004C7F84">
        <w:rPr>
          <w:rFonts w:asciiTheme="majorBidi" w:hAnsiTheme="majorBidi" w:cstheme="majorBidi"/>
        </w:rPr>
        <w:t>’</w:t>
      </w:r>
      <w:r w:rsidRPr="004C7F84">
        <w:rPr>
          <w:rFonts w:asciiTheme="majorBidi" w:hAnsiTheme="majorBidi" w:cstheme="majorBidi"/>
        </w:rPr>
        <w:t>éducation, de la jeunesse, des sports et de la problématique hommes-femme</w:t>
      </w:r>
      <w:r w:rsidR="001B7732" w:rsidRPr="004C7F84">
        <w:rPr>
          <w:rFonts w:asciiTheme="majorBidi" w:hAnsiTheme="majorBidi" w:cstheme="majorBidi"/>
        </w:rPr>
        <w:t>s du Gouvernement d</w:t>
      </w:r>
      <w:r w:rsidR="00773F5D" w:rsidRPr="004C7F84">
        <w:rPr>
          <w:rFonts w:asciiTheme="majorBidi" w:hAnsiTheme="majorBidi" w:cstheme="majorBidi"/>
        </w:rPr>
        <w:t>’</w:t>
      </w:r>
      <w:r w:rsidR="001B7732" w:rsidRPr="004C7F84">
        <w:rPr>
          <w:rFonts w:asciiTheme="majorBidi" w:hAnsiTheme="majorBidi" w:cstheme="majorBidi"/>
        </w:rPr>
        <w:t>Antigua-et-</w:t>
      </w:r>
      <w:r w:rsidRPr="004C7F84">
        <w:rPr>
          <w:rFonts w:asciiTheme="majorBidi" w:hAnsiTheme="majorBidi" w:cstheme="majorBidi"/>
        </w:rPr>
        <w:t xml:space="preserve">Barbuda, 2010. </w:t>
      </w:r>
    </w:p>
    <w:p w14:paraId="307F7009" w14:textId="610FA402" w:rsidR="00D21A90" w:rsidRPr="004C7F84" w:rsidRDefault="00D21A90" w:rsidP="001B7732">
      <w:pPr>
        <w:pStyle w:val="SingleTxt"/>
        <w:jc w:val="left"/>
        <w:rPr>
          <w:rFonts w:asciiTheme="majorBidi" w:hAnsiTheme="majorBidi" w:cstheme="majorBidi"/>
        </w:rPr>
      </w:pPr>
      <w:r w:rsidRPr="004C7F84">
        <w:rPr>
          <w:rFonts w:asciiTheme="majorBidi" w:hAnsiTheme="majorBidi" w:cstheme="majorBidi"/>
        </w:rPr>
        <w:t>Groupe de la planification du Ministère de l</w:t>
      </w:r>
      <w:r w:rsidR="00773F5D" w:rsidRPr="004C7F84">
        <w:rPr>
          <w:rFonts w:asciiTheme="majorBidi" w:hAnsiTheme="majorBidi" w:cstheme="majorBidi"/>
        </w:rPr>
        <w:t>’</w:t>
      </w:r>
      <w:r w:rsidRPr="004C7F84">
        <w:rPr>
          <w:rFonts w:asciiTheme="majorBidi" w:hAnsiTheme="majorBidi" w:cstheme="majorBidi"/>
        </w:rPr>
        <w:t>éducation, Antigua and Barbuda Education Statistical Digest, Ministère de l</w:t>
      </w:r>
      <w:r w:rsidR="00773F5D" w:rsidRPr="004C7F84">
        <w:rPr>
          <w:rFonts w:asciiTheme="majorBidi" w:hAnsiTheme="majorBidi" w:cstheme="majorBidi"/>
        </w:rPr>
        <w:t>’</w:t>
      </w:r>
      <w:r w:rsidRPr="004C7F84">
        <w:rPr>
          <w:rFonts w:asciiTheme="majorBidi" w:hAnsiTheme="majorBidi" w:cstheme="majorBidi"/>
        </w:rPr>
        <w:t>éducation, de la jeunesse, des sports et de la problématique hommes-femmes du Go</w:t>
      </w:r>
      <w:r w:rsidR="001B7732" w:rsidRPr="004C7F84">
        <w:rPr>
          <w:rFonts w:asciiTheme="majorBidi" w:hAnsiTheme="majorBidi" w:cstheme="majorBidi"/>
        </w:rPr>
        <w:t>uvernement d</w:t>
      </w:r>
      <w:r w:rsidR="00773F5D" w:rsidRPr="004C7F84">
        <w:rPr>
          <w:rFonts w:asciiTheme="majorBidi" w:hAnsiTheme="majorBidi" w:cstheme="majorBidi"/>
        </w:rPr>
        <w:t>’</w:t>
      </w:r>
      <w:r w:rsidR="001B7732" w:rsidRPr="004C7F84">
        <w:rPr>
          <w:rFonts w:asciiTheme="majorBidi" w:hAnsiTheme="majorBidi" w:cstheme="majorBidi"/>
        </w:rPr>
        <w:t>Antigua-et-</w:t>
      </w:r>
      <w:r w:rsidRPr="004C7F84">
        <w:rPr>
          <w:rFonts w:asciiTheme="majorBidi" w:hAnsiTheme="majorBidi" w:cstheme="majorBidi"/>
        </w:rPr>
        <w:t>Barbuda, 2012.</w:t>
      </w:r>
    </w:p>
    <w:p w14:paraId="23F9DF24" w14:textId="0027AAF6" w:rsidR="00D21A90" w:rsidRPr="004C7F84" w:rsidRDefault="00D21A90" w:rsidP="001B7732">
      <w:pPr>
        <w:pStyle w:val="SingleTxt"/>
        <w:jc w:val="left"/>
        <w:rPr>
          <w:rFonts w:asciiTheme="majorBidi" w:hAnsiTheme="majorBidi" w:cstheme="majorBidi"/>
        </w:rPr>
      </w:pPr>
      <w:r w:rsidRPr="004C7F84">
        <w:rPr>
          <w:rFonts w:asciiTheme="majorBidi" w:hAnsiTheme="majorBidi" w:cstheme="majorBidi"/>
        </w:rPr>
        <w:t>Groupe de la planification du Ministère de l</w:t>
      </w:r>
      <w:r w:rsidR="00773F5D" w:rsidRPr="004C7F84">
        <w:rPr>
          <w:rFonts w:asciiTheme="majorBidi" w:hAnsiTheme="majorBidi" w:cstheme="majorBidi"/>
        </w:rPr>
        <w:t>’</w:t>
      </w:r>
      <w:r w:rsidRPr="004C7F84">
        <w:rPr>
          <w:rFonts w:asciiTheme="majorBidi" w:hAnsiTheme="majorBidi" w:cstheme="majorBidi"/>
        </w:rPr>
        <w:t>éducation, Antigua and Barbuda Education Statistical Digest: 2013–2015, Ministère de l</w:t>
      </w:r>
      <w:r w:rsidR="00773F5D" w:rsidRPr="004C7F84">
        <w:rPr>
          <w:rFonts w:asciiTheme="majorBidi" w:hAnsiTheme="majorBidi" w:cstheme="majorBidi"/>
        </w:rPr>
        <w:t>’</w:t>
      </w:r>
      <w:r w:rsidRPr="004C7F84">
        <w:rPr>
          <w:rFonts w:asciiTheme="majorBidi" w:hAnsiTheme="majorBidi" w:cstheme="majorBidi"/>
        </w:rPr>
        <w:t xml:space="preserve">éducation, de la jeunesse, des sports et de la protection des consommateurs, 2015. </w:t>
      </w:r>
    </w:p>
    <w:p w14:paraId="43F221B3" w14:textId="16C7680A" w:rsidR="00D21A90" w:rsidRPr="004C7F84" w:rsidRDefault="00D21A90" w:rsidP="001B7732">
      <w:pPr>
        <w:pStyle w:val="SingleTxt"/>
        <w:jc w:val="left"/>
        <w:rPr>
          <w:rFonts w:asciiTheme="majorBidi" w:hAnsiTheme="majorBidi" w:cstheme="majorBidi"/>
        </w:rPr>
      </w:pPr>
      <w:r w:rsidRPr="004C7F84">
        <w:rPr>
          <w:rFonts w:asciiTheme="majorBidi" w:hAnsiTheme="majorBidi" w:cstheme="majorBidi"/>
        </w:rPr>
        <w:t>Nia Comms, Work Report on Outcome 4 of the UN Trust Fund Project to Eliminate Violence against Women, document élaboré à la demande de la Direction de la problématique hommes-femmes du Gouvernement d</w:t>
      </w:r>
      <w:r w:rsidR="00773F5D" w:rsidRPr="004C7F84">
        <w:rPr>
          <w:rFonts w:asciiTheme="majorBidi" w:hAnsiTheme="majorBidi" w:cstheme="majorBidi"/>
        </w:rPr>
        <w:t>’</w:t>
      </w:r>
      <w:r w:rsidRPr="004C7F84">
        <w:rPr>
          <w:rFonts w:asciiTheme="majorBidi" w:hAnsiTheme="majorBidi" w:cstheme="majorBidi"/>
        </w:rPr>
        <w:t>Antigua-et-Barbuda, 2015.</w:t>
      </w:r>
    </w:p>
    <w:p w14:paraId="3B039DA7" w14:textId="77777777" w:rsidR="00D21A90" w:rsidRPr="004C7F84" w:rsidRDefault="00D21A90" w:rsidP="001B7732">
      <w:pPr>
        <w:pStyle w:val="SingleTxt"/>
        <w:jc w:val="left"/>
        <w:rPr>
          <w:rFonts w:asciiTheme="majorBidi" w:hAnsiTheme="majorBidi" w:cstheme="majorBidi"/>
        </w:rPr>
      </w:pPr>
      <w:r w:rsidRPr="004C7F84">
        <w:rPr>
          <w:rFonts w:asciiTheme="majorBidi" w:hAnsiTheme="majorBidi" w:cstheme="majorBidi"/>
        </w:rPr>
        <w:t xml:space="preserve">Nunes et al., “New Acceptors of Contraceptives”, article non publié, 2006. </w:t>
      </w:r>
    </w:p>
    <w:p w14:paraId="14C3F067" w14:textId="19F997D3" w:rsidR="00D21A90" w:rsidRPr="00F05573" w:rsidRDefault="00D21A90" w:rsidP="001B7732">
      <w:pPr>
        <w:pStyle w:val="SingleTxt"/>
        <w:keepNext/>
        <w:keepLines/>
        <w:jc w:val="left"/>
        <w:rPr>
          <w:rFonts w:asciiTheme="majorBidi" w:hAnsiTheme="majorBidi" w:cstheme="majorBidi"/>
          <w:lang w:val="en-US"/>
        </w:rPr>
      </w:pPr>
      <w:r w:rsidRPr="00F05573">
        <w:rPr>
          <w:rFonts w:asciiTheme="majorBidi" w:hAnsiTheme="majorBidi" w:cstheme="majorBidi"/>
          <w:lang w:val="en-US"/>
        </w:rPr>
        <w:lastRenderedPageBreak/>
        <w:t>Osoba, Ermina, “The Need for Women</w:t>
      </w:r>
      <w:r w:rsidR="00773F5D" w:rsidRPr="00F05573">
        <w:rPr>
          <w:rFonts w:asciiTheme="majorBidi" w:hAnsiTheme="majorBidi" w:cstheme="majorBidi"/>
          <w:lang w:val="en-US"/>
        </w:rPr>
        <w:t>’</w:t>
      </w:r>
      <w:r w:rsidRPr="00F05573">
        <w:rPr>
          <w:rFonts w:asciiTheme="majorBidi" w:hAnsiTheme="majorBidi" w:cstheme="majorBidi"/>
          <w:lang w:val="en-US"/>
        </w:rPr>
        <w:t xml:space="preserve">s Participation in Power and Decision-Making Structures – the Case for Antigua and Barbuda”. </w:t>
      </w:r>
      <w:r w:rsidRPr="004C7F84">
        <w:rPr>
          <w:rFonts w:asciiTheme="majorBidi" w:hAnsiTheme="majorBidi" w:cstheme="majorBidi"/>
        </w:rPr>
        <w:t>Document présenté dans le cadre du projet commun Direction de la problématique hommes-femmes/</w:t>
      </w:r>
      <w:r w:rsidR="001B7732" w:rsidRPr="004C7F84">
        <w:rPr>
          <w:rFonts w:asciiTheme="majorBidi" w:hAnsiTheme="majorBidi" w:cstheme="majorBidi"/>
        </w:rPr>
        <w:t xml:space="preserve"> </w:t>
      </w:r>
      <w:r w:rsidRPr="004C7F84">
        <w:rPr>
          <w:rFonts w:asciiTheme="majorBidi" w:hAnsiTheme="majorBidi" w:cstheme="majorBidi"/>
        </w:rPr>
        <w:t>Organisatio</w:t>
      </w:r>
      <w:r w:rsidR="001B7732" w:rsidRPr="004C7F84">
        <w:rPr>
          <w:rFonts w:asciiTheme="majorBidi" w:hAnsiTheme="majorBidi" w:cstheme="majorBidi"/>
        </w:rPr>
        <w:t>n des États américains intitulé</w:t>
      </w:r>
      <w:r w:rsidRPr="004C7F84">
        <w:rPr>
          <w:rFonts w:asciiTheme="majorBidi" w:hAnsiTheme="majorBidi" w:cstheme="majorBidi"/>
        </w:rPr>
        <w:t xml:space="preserve"> “Women</w:t>
      </w:r>
      <w:r w:rsidR="00773F5D" w:rsidRPr="004C7F84">
        <w:rPr>
          <w:rFonts w:asciiTheme="majorBidi" w:hAnsiTheme="majorBidi" w:cstheme="majorBidi"/>
        </w:rPr>
        <w:t>’</w:t>
      </w:r>
      <w:r w:rsidRPr="004C7F84">
        <w:rPr>
          <w:rFonts w:asciiTheme="majorBidi" w:hAnsiTheme="majorBidi" w:cstheme="majorBidi"/>
        </w:rPr>
        <w:t xml:space="preserve">s Political Participation: Training in Governance and Democracy”, Octobre 2002. </w:t>
      </w:r>
      <w:r w:rsidRPr="00F05573">
        <w:rPr>
          <w:rFonts w:asciiTheme="majorBidi" w:hAnsiTheme="majorBidi" w:cstheme="majorBidi"/>
          <w:lang w:val="en-US"/>
        </w:rPr>
        <w:t>Non publié.</w:t>
      </w:r>
    </w:p>
    <w:p w14:paraId="3BEA6600" w14:textId="18FD7DE6" w:rsidR="00D21A90" w:rsidRPr="004C7F84" w:rsidRDefault="00D21A90" w:rsidP="001B7732">
      <w:pPr>
        <w:pStyle w:val="SingleTxt"/>
        <w:jc w:val="left"/>
        <w:rPr>
          <w:rFonts w:asciiTheme="majorBidi" w:hAnsiTheme="majorBidi" w:cstheme="majorBidi"/>
        </w:rPr>
      </w:pPr>
      <w:r w:rsidRPr="00F05573">
        <w:rPr>
          <w:rFonts w:asciiTheme="majorBidi" w:hAnsiTheme="majorBidi" w:cstheme="majorBidi"/>
          <w:lang w:val="en-US"/>
        </w:rPr>
        <w:t xml:space="preserve">Osoba, Ermina, “The Status of Women in Antigua and Barbuda”. </w:t>
      </w:r>
      <w:r w:rsidRPr="004C7F84">
        <w:rPr>
          <w:rFonts w:asciiTheme="majorBidi" w:hAnsiTheme="majorBidi" w:cstheme="majorBidi"/>
        </w:rPr>
        <w:t>Document présenté dans le cadre d</w:t>
      </w:r>
      <w:r w:rsidR="00773F5D" w:rsidRPr="004C7F84">
        <w:rPr>
          <w:rFonts w:asciiTheme="majorBidi" w:hAnsiTheme="majorBidi" w:cstheme="majorBidi"/>
        </w:rPr>
        <w:t>’</w:t>
      </w:r>
      <w:r w:rsidRPr="004C7F84">
        <w:rPr>
          <w:rFonts w:asciiTheme="majorBidi" w:hAnsiTheme="majorBidi" w:cstheme="majorBidi"/>
        </w:rPr>
        <w:t>un atelier de la Direction de la problématique hommes-femmes sur l</w:t>
      </w:r>
      <w:r w:rsidR="00773F5D" w:rsidRPr="004C7F84">
        <w:rPr>
          <w:rFonts w:asciiTheme="majorBidi" w:hAnsiTheme="majorBidi" w:cstheme="majorBidi"/>
        </w:rPr>
        <w:t>’</w:t>
      </w:r>
      <w:r w:rsidRPr="004C7F84">
        <w:rPr>
          <w:rFonts w:asciiTheme="majorBidi" w:hAnsiTheme="majorBidi" w:cstheme="majorBidi"/>
        </w:rPr>
        <w:t>égalité des femmes en vertu de la Constitution, mars 2001.</w:t>
      </w:r>
      <w:r w:rsidR="00773F5D" w:rsidRPr="004C7F84">
        <w:rPr>
          <w:rFonts w:asciiTheme="majorBidi" w:hAnsiTheme="majorBidi" w:cstheme="majorBidi"/>
        </w:rPr>
        <w:t xml:space="preserve"> </w:t>
      </w:r>
      <w:r w:rsidRPr="004C7F84">
        <w:rPr>
          <w:rFonts w:asciiTheme="majorBidi" w:hAnsiTheme="majorBidi" w:cstheme="majorBidi"/>
        </w:rPr>
        <w:t>Ce document a été développé et publié par la Direction de la problématique hommes-femmes sous le titre « Women in Management in Antigua and Barbuda: A Statistical Analysis », 2006.</w:t>
      </w:r>
    </w:p>
    <w:p w14:paraId="2A57EBE3" w14:textId="77777777" w:rsidR="00D21A90" w:rsidRPr="004C7F84" w:rsidRDefault="00D21A90" w:rsidP="001B7732">
      <w:pPr>
        <w:pStyle w:val="SingleTxt"/>
        <w:jc w:val="left"/>
        <w:rPr>
          <w:rFonts w:asciiTheme="majorBidi" w:hAnsiTheme="majorBidi" w:cstheme="majorBidi"/>
        </w:rPr>
      </w:pPr>
      <w:r w:rsidRPr="004C7F84">
        <w:rPr>
          <w:rFonts w:asciiTheme="majorBidi" w:hAnsiTheme="majorBidi" w:cstheme="majorBidi"/>
        </w:rPr>
        <w:t>UNICEF-</w:t>
      </w:r>
      <w:r w:rsidRPr="004C7F84">
        <w:rPr>
          <w:rFonts w:asciiTheme="majorBidi" w:hAnsiTheme="majorBidi" w:cstheme="majorBidi"/>
          <w:b/>
          <w:bCs/>
        </w:rPr>
        <w:t xml:space="preserve"> </w:t>
      </w:r>
      <w:r w:rsidRPr="004C7F84">
        <w:rPr>
          <w:rFonts w:asciiTheme="majorBidi" w:hAnsiTheme="majorBidi" w:cstheme="majorBidi"/>
        </w:rPr>
        <w:t>Université des Indes occidentales, National Report of Antigua and Barbuda: Situational Analysis of Sexuality Education, 2010. Document élaboré par Ermina Osoba.</w:t>
      </w:r>
    </w:p>
    <w:p w14:paraId="5F964837" w14:textId="14C9CED2" w:rsidR="0034195A" w:rsidRPr="004C7F84" w:rsidRDefault="00D21A90" w:rsidP="001B7732">
      <w:pPr>
        <w:pStyle w:val="SingleTxt"/>
        <w:jc w:val="left"/>
        <w:rPr>
          <w:rFonts w:asciiTheme="majorBidi" w:hAnsiTheme="majorBidi" w:cstheme="majorBidi"/>
        </w:rPr>
      </w:pPr>
      <w:r w:rsidRPr="004C7F84">
        <w:rPr>
          <w:rFonts w:asciiTheme="majorBidi" w:hAnsiTheme="majorBidi" w:cstheme="majorBidi"/>
        </w:rPr>
        <w:t>Ward-Osborne, Faustina, Research and Information on Women in Antigua and Barbuda, document de l</w:t>
      </w:r>
      <w:r w:rsidR="00773F5D" w:rsidRPr="004C7F84">
        <w:rPr>
          <w:rFonts w:asciiTheme="majorBidi" w:hAnsiTheme="majorBidi" w:cstheme="majorBidi"/>
        </w:rPr>
        <w:t>’</w:t>
      </w:r>
      <w:r w:rsidRPr="004C7F84">
        <w:rPr>
          <w:rFonts w:asciiTheme="majorBidi" w:hAnsiTheme="majorBidi" w:cstheme="majorBidi"/>
        </w:rPr>
        <w:t>OIT/ Direction des affaires féminines, 1991.</w:t>
      </w:r>
    </w:p>
    <w:p w14:paraId="235D45F7" w14:textId="77777777" w:rsidR="0034195A" w:rsidRPr="004C7F84" w:rsidRDefault="0034195A" w:rsidP="0034195A">
      <w:pPr>
        <w:pStyle w:val="SingleTxt"/>
        <w:rPr>
          <w:rFonts w:asciiTheme="majorBidi" w:hAnsiTheme="majorBidi" w:cstheme="majorBidi"/>
        </w:rPr>
      </w:pPr>
      <w:r w:rsidRPr="004C7F84">
        <w:rPr>
          <w:rFonts w:asciiTheme="majorBidi" w:hAnsiTheme="majorBidi" w:cstheme="majorBidi"/>
          <w:noProof/>
          <w:w w:val="100"/>
          <w:lang w:val="en-GB" w:eastAsia="en-GB"/>
        </w:rPr>
        <mc:AlternateContent>
          <mc:Choice Requires="wps">
            <w:drawing>
              <wp:anchor distT="0" distB="0" distL="114300" distR="114300" simplePos="0" relativeHeight="251661312" behindDoc="0" locked="0" layoutInCell="1" allowOverlap="1" wp14:anchorId="4C51E25B" wp14:editId="7C659DCA">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7CA3B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14:paraId="2CDA47E6" w14:textId="77777777" w:rsidR="0034195A" w:rsidRPr="004C7F84" w:rsidRDefault="0034195A" w:rsidP="00BF5BEB">
      <w:pPr>
        <w:pStyle w:val="SingleTxt"/>
      </w:pPr>
    </w:p>
    <w:sectPr w:rsidR="0034195A" w:rsidRPr="004C7F84" w:rsidSect="0004531C">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70CE93FC" w14:textId="77777777" w:rsidR="00773F5D" w:rsidRPr="004C7F84" w:rsidRDefault="00773F5D">
      <w:pPr>
        <w:pStyle w:val="CommentText"/>
        <w:rPr>
          <w:lang w:val="en-US"/>
        </w:rPr>
      </w:pPr>
      <w:r>
        <w:fldChar w:fldCharType="begin"/>
      </w:r>
      <w:r w:rsidRPr="004C7F84">
        <w:rPr>
          <w:rStyle w:val="CommentReference"/>
          <w:lang w:val="en-US"/>
        </w:rPr>
        <w:instrText xml:space="preserve"> </w:instrText>
      </w:r>
      <w:r w:rsidRPr="004C7F84">
        <w:rPr>
          <w:lang w:val="en-US"/>
        </w:rPr>
        <w:instrText>PAGE \# "'Page: '#'</w:instrText>
      </w:r>
      <w:r w:rsidRPr="004C7F84">
        <w:rPr>
          <w:lang w:val="en-US"/>
        </w:rPr>
        <w:br/>
        <w:instrText>'"</w:instrText>
      </w:r>
      <w:r w:rsidRPr="004C7F84">
        <w:rPr>
          <w:rStyle w:val="CommentReference"/>
          <w:lang w:val="en-US"/>
        </w:rPr>
        <w:instrText xml:space="preserve"> </w:instrText>
      </w:r>
      <w:r>
        <w:fldChar w:fldCharType="end"/>
      </w:r>
      <w:r>
        <w:rPr>
          <w:rStyle w:val="CommentReference"/>
        </w:rPr>
        <w:annotationRef/>
      </w:r>
      <w:r w:rsidRPr="004C7F84">
        <w:rPr>
          <w:lang w:val="en-US"/>
        </w:rPr>
        <w:t>&lt;&lt;ODS JOB NO&gt;&gt;N1744768F&lt;&lt;ODS JOB NO&gt;&gt;</w:t>
      </w:r>
    </w:p>
    <w:p w14:paraId="46DD5E27" w14:textId="77777777" w:rsidR="00773F5D" w:rsidRDefault="00773F5D">
      <w:pPr>
        <w:pStyle w:val="CommentText"/>
      </w:pPr>
      <w:r>
        <w:t>&lt;&lt;ODS DOC SYMBOL1&gt;&gt;CEDAW/C/ATG/4-7&lt;&lt;ODS DOC SYMBOL1&gt;&gt;</w:t>
      </w:r>
    </w:p>
    <w:p w14:paraId="40162C24" w14:textId="3571D96E" w:rsidR="00773F5D" w:rsidRDefault="00773F5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162C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6AF6D" w14:textId="77777777" w:rsidR="00773F5D" w:rsidRDefault="00773F5D" w:rsidP="00556720">
      <w:r>
        <w:separator/>
      </w:r>
    </w:p>
  </w:endnote>
  <w:endnote w:type="continuationSeparator" w:id="0">
    <w:p w14:paraId="1CF921D0" w14:textId="77777777" w:rsidR="00773F5D" w:rsidRDefault="00773F5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773F5D" w14:paraId="0C7AD226" w14:textId="77777777" w:rsidTr="00B450FE">
      <w:tc>
        <w:tcPr>
          <w:tcW w:w="4920" w:type="dxa"/>
          <w:shd w:val="clear" w:color="auto" w:fill="auto"/>
        </w:tcPr>
        <w:p w14:paraId="70F4218C" w14:textId="13A5CCFE" w:rsidR="00773F5D" w:rsidRPr="00B450FE" w:rsidRDefault="00D17A57" w:rsidP="00D17A57">
          <w:pPr>
            <w:pStyle w:val="Footer"/>
            <w:jc w:val="right"/>
            <w:rPr>
              <w:b w:val="0"/>
              <w:w w:val="103"/>
              <w:sz w:val="14"/>
            </w:rPr>
          </w:pPr>
          <w:r>
            <w:rPr>
              <w:b w:val="0"/>
              <w:w w:val="103"/>
              <w:sz w:val="14"/>
            </w:rPr>
            <w:t>17-22709</w:t>
          </w:r>
        </w:p>
      </w:tc>
      <w:tc>
        <w:tcPr>
          <w:tcW w:w="4920" w:type="dxa"/>
          <w:shd w:val="clear" w:color="auto" w:fill="auto"/>
        </w:tcPr>
        <w:p w14:paraId="60B7F690" w14:textId="17FB66E1" w:rsidR="00773F5D" w:rsidRPr="00B450FE" w:rsidRDefault="00773F5D" w:rsidP="00B450FE">
          <w:pPr>
            <w:pStyle w:val="Footer"/>
            <w:rPr>
              <w:w w:val="103"/>
            </w:rPr>
          </w:pPr>
          <w:r>
            <w:rPr>
              <w:w w:val="103"/>
            </w:rPr>
            <w:fldChar w:fldCharType="begin"/>
          </w:r>
          <w:r>
            <w:rPr>
              <w:w w:val="103"/>
            </w:rPr>
            <w:instrText xml:space="preserve"> PAGE  \* Arabic  \* MERGEFORMAT </w:instrText>
          </w:r>
          <w:r>
            <w:rPr>
              <w:w w:val="103"/>
            </w:rPr>
            <w:fldChar w:fldCharType="separate"/>
          </w:r>
          <w:r w:rsidR="00247F01">
            <w:rPr>
              <w:w w:val="103"/>
            </w:rPr>
            <w:t>52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47F01">
            <w:rPr>
              <w:w w:val="103"/>
            </w:rPr>
            <w:t>52</w:t>
          </w:r>
          <w:r>
            <w:rPr>
              <w:w w:val="103"/>
            </w:rPr>
            <w:fldChar w:fldCharType="end"/>
          </w:r>
        </w:p>
      </w:tc>
    </w:tr>
  </w:tbl>
  <w:p w14:paraId="5EDCBB7E" w14:textId="77777777" w:rsidR="00773F5D" w:rsidRPr="00B450FE" w:rsidRDefault="00773F5D" w:rsidP="00B45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4920"/>
      <w:gridCol w:w="4920"/>
    </w:tblGrid>
    <w:tr w:rsidR="00773F5D" w14:paraId="626E81A0" w14:textId="77777777" w:rsidTr="00B450FE">
      <w:tc>
        <w:tcPr>
          <w:tcW w:w="4920" w:type="dxa"/>
          <w:shd w:val="clear" w:color="auto" w:fill="auto"/>
        </w:tcPr>
        <w:p w14:paraId="240FC096" w14:textId="052F623C" w:rsidR="00773F5D" w:rsidRPr="00B450FE" w:rsidRDefault="00773F5D" w:rsidP="00B450F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47F01">
            <w:rPr>
              <w:w w:val="103"/>
            </w:rPr>
            <w:t>51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47F01">
            <w:rPr>
              <w:w w:val="103"/>
            </w:rPr>
            <w:t>52</w:t>
          </w:r>
          <w:r>
            <w:rPr>
              <w:w w:val="103"/>
            </w:rPr>
            <w:fldChar w:fldCharType="end"/>
          </w:r>
        </w:p>
      </w:tc>
      <w:tc>
        <w:tcPr>
          <w:tcW w:w="4920" w:type="dxa"/>
          <w:shd w:val="clear" w:color="auto" w:fill="auto"/>
        </w:tcPr>
        <w:p w14:paraId="0B5BF910" w14:textId="1B62E0F7" w:rsidR="00773F5D" w:rsidRPr="00B450FE" w:rsidRDefault="00D17A57" w:rsidP="00B450FE">
          <w:pPr>
            <w:pStyle w:val="Footer"/>
            <w:rPr>
              <w:b w:val="0"/>
              <w:w w:val="103"/>
              <w:sz w:val="14"/>
            </w:rPr>
          </w:pPr>
          <w:r>
            <w:rPr>
              <w:b w:val="0"/>
              <w:w w:val="103"/>
              <w:sz w:val="14"/>
            </w:rPr>
            <w:t>17-22709</w:t>
          </w:r>
        </w:p>
      </w:tc>
    </w:tr>
  </w:tbl>
  <w:p w14:paraId="446FB469" w14:textId="77777777" w:rsidR="00773F5D" w:rsidRPr="00B450FE" w:rsidRDefault="00773F5D" w:rsidP="00B450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4920"/>
    </w:tblGrid>
    <w:tr w:rsidR="00773F5D" w14:paraId="73089AD2" w14:textId="77777777" w:rsidTr="00B450FE">
      <w:tc>
        <w:tcPr>
          <w:tcW w:w="3801" w:type="dxa"/>
        </w:tcPr>
        <w:p w14:paraId="51248415" w14:textId="446DE925" w:rsidR="00773F5D" w:rsidRDefault="00773F5D" w:rsidP="00B450FE">
          <w:pPr>
            <w:pStyle w:val="ReleaseDate0"/>
          </w:pPr>
          <w:r>
            <w:rPr>
              <w:noProof/>
              <w:lang w:eastAsia="en-GB"/>
            </w:rPr>
            <w:drawing>
              <wp:anchor distT="0" distB="0" distL="114300" distR="114300" simplePos="0" relativeHeight="251658240" behindDoc="0" locked="0" layoutInCell="1" allowOverlap="1" wp14:anchorId="4EDC6EA0" wp14:editId="798CCD4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TG/4-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TG/4-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17-22709</w:t>
          </w:r>
          <w:r w:rsidR="006E7D5E">
            <w:t>X</w:t>
          </w:r>
          <w:r>
            <w:t xml:space="preserve"> (</w:t>
          </w:r>
          <w:r w:rsidR="006E7D5E">
            <w:t>F</w:t>
          </w:r>
          <w:r>
            <w:t xml:space="preserve">) </w:t>
          </w:r>
        </w:p>
        <w:p w14:paraId="00EC08E7" w14:textId="77777777" w:rsidR="00773F5D" w:rsidRPr="00B450FE" w:rsidRDefault="00773F5D" w:rsidP="00B450F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*1722709*</w:t>
          </w:r>
        </w:p>
      </w:tc>
      <w:tc>
        <w:tcPr>
          <w:tcW w:w="4920" w:type="dxa"/>
        </w:tcPr>
        <w:p w14:paraId="7A1E2F46" w14:textId="7B129D90" w:rsidR="00773F5D" w:rsidRDefault="00773F5D" w:rsidP="00B450FE">
          <w:pPr>
            <w:pStyle w:val="Footer"/>
            <w:jc w:val="right"/>
            <w:rPr>
              <w:b w:val="0"/>
              <w:sz w:val="20"/>
            </w:rPr>
          </w:pPr>
          <w:r>
            <w:rPr>
              <w:lang w:val="en-GB" w:eastAsia="en-GB"/>
            </w:rPr>
            <w:drawing>
              <wp:inline distT="0" distB="0" distL="0" distR="0" wp14:anchorId="14339520" wp14:editId="19ECB130">
                <wp:extent cx="1109345" cy="2311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a:fillRect/>
                        </a:stretch>
                      </pic:blipFill>
                      <pic:spPr>
                        <a:xfrm>
                          <a:off x="0" y="0"/>
                          <a:ext cx="1109345" cy="231140"/>
                        </a:xfrm>
                        <a:prstGeom prst="rect">
                          <a:avLst/>
                        </a:prstGeom>
                      </pic:spPr>
                    </pic:pic>
                  </a:graphicData>
                </a:graphic>
              </wp:inline>
            </w:drawing>
          </w:r>
        </w:p>
      </w:tc>
    </w:tr>
  </w:tbl>
  <w:p w14:paraId="2C28628D" w14:textId="77777777" w:rsidR="00773F5D" w:rsidRPr="00B450FE" w:rsidRDefault="00773F5D" w:rsidP="00B450F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AE6C2" w14:textId="77777777" w:rsidR="00773F5D" w:rsidRDefault="00773F5D" w:rsidP="00556720">
      <w:r>
        <w:separator/>
      </w:r>
    </w:p>
  </w:footnote>
  <w:footnote w:type="continuationSeparator" w:id="0">
    <w:p w14:paraId="0250DA69" w14:textId="77777777" w:rsidR="00773F5D" w:rsidRDefault="00773F5D" w:rsidP="0055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773F5D" w14:paraId="00A63936" w14:textId="77777777" w:rsidTr="00B450FE">
      <w:trPr>
        <w:trHeight w:hRule="exact" w:val="864"/>
      </w:trPr>
      <w:tc>
        <w:tcPr>
          <w:tcW w:w="4838" w:type="dxa"/>
          <w:shd w:val="clear" w:color="auto" w:fill="auto"/>
          <w:vAlign w:val="bottom"/>
        </w:tcPr>
        <w:p w14:paraId="33295824" w14:textId="7FDAEF62" w:rsidR="00773F5D" w:rsidRPr="00B450FE" w:rsidRDefault="00773F5D" w:rsidP="00B450FE">
          <w:pPr>
            <w:pStyle w:val="Header"/>
            <w:spacing w:after="80"/>
            <w:rPr>
              <w:b/>
            </w:rPr>
          </w:pPr>
          <w:r>
            <w:rPr>
              <w:b/>
            </w:rPr>
            <w:fldChar w:fldCharType="begin"/>
          </w:r>
          <w:r>
            <w:rPr>
              <w:b/>
            </w:rPr>
            <w:instrText xml:space="preserve"> DOCVARIABLE "sss1" \* MERGEFORMAT </w:instrText>
          </w:r>
          <w:r>
            <w:rPr>
              <w:b/>
            </w:rPr>
            <w:fldChar w:fldCharType="separate"/>
          </w:r>
          <w:r w:rsidR="00247F01">
            <w:rPr>
              <w:b/>
            </w:rPr>
            <w:t>CEDAW/C/ATG/4-7</w:t>
          </w:r>
          <w:r>
            <w:rPr>
              <w:b/>
            </w:rPr>
            <w:fldChar w:fldCharType="end"/>
          </w:r>
        </w:p>
      </w:tc>
      <w:tc>
        <w:tcPr>
          <w:tcW w:w="4920" w:type="dxa"/>
          <w:shd w:val="clear" w:color="auto" w:fill="auto"/>
          <w:vAlign w:val="bottom"/>
        </w:tcPr>
        <w:p w14:paraId="54273EEF" w14:textId="77777777" w:rsidR="00773F5D" w:rsidRDefault="00773F5D" w:rsidP="00B450FE">
          <w:pPr>
            <w:pStyle w:val="Header"/>
          </w:pPr>
        </w:p>
      </w:tc>
    </w:tr>
  </w:tbl>
  <w:p w14:paraId="03ED6CB1" w14:textId="77777777" w:rsidR="00773F5D" w:rsidRPr="00B450FE" w:rsidRDefault="00773F5D" w:rsidP="00B45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773F5D" w14:paraId="165EA348" w14:textId="77777777" w:rsidTr="00B450FE">
      <w:trPr>
        <w:trHeight w:hRule="exact" w:val="864"/>
      </w:trPr>
      <w:tc>
        <w:tcPr>
          <w:tcW w:w="4838" w:type="dxa"/>
          <w:shd w:val="clear" w:color="auto" w:fill="auto"/>
          <w:vAlign w:val="bottom"/>
        </w:tcPr>
        <w:p w14:paraId="3B8AC189" w14:textId="77777777" w:rsidR="00773F5D" w:rsidRDefault="00773F5D" w:rsidP="00B450FE">
          <w:pPr>
            <w:pStyle w:val="Header"/>
          </w:pPr>
        </w:p>
      </w:tc>
      <w:tc>
        <w:tcPr>
          <w:tcW w:w="4920" w:type="dxa"/>
          <w:shd w:val="clear" w:color="auto" w:fill="auto"/>
          <w:vAlign w:val="bottom"/>
        </w:tcPr>
        <w:p w14:paraId="552F65BB" w14:textId="6550B8CE" w:rsidR="00773F5D" w:rsidRPr="00B450FE" w:rsidRDefault="00773F5D" w:rsidP="00B450FE">
          <w:pPr>
            <w:pStyle w:val="Header"/>
            <w:spacing w:after="80"/>
            <w:jc w:val="right"/>
            <w:rPr>
              <w:b/>
            </w:rPr>
          </w:pPr>
          <w:r>
            <w:rPr>
              <w:b/>
            </w:rPr>
            <w:fldChar w:fldCharType="begin"/>
          </w:r>
          <w:r>
            <w:rPr>
              <w:b/>
            </w:rPr>
            <w:instrText xml:space="preserve"> DOCVARIABLE "sss1" \* MERGEFORMAT </w:instrText>
          </w:r>
          <w:r>
            <w:rPr>
              <w:b/>
            </w:rPr>
            <w:fldChar w:fldCharType="separate"/>
          </w:r>
          <w:r w:rsidR="00247F01">
            <w:rPr>
              <w:b/>
            </w:rPr>
            <w:t>CEDAW/C/ATG/4-7</w:t>
          </w:r>
          <w:r>
            <w:rPr>
              <w:b/>
            </w:rPr>
            <w:fldChar w:fldCharType="end"/>
          </w:r>
        </w:p>
      </w:tc>
    </w:tr>
  </w:tbl>
  <w:p w14:paraId="47AACDA8" w14:textId="77777777" w:rsidR="00773F5D" w:rsidRPr="00B450FE" w:rsidRDefault="00773F5D" w:rsidP="00B450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73F5D" w:rsidRPr="00D42D35" w14:paraId="7C946757" w14:textId="77777777" w:rsidTr="00B450FE">
      <w:trPr>
        <w:trHeight w:hRule="exact" w:val="864"/>
      </w:trPr>
      <w:tc>
        <w:tcPr>
          <w:tcW w:w="1267" w:type="dxa"/>
          <w:tcBorders>
            <w:bottom w:val="single" w:sz="4" w:space="0" w:color="auto"/>
          </w:tcBorders>
          <w:shd w:val="clear" w:color="auto" w:fill="auto"/>
          <w:vAlign w:val="bottom"/>
        </w:tcPr>
        <w:p w14:paraId="331CE0C7" w14:textId="77777777" w:rsidR="00773F5D" w:rsidRPr="00D42D35" w:rsidRDefault="00773F5D" w:rsidP="00B450FE">
          <w:pPr>
            <w:pStyle w:val="Header"/>
            <w:spacing w:after="120"/>
            <w:rPr>
              <w:noProof w:val="0"/>
              <w:lang w:val="fr-FR"/>
            </w:rPr>
          </w:pPr>
        </w:p>
      </w:tc>
      <w:tc>
        <w:tcPr>
          <w:tcW w:w="1872" w:type="dxa"/>
          <w:tcBorders>
            <w:bottom w:val="single" w:sz="4" w:space="0" w:color="auto"/>
          </w:tcBorders>
          <w:shd w:val="clear" w:color="auto" w:fill="auto"/>
          <w:vAlign w:val="bottom"/>
        </w:tcPr>
        <w:p w14:paraId="75E811C0" w14:textId="042137A6" w:rsidR="00773F5D" w:rsidRPr="00D42D35" w:rsidRDefault="00773F5D" w:rsidP="00B450FE">
          <w:pPr>
            <w:pStyle w:val="HCh"/>
            <w:spacing w:after="80"/>
            <w:rPr>
              <w:b w:val="0"/>
              <w:spacing w:val="2"/>
              <w:w w:val="96"/>
            </w:rPr>
          </w:pPr>
          <w:r w:rsidRPr="00D42D35">
            <w:rPr>
              <w:b w:val="0"/>
              <w:spacing w:val="2"/>
              <w:w w:val="96"/>
            </w:rPr>
            <w:t>Nations Unies</w:t>
          </w:r>
        </w:p>
      </w:tc>
      <w:tc>
        <w:tcPr>
          <w:tcW w:w="245" w:type="dxa"/>
          <w:tcBorders>
            <w:bottom w:val="single" w:sz="4" w:space="0" w:color="auto"/>
          </w:tcBorders>
          <w:shd w:val="clear" w:color="auto" w:fill="auto"/>
          <w:vAlign w:val="bottom"/>
        </w:tcPr>
        <w:p w14:paraId="62FDDC52" w14:textId="77777777" w:rsidR="00773F5D" w:rsidRPr="00D42D35" w:rsidRDefault="00773F5D" w:rsidP="00B450FE">
          <w:pPr>
            <w:pStyle w:val="Header"/>
            <w:spacing w:after="120"/>
            <w:rPr>
              <w:noProof w:val="0"/>
              <w:lang w:val="fr-FR"/>
            </w:rPr>
          </w:pPr>
        </w:p>
      </w:tc>
      <w:tc>
        <w:tcPr>
          <w:tcW w:w="6466" w:type="dxa"/>
          <w:gridSpan w:val="4"/>
          <w:tcBorders>
            <w:bottom w:val="single" w:sz="4" w:space="0" w:color="auto"/>
          </w:tcBorders>
          <w:shd w:val="clear" w:color="auto" w:fill="auto"/>
          <w:vAlign w:val="bottom"/>
        </w:tcPr>
        <w:p w14:paraId="3FFA3372" w14:textId="77777777" w:rsidR="00773F5D" w:rsidRPr="00D42D35" w:rsidRDefault="00773F5D" w:rsidP="00B450FE">
          <w:pPr>
            <w:spacing w:after="80" w:line="240" w:lineRule="auto"/>
            <w:jc w:val="right"/>
            <w:rPr>
              <w:position w:val="-4"/>
            </w:rPr>
          </w:pPr>
          <w:r w:rsidRPr="00D42D35">
            <w:rPr>
              <w:position w:val="-4"/>
              <w:sz w:val="40"/>
            </w:rPr>
            <w:t>CEDAW</w:t>
          </w:r>
          <w:r w:rsidRPr="00D42D35">
            <w:rPr>
              <w:position w:val="-4"/>
            </w:rPr>
            <w:t>/C/ATG/4-7</w:t>
          </w:r>
        </w:p>
      </w:tc>
    </w:tr>
    <w:tr w:rsidR="00773F5D" w:rsidRPr="00376D7E" w14:paraId="11A719B1" w14:textId="77777777" w:rsidTr="00B450FE">
      <w:trPr>
        <w:gridAfter w:val="1"/>
        <w:wAfter w:w="15" w:type="dxa"/>
        <w:trHeight w:hRule="exact" w:val="2880"/>
      </w:trPr>
      <w:tc>
        <w:tcPr>
          <w:tcW w:w="1267" w:type="dxa"/>
          <w:tcBorders>
            <w:top w:val="single" w:sz="4" w:space="0" w:color="auto"/>
            <w:bottom w:val="single" w:sz="12" w:space="0" w:color="auto"/>
          </w:tcBorders>
          <w:shd w:val="clear" w:color="auto" w:fill="auto"/>
        </w:tcPr>
        <w:p w14:paraId="644D6705" w14:textId="77777777" w:rsidR="00773F5D" w:rsidRPr="00D42D35" w:rsidRDefault="00773F5D" w:rsidP="00B450FE">
          <w:pPr>
            <w:pStyle w:val="Header"/>
            <w:spacing w:before="120"/>
            <w:jc w:val="center"/>
            <w:rPr>
              <w:noProof w:val="0"/>
              <w:lang w:val="fr-FR"/>
            </w:rPr>
          </w:pPr>
          <w:r w:rsidRPr="00D42D35">
            <w:rPr>
              <w:noProof w:val="0"/>
              <w:lang w:val="fr-FR"/>
            </w:rPr>
            <w:t xml:space="preserve"> </w:t>
          </w:r>
          <w:r w:rsidRPr="00D42D35">
            <w:rPr>
              <w:lang w:val="en-GB" w:eastAsia="en-GB"/>
            </w:rPr>
            <w:drawing>
              <wp:inline distT="0" distB="0" distL="0" distR="0" wp14:anchorId="1BB9AAA9" wp14:editId="3CD4E83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87612BF" w14:textId="6A4A165C" w:rsidR="00773F5D" w:rsidRPr="00D42D35" w:rsidRDefault="00773F5D" w:rsidP="007E489D">
          <w:pPr>
            <w:pStyle w:val="XLarge"/>
            <w:spacing w:before="109"/>
          </w:pPr>
          <w:r w:rsidRPr="00D42D35">
            <w:t>Convention sur l</w:t>
          </w:r>
          <w:r>
            <w:t>’</w:t>
          </w:r>
          <w:r w:rsidRPr="00D42D35">
            <w:t xml:space="preserve">élimination </w:t>
          </w:r>
          <w:r w:rsidRPr="00D42D35">
            <w:br/>
            <w:t xml:space="preserve">de toutes les formes </w:t>
          </w:r>
          <w:r w:rsidRPr="00D42D35">
            <w:br/>
            <w:t>de discrimination à l</w:t>
          </w:r>
          <w:r>
            <w:t>’</w:t>
          </w:r>
          <w:r w:rsidRPr="00D42D35">
            <w:t xml:space="preserve">égard </w:t>
          </w:r>
          <w:r w:rsidRPr="00D42D35">
            <w:br/>
            <w:t>des femmes</w:t>
          </w:r>
        </w:p>
      </w:tc>
      <w:tc>
        <w:tcPr>
          <w:tcW w:w="245" w:type="dxa"/>
          <w:tcBorders>
            <w:top w:val="single" w:sz="4" w:space="0" w:color="auto"/>
            <w:bottom w:val="single" w:sz="12" w:space="0" w:color="auto"/>
          </w:tcBorders>
          <w:shd w:val="clear" w:color="auto" w:fill="auto"/>
        </w:tcPr>
        <w:p w14:paraId="34B9DA64" w14:textId="77777777" w:rsidR="00773F5D" w:rsidRPr="00D42D35" w:rsidRDefault="00773F5D" w:rsidP="00B450FE">
          <w:pPr>
            <w:pStyle w:val="Header"/>
            <w:spacing w:before="109"/>
            <w:rPr>
              <w:noProof w:val="0"/>
              <w:lang w:val="fr-FR"/>
            </w:rPr>
          </w:pPr>
        </w:p>
      </w:tc>
      <w:tc>
        <w:tcPr>
          <w:tcW w:w="3096" w:type="dxa"/>
          <w:tcBorders>
            <w:top w:val="single" w:sz="4" w:space="0" w:color="auto"/>
            <w:bottom w:val="single" w:sz="12" w:space="0" w:color="auto"/>
          </w:tcBorders>
          <w:shd w:val="clear" w:color="auto" w:fill="auto"/>
        </w:tcPr>
        <w:p w14:paraId="58FC0039" w14:textId="149D0CD5" w:rsidR="00773F5D" w:rsidRPr="00D42D35" w:rsidRDefault="00773F5D" w:rsidP="00B450FE">
          <w:pPr>
            <w:pStyle w:val="Publication"/>
            <w:spacing w:before="240"/>
            <w:rPr>
              <w:color w:val="010000"/>
              <w:lang w:val="fr-FR"/>
            </w:rPr>
          </w:pPr>
          <w:r w:rsidRPr="00D42D35">
            <w:rPr>
              <w:color w:val="010000"/>
              <w:lang w:val="fr-FR"/>
            </w:rPr>
            <w:t>Distr. générale</w:t>
          </w:r>
        </w:p>
        <w:p w14:paraId="56A17900" w14:textId="2E92C8FF" w:rsidR="00773F5D" w:rsidRPr="00D42D35" w:rsidRDefault="00773F5D" w:rsidP="00B450FE">
          <w:r w:rsidRPr="00D42D35">
            <w:t>18 décembre 2017</w:t>
          </w:r>
        </w:p>
        <w:p w14:paraId="0BABDD3B" w14:textId="7C77778A" w:rsidR="00773F5D" w:rsidRPr="00D42D35" w:rsidRDefault="00773F5D" w:rsidP="00B450FE">
          <w:r w:rsidRPr="00D42D35">
            <w:t>Français</w:t>
          </w:r>
        </w:p>
        <w:p w14:paraId="5B52C6F2" w14:textId="2EA25EFD" w:rsidR="00773F5D" w:rsidRPr="00D42D35" w:rsidRDefault="00773F5D" w:rsidP="001D4C12">
          <w:r w:rsidRPr="00D42D35">
            <w:t>Original</w:t>
          </w:r>
          <w:r>
            <w:t> :</w:t>
          </w:r>
          <w:r w:rsidRPr="00D42D35">
            <w:t xml:space="preserve"> anglais</w:t>
          </w:r>
        </w:p>
      </w:tc>
    </w:tr>
  </w:tbl>
  <w:p w14:paraId="529164BB" w14:textId="77777777" w:rsidR="00773F5D" w:rsidRPr="001D4C12" w:rsidRDefault="00773F5D" w:rsidP="00B450FE">
    <w:pPr>
      <w:pStyle w:val="Header"/>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923"/>
    <w:multiLevelType w:val="hybridMultilevel"/>
    <w:tmpl w:val="88222450"/>
    <w:lvl w:ilvl="0" w:tplc="8292873E">
      <w:start w:val="1"/>
      <w:numFmt w:val="bullet"/>
      <w:lvlText w:val=""/>
      <w:lvlJc w:val="left"/>
      <w:pPr>
        <w:ind w:left="1987" w:hanging="360"/>
      </w:pPr>
      <w:rPr>
        <w:rFonts w:ascii="Symbol" w:hAnsi="Symbol" w:hint="default"/>
        <w:sz w:val="16"/>
        <w:szCs w:val="16"/>
      </w:rPr>
    </w:lvl>
    <w:lvl w:ilvl="1" w:tplc="0C0C0003" w:tentative="1">
      <w:start w:val="1"/>
      <w:numFmt w:val="bullet"/>
      <w:lvlText w:val="o"/>
      <w:lvlJc w:val="left"/>
      <w:pPr>
        <w:ind w:left="2707" w:hanging="360"/>
      </w:pPr>
      <w:rPr>
        <w:rFonts w:ascii="Courier New" w:hAnsi="Courier New" w:cs="Courier New" w:hint="default"/>
      </w:rPr>
    </w:lvl>
    <w:lvl w:ilvl="2" w:tplc="0C0C0005" w:tentative="1">
      <w:start w:val="1"/>
      <w:numFmt w:val="bullet"/>
      <w:lvlText w:val=""/>
      <w:lvlJc w:val="left"/>
      <w:pPr>
        <w:ind w:left="3427" w:hanging="360"/>
      </w:pPr>
      <w:rPr>
        <w:rFonts w:ascii="Wingdings" w:hAnsi="Wingdings" w:hint="default"/>
      </w:rPr>
    </w:lvl>
    <w:lvl w:ilvl="3" w:tplc="0C0C0001" w:tentative="1">
      <w:start w:val="1"/>
      <w:numFmt w:val="bullet"/>
      <w:lvlText w:val=""/>
      <w:lvlJc w:val="left"/>
      <w:pPr>
        <w:ind w:left="4147" w:hanging="360"/>
      </w:pPr>
      <w:rPr>
        <w:rFonts w:ascii="Symbol" w:hAnsi="Symbol" w:hint="default"/>
      </w:rPr>
    </w:lvl>
    <w:lvl w:ilvl="4" w:tplc="0C0C0003" w:tentative="1">
      <w:start w:val="1"/>
      <w:numFmt w:val="bullet"/>
      <w:lvlText w:val="o"/>
      <w:lvlJc w:val="left"/>
      <w:pPr>
        <w:ind w:left="4867" w:hanging="360"/>
      </w:pPr>
      <w:rPr>
        <w:rFonts w:ascii="Courier New" w:hAnsi="Courier New" w:cs="Courier New" w:hint="default"/>
      </w:rPr>
    </w:lvl>
    <w:lvl w:ilvl="5" w:tplc="0C0C0005" w:tentative="1">
      <w:start w:val="1"/>
      <w:numFmt w:val="bullet"/>
      <w:lvlText w:val=""/>
      <w:lvlJc w:val="left"/>
      <w:pPr>
        <w:ind w:left="5587" w:hanging="360"/>
      </w:pPr>
      <w:rPr>
        <w:rFonts w:ascii="Wingdings" w:hAnsi="Wingdings" w:hint="default"/>
      </w:rPr>
    </w:lvl>
    <w:lvl w:ilvl="6" w:tplc="0C0C0001" w:tentative="1">
      <w:start w:val="1"/>
      <w:numFmt w:val="bullet"/>
      <w:lvlText w:val=""/>
      <w:lvlJc w:val="left"/>
      <w:pPr>
        <w:ind w:left="6307" w:hanging="360"/>
      </w:pPr>
      <w:rPr>
        <w:rFonts w:ascii="Symbol" w:hAnsi="Symbol" w:hint="default"/>
      </w:rPr>
    </w:lvl>
    <w:lvl w:ilvl="7" w:tplc="0C0C0003" w:tentative="1">
      <w:start w:val="1"/>
      <w:numFmt w:val="bullet"/>
      <w:lvlText w:val="o"/>
      <w:lvlJc w:val="left"/>
      <w:pPr>
        <w:ind w:left="7027" w:hanging="360"/>
      </w:pPr>
      <w:rPr>
        <w:rFonts w:ascii="Courier New" w:hAnsi="Courier New" w:cs="Courier New" w:hint="default"/>
      </w:rPr>
    </w:lvl>
    <w:lvl w:ilvl="8" w:tplc="0C0C0005" w:tentative="1">
      <w:start w:val="1"/>
      <w:numFmt w:val="bullet"/>
      <w:lvlText w:val=""/>
      <w:lvlJc w:val="left"/>
      <w:pPr>
        <w:ind w:left="7747"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E9A6803"/>
    <w:multiLevelType w:val="singleLevel"/>
    <w:tmpl w:val="0296B778"/>
    <w:lvl w:ilvl="0">
      <w:start w:val="28"/>
      <w:numFmt w:val="decimal"/>
      <w:lvlText w:val="%1."/>
      <w:lvlJc w:val="left"/>
      <w:pPr>
        <w:ind w:left="720" w:hanging="360"/>
      </w:pPr>
      <w:rPr>
        <w:rFonts w:hint="default"/>
      </w:rPr>
    </w:lvl>
  </w:abstractNum>
  <w:abstractNum w:abstractNumId="3">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2A442C6B"/>
    <w:multiLevelType w:val="hybridMultilevel"/>
    <w:tmpl w:val="53509AB8"/>
    <w:lvl w:ilvl="0" w:tplc="EA2EAEA4">
      <w:start w:val="1"/>
      <w:numFmt w:val="decimal"/>
      <w:lvlText w:val="%1."/>
      <w:lvlJc w:val="left"/>
      <w:pPr>
        <w:ind w:left="1134" w:firstLine="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480C3AEF"/>
    <w:multiLevelType w:val="singleLevel"/>
    <w:tmpl w:val="0F62A366"/>
    <w:lvl w:ilvl="0">
      <w:start w:val="33"/>
      <w:numFmt w:val="decimal"/>
      <w:lvlText w:val="%1."/>
      <w:lvlJc w:val="left"/>
      <w:pPr>
        <w:ind w:left="720" w:hanging="360"/>
      </w:pPr>
      <w:rPr>
        <w:rFonts w:hint="default"/>
      </w:rPr>
    </w:lvl>
  </w:abstractNum>
  <w:abstractNum w:abstractNumId="7">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nsid w:val="72D52470"/>
    <w:multiLevelType w:val="singleLevel"/>
    <w:tmpl w:val="7876BA9E"/>
    <w:lvl w:ilvl="0">
      <w:start w:val="29"/>
      <w:numFmt w:val="decimal"/>
      <w:lvlText w:val="%1."/>
      <w:lvlJc w:val="left"/>
      <w:pPr>
        <w:ind w:left="720" w:hanging="360"/>
      </w:pPr>
      <w:rPr>
        <w:rFonts w:hint="default"/>
      </w:rPr>
    </w:lvl>
  </w:abstractNum>
  <w:num w:numId="1">
    <w:abstractNumId w:val="3"/>
  </w:num>
  <w:num w:numId="2">
    <w:abstractNumId w:val="7"/>
  </w:num>
  <w:num w:numId="3">
    <w:abstractNumId w:val="8"/>
  </w:num>
  <w:num w:numId="4">
    <w:abstractNumId w:val="5"/>
  </w:num>
  <w:num w:numId="5">
    <w:abstractNumId w:val="4"/>
    <w:lvlOverride w:ilvl="0">
      <w:lvl w:ilvl="0" w:tplc="EA2EAEA4">
        <w:start w:val="1"/>
        <w:numFmt w:val="decimal"/>
        <w:lvlText w:val="%1."/>
        <w:lvlJc w:val="left"/>
        <w:pPr>
          <w:ind w:left="720" w:hanging="360"/>
        </w:pPr>
      </w:lvl>
    </w:lvlOverride>
  </w:num>
  <w:num w:numId="6">
    <w:abstractNumId w:val="0"/>
  </w:num>
  <w:num w:numId="7">
    <w:abstractNumId w:val="4"/>
    <w:lvlOverride w:ilvl="0">
      <w:lvl w:ilvl="0" w:tplc="EA2EAEA4">
        <w:start w:val="1"/>
        <w:numFmt w:val="decimal"/>
        <w:lvlText w:val="%1."/>
        <w:lvlJc w:val="left"/>
        <w:pPr>
          <w:ind w:left="360" w:firstLine="0"/>
        </w:pPr>
      </w:lvl>
    </w:lvlOverride>
    <w:lvlOverride w:ilvl="1">
      <w:lvl w:ilvl="1" w:tplc="08090019" w:tentative="1">
        <w:start w:val="1"/>
        <w:numFmt w:val="lowerLetter"/>
        <w:lvlText w:val="%2."/>
        <w:lvlJc w:val="left"/>
        <w:pPr>
          <w:ind w:left="666" w:hanging="360"/>
        </w:pPr>
      </w:lvl>
    </w:lvlOverride>
    <w:lvlOverride w:ilvl="2">
      <w:lvl w:ilvl="2" w:tplc="0809001B" w:tentative="1">
        <w:start w:val="1"/>
        <w:numFmt w:val="lowerRoman"/>
        <w:lvlText w:val="%3."/>
        <w:lvlJc w:val="right"/>
        <w:pPr>
          <w:ind w:left="1386" w:hanging="180"/>
        </w:pPr>
      </w:lvl>
    </w:lvlOverride>
    <w:lvlOverride w:ilvl="3">
      <w:lvl w:ilvl="3" w:tplc="0809000F" w:tentative="1">
        <w:start w:val="1"/>
        <w:numFmt w:val="decimal"/>
        <w:lvlText w:val="%4."/>
        <w:lvlJc w:val="left"/>
        <w:pPr>
          <w:ind w:left="2106" w:hanging="360"/>
        </w:pPr>
      </w:lvl>
    </w:lvlOverride>
    <w:lvlOverride w:ilvl="4">
      <w:lvl w:ilvl="4" w:tplc="08090019" w:tentative="1">
        <w:start w:val="1"/>
        <w:numFmt w:val="lowerLetter"/>
        <w:lvlText w:val="%5."/>
        <w:lvlJc w:val="left"/>
        <w:pPr>
          <w:ind w:left="2826" w:hanging="360"/>
        </w:pPr>
      </w:lvl>
    </w:lvlOverride>
    <w:lvlOverride w:ilvl="5">
      <w:lvl w:ilvl="5" w:tplc="0809001B" w:tentative="1">
        <w:start w:val="1"/>
        <w:numFmt w:val="lowerRoman"/>
        <w:lvlText w:val="%6."/>
        <w:lvlJc w:val="right"/>
        <w:pPr>
          <w:ind w:left="3546" w:hanging="180"/>
        </w:pPr>
      </w:lvl>
    </w:lvlOverride>
    <w:lvlOverride w:ilvl="6">
      <w:lvl w:ilvl="6" w:tplc="0809000F" w:tentative="1">
        <w:start w:val="1"/>
        <w:numFmt w:val="decimal"/>
        <w:lvlText w:val="%7."/>
        <w:lvlJc w:val="left"/>
        <w:pPr>
          <w:ind w:left="4266" w:hanging="360"/>
        </w:pPr>
      </w:lvl>
    </w:lvlOverride>
    <w:lvlOverride w:ilvl="7">
      <w:lvl w:ilvl="7" w:tplc="08090019" w:tentative="1">
        <w:start w:val="1"/>
        <w:numFmt w:val="lowerLetter"/>
        <w:lvlText w:val="%8."/>
        <w:lvlJc w:val="left"/>
        <w:pPr>
          <w:ind w:left="4986" w:hanging="360"/>
        </w:pPr>
      </w:lvl>
    </w:lvlOverride>
    <w:lvlOverride w:ilvl="8">
      <w:lvl w:ilvl="8" w:tplc="0809001B" w:tentative="1">
        <w:start w:val="1"/>
        <w:numFmt w:val="lowerRoman"/>
        <w:lvlText w:val="%9."/>
        <w:lvlJc w:val="right"/>
        <w:pPr>
          <w:ind w:left="5706" w:hanging="180"/>
        </w:pPr>
      </w:lvl>
    </w:lvlOverride>
  </w:num>
  <w:num w:numId="8">
    <w:abstractNumId w:val="4"/>
    <w:lvlOverride w:ilvl="0">
      <w:lvl w:ilvl="0" w:tplc="EA2EAEA4">
        <w:start w:val="1"/>
        <w:numFmt w:val="decimal"/>
        <w:lvlText w:val="%1."/>
        <w:lvlJc w:val="left"/>
        <w:pPr>
          <w:ind w:left="720" w:hanging="360"/>
        </w:pPr>
      </w:lvl>
    </w:lvlOverride>
  </w:num>
  <w:num w:numId="9">
    <w:abstractNumId w:val="4"/>
    <w:lvlOverride w:ilvl="0">
      <w:lvl w:ilvl="0" w:tplc="EA2EAEA4">
        <w:start w:val="1"/>
        <w:numFmt w:val="decimal"/>
        <w:lvlText w:val="%1."/>
        <w:lvlJc w:val="left"/>
        <w:pPr>
          <w:ind w:left="720" w:hanging="360"/>
        </w:pPr>
      </w:lvl>
    </w:lvlOverride>
  </w:num>
  <w:num w:numId="10">
    <w:abstractNumId w:val="4"/>
    <w:lvlOverride w:ilvl="0">
      <w:lvl w:ilvl="0" w:tplc="EA2EAEA4">
        <w:start w:val="1"/>
        <w:numFmt w:val="decimal"/>
        <w:lvlText w:val="%1."/>
        <w:lvlJc w:val="left"/>
        <w:pPr>
          <w:ind w:left="720" w:hanging="360"/>
        </w:pPr>
      </w:lvl>
    </w:lvlOverride>
  </w:num>
  <w:num w:numId="11">
    <w:abstractNumId w:val="4"/>
    <w:lvlOverride w:ilvl="0">
      <w:lvl w:ilvl="0" w:tplc="EA2EAEA4">
        <w:start w:val="1"/>
        <w:numFmt w:val="decimal"/>
        <w:lvlText w:val="%1."/>
        <w:lvlJc w:val="left"/>
        <w:pPr>
          <w:ind w:left="720" w:hanging="360"/>
        </w:pPr>
      </w:lvl>
    </w:lvlOverride>
  </w:num>
  <w:num w:numId="12">
    <w:abstractNumId w:val="4"/>
    <w:lvlOverride w:ilvl="0">
      <w:lvl w:ilvl="0" w:tplc="EA2EAEA4">
        <w:start w:val="1"/>
        <w:numFmt w:val="decimal"/>
        <w:lvlText w:val="%1."/>
        <w:lvlJc w:val="left"/>
        <w:pPr>
          <w:ind w:left="720" w:hanging="360"/>
        </w:pPr>
      </w:lvl>
    </w:lvlOverride>
  </w:num>
  <w:num w:numId="13">
    <w:abstractNumId w:val="4"/>
    <w:lvlOverride w:ilvl="0">
      <w:lvl w:ilvl="0" w:tplc="EA2EAEA4">
        <w:start w:val="1"/>
        <w:numFmt w:val="decimal"/>
        <w:lvlText w:val="%1."/>
        <w:lvlJc w:val="left"/>
        <w:pPr>
          <w:ind w:left="720" w:hanging="360"/>
        </w:pPr>
      </w:lvl>
    </w:lvlOverride>
  </w:num>
  <w:num w:numId="14">
    <w:abstractNumId w:val="4"/>
    <w:lvlOverride w:ilvl="0">
      <w:lvl w:ilvl="0" w:tplc="EA2EAEA4">
        <w:start w:val="1"/>
        <w:numFmt w:val="decimal"/>
        <w:lvlText w:val="%1."/>
        <w:lvlJc w:val="left"/>
        <w:pPr>
          <w:ind w:left="720" w:hanging="360"/>
        </w:pPr>
        <w:rPr>
          <w:lang w:val="fr-CA"/>
        </w:rPr>
      </w:lvl>
    </w:lvlOverride>
  </w:num>
  <w:num w:numId="15">
    <w:abstractNumId w:val="9"/>
  </w:num>
  <w:num w:numId="16">
    <w:abstractNumId w:val="1"/>
    <w:lvlOverride w:ilvl="0">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Override>
    <w:lvlOverride w:ilvl="1">
      <w:lvl w:ilvl="1" w:tplc="040C0003">
        <w:numFmt w:val="decimal"/>
        <w:lvlText w:val=""/>
        <w:lvlJc w:val="left"/>
      </w:lvl>
    </w:lvlOverride>
    <w:lvlOverride w:ilvl="2">
      <w:lvl w:ilvl="2" w:tplc="040C0005">
        <w:numFmt w:val="decimal"/>
        <w:lvlText w:val=""/>
        <w:lvlJc w:val="left"/>
      </w:lvl>
    </w:lvlOverride>
    <w:lvlOverride w:ilvl="3">
      <w:lvl w:ilvl="3" w:tplc="040C0001">
        <w:numFmt w:val="decimal"/>
        <w:lvlText w:val=""/>
        <w:lvlJc w:val="left"/>
      </w:lvl>
    </w:lvlOverride>
    <w:lvlOverride w:ilvl="4">
      <w:lvl w:ilvl="4" w:tplc="040C0003">
        <w:numFmt w:val="decimal"/>
        <w:lvlText w:val=""/>
        <w:lvlJc w:val="left"/>
      </w:lvl>
    </w:lvlOverride>
    <w:lvlOverride w:ilvl="5">
      <w:lvl w:ilvl="5" w:tplc="040C0005">
        <w:numFmt w:val="decimal"/>
        <w:lvlText w:val=""/>
        <w:lvlJc w:val="left"/>
      </w:lvl>
    </w:lvlOverride>
    <w:lvlOverride w:ilvl="6">
      <w:lvl w:ilvl="6" w:tplc="040C0001">
        <w:numFmt w:val="decimal"/>
        <w:lvlText w:val=""/>
        <w:lvlJc w:val="left"/>
      </w:lvl>
    </w:lvlOverride>
    <w:lvlOverride w:ilvl="7">
      <w:lvl w:ilvl="7" w:tplc="040C0003">
        <w:numFmt w:val="decimal"/>
        <w:lvlText w:val=""/>
        <w:lvlJc w:val="left"/>
      </w:lvl>
    </w:lvlOverride>
    <w:lvlOverride w:ilvl="8">
      <w:lvl w:ilvl="8" w:tplc="040C0005">
        <w:numFmt w:val="decimal"/>
        <w:lvlText w:val=""/>
        <w:lvlJc w:val="left"/>
      </w:lvl>
    </w:lvlOverride>
  </w:num>
  <w:num w:numId="17">
    <w:abstractNumId w:val="2"/>
  </w:num>
  <w:num w:numId="18">
    <w:abstractNumId w:val="6"/>
  </w:num>
  <w:num w:numId="19">
    <w:abstractNumId w:val="6"/>
    <w:lvlOverride w:ilvl="0">
      <w:lvl w:ilvl="0">
        <w:start w:val="33"/>
        <w:numFmt w:val="decimal"/>
        <w:lvlText w:val="%1."/>
        <w:lvlJc w:val="left"/>
        <w:pPr>
          <w:ind w:left="1980" w:hanging="360"/>
        </w:pPr>
        <w:rPr>
          <w:rFonts w:hint="default"/>
        </w:rPr>
      </w:lvl>
    </w:lvlOverride>
  </w:num>
  <w:num w:numId="20">
    <w:abstractNumId w:val="6"/>
    <w:lvlOverride w:ilvl="0">
      <w:lvl w:ilvl="0">
        <w:start w:val="33"/>
        <w:numFmt w:val="decimal"/>
        <w:lvlText w:val="%1."/>
        <w:lvlJc w:val="left"/>
        <w:pPr>
          <w:ind w:left="720" w:hanging="360"/>
        </w:pPr>
        <w:rPr>
          <w:rFonts w:hint="default"/>
        </w:rPr>
      </w:lvl>
    </w:lvlOverride>
  </w:num>
  <w:num w:numId="21">
    <w:abstractNumId w:val="6"/>
    <w:lvlOverride w:ilvl="0">
      <w:lvl w:ilvl="0">
        <w:start w:val="33"/>
        <w:numFmt w:val="decimal"/>
        <w:lvlText w:val="%1."/>
        <w:lvlJc w:val="left"/>
        <w:pPr>
          <w:ind w:left="720" w:hanging="360"/>
        </w:pPr>
        <w:rPr>
          <w:rFonts w:hint="default"/>
        </w:rPr>
      </w:lvl>
    </w:lvlOverride>
  </w:num>
  <w:num w:numId="22">
    <w:abstractNumId w:val="6"/>
    <w:lvlOverride w:ilvl="0">
      <w:lvl w:ilvl="0">
        <w:start w:val="33"/>
        <w:numFmt w:val="decimal"/>
        <w:lvlText w:val="%1."/>
        <w:lvlJc w:val="left"/>
        <w:pPr>
          <w:ind w:left="720" w:hanging="360"/>
        </w:pPr>
        <w:rPr>
          <w:rFonts w:hint="default"/>
        </w:rPr>
      </w:lvl>
    </w:lvlOverride>
  </w:num>
  <w:num w:numId="23">
    <w:abstractNumId w:val="6"/>
    <w:lvlOverride w:ilvl="0">
      <w:lvl w:ilvl="0">
        <w:start w:val="33"/>
        <w:numFmt w:val="decimal"/>
        <w:lvlText w:val="%1."/>
        <w:lvlJc w:val="left"/>
        <w:pPr>
          <w:ind w:left="720" w:hanging="360"/>
        </w:pPr>
        <w:rPr>
          <w:rFonts w:hint="default"/>
        </w:rPr>
      </w:lvl>
    </w:lvlOverride>
  </w:num>
  <w:num w:numId="24">
    <w:abstractNumId w:val="6"/>
    <w:lvlOverride w:ilvl="0">
      <w:lvl w:ilvl="0">
        <w:start w:val="33"/>
        <w:numFmt w:val="decimal"/>
        <w:lvlText w:val="%1."/>
        <w:lvlJc w:val="left"/>
        <w:pPr>
          <w:ind w:left="720" w:hanging="360"/>
        </w:pPr>
        <w:rPr>
          <w:rFonts w:hint="default"/>
        </w:rPr>
      </w:lvl>
    </w:lvlOverride>
  </w:num>
  <w:num w:numId="2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2709*"/>
    <w:docVar w:name="jobn" w:val="17-22709 (F)"/>
    <w:docVar w:name="JobNo" w:val="1722709F"/>
    <w:docVar w:name="ODSRefJobNo" w:val="1744768F"/>
    <w:docVar w:name="sss1" w:val="CEDAW/C/ATG/4-7"/>
    <w:docVar w:name="sss2" w:val="-"/>
  </w:docVars>
  <w:rsids>
    <w:rsidRoot w:val="00553385"/>
    <w:rsid w:val="000036EF"/>
    <w:rsid w:val="00007D08"/>
    <w:rsid w:val="0001325F"/>
    <w:rsid w:val="0001342D"/>
    <w:rsid w:val="00014F96"/>
    <w:rsid w:val="00016C7B"/>
    <w:rsid w:val="00017FCF"/>
    <w:rsid w:val="00024945"/>
    <w:rsid w:val="00024D1E"/>
    <w:rsid w:val="00026202"/>
    <w:rsid w:val="00026D2C"/>
    <w:rsid w:val="0004173B"/>
    <w:rsid w:val="0004531C"/>
    <w:rsid w:val="000516F8"/>
    <w:rsid w:val="000A283D"/>
    <w:rsid w:val="000A76A0"/>
    <w:rsid w:val="000C4C9C"/>
    <w:rsid w:val="000D2C99"/>
    <w:rsid w:val="000E08BA"/>
    <w:rsid w:val="000F3A78"/>
    <w:rsid w:val="001136A4"/>
    <w:rsid w:val="001142C9"/>
    <w:rsid w:val="00121A20"/>
    <w:rsid w:val="001565DE"/>
    <w:rsid w:val="0016667F"/>
    <w:rsid w:val="00187DF5"/>
    <w:rsid w:val="001B7732"/>
    <w:rsid w:val="001C4067"/>
    <w:rsid w:val="001D4C12"/>
    <w:rsid w:val="002073CB"/>
    <w:rsid w:val="00214645"/>
    <w:rsid w:val="00247F01"/>
    <w:rsid w:val="002644CC"/>
    <w:rsid w:val="002706A2"/>
    <w:rsid w:val="002729C4"/>
    <w:rsid w:val="002D4787"/>
    <w:rsid w:val="002E09A8"/>
    <w:rsid w:val="00301976"/>
    <w:rsid w:val="00303C17"/>
    <w:rsid w:val="0034195A"/>
    <w:rsid w:val="00376D7E"/>
    <w:rsid w:val="00384048"/>
    <w:rsid w:val="003854C2"/>
    <w:rsid w:val="003A5332"/>
    <w:rsid w:val="003B6B23"/>
    <w:rsid w:val="003E3B08"/>
    <w:rsid w:val="003E723B"/>
    <w:rsid w:val="00400617"/>
    <w:rsid w:val="0041665F"/>
    <w:rsid w:val="004302B0"/>
    <w:rsid w:val="0044179B"/>
    <w:rsid w:val="00441F8D"/>
    <w:rsid w:val="00455FBE"/>
    <w:rsid w:val="004624E1"/>
    <w:rsid w:val="004856CD"/>
    <w:rsid w:val="004B02B0"/>
    <w:rsid w:val="004B0B18"/>
    <w:rsid w:val="004B4C46"/>
    <w:rsid w:val="004C7F84"/>
    <w:rsid w:val="004D17DB"/>
    <w:rsid w:val="005107BB"/>
    <w:rsid w:val="00514306"/>
    <w:rsid w:val="00553385"/>
    <w:rsid w:val="005562CC"/>
    <w:rsid w:val="00556720"/>
    <w:rsid w:val="0057001E"/>
    <w:rsid w:val="00595DD8"/>
    <w:rsid w:val="005A51A5"/>
    <w:rsid w:val="005C49C8"/>
    <w:rsid w:val="005D0B55"/>
    <w:rsid w:val="005E3992"/>
    <w:rsid w:val="005F6D61"/>
    <w:rsid w:val="005F75AA"/>
    <w:rsid w:val="0061245E"/>
    <w:rsid w:val="00617CB2"/>
    <w:rsid w:val="00622C9B"/>
    <w:rsid w:val="006231EF"/>
    <w:rsid w:val="00664254"/>
    <w:rsid w:val="00674235"/>
    <w:rsid w:val="006A1BA1"/>
    <w:rsid w:val="006B1486"/>
    <w:rsid w:val="006C2EEE"/>
    <w:rsid w:val="006E7D5E"/>
    <w:rsid w:val="006F2F92"/>
    <w:rsid w:val="00716C95"/>
    <w:rsid w:val="00752F75"/>
    <w:rsid w:val="00753698"/>
    <w:rsid w:val="0076068E"/>
    <w:rsid w:val="00773F5D"/>
    <w:rsid w:val="007803F1"/>
    <w:rsid w:val="007A620C"/>
    <w:rsid w:val="007B2844"/>
    <w:rsid w:val="007B64DB"/>
    <w:rsid w:val="007B7850"/>
    <w:rsid w:val="007E489D"/>
    <w:rsid w:val="007F5496"/>
    <w:rsid w:val="00807510"/>
    <w:rsid w:val="008234F4"/>
    <w:rsid w:val="00846D29"/>
    <w:rsid w:val="008477BC"/>
    <w:rsid w:val="00855409"/>
    <w:rsid w:val="00855FFA"/>
    <w:rsid w:val="0086373A"/>
    <w:rsid w:val="008723C3"/>
    <w:rsid w:val="008A156F"/>
    <w:rsid w:val="008B2640"/>
    <w:rsid w:val="008C659B"/>
    <w:rsid w:val="008C65F2"/>
    <w:rsid w:val="008C73F3"/>
    <w:rsid w:val="008D4D65"/>
    <w:rsid w:val="00906620"/>
    <w:rsid w:val="00907532"/>
    <w:rsid w:val="00907E8F"/>
    <w:rsid w:val="00970230"/>
    <w:rsid w:val="00971503"/>
    <w:rsid w:val="00980A98"/>
    <w:rsid w:val="009C18D3"/>
    <w:rsid w:val="009D1D54"/>
    <w:rsid w:val="009D328A"/>
    <w:rsid w:val="009E1969"/>
    <w:rsid w:val="00A20AC0"/>
    <w:rsid w:val="00A24ABB"/>
    <w:rsid w:val="00A61714"/>
    <w:rsid w:val="00A82B2E"/>
    <w:rsid w:val="00AA2E74"/>
    <w:rsid w:val="00AC07A9"/>
    <w:rsid w:val="00AE0E2C"/>
    <w:rsid w:val="00AF421C"/>
    <w:rsid w:val="00B22C4B"/>
    <w:rsid w:val="00B327D9"/>
    <w:rsid w:val="00B450FE"/>
    <w:rsid w:val="00B55156"/>
    <w:rsid w:val="00B819CF"/>
    <w:rsid w:val="00BB2D53"/>
    <w:rsid w:val="00BB5182"/>
    <w:rsid w:val="00BB5C7D"/>
    <w:rsid w:val="00BF5B27"/>
    <w:rsid w:val="00BF5BEB"/>
    <w:rsid w:val="00BF6BE0"/>
    <w:rsid w:val="00C101CD"/>
    <w:rsid w:val="00C25153"/>
    <w:rsid w:val="00C61EAA"/>
    <w:rsid w:val="00C663DF"/>
    <w:rsid w:val="00C779E4"/>
    <w:rsid w:val="00C81FD5"/>
    <w:rsid w:val="00CA5186"/>
    <w:rsid w:val="00CD66BC"/>
    <w:rsid w:val="00CF6DFE"/>
    <w:rsid w:val="00CF7D55"/>
    <w:rsid w:val="00CF7DEC"/>
    <w:rsid w:val="00D008D2"/>
    <w:rsid w:val="00D010F9"/>
    <w:rsid w:val="00D046CD"/>
    <w:rsid w:val="00D17A57"/>
    <w:rsid w:val="00D21A90"/>
    <w:rsid w:val="00D42D35"/>
    <w:rsid w:val="00D47611"/>
    <w:rsid w:val="00D526E8"/>
    <w:rsid w:val="00D52AF6"/>
    <w:rsid w:val="00D550EE"/>
    <w:rsid w:val="00D83464"/>
    <w:rsid w:val="00D91316"/>
    <w:rsid w:val="00DC4259"/>
    <w:rsid w:val="00DC7B16"/>
    <w:rsid w:val="00DE308C"/>
    <w:rsid w:val="00E03FA8"/>
    <w:rsid w:val="00E36352"/>
    <w:rsid w:val="00E54D5A"/>
    <w:rsid w:val="00E557F9"/>
    <w:rsid w:val="00E73B1D"/>
    <w:rsid w:val="00E870C2"/>
    <w:rsid w:val="00E918AA"/>
    <w:rsid w:val="00EA717A"/>
    <w:rsid w:val="00EB7905"/>
    <w:rsid w:val="00EC26C8"/>
    <w:rsid w:val="00ED5D46"/>
    <w:rsid w:val="00ED6201"/>
    <w:rsid w:val="00F05573"/>
    <w:rsid w:val="00F103D9"/>
    <w:rsid w:val="00F11729"/>
    <w:rsid w:val="00F27BF6"/>
    <w:rsid w:val="00F30184"/>
    <w:rsid w:val="00F35F28"/>
    <w:rsid w:val="00F36841"/>
    <w:rsid w:val="00F5593E"/>
    <w:rsid w:val="00F94BC6"/>
    <w:rsid w:val="00FA4C4B"/>
    <w:rsid w:val="00FC49F5"/>
    <w:rsid w:val="00FC4ACB"/>
    <w:rsid w:val="00FF28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6E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7D"/>
    <w:pPr>
      <w:suppressAutoHyphens/>
      <w:spacing w:after="0" w:line="240" w:lineRule="exact"/>
    </w:pPr>
    <w:rPr>
      <w:rFonts w:ascii="Times New Roman" w:eastAsiaTheme="minorHAnsi" w:hAnsi="Times New Roman" w:cs="Times New Roman"/>
      <w:spacing w:val="4"/>
      <w:w w:val="103"/>
      <w:kern w:val="14"/>
      <w:sz w:val="20"/>
      <w:szCs w:val="20"/>
      <w:lang w:val="fr-FR"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B5C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rsid w:val="00BB5C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HCh">
    <w:name w:val="_ H _Ch"/>
    <w:basedOn w:val="H1"/>
    <w:next w:val="SingleTxt"/>
    <w:rsid w:val="00BB5C7D"/>
    <w:pPr>
      <w:spacing w:line="300" w:lineRule="exact"/>
      <w:ind w:left="0" w:right="0" w:firstLine="0"/>
    </w:pPr>
    <w:rPr>
      <w:spacing w:val="-2"/>
      <w:sz w:val="28"/>
    </w:rPr>
  </w:style>
  <w:style w:type="paragraph" w:customStyle="1" w:styleId="HM">
    <w:name w:val="_ H __M"/>
    <w:basedOn w:val="HCh"/>
    <w:next w:val="Normal"/>
    <w:rsid w:val="00BB5C7D"/>
    <w:pPr>
      <w:spacing w:line="360" w:lineRule="exact"/>
    </w:pPr>
    <w:rPr>
      <w:spacing w:val="-3"/>
      <w:w w:val="99"/>
      <w:sz w:val="34"/>
    </w:rPr>
  </w:style>
  <w:style w:type="paragraph" w:customStyle="1" w:styleId="H23">
    <w:name w:val="_ H_2/3"/>
    <w:basedOn w:val="Normal"/>
    <w:next w:val="SingleTxt"/>
    <w:rsid w:val="00BB5C7D"/>
    <w:pPr>
      <w:outlineLvl w:val="1"/>
    </w:pPr>
    <w:rPr>
      <w:b/>
      <w:lang w:val="en-US"/>
    </w:rPr>
  </w:style>
  <w:style w:type="paragraph" w:customStyle="1" w:styleId="H4">
    <w:name w:val="_ H_4"/>
    <w:basedOn w:val="Normal"/>
    <w:next w:val="SingleTxt"/>
    <w:rsid w:val="00BB5C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B5C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B5C7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B5C7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B5C7D"/>
    <w:pPr>
      <w:spacing w:line="540" w:lineRule="exact"/>
    </w:pPr>
    <w:rPr>
      <w:spacing w:val="-8"/>
      <w:w w:val="96"/>
      <w:sz w:val="57"/>
    </w:rPr>
  </w:style>
  <w:style w:type="paragraph" w:customStyle="1" w:styleId="SS">
    <w:name w:val="__S_S"/>
    <w:basedOn w:val="HCh"/>
    <w:next w:val="Normal"/>
    <w:rsid w:val="00BB5C7D"/>
    <w:pPr>
      <w:ind w:left="1267" w:right="1267"/>
    </w:pPr>
  </w:style>
  <w:style w:type="paragraph" w:customStyle="1" w:styleId="AgendaItemNormal">
    <w:name w:val="Agenda_Item_Normal"/>
    <w:next w:val="Normal"/>
    <w:qFormat/>
    <w:rsid w:val="00BB5C7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B5C7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B5C7D"/>
    <w:pPr>
      <w:spacing w:line="240" w:lineRule="exact"/>
      <w:ind w:left="0" w:right="5040" w:firstLine="0"/>
      <w:outlineLvl w:val="1"/>
    </w:pPr>
    <w:rPr>
      <w:sz w:val="20"/>
    </w:rPr>
  </w:style>
  <w:style w:type="paragraph" w:styleId="BalloonText">
    <w:name w:val="Balloon Text"/>
    <w:basedOn w:val="Normal"/>
    <w:link w:val="BalloonTextChar"/>
    <w:semiHidden/>
    <w:rsid w:val="00BB5C7D"/>
    <w:rPr>
      <w:rFonts w:ascii="Tahoma" w:hAnsi="Tahoma" w:cs="Tahoma"/>
      <w:sz w:val="16"/>
      <w:szCs w:val="16"/>
    </w:rPr>
  </w:style>
  <w:style w:type="character" w:customStyle="1" w:styleId="BalloonTextChar">
    <w:name w:val="Balloon Text Char"/>
    <w:basedOn w:val="DefaultParagraphFont"/>
    <w:link w:val="BalloonText"/>
    <w:semiHidden/>
    <w:rsid w:val="00BB5C7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B5C7D"/>
    <w:pPr>
      <w:numPr>
        <w:numId w:val="3"/>
      </w:numPr>
      <w:spacing w:after="120" w:line="240" w:lineRule="atLeast"/>
      <w:ind w:right="1267"/>
      <w:jc w:val="both"/>
    </w:pPr>
  </w:style>
  <w:style w:type="paragraph" w:customStyle="1" w:styleId="Bullet2">
    <w:name w:val="Bullet 2"/>
    <w:basedOn w:val="Normal"/>
    <w:qFormat/>
    <w:rsid w:val="00FC49F5"/>
    <w:pPr>
      <w:numPr>
        <w:numId w:val="1"/>
      </w:numPr>
      <w:spacing w:after="120"/>
      <w:ind w:right="1264"/>
      <w:jc w:val="both"/>
    </w:pPr>
  </w:style>
  <w:style w:type="paragraph" w:customStyle="1" w:styleId="Bullet3">
    <w:name w:val="Bullet 3"/>
    <w:basedOn w:val="SingleTxt"/>
    <w:qFormat/>
    <w:rsid w:val="00BB5C7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B5C7D"/>
    <w:rPr>
      <w:sz w:val="6"/>
    </w:rPr>
  </w:style>
  <w:style w:type="paragraph" w:customStyle="1" w:styleId="Distribution">
    <w:name w:val="Distribution"/>
    <w:next w:val="Normal"/>
    <w:rsid w:val="00BB5C7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B5C7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B5C7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B5C7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B5C7D"/>
  </w:style>
  <w:style w:type="character" w:customStyle="1" w:styleId="EndnoteTextChar">
    <w:name w:val="Endnote Text Char"/>
    <w:basedOn w:val="DefaultParagraphFont"/>
    <w:link w:val="EndnoteText"/>
    <w:semiHidden/>
    <w:rsid w:val="00BB5C7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B5C7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B5C7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B5C7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B5C7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B5C7D"/>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B5C7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B5C7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B5C7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B5C7D"/>
    <w:pPr>
      <w:tabs>
        <w:tab w:val="right" w:pos="9965"/>
      </w:tabs>
      <w:spacing w:line="210" w:lineRule="exact"/>
    </w:pPr>
    <w:rPr>
      <w:spacing w:val="5"/>
      <w:w w:val="104"/>
      <w:sz w:val="17"/>
    </w:rPr>
  </w:style>
  <w:style w:type="paragraph" w:customStyle="1" w:styleId="SmallX">
    <w:name w:val="SmallX"/>
    <w:basedOn w:val="Small"/>
    <w:next w:val="Normal"/>
    <w:rsid w:val="00BB5C7D"/>
    <w:pPr>
      <w:spacing w:line="180" w:lineRule="exact"/>
      <w:jc w:val="right"/>
    </w:pPr>
    <w:rPr>
      <w:spacing w:val="6"/>
      <w:w w:val="106"/>
      <w:sz w:val="14"/>
    </w:rPr>
  </w:style>
  <w:style w:type="paragraph" w:customStyle="1" w:styleId="TitleHCH">
    <w:name w:val="Title_H_CH"/>
    <w:basedOn w:val="H1"/>
    <w:next w:val="Normal"/>
    <w:qFormat/>
    <w:rsid w:val="00BB5C7D"/>
    <w:pPr>
      <w:spacing w:line="300" w:lineRule="exact"/>
      <w:ind w:left="0" w:right="0" w:firstLine="0"/>
    </w:pPr>
    <w:rPr>
      <w:spacing w:val="-2"/>
      <w:sz w:val="28"/>
    </w:rPr>
  </w:style>
  <w:style w:type="paragraph" w:customStyle="1" w:styleId="TitleH2">
    <w:name w:val="Title_H2"/>
    <w:basedOn w:val="Normal"/>
    <w:next w:val="Normal"/>
    <w:qFormat/>
    <w:rsid w:val="00BB5C7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B5C7D"/>
    <w:pPr>
      <w:spacing w:line="390" w:lineRule="exact"/>
    </w:pPr>
    <w:rPr>
      <w:spacing w:val="-4"/>
      <w:w w:val="98"/>
      <w:sz w:val="40"/>
    </w:rPr>
  </w:style>
  <w:style w:type="character" w:styleId="Hyperlink">
    <w:name w:val="Hyperlink"/>
    <w:basedOn w:val="DefaultParagraphFont"/>
    <w:rsid w:val="00BB5C7D"/>
    <w:rPr>
      <w:color w:val="0000FF" w:themeColor="hyperlink"/>
      <w:u w:val="none"/>
    </w:rPr>
  </w:style>
  <w:style w:type="paragraph" w:styleId="PlainText">
    <w:name w:val="Plain Text"/>
    <w:basedOn w:val="Normal"/>
    <w:link w:val="PlainTextChar"/>
    <w:rsid w:val="00BB5C7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B5C7D"/>
    <w:rPr>
      <w:rFonts w:ascii="Courier New" w:eastAsia="Times New Roman" w:hAnsi="Courier New" w:cs="Times New Roman"/>
      <w:sz w:val="20"/>
      <w:szCs w:val="20"/>
      <w:lang w:val="en-US" w:eastAsia="en-GB"/>
    </w:rPr>
  </w:style>
  <w:style w:type="paragraph" w:customStyle="1" w:styleId="ReleaseDate0">
    <w:name w:val="Release Date"/>
    <w:next w:val="Footer"/>
    <w:rsid w:val="00BB5C7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B5C7D"/>
  </w:style>
  <w:style w:type="table" w:styleId="TableGrid">
    <w:name w:val="Table Grid"/>
    <w:basedOn w:val="TableNormal"/>
    <w:rsid w:val="00BB5C7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01325F"/>
    <w:pPr>
      <w:outlineLvl w:val="1"/>
    </w:pPr>
  </w:style>
  <w:style w:type="paragraph" w:styleId="CommentText">
    <w:name w:val="annotation text"/>
    <w:basedOn w:val="Normal"/>
    <w:link w:val="CommentTextChar"/>
    <w:uiPriority w:val="99"/>
    <w:semiHidden/>
    <w:unhideWhenUsed/>
    <w:rsid w:val="00B450FE"/>
    <w:pPr>
      <w:spacing w:line="240" w:lineRule="auto"/>
    </w:pPr>
  </w:style>
  <w:style w:type="character" w:customStyle="1" w:styleId="CommentTextChar">
    <w:name w:val="Comment Text Char"/>
    <w:basedOn w:val="DefaultParagraphFont"/>
    <w:link w:val="CommentText"/>
    <w:uiPriority w:val="99"/>
    <w:semiHidden/>
    <w:rsid w:val="00B450F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450FE"/>
    <w:rPr>
      <w:b/>
      <w:bCs/>
    </w:rPr>
  </w:style>
  <w:style w:type="character" w:customStyle="1" w:styleId="CommentSubjectChar">
    <w:name w:val="Comment Subject Char"/>
    <w:basedOn w:val="CommentTextChar"/>
    <w:link w:val="CommentSubject"/>
    <w:uiPriority w:val="99"/>
    <w:semiHidden/>
    <w:rsid w:val="00B450FE"/>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34195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ingleTxtG">
    <w:name w:val="_ Single Txt_G"/>
    <w:basedOn w:val="Normal"/>
    <w:qFormat/>
    <w:rsid w:val="0034195A"/>
    <w:pPr>
      <w:spacing w:after="120" w:line="240" w:lineRule="atLeast"/>
      <w:ind w:left="1134" w:right="1134"/>
      <w:jc w:val="both"/>
    </w:pPr>
    <w:rPr>
      <w:rFonts w:eastAsia="Times New Roman"/>
      <w:spacing w:val="0"/>
      <w:w w:val="100"/>
      <w:kern w:val="0"/>
    </w:rPr>
  </w:style>
  <w:style w:type="character" w:styleId="FollowedHyperlink">
    <w:name w:val="FollowedHyperlink"/>
    <w:basedOn w:val="DefaultParagraphFont"/>
    <w:uiPriority w:val="99"/>
    <w:semiHidden/>
    <w:unhideWhenUsed/>
    <w:rsid w:val="009D1D54"/>
    <w:rPr>
      <w:color w:val="0000FF"/>
      <w:u w:val="none"/>
    </w:rPr>
  </w:style>
  <w:style w:type="character" w:customStyle="1" w:styleId="preferred">
    <w:name w:val="preferred"/>
    <w:basedOn w:val="DefaultParagraphFont"/>
    <w:rsid w:val="00CF7DEC"/>
  </w:style>
  <w:style w:type="paragraph" w:customStyle="1" w:styleId="H23G">
    <w:name w:val="_ H_2/3_G"/>
    <w:basedOn w:val="Normal"/>
    <w:next w:val="Normal"/>
    <w:qFormat/>
    <w:rsid w:val="004624E1"/>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Normal"/>
    <w:next w:val="Normal"/>
    <w:qFormat/>
    <w:rsid w:val="004624E1"/>
    <w:pPr>
      <w:keepNext/>
      <w:keepLines/>
      <w:tabs>
        <w:tab w:val="right" w:pos="851"/>
      </w:tabs>
      <w:spacing w:before="240" w:after="120"/>
      <w:ind w:left="1134" w:right="1134" w:hanging="1134"/>
    </w:pPr>
    <w:rPr>
      <w:rFonts w:eastAsia="Times New Roman"/>
      <w:i/>
      <w:spacing w:val="0"/>
      <w:w w:val="100"/>
      <w:kern w:val="0"/>
    </w:rPr>
  </w:style>
  <w:style w:type="paragraph" w:customStyle="1" w:styleId="Bullet1G">
    <w:name w:val="_Bullet 1_G"/>
    <w:basedOn w:val="Normal"/>
    <w:qFormat/>
    <w:rsid w:val="002073CB"/>
    <w:pPr>
      <w:numPr>
        <w:numId w:val="16"/>
      </w:numPr>
      <w:spacing w:after="120" w:line="240" w:lineRule="atLeast"/>
      <w:ind w:right="1134"/>
      <w:jc w:val="both"/>
    </w:pPr>
    <w:rPr>
      <w:rFonts w:eastAsia="Times New Roman"/>
      <w:spacing w:val="0"/>
      <w:w w:val="100"/>
      <w:kern w:val="0"/>
    </w:rPr>
  </w:style>
  <w:style w:type="character" w:styleId="Emphasis">
    <w:name w:val="Emphasis"/>
    <w:basedOn w:val="DefaultParagraphFont"/>
    <w:uiPriority w:val="20"/>
    <w:qFormat/>
    <w:rsid w:val="002073CB"/>
    <w:rPr>
      <w:i/>
      <w:iCs/>
    </w:rPr>
  </w:style>
  <w:style w:type="character" w:customStyle="1" w:styleId="french">
    <w:name w:val="french"/>
    <w:basedOn w:val="DefaultParagraphFont"/>
    <w:rsid w:val="00C81FD5"/>
  </w:style>
  <w:style w:type="character" w:customStyle="1" w:styleId="admitted">
    <w:name w:val="admitted"/>
    <w:basedOn w:val="DefaultParagraphFont"/>
    <w:rsid w:val="006A1BA1"/>
  </w:style>
  <w:style w:type="character" w:customStyle="1" w:styleId="content">
    <w:name w:val="content"/>
    <w:basedOn w:val="DefaultParagraphFont"/>
    <w:rsid w:val="005F75AA"/>
  </w:style>
  <w:style w:type="character" w:customStyle="1" w:styleId="freetext">
    <w:name w:val="freetext"/>
    <w:basedOn w:val="DefaultParagraphFont"/>
    <w:rsid w:val="005E3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7D"/>
    <w:pPr>
      <w:suppressAutoHyphens/>
      <w:spacing w:after="0" w:line="240" w:lineRule="exact"/>
    </w:pPr>
    <w:rPr>
      <w:rFonts w:ascii="Times New Roman" w:eastAsiaTheme="minorHAnsi" w:hAnsi="Times New Roman" w:cs="Times New Roman"/>
      <w:spacing w:val="4"/>
      <w:w w:val="103"/>
      <w:kern w:val="14"/>
      <w:sz w:val="20"/>
      <w:szCs w:val="20"/>
      <w:lang w:val="fr-FR"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B5C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rsid w:val="00BB5C7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HCh">
    <w:name w:val="_ H _Ch"/>
    <w:basedOn w:val="H1"/>
    <w:next w:val="SingleTxt"/>
    <w:rsid w:val="00BB5C7D"/>
    <w:pPr>
      <w:spacing w:line="300" w:lineRule="exact"/>
      <w:ind w:left="0" w:right="0" w:firstLine="0"/>
    </w:pPr>
    <w:rPr>
      <w:spacing w:val="-2"/>
      <w:sz w:val="28"/>
    </w:rPr>
  </w:style>
  <w:style w:type="paragraph" w:customStyle="1" w:styleId="HM">
    <w:name w:val="_ H __M"/>
    <w:basedOn w:val="HCh"/>
    <w:next w:val="Normal"/>
    <w:rsid w:val="00BB5C7D"/>
    <w:pPr>
      <w:spacing w:line="360" w:lineRule="exact"/>
    </w:pPr>
    <w:rPr>
      <w:spacing w:val="-3"/>
      <w:w w:val="99"/>
      <w:sz w:val="34"/>
    </w:rPr>
  </w:style>
  <w:style w:type="paragraph" w:customStyle="1" w:styleId="H23">
    <w:name w:val="_ H_2/3"/>
    <w:basedOn w:val="Normal"/>
    <w:next w:val="SingleTxt"/>
    <w:rsid w:val="00BB5C7D"/>
    <w:pPr>
      <w:outlineLvl w:val="1"/>
    </w:pPr>
    <w:rPr>
      <w:b/>
      <w:lang w:val="en-US"/>
    </w:rPr>
  </w:style>
  <w:style w:type="paragraph" w:customStyle="1" w:styleId="H4">
    <w:name w:val="_ H_4"/>
    <w:basedOn w:val="Normal"/>
    <w:next w:val="SingleTxt"/>
    <w:rsid w:val="00BB5C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B5C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B5C7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B5C7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B5C7D"/>
    <w:pPr>
      <w:spacing w:line="540" w:lineRule="exact"/>
    </w:pPr>
    <w:rPr>
      <w:spacing w:val="-8"/>
      <w:w w:val="96"/>
      <w:sz w:val="57"/>
    </w:rPr>
  </w:style>
  <w:style w:type="paragraph" w:customStyle="1" w:styleId="SS">
    <w:name w:val="__S_S"/>
    <w:basedOn w:val="HCh"/>
    <w:next w:val="Normal"/>
    <w:rsid w:val="00BB5C7D"/>
    <w:pPr>
      <w:ind w:left="1267" w:right="1267"/>
    </w:pPr>
  </w:style>
  <w:style w:type="paragraph" w:customStyle="1" w:styleId="AgendaItemNormal">
    <w:name w:val="Agenda_Item_Normal"/>
    <w:next w:val="Normal"/>
    <w:qFormat/>
    <w:rsid w:val="00BB5C7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BB5C7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B5C7D"/>
    <w:pPr>
      <w:spacing w:line="240" w:lineRule="exact"/>
      <w:ind w:left="0" w:right="5040" w:firstLine="0"/>
      <w:outlineLvl w:val="1"/>
    </w:pPr>
    <w:rPr>
      <w:sz w:val="20"/>
    </w:rPr>
  </w:style>
  <w:style w:type="paragraph" w:styleId="BalloonText">
    <w:name w:val="Balloon Text"/>
    <w:basedOn w:val="Normal"/>
    <w:link w:val="BalloonTextChar"/>
    <w:semiHidden/>
    <w:rsid w:val="00BB5C7D"/>
    <w:rPr>
      <w:rFonts w:ascii="Tahoma" w:hAnsi="Tahoma" w:cs="Tahoma"/>
      <w:sz w:val="16"/>
      <w:szCs w:val="16"/>
    </w:rPr>
  </w:style>
  <w:style w:type="character" w:customStyle="1" w:styleId="BalloonTextChar">
    <w:name w:val="Balloon Text Char"/>
    <w:basedOn w:val="DefaultParagraphFont"/>
    <w:link w:val="BalloonText"/>
    <w:semiHidden/>
    <w:rsid w:val="00BB5C7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B5C7D"/>
    <w:pPr>
      <w:numPr>
        <w:numId w:val="3"/>
      </w:numPr>
      <w:spacing w:after="120" w:line="240" w:lineRule="atLeast"/>
      <w:ind w:right="1267"/>
      <w:jc w:val="both"/>
    </w:pPr>
  </w:style>
  <w:style w:type="paragraph" w:customStyle="1" w:styleId="Bullet2">
    <w:name w:val="Bullet 2"/>
    <w:basedOn w:val="Normal"/>
    <w:qFormat/>
    <w:rsid w:val="00FC49F5"/>
    <w:pPr>
      <w:numPr>
        <w:numId w:val="1"/>
      </w:numPr>
      <w:spacing w:after="120"/>
      <w:ind w:right="1264"/>
      <w:jc w:val="both"/>
    </w:pPr>
  </w:style>
  <w:style w:type="paragraph" w:customStyle="1" w:styleId="Bullet3">
    <w:name w:val="Bullet 3"/>
    <w:basedOn w:val="SingleTxt"/>
    <w:qFormat/>
    <w:rsid w:val="00BB5C7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B5C7D"/>
    <w:rPr>
      <w:sz w:val="6"/>
    </w:rPr>
  </w:style>
  <w:style w:type="paragraph" w:customStyle="1" w:styleId="Distribution">
    <w:name w:val="Distribution"/>
    <w:next w:val="Normal"/>
    <w:rsid w:val="00BB5C7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B5C7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B5C7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B5C7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B5C7D"/>
  </w:style>
  <w:style w:type="character" w:customStyle="1" w:styleId="EndnoteTextChar">
    <w:name w:val="Endnote Text Char"/>
    <w:basedOn w:val="DefaultParagraphFont"/>
    <w:link w:val="EndnoteText"/>
    <w:semiHidden/>
    <w:rsid w:val="00BB5C7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B5C7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B5C7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B5C7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B5C7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B5C7D"/>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B5C7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B5C7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B5C7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B5C7D"/>
    <w:pPr>
      <w:tabs>
        <w:tab w:val="right" w:pos="9965"/>
      </w:tabs>
      <w:spacing w:line="210" w:lineRule="exact"/>
    </w:pPr>
    <w:rPr>
      <w:spacing w:val="5"/>
      <w:w w:val="104"/>
      <w:sz w:val="17"/>
    </w:rPr>
  </w:style>
  <w:style w:type="paragraph" w:customStyle="1" w:styleId="SmallX">
    <w:name w:val="SmallX"/>
    <w:basedOn w:val="Small"/>
    <w:next w:val="Normal"/>
    <w:rsid w:val="00BB5C7D"/>
    <w:pPr>
      <w:spacing w:line="180" w:lineRule="exact"/>
      <w:jc w:val="right"/>
    </w:pPr>
    <w:rPr>
      <w:spacing w:val="6"/>
      <w:w w:val="106"/>
      <w:sz w:val="14"/>
    </w:rPr>
  </w:style>
  <w:style w:type="paragraph" w:customStyle="1" w:styleId="TitleHCH">
    <w:name w:val="Title_H_CH"/>
    <w:basedOn w:val="H1"/>
    <w:next w:val="Normal"/>
    <w:qFormat/>
    <w:rsid w:val="00BB5C7D"/>
    <w:pPr>
      <w:spacing w:line="300" w:lineRule="exact"/>
      <w:ind w:left="0" w:right="0" w:firstLine="0"/>
    </w:pPr>
    <w:rPr>
      <w:spacing w:val="-2"/>
      <w:sz w:val="28"/>
    </w:rPr>
  </w:style>
  <w:style w:type="paragraph" w:customStyle="1" w:styleId="TitleH2">
    <w:name w:val="Title_H2"/>
    <w:basedOn w:val="Normal"/>
    <w:next w:val="Normal"/>
    <w:qFormat/>
    <w:rsid w:val="00BB5C7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B5C7D"/>
    <w:pPr>
      <w:spacing w:line="390" w:lineRule="exact"/>
    </w:pPr>
    <w:rPr>
      <w:spacing w:val="-4"/>
      <w:w w:val="98"/>
      <w:sz w:val="40"/>
    </w:rPr>
  </w:style>
  <w:style w:type="character" w:styleId="Hyperlink">
    <w:name w:val="Hyperlink"/>
    <w:basedOn w:val="DefaultParagraphFont"/>
    <w:rsid w:val="00BB5C7D"/>
    <w:rPr>
      <w:color w:val="0000FF" w:themeColor="hyperlink"/>
      <w:u w:val="none"/>
    </w:rPr>
  </w:style>
  <w:style w:type="paragraph" w:styleId="PlainText">
    <w:name w:val="Plain Text"/>
    <w:basedOn w:val="Normal"/>
    <w:link w:val="PlainTextChar"/>
    <w:rsid w:val="00BB5C7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B5C7D"/>
    <w:rPr>
      <w:rFonts w:ascii="Courier New" w:eastAsia="Times New Roman" w:hAnsi="Courier New" w:cs="Times New Roman"/>
      <w:sz w:val="20"/>
      <w:szCs w:val="20"/>
      <w:lang w:val="en-US" w:eastAsia="en-GB"/>
    </w:rPr>
  </w:style>
  <w:style w:type="paragraph" w:customStyle="1" w:styleId="ReleaseDate0">
    <w:name w:val="Release Date"/>
    <w:next w:val="Footer"/>
    <w:rsid w:val="00BB5C7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B5C7D"/>
  </w:style>
  <w:style w:type="table" w:styleId="TableGrid">
    <w:name w:val="Table Grid"/>
    <w:basedOn w:val="TableNormal"/>
    <w:rsid w:val="00BB5C7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01325F"/>
    <w:pPr>
      <w:outlineLvl w:val="1"/>
    </w:pPr>
  </w:style>
  <w:style w:type="paragraph" w:styleId="CommentText">
    <w:name w:val="annotation text"/>
    <w:basedOn w:val="Normal"/>
    <w:link w:val="CommentTextChar"/>
    <w:uiPriority w:val="99"/>
    <w:semiHidden/>
    <w:unhideWhenUsed/>
    <w:rsid w:val="00B450FE"/>
    <w:pPr>
      <w:spacing w:line="240" w:lineRule="auto"/>
    </w:pPr>
  </w:style>
  <w:style w:type="character" w:customStyle="1" w:styleId="CommentTextChar">
    <w:name w:val="Comment Text Char"/>
    <w:basedOn w:val="DefaultParagraphFont"/>
    <w:link w:val="CommentText"/>
    <w:uiPriority w:val="99"/>
    <w:semiHidden/>
    <w:rsid w:val="00B450F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450FE"/>
    <w:rPr>
      <w:b/>
      <w:bCs/>
    </w:rPr>
  </w:style>
  <w:style w:type="character" w:customStyle="1" w:styleId="CommentSubjectChar">
    <w:name w:val="Comment Subject Char"/>
    <w:basedOn w:val="CommentTextChar"/>
    <w:link w:val="CommentSubject"/>
    <w:uiPriority w:val="99"/>
    <w:semiHidden/>
    <w:rsid w:val="00B450FE"/>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34195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ingleTxtG">
    <w:name w:val="_ Single Txt_G"/>
    <w:basedOn w:val="Normal"/>
    <w:qFormat/>
    <w:rsid w:val="0034195A"/>
    <w:pPr>
      <w:spacing w:after="120" w:line="240" w:lineRule="atLeast"/>
      <w:ind w:left="1134" w:right="1134"/>
      <w:jc w:val="both"/>
    </w:pPr>
    <w:rPr>
      <w:rFonts w:eastAsia="Times New Roman"/>
      <w:spacing w:val="0"/>
      <w:w w:val="100"/>
      <w:kern w:val="0"/>
    </w:rPr>
  </w:style>
  <w:style w:type="character" w:styleId="FollowedHyperlink">
    <w:name w:val="FollowedHyperlink"/>
    <w:basedOn w:val="DefaultParagraphFont"/>
    <w:uiPriority w:val="99"/>
    <w:semiHidden/>
    <w:unhideWhenUsed/>
    <w:rsid w:val="009D1D54"/>
    <w:rPr>
      <w:color w:val="0000FF"/>
      <w:u w:val="none"/>
    </w:rPr>
  </w:style>
  <w:style w:type="character" w:customStyle="1" w:styleId="preferred">
    <w:name w:val="preferred"/>
    <w:basedOn w:val="DefaultParagraphFont"/>
    <w:rsid w:val="00CF7DEC"/>
  </w:style>
  <w:style w:type="paragraph" w:customStyle="1" w:styleId="H23G">
    <w:name w:val="_ H_2/3_G"/>
    <w:basedOn w:val="Normal"/>
    <w:next w:val="Normal"/>
    <w:qFormat/>
    <w:rsid w:val="004624E1"/>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Normal"/>
    <w:next w:val="Normal"/>
    <w:qFormat/>
    <w:rsid w:val="004624E1"/>
    <w:pPr>
      <w:keepNext/>
      <w:keepLines/>
      <w:tabs>
        <w:tab w:val="right" w:pos="851"/>
      </w:tabs>
      <w:spacing w:before="240" w:after="120"/>
      <w:ind w:left="1134" w:right="1134" w:hanging="1134"/>
    </w:pPr>
    <w:rPr>
      <w:rFonts w:eastAsia="Times New Roman"/>
      <w:i/>
      <w:spacing w:val="0"/>
      <w:w w:val="100"/>
      <w:kern w:val="0"/>
    </w:rPr>
  </w:style>
  <w:style w:type="paragraph" w:customStyle="1" w:styleId="Bullet1G">
    <w:name w:val="_Bullet 1_G"/>
    <w:basedOn w:val="Normal"/>
    <w:qFormat/>
    <w:rsid w:val="002073CB"/>
    <w:pPr>
      <w:numPr>
        <w:numId w:val="16"/>
      </w:numPr>
      <w:spacing w:after="120" w:line="240" w:lineRule="atLeast"/>
      <w:ind w:right="1134"/>
      <w:jc w:val="both"/>
    </w:pPr>
    <w:rPr>
      <w:rFonts w:eastAsia="Times New Roman"/>
      <w:spacing w:val="0"/>
      <w:w w:val="100"/>
      <w:kern w:val="0"/>
    </w:rPr>
  </w:style>
  <w:style w:type="character" w:styleId="Emphasis">
    <w:name w:val="Emphasis"/>
    <w:basedOn w:val="DefaultParagraphFont"/>
    <w:uiPriority w:val="20"/>
    <w:qFormat/>
    <w:rsid w:val="002073CB"/>
    <w:rPr>
      <w:i/>
      <w:iCs/>
    </w:rPr>
  </w:style>
  <w:style w:type="character" w:customStyle="1" w:styleId="french">
    <w:name w:val="french"/>
    <w:basedOn w:val="DefaultParagraphFont"/>
    <w:rsid w:val="00C81FD5"/>
  </w:style>
  <w:style w:type="character" w:customStyle="1" w:styleId="admitted">
    <w:name w:val="admitted"/>
    <w:basedOn w:val="DefaultParagraphFont"/>
    <w:rsid w:val="006A1BA1"/>
  </w:style>
  <w:style w:type="character" w:customStyle="1" w:styleId="content">
    <w:name w:val="content"/>
    <w:basedOn w:val="DefaultParagraphFont"/>
    <w:rsid w:val="005F75AA"/>
  </w:style>
  <w:style w:type="character" w:customStyle="1" w:styleId="freetext">
    <w:name w:val="freetext"/>
    <w:basedOn w:val="DefaultParagraphFont"/>
    <w:rsid w:val="005E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844">
      <w:bodyDiv w:val="1"/>
      <w:marLeft w:val="0"/>
      <w:marRight w:val="0"/>
      <w:marTop w:val="0"/>
      <w:marBottom w:val="0"/>
      <w:divBdr>
        <w:top w:val="none" w:sz="0" w:space="0" w:color="auto"/>
        <w:left w:val="none" w:sz="0" w:space="0" w:color="auto"/>
        <w:bottom w:val="none" w:sz="0" w:space="0" w:color="auto"/>
        <w:right w:val="none" w:sz="0" w:space="0" w:color="auto"/>
      </w:divBdr>
    </w:div>
    <w:div w:id="18627470">
      <w:bodyDiv w:val="1"/>
      <w:marLeft w:val="0"/>
      <w:marRight w:val="0"/>
      <w:marTop w:val="0"/>
      <w:marBottom w:val="0"/>
      <w:divBdr>
        <w:top w:val="none" w:sz="0" w:space="0" w:color="auto"/>
        <w:left w:val="none" w:sz="0" w:space="0" w:color="auto"/>
        <w:bottom w:val="none" w:sz="0" w:space="0" w:color="auto"/>
        <w:right w:val="none" w:sz="0" w:space="0" w:color="auto"/>
      </w:divBdr>
    </w:div>
    <w:div w:id="22095380">
      <w:bodyDiv w:val="1"/>
      <w:marLeft w:val="0"/>
      <w:marRight w:val="0"/>
      <w:marTop w:val="0"/>
      <w:marBottom w:val="0"/>
      <w:divBdr>
        <w:top w:val="none" w:sz="0" w:space="0" w:color="auto"/>
        <w:left w:val="none" w:sz="0" w:space="0" w:color="auto"/>
        <w:bottom w:val="none" w:sz="0" w:space="0" w:color="auto"/>
        <w:right w:val="none" w:sz="0" w:space="0" w:color="auto"/>
      </w:divBdr>
    </w:div>
    <w:div w:id="62609431">
      <w:bodyDiv w:val="1"/>
      <w:marLeft w:val="0"/>
      <w:marRight w:val="0"/>
      <w:marTop w:val="0"/>
      <w:marBottom w:val="0"/>
      <w:divBdr>
        <w:top w:val="none" w:sz="0" w:space="0" w:color="auto"/>
        <w:left w:val="none" w:sz="0" w:space="0" w:color="auto"/>
        <w:bottom w:val="none" w:sz="0" w:space="0" w:color="auto"/>
        <w:right w:val="none" w:sz="0" w:space="0" w:color="auto"/>
      </w:divBdr>
    </w:div>
    <w:div w:id="185295839">
      <w:bodyDiv w:val="1"/>
      <w:marLeft w:val="0"/>
      <w:marRight w:val="0"/>
      <w:marTop w:val="0"/>
      <w:marBottom w:val="0"/>
      <w:divBdr>
        <w:top w:val="none" w:sz="0" w:space="0" w:color="auto"/>
        <w:left w:val="none" w:sz="0" w:space="0" w:color="auto"/>
        <w:bottom w:val="none" w:sz="0" w:space="0" w:color="auto"/>
        <w:right w:val="none" w:sz="0" w:space="0" w:color="auto"/>
      </w:divBdr>
    </w:div>
    <w:div w:id="224948780">
      <w:bodyDiv w:val="1"/>
      <w:marLeft w:val="0"/>
      <w:marRight w:val="0"/>
      <w:marTop w:val="0"/>
      <w:marBottom w:val="0"/>
      <w:divBdr>
        <w:top w:val="none" w:sz="0" w:space="0" w:color="auto"/>
        <w:left w:val="none" w:sz="0" w:space="0" w:color="auto"/>
        <w:bottom w:val="none" w:sz="0" w:space="0" w:color="auto"/>
        <w:right w:val="none" w:sz="0" w:space="0" w:color="auto"/>
      </w:divBdr>
    </w:div>
    <w:div w:id="229199153">
      <w:bodyDiv w:val="1"/>
      <w:marLeft w:val="0"/>
      <w:marRight w:val="0"/>
      <w:marTop w:val="0"/>
      <w:marBottom w:val="0"/>
      <w:divBdr>
        <w:top w:val="none" w:sz="0" w:space="0" w:color="auto"/>
        <w:left w:val="none" w:sz="0" w:space="0" w:color="auto"/>
        <w:bottom w:val="none" w:sz="0" w:space="0" w:color="auto"/>
        <w:right w:val="none" w:sz="0" w:space="0" w:color="auto"/>
      </w:divBdr>
    </w:div>
    <w:div w:id="265385661">
      <w:bodyDiv w:val="1"/>
      <w:marLeft w:val="0"/>
      <w:marRight w:val="0"/>
      <w:marTop w:val="0"/>
      <w:marBottom w:val="0"/>
      <w:divBdr>
        <w:top w:val="none" w:sz="0" w:space="0" w:color="auto"/>
        <w:left w:val="none" w:sz="0" w:space="0" w:color="auto"/>
        <w:bottom w:val="none" w:sz="0" w:space="0" w:color="auto"/>
        <w:right w:val="none" w:sz="0" w:space="0" w:color="auto"/>
      </w:divBdr>
    </w:div>
    <w:div w:id="302659385">
      <w:bodyDiv w:val="1"/>
      <w:marLeft w:val="0"/>
      <w:marRight w:val="0"/>
      <w:marTop w:val="0"/>
      <w:marBottom w:val="0"/>
      <w:divBdr>
        <w:top w:val="none" w:sz="0" w:space="0" w:color="auto"/>
        <w:left w:val="none" w:sz="0" w:space="0" w:color="auto"/>
        <w:bottom w:val="none" w:sz="0" w:space="0" w:color="auto"/>
        <w:right w:val="none" w:sz="0" w:space="0" w:color="auto"/>
      </w:divBdr>
    </w:div>
    <w:div w:id="332298385">
      <w:bodyDiv w:val="1"/>
      <w:marLeft w:val="0"/>
      <w:marRight w:val="0"/>
      <w:marTop w:val="0"/>
      <w:marBottom w:val="0"/>
      <w:divBdr>
        <w:top w:val="none" w:sz="0" w:space="0" w:color="auto"/>
        <w:left w:val="none" w:sz="0" w:space="0" w:color="auto"/>
        <w:bottom w:val="none" w:sz="0" w:space="0" w:color="auto"/>
        <w:right w:val="none" w:sz="0" w:space="0" w:color="auto"/>
      </w:divBdr>
    </w:div>
    <w:div w:id="358895630">
      <w:bodyDiv w:val="1"/>
      <w:marLeft w:val="0"/>
      <w:marRight w:val="0"/>
      <w:marTop w:val="0"/>
      <w:marBottom w:val="0"/>
      <w:divBdr>
        <w:top w:val="none" w:sz="0" w:space="0" w:color="auto"/>
        <w:left w:val="none" w:sz="0" w:space="0" w:color="auto"/>
        <w:bottom w:val="none" w:sz="0" w:space="0" w:color="auto"/>
        <w:right w:val="none" w:sz="0" w:space="0" w:color="auto"/>
      </w:divBdr>
    </w:div>
    <w:div w:id="461075513">
      <w:bodyDiv w:val="1"/>
      <w:marLeft w:val="0"/>
      <w:marRight w:val="0"/>
      <w:marTop w:val="0"/>
      <w:marBottom w:val="0"/>
      <w:divBdr>
        <w:top w:val="none" w:sz="0" w:space="0" w:color="auto"/>
        <w:left w:val="none" w:sz="0" w:space="0" w:color="auto"/>
        <w:bottom w:val="none" w:sz="0" w:space="0" w:color="auto"/>
        <w:right w:val="none" w:sz="0" w:space="0" w:color="auto"/>
      </w:divBdr>
    </w:div>
    <w:div w:id="486751020">
      <w:bodyDiv w:val="1"/>
      <w:marLeft w:val="0"/>
      <w:marRight w:val="0"/>
      <w:marTop w:val="0"/>
      <w:marBottom w:val="0"/>
      <w:divBdr>
        <w:top w:val="none" w:sz="0" w:space="0" w:color="auto"/>
        <w:left w:val="none" w:sz="0" w:space="0" w:color="auto"/>
        <w:bottom w:val="none" w:sz="0" w:space="0" w:color="auto"/>
        <w:right w:val="none" w:sz="0" w:space="0" w:color="auto"/>
      </w:divBdr>
    </w:div>
    <w:div w:id="499469979">
      <w:bodyDiv w:val="1"/>
      <w:marLeft w:val="0"/>
      <w:marRight w:val="0"/>
      <w:marTop w:val="0"/>
      <w:marBottom w:val="0"/>
      <w:divBdr>
        <w:top w:val="none" w:sz="0" w:space="0" w:color="auto"/>
        <w:left w:val="none" w:sz="0" w:space="0" w:color="auto"/>
        <w:bottom w:val="none" w:sz="0" w:space="0" w:color="auto"/>
        <w:right w:val="none" w:sz="0" w:space="0" w:color="auto"/>
      </w:divBdr>
    </w:div>
    <w:div w:id="523708765">
      <w:bodyDiv w:val="1"/>
      <w:marLeft w:val="0"/>
      <w:marRight w:val="0"/>
      <w:marTop w:val="0"/>
      <w:marBottom w:val="0"/>
      <w:divBdr>
        <w:top w:val="none" w:sz="0" w:space="0" w:color="auto"/>
        <w:left w:val="none" w:sz="0" w:space="0" w:color="auto"/>
        <w:bottom w:val="none" w:sz="0" w:space="0" w:color="auto"/>
        <w:right w:val="none" w:sz="0" w:space="0" w:color="auto"/>
      </w:divBdr>
    </w:div>
    <w:div w:id="528838814">
      <w:bodyDiv w:val="1"/>
      <w:marLeft w:val="0"/>
      <w:marRight w:val="0"/>
      <w:marTop w:val="0"/>
      <w:marBottom w:val="0"/>
      <w:divBdr>
        <w:top w:val="none" w:sz="0" w:space="0" w:color="auto"/>
        <w:left w:val="none" w:sz="0" w:space="0" w:color="auto"/>
        <w:bottom w:val="none" w:sz="0" w:space="0" w:color="auto"/>
        <w:right w:val="none" w:sz="0" w:space="0" w:color="auto"/>
      </w:divBdr>
    </w:div>
    <w:div w:id="529336853">
      <w:bodyDiv w:val="1"/>
      <w:marLeft w:val="0"/>
      <w:marRight w:val="0"/>
      <w:marTop w:val="0"/>
      <w:marBottom w:val="0"/>
      <w:divBdr>
        <w:top w:val="none" w:sz="0" w:space="0" w:color="auto"/>
        <w:left w:val="none" w:sz="0" w:space="0" w:color="auto"/>
        <w:bottom w:val="none" w:sz="0" w:space="0" w:color="auto"/>
        <w:right w:val="none" w:sz="0" w:space="0" w:color="auto"/>
      </w:divBdr>
    </w:div>
    <w:div w:id="559445420">
      <w:bodyDiv w:val="1"/>
      <w:marLeft w:val="0"/>
      <w:marRight w:val="0"/>
      <w:marTop w:val="0"/>
      <w:marBottom w:val="0"/>
      <w:divBdr>
        <w:top w:val="none" w:sz="0" w:space="0" w:color="auto"/>
        <w:left w:val="none" w:sz="0" w:space="0" w:color="auto"/>
        <w:bottom w:val="none" w:sz="0" w:space="0" w:color="auto"/>
        <w:right w:val="none" w:sz="0" w:space="0" w:color="auto"/>
      </w:divBdr>
    </w:div>
    <w:div w:id="585191137">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803155142">
      <w:bodyDiv w:val="1"/>
      <w:marLeft w:val="0"/>
      <w:marRight w:val="0"/>
      <w:marTop w:val="0"/>
      <w:marBottom w:val="0"/>
      <w:divBdr>
        <w:top w:val="none" w:sz="0" w:space="0" w:color="auto"/>
        <w:left w:val="none" w:sz="0" w:space="0" w:color="auto"/>
        <w:bottom w:val="none" w:sz="0" w:space="0" w:color="auto"/>
        <w:right w:val="none" w:sz="0" w:space="0" w:color="auto"/>
      </w:divBdr>
    </w:div>
    <w:div w:id="861865283">
      <w:bodyDiv w:val="1"/>
      <w:marLeft w:val="0"/>
      <w:marRight w:val="0"/>
      <w:marTop w:val="0"/>
      <w:marBottom w:val="0"/>
      <w:divBdr>
        <w:top w:val="none" w:sz="0" w:space="0" w:color="auto"/>
        <w:left w:val="none" w:sz="0" w:space="0" w:color="auto"/>
        <w:bottom w:val="none" w:sz="0" w:space="0" w:color="auto"/>
        <w:right w:val="none" w:sz="0" w:space="0" w:color="auto"/>
      </w:divBdr>
    </w:div>
    <w:div w:id="915626065">
      <w:bodyDiv w:val="1"/>
      <w:marLeft w:val="0"/>
      <w:marRight w:val="0"/>
      <w:marTop w:val="0"/>
      <w:marBottom w:val="0"/>
      <w:divBdr>
        <w:top w:val="none" w:sz="0" w:space="0" w:color="auto"/>
        <w:left w:val="none" w:sz="0" w:space="0" w:color="auto"/>
        <w:bottom w:val="none" w:sz="0" w:space="0" w:color="auto"/>
        <w:right w:val="none" w:sz="0" w:space="0" w:color="auto"/>
      </w:divBdr>
    </w:div>
    <w:div w:id="934166610">
      <w:bodyDiv w:val="1"/>
      <w:marLeft w:val="0"/>
      <w:marRight w:val="0"/>
      <w:marTop w:val="0"/>
      <w:marBottom w:val="0"/>
      <w:divBdr>
        <w:top w:val="none" w:sz="0" w:space="0" w:color="auto"/>
        <w:left w:val="none" w:sz="0" w:space="0" w:color="auto"/>
        <w:bottom w:val="none" w:sz="0" w:space="0" w:color="auto"/>
        <w:right w:val="none" w:sz="0" w:space="0" w:color="auto"/>
      </w:divBdr>
    </w:div>
    <w:div w:id="963846653">
      <w:bodyDiv w:val="1"/>
      <w:marLeft w:val="0"/>
      <w:marRight w:val="0"/>
      <w:marTop w:val="0"/>
      <w:marBottom w:val="0"/>
      <w:divBdr>
        <w:top w:val="none" w:sz="0" w:space="0" w:color="auto"/>
        <w:left w:val="none" w:sz="0" w:space="0" w:color="auto"/>
        <w:bottom w:val="none" w:sz="0" w:space="0" w:color="auto"/>
        <w:right w:val="none" w:sz="0" w:space="0" w:color="auto"/>
      </w:divBdr>
    </w:div>
    <w:div w:id="1009479918">
      <w:bodyDiv w:val="1"/>
      <w:marLeft w:val="0"/>
      <w:marRight w:val="0"/>
      <w:marTop w:val="0"/>
      <w:marBottom w:val="0"/>
      <w:divBdr>
        <w:top w:val="none" w:sz="0" w:space="0" w:color="auto"/>
        <w:left w:val="none" w:sz="0" w:space="0" w:color="auto"/>
        <w:bottom w:val="none" w:sz="0" w:space="0" w:color="auto"/>
        <w:right w:val="none" w:sz="0" w:space="0" w:color="auto"/>
      </w:divBdr>
    </w:div>
    <w:div w:id="1039209106">
      <w:bodyDiv w:val="1"/>
      <w:marLeft w:val="0"/>
      <w:marRight w:val="0"/>
      <w:marTop w:val="0"/>
      <w:marBottom w:val="0"/>
      <w:divBdr>
        <w:top w:val="none" w:sz="0" w:space="0" w:color="auto"/>
        <w:left w:val="none" w:sz="0" w:space="0" w:color="auto"/>
        <w:bottom w:val="none" w:sz="0" w:space="0" w:color="auto"/>
        <w:right w:val="none" w:sz="0" w:space="0" w:color="auto"/>
      </w:divBdr>
    </w:div>
    <w:div w:id="1043211232">
      <w:bodyDiv w:val="1"/>
      <w:marLeft w:val="0"/>
      <w:marRight w:val="0"/>
      <w:marTop w:val="0"/>
      <w:marBottom w:val="0"/>
      <w:divBdr>
        <w:top w:val="none" w:sz="0" w:space="0" w:color="auto"/>
        <w:left w:val="none" w:sz="0" w:space="0" w:color="auto"/>
        <w:bottom w:val="none" w:sz="0" w:space="0" w:color="auto"/>
        <w:right w:val="none" w:sz="0" w:space="0" w:color="auto"/>
      </w:divBdr>
    </w:div>
    <w:div w:id="1067999500">
      <w:bodyDiv w:val="1"/>
      <w:marLeft w:val="0"/>
      <w:marRight w:val="0"/>
      <w:marTop w:val="0"/>
      <w:marBottom w:val="0"/>
      <w:divBdr>
        <w:top w:val="none" w:sz="0" w:space="0" w:color="auto"/>
        <w:left w:val="none" w:sz="0" w:space="0" w:color="auto"/>
        <w:bottom w:val="none" w:sz="0" w:space="0" w:color="auto"/>
        <w:right w:val="none" w:sz="0" w:space="0" w:color="auto"/>
      </w:divBdr>
    </w:div>
    <w:div w:id="1095857535">
      <w:bodyDiv w:val="1"/>
      <w:marLeft w:val="0"/>
      <w:marRight w:val="0"/>
      <w:marTop w:val="0"/>
      <w:marBottom w:val="0"/>
      <w:divBdr>
        <w:top w:val="none" w:sz="0" w:space="0" w:color="auto"/>
        <w:left w:val="none" w:sz="0" w:space="0" w:color="auto"/>
        <w:bottom w:val="none" w:sz="0" w:space="0" w:color="auto"/>
        <w:right w:val="none" w:sz="0" w:space="0" w:color="auto"/>
      </w:divBdr>
    </w:div>
    <w:div w:id="1208103955">
      <w:bodyDiv w:val="1"/>
      <w:marLeft w:val="0"/>
      <w:marRight w:val="0"/>
      <w:marTop w:val="0"/>
      <w:marBottom w:val="0"/>
      <w:divBdr>
        <w:top w:val="none" w:sz="0" w:space="0" w:color="auto"/>
        <w:left w:val="none" w:sz="0" w:space="0" w:color="auto"/>
        <w:bottom w:val="none" w:sz="0" w:space="0" w:color="auto"/>
        <w:right w:val="none" w:sz="0" w:space="0" w:color="auto"/>
      </w:divBdr>
    </w:div>
    <w:div w:id="1219626891">
      <w:bodyDiv w:val="1"/>
      <w:marLeft w:val="0"/>
      <w:marRight w:val="0"/>
      <w:marTop w:val="0"/>
      <w:marBottom w:val="0"/>
      <w:divBdr>
        <w:top w:val="none" w:sz="0" w:space="0" w:color="auto"/>
        <w:left w:val="none" w:sz="0" w:space="0" w:color="auto"/>
        <w:bottom w:val="none" w:sz="0" w:space="0" w:color="auto"/>
        <w:right w:val="none" w:sz="0" w:space="0" w:color="auto"/>
      </w:divBdr>
    </w:div>
    <w:div w:id="1349141274">
      <w:bodyDiv w:val="1"/>
      <w:marLeft w:val="0"/>
      <w:marRight w:val="0"/>
      <w:marTop w:val="0"/>
      <w:marBottom w:val="0"/>
      <w:divBdr>
        <w:top w:val="none" w:sz="0" w:space="0" w:color="auto"/>
        <w:left w:val="none" w:sz="0" w:space="0" w:color="auto"/>
        <w:bottom w:val="none" w:sz="0" w:space="0" w:color="auto"/>
        <w:right w:val="none" w:sz="0" w:space="0" w:color="auto"/>
      </w:divBdr>
    </w:div>
    <w:div w:id="1431120121">
      <w:bodyDiv w:val="1"/>
      <w:marLeft w:val="0"/>
      <w:marRight w:val="0"/>
      <w:marTop w:val="0"/>
      <w:marBottom w:val="0"/>
      <w:divBdr>
        <w:top w:val="none" w:sz="0" w:space="0" w:color="auto"/>
        <w:left w:val="none" w:sz="0" w:space="0" w:color="auto"/>
        <w:bottom w:val="none" w:sz="0" w:space="0" w:color="auto"/>
        <w:right w:val="none" w:sz="0" w:space="0" w:color="auto"/>
      </w:divBdr>
    </w:div>
    <w:div w:id="1434203244">
      <w:bodyDiv w:val="1"/>
      <w:marLeft w:val="0"/>
      <w:marRight w:val="0"/>
      <w:marTop w:val="0"/>
      <w:marBottom w:val="0"/>
      <w:divBdr>
        <w:top w:val="none" w:sz="0" w:space="0" w:color="auto"/>
        <w:left w:val="none" w:sz="0" w:space="0" w:color="auto"/>
        <w:bottom w:val="none" w:sz="0" w:space="0" w:color="auto"/>
        <w:right w:val="none" w:sz="0" w:space="0" w:color="auto"/>
      </w:divBdr>
    </w:div>
    <w:div w:id="1436511917">
      <w:bodyDiv w:val="1"/>
      <w:marLeft w:val="0"/>
      <w:marRight w:val="0"/>
      <w:marTop w:val="0"/>
      <w:marBottom w:val="0"/>
      <w:divBdr>
        <w:top w:val="none" w:sz="0" w:space="0" w:color="auto"/>
        <w:left w:val="none" w:sz="0" w:space="0" w:color="auto"/>
        <w:bottom w:val="none" w:sz="0" w:space="0" w:color="auto"/>
        <w:right w:val="none" w:sz="0" w:space="0" w:color="auto"/>
      </w:divBdr>
    </w:div>
    <w:div w:id="1443725119">
      <w:bodyDiv w:val="1"/>
      <w:marLeft w:val="0"/>
      <w:marRight w:val="0"/>
      <w:marTop w:val="0"/>
      <w:marBottom w:val="0"/>
      <w:divBdr>
        <w:top w:val="none" w:sz="0" w:space="0" w:color="auto"/>
        <w:left w:val="none" w:sz="0" w:space="0" w:color="auto"/>
        <w:bottom w:val="none" w:sz="0" w:space="0" w:color="auto"/>
        <w:right w:val="none" w:sz="0" w:space="0" w:color="auto"/>
      </w:divBdr>
    </w:div>
    <w:div w:id="1463497174">
      <w:bodyDiv w:val="1"/>
      <w:marLeft w:val="0"/>
      <w:marRight w:val="0"/>
      <w:marTop w:val="0"/>
      <w:marBottom w:val="0"/>
      <w:divBdr>
        <w:top w:val="none" w:sz="0" w:space="0" w:color="auto"/>
        <w:left w:val="none" w:sz="0" w:space="0" w:color="auto"/>
        <w:bottom w:val="none" w:sz="0" w:space="0" w:color="auto"/>
        <w:right w:val="none" w:sz="0" w:space="0" w:color="auto"/>
      </w:divBdr>
    </w:div>
    <w:div w:id="1464347640">
      <w:bodyDiv w:val="1"/>
      <w:marLeft w:val="0"/>
      <w:marRight w:val="0"/>
      <w:marTop w:val="0"/>
      <w:marBottom w:val="0"/>
      <w:divBdr>
        <w:top w:val="none" w:sz="0" w:space="0" w:color="auto"/>
        <w:left w:val="none" w:sz="0" w:space="0" w:color="auto"/>
        <w:bottom w:val="none" w:sz="0" w:space="0" w:color="auto"/>
        <w:right w:val="none" w:sz="0" w:space="0" w:color="auto"/>
      </w:divBdr>
    </w:div>
    <w:div w:id="1475682566">
      <w:bodyDiv w:val="1"/>
      <w:marLeft w:val="0"/>
      <w:marRight w:val="0"/>
      <w:marTop w:val="0"/>
      <w:marBottom w:val="0"/>
      <w:divBdr>
        <w:top w:val="none" w:sz="0" w:space="0" w:color="auto"/>
        <w:left w:val="none" w:sz="0" w:space="0" w:color="auto"/>
        <w:bottom w:val="none" w:sz="0" w:space="0" w:color="auto"/>
        <w:right w:val="none" w:sz="0" w:space="0" w:color="auto"/>
      </w:divBdr>
    </w:div>
    <w:div w:id="1488939665">
      <w:bodyDiv w:val="1"/>
      <w:marLeft w:val="0"/>
      <w:marRight w:val="0"/>
      <w:marTop w:val="0"/>
      <w:marBottom w:val="0"/>
      <w:divBdr>
        <w:top w:val="none" w:sz="0" w:space="0" w:color="auto"/>
        <w:left w:val="none" w:sz="0" w:space="0" w:color="auto"/>
        <w:bottom w:val="none" w:sz="0" w:space="0" w:color="auto"/>
        <w:right w:val="none" w:sz="0" w:space="0" w:color="auto"/>
      </w:divBdr>
    </w:div>
    <w:div w:id="1496066243">
      <w:bodyDiv w:val="1"/>
      <w:marLeft w:val="0"/>
      <w:marRight w:val="0"/>
      <w:marTop w:val="0"/>
      <w:marBottom w:val="0"/>
      <w:divBdr>
        <w:top w:val="none" w:sz="0" w:space="0" w:color="auto"/>
        <w:left w:val="none" w:sz="0" w:space="0" w:color="auto"/>
        <w:bottom w:val="none" w:sz="0" w:space="0" w:color="auto"/>
        <w:right w:val="none" w:sz="0" w:space="0" w:color="auto"/>
      </w:divBdr>
    </w:div>
    <w:div w:id="1508785797">
      <w:bodyDiv w:val="1"/>
      <w:marLeft w:val="0"/>
      <w:marRight w:val="0"/>
      <w:marTop w:val="0"/>
      <w:marBottom w:val="0"/>
      <w:divBdr>
        <w:top w:val="none" w:sz="0" w:space="0" w:color="auto"/>
        <w:left w:val="none" w:sz="0" w:space="0" w:color="auto"/>
        <w:bottom w:val="none" w:sz="0" w:space="0" w:color="auto"/>
        <w:right w:val="none" w:sz="0" w:space="0" w:color="auto"/>
      </w:divBdr>
    </w:div>
    <w:div w:id="1537087532">
      <w:bodyDiv w:val="1"/>
      <w:marLeft w:val="0"/>
      <w:marRight w:val="0"/>
      <w:marTop w:val="0"/>
      <w:marBottom w:val="0"/>
      <w:divBdr>
        <w:top w:val="none" w:sz="0" w:space="0" w:color="auto"/>
        <w:left w:val="none" w:sz="0" w:space="0" w:color="auto"/>
        <w:bottom w:val="none" w:sz="0" w:space="0" w:color="auto"/>
        <w:right w:val="none" w:sz="0" w:space="0" w:color="auto"/>
      </w:divBdr>
    </w:div>
    <w:div w:id="1560020452">
      <w:bodyDiv w:val="1"/>
      <w:marLeft w:val="0"/>
      <w:marRight w:val="0"/>
      <w:marTop w:val="0"/>
      <w:marBottom w:val="0"/>
      <w:divBdr>
        <w:top w:val="none" w:sz="0" w:space="0" w:color="auto"/>
        <w:left w:val="none" w:sz="0" w:space="0" w:color="auto"/>
        <w:bottom w:val="none" w:sz="0" w:space="0" w:color="auto"/>
        <w:right w:val="none" w:sz="0" w:space="0" w:color="auto"/>
      </w:divBdr>
    </w:div>
    <w:div w:id="1561020010">
      <w:bodyDiv w:val="1"/>
      <w:marLeft w:val="0"/>
      <w:marRight w:val="0"/>
      <w:marTop w:val="0"/>
      <w:marBottom w:val="0"/>
      <w:divBdr>
        <w:top w:val="none" w:sz="0" w:space="0" w:color="auto"/>
        <w:left w:val="none" w:sz="0" w:space="0" w:color="auto"/>
        <w:bottom w:val="none" w:sz="0" w:space="0" w:color="auto"/>
        <w:right w:val="none" w:sz="0" w:space="0" w:color="auto"/>
      </w:divBdr>
    </w:div>
    <w:div w:id="1568959453">
      <w:bodyDiv w:val="1"/>
      <w:marLeft w:val="0"/>
      <w:marRight w:val="0"/>
      <w:marTop w:val="0"/>
      <w:marBottom w:val="0"/>
      <w:divBdr>
        <w:top w:val="none" w:sz="0" w:space="0" w:color="auto"/>
        <w:left w:val="none" w:sz="0" w:space="0" w:color="auto"/>
        <w:bottom w:val="none" w:sz="0" w:space="0" w:color="auto"/>
        <w:right w:val="none" w:sz="0" w:space="0" w:color="auto"/>
      </w:divBdr>
    </w:div>
    <w:div w:id="1581939574">
      <w:bodyDiv w:val="1"/>
      <w:marLeft w:val="0"/>
      <w:marRight w:val="0"/>
      <w:marTop w:val="0"/>
      <w:marBottom w:val="0"/>
      <w:divBdr>
        <w:top w:val="none" w:sz="0" w:space="0" w:color="auto"/>
        <w:left w:val="none" w:sz="0" w:space="0" w:color="auto"/>
        <w:bottom w:val="none" w:sz="0" w:space="0" w:color="auto"/>
        <w:right w:val="none" w:sz="0" w:space="0" w:color="auto"/>
      </w:divBdr>
    </w:div>
    <w:div w:id="1602953894">
      <w:bodyDiv w:val="1"/>
      <w:marLeft w:val="0"/>
      <w:marRight w:val="0"/>
      <w:marTop w:val="0"/>
      <w:marBottom w:val="0"/>
      <w:divBdr>
        <w:top w:val="none" w:sz="0" w:space="0" w:color="auto"/>
        <w:left w:val="none" w:sz="0" w:space="0" w:color="auto"/>
        <w:bottom w:val="none" w:sz="0" w:space="0" w:color="auto"/>
        <w:right w:val="none" w:sz="0" w:space="0" w:color="auto"/>
      </w:divBdr>
    </w:div>
    <w:div w:id="1619873622">
      <w:bodyDiv w:val="1"/>
      <w:marLeft w:val="0"/>
      <w:marRight w:val="0"/>
      <w:marTop w:val="0"/>
      <w:marBottom w:val="0"/>
      <w:divBdr>
        <w:top w:val="none" w:sz="0" w:space="0" w:color="auto"/>
        <w:left w:val="none" w:sz="0" w:space="0" w:color="auto"/>
        <w:bottom w:val="none" w:sz="0" w:space="0" w:color="auto"/>
        <w:right w:val="none" w:sz="0" w:space="0" w:color="auto"/>
      </w:divBdr>
    </w:div>
    <w:div w:id="1678655474">
      <w:bodyDiv w:val="1"/>
      <w:marLeft w:val="0"/>
      <w:marRight w:val="0"/>
      <w:marTop w:val="0"/>
      <w:marBottom w:val="0"/>
      <w:divBdr>
        <w:top w:val="none" w:sz="0" w:space="0" w:color="auto"/>
        <w:left w:val="none" w:sz="0" w:space="0" w:color="auto"/>
        <w:bottom w:val="none" w:sz="0" w:space="0" w:color="auto"/>
        <w:right w:val="none" w:sz="0" w:space="0" w:color="auto"/>
      </w:divBdr>
    </w:div>
    <w:div w:id="1705788855">
      <w:bodyDiv w:val="1"/>
      <w:marLeft w:val="0"/>
      <w:marRight w:val="0"/>
      <w:marTop w:val="0"/>
      <w:marBottom w:val="0"/>
      <w:divBdr>
        <w:top w:val="none" w:sz="0" w:space="0" w:color="auto"/>
        <w:left w:val="none" w:sz="0" w:space="0" w:color="auto"/>
        <w:bottom w:val="none" w:sz="0" w:space="0" w:color="auto"/>
        <w:right w:val="none" w:sz="0" w:space="0" w:color="auto"/>
      </w:divBdr>
    </w:div>
    <w:div w:id="1744260488">
      <w:bodyDiv w:val="1"/>
      <w:marLeft w:val="0"/>
      <w:marRight w:val="0"/>
      <w:marTop w:val="0"/>
      <w:marBottom w:val="0"/>
      <w:divBdr>
        <w:top w:val="none" w:sz="0" w:space="0" w:color="auto"/>
        <w:left w:val="none" w:sz="0" w:space="0" w:color="auto"/>
        <w:bottom w:val="none" w:sz="0" w:space="0" w:color="auto"/>
        <w:right w:val="none" w:sz="0" w:space="0" w:color="auto"/>
      </w:divBdr>
    </w:div>
    <w:div w:id="1759908347">
      <w:bodyDiv w:val="1"/>
      <w:marLeft w:val="0"/>
      <w:marRight w:val="0"/>
      <w:marTop w:val="0"/>
      <w:marBottom w:val="0"/>
      <w:divBdr>
        <w:top w:val="none" w:sz="0" w:space="0" w:color="auto"/>
        <w:left w:val="none" w:sz="0" w:space="0" w:color="auto"/>
        <w:bottom w:val="none" w:sz="0" w:space="0" w:color="auto"/>
        <w:right w:val="none" w:sz="0" w:space="0" w:color="auto"/>
      </w:divBdr>
    </w:div>
    <w:div w:id="1789198685">
      <w:bodyDiv w:val="1"/>
      <w:marLeft w:val="0"/>
      <w:marRight w:val="0"/>
      <w:marTop w:val="0"/>
      <w:marBottom w:val="0"/>
      <w:divBdr>
        <w:top w:val="none" w:sz="0" w:space="0" w:color="auto"/>
        <w:left w:val="none" w:sz="0" w:space="0" w:color="auto"/>
        <w:bottom w:val="none" w:sz="0" w:space="0" w:color="auto"/>
        <w:right w:val="none" w:sz="0" w:space="0" w:color="auto"/>
      </w:divBdr>
    </w:div>
    <w:div w:id="1882083704">
      <w:bodyDiv w:val="1"/>
      <w:marLeft w:val="0"/>
      <w:marRight w:val="0"/>
      <w:marTop w:val="0"/>
      <w:marBottom w:val="0"/>
      <w:divBdr>
        <w:top w:val="none" w:sz="0" w:space="0" w:color="auto"/>
        <w:left w:val="none" w:sz="0" w:space="0" w:color="auto"/>
        <w:bottom w:val="none" w:sz="0" w:space="0" w:color="auto"/>
        <w:right w:val="none" w:sz="0" w:space="0" w:color="auto"/>
      </w:divBdr>
    </w:div>
    <w:div w:id="1917978204">
      <w:bodyDiv w:val="1"/>
      <w:marLeft w:val="0"/>
      <w:marRight w:val="0"/>
      <w:marTop w:val="0"/>
      <w:marBottom w:val="0"/>
      <w:divBdr>
        <w:top w:val="none" w:sz="0" w:space="0" w:color="auto"/>
        <w:left w:val="none" w:sz="0" w:space="0" w:color="auto"/>
        <w:bottom w:val="none" w:sz="0" w:space="0" w:color="auto"/>
        <w:right w:val="none" w:sz="0" w:space="0" w:color="auto"/>
      </w:divBdr>
    </w:div>
    <w:div w:id="1922442445">
      <w:bodyDiv w:val="1"/>
      <w:marLeft w:val="0"/>
      <w:marRight w:val="0"/>
      <w:marTop w:val="0"/>
      <w:marBottom w:val="0"/>
      <w:divBdr>
        <w:top w:val="none" w:sz="0" w:space="0" w:color="auto"/>
        <w:left w:val="none" w:sz="0" w:space="0" w:color="auto"/>
        <w:bottom w:val="none" w:sz="0" w:space="0" w:color="auto"/>
        <w:right w:val="none" w:sz="0" w:space="0" w:color="auto"/>
      </w:divBdr>
    </w:div>
    <w:div w:id="1935940057">
      <w:bodyDiv w:val="1"/>
      <w:marLeft w:val="0"/>
      <w:marRight w:val="0"/>
      <w:marTop w:val="0"/>
      <w:marBottom w:val="0"/>
      <w:divBdr>
        <w:top w:val="none" w:sz="0" w:space="0" w:color="auto"/>
        <w:left w:val="none" w:sz="0" w:space="0" w:color="auto"/>
        <w:bottom w:val="none" w:sz="0" w:space="0" w:color="auto"/>
        <w:right w:val="none" w:sz="0" w:space="0" w:color="auto"/>
      </w:divBdr>
    </w:div>
    <w:div w:id="1945069804">
      <w:bodyDiv w:val="1"/>
      <w:marLeft w:val="0"/>
      <w:marRight w:val="0"/>
      <w:marTop w:val="0"/>
      <w:marBottom w:val="0"/>
      <w:divBdr>
        <w:top w:val="none" w:sz="0" w:space="0" w:color="auto"/>
        <w:left w:val="none" w:sz="0" w:space="0" w:color="auto"/>
        <w:bottom w:val="none" w:sz="0" w:space="0" w:color="auto"/>
        <w:right w:val="none" w:sz="0" w:space="0" w:color="auto"/>
      </w:divBdr>
    </w:div>
    <w:div w:id="1974360909">
      <w:bodyDiv w:val="1"/>
      <w:marLeft w:val="0"/>
      <w:marRight w:val="0"/>
      <w:marTop w:val="0"/>
      <w:marBottom w:val="0"/>
      <w:divBdr>
        <w:top w:val="none" w:sz="0" w:space="0" w:color="auto"/>
        <w:left w:val="none" w:sz="0" w:space="0" w:color="auto"/>
        <w:bottom w:val="none" w:sz="0" w:space="0" w:color="auto"/>
        <w:right w:val="none" w:sz="0" w:space="0" w:color="auto"/>
      </w:divBdr>
    </w:div>
    <w:div w:id="2002463526">
      <w:bodyDiv w:val="1"/>
      <w:marLeft w:val="0"/>
      <w:marRight w:val="0"/>
      <w:marTop w:val="0"/>
      <w:marBottom w:val="0"/>
      <w:divBdr>
        <w:top w:val="none" w:sz="0" w:space="0" w:color="auto"/>
        <w:left w:val="none" w:sz="0" w:space="0" w:color="auto"/>
        <w:bottom w:val="none" w:sz="0" w:space="0" w:color="auto"/>
        <w:right w:val="none" w:sz="0" w:space="0" w:color="auto"/>
      </w:divBdr>
    </w:div>
    <w:div w:id="2011444258">
      <w:bodyDiv w:val="1"/>
      <w:marLeft w:val="0"/>
      <w:marRight w:val="0"/>
      <w:marTop w:val="0"/>
      <w:marBottom w:val="0"/>
      <w:divBdr>
        <w:top w:val="none" w:sz="0" w:space="0" w:color="auto"/>
        <w:left w:val="none" w:sz="0" w:space="0" w:color="auto"/>
        <w:bottom w:val="none" w:sz="0" w:space="0" w:color="auto"/>
        <w:right w:val="none" w:sz="0" w:space="0" w:color="auto"/>
      </w:divBdr>
    </w:div>
    <w:div w:id="2035883252">
      <w:bodyDiv w:val="1"/>
      <w:marLeft w:val="0"/>
      <w:marRight w:val="0"/>
      <w:marTop w:val="0"/>
      <w:marBottom w:val="0"/>
      <w:divBdr>
        <w:top w:val="none" w:sz="0" w:space="0" w:color="auto"/>
        <w:left w:val="none" w:sz="0" w:space="0" w:color="auto"/>
        <w:bottom w:val="none" w:sz="0" w:space="0" w:color="auto"/>
        <w:right w:val="none" w:sz="0" w:space="0" w:color="auto"/>
      </w:divBdr>
    </w:div>
    <w:div w:id="2093818067">
      <w:bodyDiv w:val="1"/>
      <w:marLeft w:val="0"/>
      <w:marRight w:val="0"/>
      <w:marTop w:val="0"/>
      <w:marBottom w:val="0"/>
      <w:divBdr>
        <w:top w:val="none" w:sz="0" w:space="0" w:color="auto"/>
        <w:left w:val="none" w:sz="0" w:space="0" w:color="auto"/>
        <w:bottom w:val="none" w:sz="0" w:space="0" w:color="auto"/>
        <w:right w:val="none" w:sz="0" w:space="0" w:color="auto"/>
      </w:divBdr>
    </w:div>
    <w:div w:id="2096170499">
      <w:bodyDiv w:val="1"/>
      <w:marLeft w:val="0"/>
      <w:marRight w:val="0"/>
      <w:marTop w:val="0"/>
      <w:marBottom w:val="0"/>
      <w:divBdr>
        <w:top w:val="none" w:sz="0" w:space="0" w:color="auto"/>
        <w:left w:val="none" w:sz="0" w:space="0" w:color="auto"/>
        <w:bottom w:val="none" w:sz="0" w:space="0" w:color="auto"/>
        <w:right w:val="none" w:sz="0" w:space="0" w:color="auto"/>
      </w:divBdr>
    </w:div>
    <w:div w:id="2098476246">
      <w:bodyDiv w:val="1"/>
      <w:marLeft w:val="0"/>
      <w:marRight w:val="0"/>
      <w:marTop w:val="0"/>
      <w:marBottom w:val="0"/>
      <w:divBdr>
        <w:top w:val="none" w:sz="0" w:space="0" w:color="auto"/>
        <w:left w:val="none" w:sz="0" w:space="0" w:color="auto"/>
        <w:bottom w:val="none" w:sz="0" w:space="0" w:color="auto"/>
        <w:right w:val="none" w:sz="0" w:space="0" w:color="auto"/>
      </w:divBdr>
    </w:div>
    <w:div w:id="21362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ndocs.org/fr/A/52/38/Rev.1" TargetMode="External"/><Relationship Id="rId2" Type="http://schemas.openxmlformats.org/officeDocument/2006/relationships/styles" Target="styles.xml"/><Relationship Id="rId16" Type="http://schemas.openxmlformats.org/officeDocument/2006/relationships/hyperlink" Target="https://undocs.org/fr/A/52/38/Rev.1"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ndocs.org/fr/A/52/38/Rev.1"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21857</Words>
  <Characters>124585</Characters>
  <Application>Microsoft Office Word</Application>
  <DocSecurity>0</DocSecurity>
  <Lines>1038</Lines>
  <Paragraphs>292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2018-01-26T18:07:00Z</dcterms:created>
  <dcterms:modified xsi:type="dcterms:W3CDTF">2018-01-26T18:07:00Z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1722709F</vt:lpwstr>
  </property>
  <property fmtid="{D5CDD505-2E9C-101B-9397-08002B2CF9AE}" pid="3" name="ODSRefJobNo">
    <vt:lpwstr>1744768F</vt:lpwstr>
  </property>
  <property fmtid="{D5CDD505-2E9C-101B-9397-08002B2CF9AE}" pid="4" name="Symbol1">
    <vt:lpwstr>CEDAW/C/ATG/4-7</vt:lpwstr>
  </property>
  <property fmtid="{D5CDD505-2E9C-101B-9397-08002B2CF9AE}" pid="5" name="Symbol2">
    <vt:lpwstr/>
  </property>
</Properties>
</file>