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05" w:rsidRDefault="00712905" w:rsidP="00712905">
      <w:pPr>
        <w:spacing w:line="240" w:lineRule="auto"/>
        <w:jc w:val="left"/>
        <w:rPr>
          <w:szCs w:val="6"/>
        </w:rPr>
        <w:sectPr w:rsidR="00712905" w:rsidSect="0071290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bookmarkStart w:id="0" w:name="TmpSave"/>
      <w:bookmarkEnd w:id="0"/>
      <w:r>
        <w:rPr>
          <w:rStyle w:val="CommentReference"/>
        </w:rPr>
        <w:commentReference w:id="1"/>
      </w:r>
    </w:p>
    <w:p w:rsidR="00995294" w:rsidRDefault="00995294" w:rsidP="00995294">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t xml:space="preserve">اللجنة المعنية بالقضاء على التمييز ضد المرأة </w:t>
      </w:r>
    </w:p>
    <w:p w:rsidR="00995294" w:rsidRPr="00995294" w:rsidRDefault="00995294" w:rsidP="00995294">
      <w:pPr>
        <w:tabs>
          <w:tab w:val="left" w:pos="662"/>
          <w:tab w:val="left" w:pos="1267"/>
          <w:tab w:val="left" w:pos="1987"/>
          <w:tab w:val="left" w:pos="2650"/>
        </w:tabs>
        <w:rPr>
          <w:b/>
          <w:bCs/>
          <w:rtl/>
        </w:rPr>
      </w:pPr>
      <w:r w:rsidRPr="00995294">
        <w:rPr>
          <w:b/>
          <w:bCs/>
          <w:rtl/>
        </w:rPr>
        <w:t>الدورة التاسعة والأربعون</w:t>
      </w:r>
    </w:p>
    <w:p w:rsidR="00995294" w:rsidRDefault="00995294" w:rsidP="00995294">
      <w:pPr>
        <w:tabs>
          <w:tab w:val="left" w:pos="662"/>
          <w:tab w:val="left" w:pos="1267"/>
          <w:tab w:val="left" w:pos="1987"/>
          <w:tab w:val="left" w:pos="2650"/>
        </w:tabs>
        <w:rPr>
          <w:rtl/>
        </w:rPr>
      </w:pPr>
      <w:r>
        <w:rPr>
          <w:rtl/>
        </w:rPr>
        <w:t>11-29 تموز/يوليه 2011</w:t>
      </w:r>
    </w:p>
    <w:p w:rsidR="00995294" w:rsidRPr="00995294" w:rsidRDefault="00995294" w:rsidP="00995294">
      <w:pPr>
        <w:pStyle w:val="SingleTxt"/>
        <w:spacing w:after="0" w:line="120" w:lineRule="exact"/>
        <w:rPr>
          <w:sz w:val="10"/>
          <w:rtl/>
        </w:rPr>
      </w:pPr>
    </w:p>
    <w:p w:rsidR="00995294" w:rsidRDefault="00995294" w:rsidP="00995294">
      <w:pPr>
        <w:pStyle w:val="SingleTxt"/>
        <w:spacing w:after="0" w:line="120" w:lineRule="exact"/>
        <w:rPr>
          <w:rFonts w:hint="cs"/>
          <w:sz w:val="10"/>
          <w:rtl/>
        </w:rPr>
      </w:pPr>
    </w:p>
    <w:p w:rsidR="00995294" w:rsidRPr="00995294" w:rsidRDefault="00995294" w:rsidP="00995294">
      <w:pPr>
        <w:pStyle w:val="SingleTxt"/>
        <w:spacing w:after="0" w:line="120" w:lineRule="exact"/>
        <w:rPr>
          <w:rFonts w:hint="cs"/>
          <w:sz w:val="10"/>
          <w:rtl/>
        </w:rPr>
      </w:pPr>
    </w:p>
    <w:p w:rsidR="00995294" w:rsidRDefault="00995294" w:rsidP="0099529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المعلومات المقدمة في سياق متابعة الملاحظات الختامية للجنة</w:t>
      </w:r>
    </w:p>
    <w:p w:rsidR="00995294" w:rsidRPr="00995294" w:rsidRDefault="00995294" w:rsidP="00995294">
      <w:pPr>
        <w:pStyle w:val="SingleTxt"/>
        <w:spacing w:after="0" w:line="120" w:lineRule="exact"/>
        <w:rPr>
          <w:sz w:val="10"/>
          <w:rtl/>
        </w:rPr>
      </w:pPr>
    </w:p>
    <w:p w:rsidR="00995294" w:rsidRDefault="00995294" w:rsidP="0099529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أذربيجان</w:t>
      </w:r>
    </w:p>
    <w:p w:rsidR="00995294" w:rsidRPr="00995294" w:rsidRDefault="00995294" w:rsidP="00995294">
      <w:pPr>
        <w:pStyle w:val="SingleTxt"/>
        <w:spacing w:after="0" w:line="120" w:lineRule="exact"/>
        <w:rPr>
          <w:sz w:val="10"/>
          <w:rtl/>
        </w:rPr>
      </w:pPr>
    </w:p>
    <w:p w:rsidR="00995294" w:rsidRDefault="00995294" w:rsidP="0099529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tl/>
        </w:rPr>
        <w:tab/>
        <w:t>رد أذربيجان على التوصيات الواردة في الملاحظات الختامية للجنة، عق</w:t>
      </w:r>
      <w:r>
        <w:rPr>
          <w:rFonts w:hint="cs"/>
          <w:rtl/>
        </w:rPr>
        <w:t>ــ</w:t>
      </w:r>
      <w:r>
        <w:rPr>
          <w:rtl/>
        </w:rPr>
        <w:t>ب النظ</w:t>
      </w:r>
      <w:r>
        <w:rPr>
          <w:rFonts w:hint="cs"/>
          <w:rtl/>
        </w:rPr>
        <w:t>ــ</w:t>
      </w:r>
      <w:r>
        <w:rPr>
          <w:rtl/>
        </w:rPr>
        <w:t>ر ف</w:t>
      </w:r>
      <w:r>
        <w:rPr>
          <w:rFonts w:hint="cs"/>
          <w:rtl/>
        </w:rPr>
        <w:t>ــ</w:t>
      </w:r>
      <w:r>
        <w:rPr>
          <w:rtl/>
        </w:rPr>
        <w:t>ي التقري</w:t>
      </w:r>
      <w:r>
        <w:rPr>
          <w:rFonts w:hint="cs"/>
          <w:rtl/>
        </w:rPr>
        <w:t>ــ</w:t>
      </w:r>
      <w:r>
        <w:rPr>
          <w:rtl/>
        </w:rPr>
        <w:t>ر الدوري الرابع لأذربيجان في 24 تموز/</w:t>
      </w:r>
      <w:r>
        <w:rPr>
          <w:rFonts w:hint="cs"/>
          <w:rtl/>
        </w:rPr>
        <w:t xml:space="preserve"> </w:t>
      </w:r>
      <w:r>
        <w:rPr>
          <w:rtl/>
        </w:rPr>
        <w:t>يوليه 2009</w:t>
      </w:r>
    </w:p>
    <w:p w:rsidR="00995294" w:rsidRPr="00995294" w:rsidRDefault="00995294" w:rsidP="00995294">
      <w:pPr>
        <w:pStyle w:val="SingleTxt"/>
        <w:spacing w:after="0" w:line="120" w:lineRule="exact"/>
        <w:rPr>
          <w:sz w:val="10"/>
          <w:rtl/>
        </w:rPr>
      </w:pPr>
    </w:p>
    <w:p w:rsidR="00995294" w:rsidRDefault="00995294" w:rsidP="0099529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تقرير المتابعة للجنة الحكومية لشؤون الأسرة والمرأة والطفل بشأن تنفيذ التوصيات الواردة في الفقرتين 16 و</w:t>
      </w:r>
      <w:r>
        <w:rPr>
          <w:rFonts w:hint="cs"/>
          <w:rtl/>
        </w:rPr>
        <w:t xml:space="preserve"> </w:t>
      </w:r>
      <w:r>
        <w:rPr>
          <w:rtl/>
        </w:rPr>
        <w:t>22 من الملاحظات الختامية للجنة القضاء على التمييز ضد المرأة (</w:t>
      </w:r>
      <w:r>
        <w:t>CEDAW/C/AZE/CO/4</w:t>
      </w:r>
      <w:r>
        <w:rPr>
          <w:rtl/>
        </w:rPr>
        <w:t>).</w:t>
      </w:r>
    </w:p>
    <w:p w:rsidR="00995294" w:rsidRPr="00995294" w:rsidRDefault="00995294" w:rsidP="00995294">
      <w:pPr>
        <w:pStyle w:val="SingleTxt"/>
        <w:spacing w:after="0" w:line="120" w:lineRule="exact"/>
        <w:rPr>
          <w:sz w:val="10"/>
          <w:rtl/>
        </w:rPr>
      </w:pPr>
    </w:p>
    <w:p w:rsidR="00995294" w:rsidRDefault="00995294" w:rsidP="0099529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التوصي</w:t>
      </w:r>
      <w:r>
        <w:rPr>
          <w:rFonts w:hint="cs"/>
          <w:rtl/>
        </w:rPr>
        <w:t>ة</w:t>
      </w:r>
      <w:r>
        <w:rPr>
          <w:rtl/>
        </w:rPr>
        <w:t xml:space="preserve"> الواردة في الفقرة 16 </w:t>
      </w:r>
      <w:r>
        <w:rPr>
          <w:rFonts w:hint="cs"/>
          <w:rtl/>
        </w:rPr>
        <w:t xml:space="preserve">بخصوص </w:t>
      </w:r>
      <w:r>
        <w:rPr>
          <w:rtl/>
        </w:rPr>
        <w:t>القوانين التمييزية</w:t>
      </w:r>
    </w:p>
    <w:p w:rsidR="00995294" w:rsidRPr="00995294" w:rsidRDefault="00995294" w:rsidP="00995294">
      <w:pPr>
        <w:pStyle w:val="SingleTxt"/>
        <w:spacing w:after="0" w:line="120" w:lineRule="exact"/>
        <w:rPr>
          <w:sz w:val="10"/>
          <w:rtl/>
        </w:rPr>
      </w:pPr>
    </w:p>
    <w:p w:rsidR="00995294" w:rsidRDefault="00995294" w:rsidP="00B5352B">
      <w:pPr>
        <w:pStyle w:val="SingleTxt"/>
        <w:rPr>
          <w:rFonts w:hint="cs"/>
          <w:rtl/>
        </w:rPr>
      </w:pPr>
      <w:r>
        <w:rPr>
          <w:rFonts w:hint="cs"/>
          <w:rtl/>
        </w:rPr>
        <w:tab/>
        <w:t>و</w:t>
      </w:r>
      <w:r>
        <w:rPr>
          <w:rtl/>
        </w:rPr>
        <w:t xml:space="preserve">تحث اللجنة الدولة الطرف على الإسراع في سنّ تعديل قانون الأسرة لتوحيد </w:t>
      </w:r>
      <w:r>
        <w:rPr>
          <w:rFonts w:hint="cs"/>
          <w:rtl/>
        </w:rPr>
        <w:t xml:space="preserve">الحد الأدنى </w:t>
      </w:r>
      <w:r>
        <w:rPr>
          <w:rtl/>
        </w:rPr>
        <w:t xml:space="preserve">لسن </w:t>
      </w:r>
      <w:r>
        <w:rPr>
          <w:rFonts w:hint="cs"/>
          <w:rtl/>
        </w:rPr>
        <w:t>ا</w:t>
      </w:r>
      <w:r>
        <w:rPr>
          <w:rtl/>
        </w:rPr>
        <w:t xml:space="preserve">لزواج </w:t>
      </w:r>
      <w:r>
        <w:rPr>
          <w:rFonts w:hint="cs"/>
          <w:rtl/>
        </w:rPr>
        <w:t xml:space="preserve">للمرأة والرجل وجعله </w:t>
      </w:r>
      <w:r>
        <w:rPr>
          <w:rtl/>
        </w:rPr>
        <w:t xml:space="preserve">18 </w:t>
      </w:r>
      <w:r>
        <w:rPr>
          <w:rFonts w:hint="cs"/>
          <w:rtl/>
        </w:rPr>
        <w:t xml:space="preserve">سنة، وفقا </w:t>
      </w:r>
      <w:r>
        <w:rPr>
          <w:rtl/>
        </w:rPr>
        <w:t>للمادة 16 من الاتفاقية والتوصية العامة رقم 21 الصادرة عن اللجنة.</w:t>
      </w:r>
    </w:p>
    <w:p w:rsidR="00995294" w:rsidRPr="00995294" w:rsidRDefault="00995294" w:rsidP="00995294">
      <w:pPr>
        <w:pStyle w:val="SingleTxt"/>
        <w:spacing w:after="0" w:line="120" w:lineRule="exact"/>
        <w:rPr>
          <w:sz w:val="10"/>
          <w:rtl/>
        </w:rPr>
      </w:pPr>
    </w:p>
    <w:p w:rsidR="00995294" w:rsidRPr="00995294" w:rsidRDefault="00995294" w:rsidP="00995294">
      <w:pPr>
        <w:pStyle w:val="SingleTxt"/>
        <w:rPr>
          <w:rFonts w:hint="cs"/>
          <w:b/>
          <w:bCs/>
          <w:rtl/>
        </w:rPr>
      </w:pPr>
      <w:r w:rsidRPr="00995294">
        <w:rPr>
          <w:b/>
          <w:bCs/>
          <w:rtl/>
        </w:rPr>
        <w:t>معلومات عن تنفيذ هذ</w:t>
      </w:r>
      <w:r w:rsidR="00B5352B">
        <w:rPr>
          <w:b/>
          <w:bCs/>
          <w:rtl/>
        </w:rPr>
        <w:t>ه التوصيات</w:t>
      </w:r>
    </w:p>
    <w:p w:rsidR="00995294" w:rsidRDefault="00995294" w:rsidP="00995294">
      <w:pPr>
        <w:pStyle w:val="SingleTxt"/>
        <w:rPr>
          <w:rtl/>
        </w:rPr>
      </w:pPr>
      <w:r>
        <w:rPr>
          <w:rtl/>
        </w:rPr>
        <w:t>1</w:t>
      </w:r>
      <w:r>
        <w:rPr>
          <w:rFonts w:hint="cs"/>
          <w:rtl/>
        </w:rPr>
        <w:t xml:space="preserve"> -</w:t>
      </w:r>
      <w:r>
        <w:rPr>
          <w:rtl/>
        </w:rPr>
        <w:tab/>
        <w:t>أثناء الحوار البنّاء</w:t>
      </w:r>
      <w:r>
        <w:rPr>
          <w:rFonts w:hint="cs"/>
          <w:rtl/>
        </w:rPr>
        <w:t>،</w:t>
      </w:r>
      <w:r>
        <w:rPr>
          <w:rtl/>
        </w:rPr>
        <w:t xml:space="preserve"> أعلم رئيس الوفد اللجنة أن البرلمان سينظر في تعديل قانون الأسرة في دورته التي سيعقدها في الربع الثالث من عام 2009 لمناقشة توحيد السن القانونية الدنيا للزواج لتصبح 18 عاماً للرجال والنساء على حد سواء. </w:t>
      </w:r>
      <w:r>
        <w:rPr>
          <w:rFonts w:hint="cs"/>
          <w:rtl/>
        </w:rPr>
        <w:t>و</w:t>
      </w:r>
      <w:r>
        <w:rPr>
          <w:rtl/>
        </w:rPr>
        <w:t>يحدّ</w:t>
      </w:r>
      <w:r>
        <w:rPr>
          <w:rFonts w:hint="cs"/>
          <w:rtl/>
        </w:rPr>
        <w:t>ِ</w:t>
      </w:r>
      <w:r>
        <w:rPr>
          <w:rtl/>
        </w:rPr>
        <w:t xml:space="preserve">د قانون الأسرة في أذربيجان </w:t>
      </w:r>
      <w:r>
        <w:rPr>
          <w:rFonts w:hint="cs"/>
          <w:rtl/>
        </w:rPr>
        <w:t xml:space="preserve">حاليا </w:t>
      </w:r>
      <w:r>
        <w:rPr>
          <w:rtl/>
        </w:rPr>
        <w:t>السن القانونية الدنيا لزواج النساء بـ</w:t>
      </w:r>
      <w:r>
        <w:rPr>
          <w:rFonts w:hint="cs"/>
          <w:rtl/>
        </w:rPr>
        <w:t xml:space="preserve"> </w:t>
      </w:r>
      <w:r>
        <w:rPr>
          <w:rtl/>
        </w:rPr>
        <w:t>17 عاماً.</w:t>
      </w:r>
    </w:p>
    <w:p w:rsidR="00995294" w:rsidRDefault="00995294" w:rsidP="00995294">
      <w:pPr>
        <w:pStyle w:val="SingleTxt"/>
        <w:rPr>
          <w:rFonts w:hint="cs"/>
          <w:rtl/>
        </w:rPr>
      </w:pPr>
      <w:r>
        <w:rPr>
          <w:rtl/>
        </w:rPr>
        <w:t>2</w:t>
      </w:r>
      <w:r>
        <w:rPr>
          <w:rFonts w:hint="cs"/>
          <w:rtl/>
        </w:rPr>
        <w:t xml:space="preserve"> -</w:t>
      </w:r>
      <w:r>
        <w:rPr>
          <w:rtl/>
        </w:rPr>
        <w:tab/>
        <w:t xml:space="preserve">وترغب اللجنة الحكومية لشؤون الأسرة والمرأة والطفل أن </w:t>
      </w:r>
      <w:r>
        <w:rPr>
          <w:rFonts w:hint="cs"/>
          <w:rtl/>
        </w:rPr>
        <w:t>تؤكد مجددا على</w:t>
      </w:r>
      <w:r>
        <w:rPr>
          <w:rtl/>
        </w:rPr>
        <w:t xml:space="preserve"> الإرادة السياسية لحكومة جمهورية أذربيجان لإلغاء جميع القوانين التمييزية من تشريعاتها لكي تتوافق بشكل تام مع أحكام اتفاقية القضاء على جميع أشكال التمييز ضد المرأة واتفاقية حقوق</w:t>
      </w:r>
      <w:r>
        <w:rPr>
          <w:rFonts w:hint="cs"/>
          <w:rtl/>
        </w:rPr>
        <w:t> </w:t>
      </w:r>
      <w:r>
        <w:rPr>
          <w:rtl/>
        </w:rPr>
        <w:t>الطفل.</w:t>
      </w:r>
    </w:p>
    <w:p w:rsidR="00995294" w:rsidRDefault="00995294" w:rsidP="009F67BA">
      <w:pPr>
        <w:pStyle w:val="SingleTxt"/>
        <w:rPr>
          <w:rtl/>
        </w:rPr>
      </w:pPr>
      <w:r>
        <w:rPr>
          <w:rtl/>
        </w:rPr>
        <w:t>3</w:t>
      </w:r>
      <w:r>
        <w:rPr>
          <w:rFonts w:hint="cs"/>
          <w:rtl/>
        </w:rPr>
        <w:t xml:space="preserve"> -</w:t>
      </w:r>
      <w:r>
        <w:rPr>
          <w:rtl/>
        </w:rPr>
        <w:tab/>
        <w:t>وتؤكد اللجنة الحكومية لشؤون الأسرة والمرأة والطفل أن مناقشات تعديل قانون الأسرة بغية توح</w:t>
      </w:r>
      <w:r w:rsidR="009F67BA">
        <w:rPr>
          <w:rtl/>
        </w:rPr>
        <w:t>يد السن القانونية الدنيا للزواج</w:t>
      </w:r>
      <w:r>
        <w:rPr>
          <w:rtl/>
        </w:rPr>
        <w:t xml:space="preserve"> لتصبح 18 عاماً للجنسين قد بدأت في البرلمان وأن المشاورات تجري بشأنه مع اللجان المعنية وبمشاركة الخبراء.</w:t>
      </w:r>
    </w:p>
    <w:p w:rsidR="00995294" w:rsidRDefault="00995294" w:rsidP="009F67BA">
      <w:pPr>
        <w:pStyle w:val="SingleTxt"/>
        <w:rPr>
          <w:rtl/>
        </w:rPr>
      </w:pPr>
      <w:r>
        <w:rPr>
          <w:rtl/>
        </w:rPr>
        <w:t>4</w:t>
      </w:r>
      <w:r w:rsidR="009F67BA">
        <w:rPr>
          <w:rFonts w:hint="cs"/>
          <w:rtl/>
        </w:rPr>
        <w:t xml:space="preserve"> -</w:t>
      </w:r>
      <w:r>
        <w:rPr>
          <w:rtl/>
        </w:rPr>
        <w:tab/>
        <w:t>وأ</w:t>
      </w:r>
      <w:r w:rsidR="009F67BA">
        <w:rPr>
          <w:rFonts w:hint="cs"/>
          <w:rtl/>
        </w:rPr>
        <w:t>درجت</w:t>
      </w:r>
      <w:r>
        <w:rPr>
          <w:rtl/>
        </w:rPr>
        <w:t xml:space="preserve"> مسألة اعتماد تعديلات قانون الأسرة </w:t>
      </w:r>
      <w:r w:rsidR="009F67BA">
        <w:rPr>
          <w:rFonts w:hint="cs"/>
          <w:rtl/>
        </w:rPr>
        <w:t>في هذا الخصوص</w:t>
      </w:r>
      <w:r>
        <w:rPr>
          <w:rtl/>
        </w:rPr>
        <w:t xml:space="preserve"> في جدول أعمال دورة الخريف لبرلمان جمهورية أذربيجان </w:t>
      </w:r>
      <w:r w:rsidR="009F67BA">
        <w:rPr>
          <w:rFonts w:hint="cs"/>
          <w:rtl/>
        </w:rPr>
        <w:t>(</w:t>
      </w:r>
      <w:r w:rsidR="009F67BA">
        <w:rPr>
          <w:rFonts w:hint="eastAsia"/>
          <w:rtl/>
        </w:rPr>
        <w:t>”</w:t>
      </w:r>
      <w:r>
        <w:rPr>
          <w:rtl/>
        </w:rPr>
        <w:t>ميلي مجلس</w:t>
      </w:r>
      <w:r w:rsidR="009F67BA">
        <w:rPr>
          <w:rFonts w:hint="cs"/>
          <w:rtl/>
        </w:rPr>
        <w:t>“)</w:t>
      </w:r>
      <w:r>
        <w:rPr>
          <w:rtl/>
        </w:rPr>
        <w:t xml:space="preserve"> </w:t>
      </w:r>
    </w:p>
    <w:p w:rsidR="009F67BA" w:rsidRPr="009F67BA" w:rsidRDefault="009F67BA" w:rsidP="009F67BA">
      <w:pPr>
        <w:pStyle w:val="SingleTxt"/>
        <w:spacing w:after="0" w:line="120" w:lineRule="exact"/>
        <w:rPr>
          <w:sz w:val="10"/>
          <w:rtl/>
        </w:rPr>
      </w:pPr>
    </w:p>
    <w:p w:rsidR="00995294" w:rsidRPr="009F67BA" w:rsidRDefault="00995294" w:rsidP="00995294">
      <w:pPr>
        <w:pStyle w:val="SingleTxt"/>
        <w:rPr>
          <w:b/>
          <w:bCs/>
          <w:rtl/>
        </w:rPr>
      </w:pPr>
      <w:r w:rsidRPr="009F67BA">
        <w:rPr>
          <w:b/>
          <w:bCs/>
          <w:rtl/>
        </w:rPr>
        <w:t xml:space="preserve">التوصيات الواردة في الفقرة 22 بشأن العنف ضد المرأة </w:t>
      </w:r>
    </w:p>
    <w:p w:rsidR="00995294" w:rsidRDefault="009F67BA" w:rsidP="009F67BA">
      <w:pPr>
        <w:pStyle w:val="SingleTxt"/>
        <w:rPr>
          <w:rFonts w:hint="cs"/>
          <w:rtl/>
        </w:rPr>
      </w:pPr>
      <w:r>
        <w:rPr>
          <w:rFonts w:hint="cs"/>
          <w:rtl/>
        </w:rPr>
        <w:tab/>
        <w:t>و</w:t>
      </w:r>
      <w:r w:rsidR="00995294">
        <w:rPr>
          <w:rtl/>
        </w:rPr>
        <w:t xml:space="preserve">تحث اللجنة الدولة الطرف على </w:t>
      </w:r>
      <w:r>
        <w:rPr>
          <w:rFonts w:hint="cs"/>
          <w:rtl/>
        </w:rPr>
        <w:t xml:space="preserve">التعجيل باعتماد مشروع القانون المتعلق بالعنف العائلي وعلى كفالة اشتماله على أحكام متصلة بالعنف الجنسي داخل الأسرة. وتطلب اللجنة إلى الدولة الطرف أن تواصل جهودها الرامية إلى مكافحة العنف ضد النساء والفتيات، ولا سيما العنف العائلي. وهي توصي بأن تواصل الدولة الطرف ما تضطلع به من حملات للتوعية العامة لمكافحة جميع أشكال العنف ضد المرأة من خلال وسائط الإعلام والبرامج التعليمية. وهي تدعو الدولة الطرف إلى ضمان حصول النساء والفتيات ضحايا العنف على وسائل فورية للانتصاف والحماية، بما في ذلك أوامر الحماية وتوافر عدد كاف من الملاجئ الملائمة في جميع المناطق. وتوصي اللجنة بمواصلة إتاحة المعونة القانونية لكل ضحايا العنف، بوسائل تشمل إنشاء مراكز المعونة القانونية، ولا سيما في المناطق الريفية. كما تطلب تنفيذ </w:t>
      </w:r>
      <w:r w:rsidR="00F96F67">
        <w:rPr>
          <w:rFonts w:hint="cs"/>
          <w:rtl/>
        </w:rPr>
        <w:t>التدريب لأعضاء السلك القضائي والموظفين العموميين، ولا سيما موظفو إنفاذ القانون ومقدمو الخدمات الصحية وموظفو التنمية المجتمعية، للتأكد من وعيهم بجميع أشكال العنف ضد النساء والفتيات، وقدرتهم على تزويد الضحايا بالدعم الملائم الذي يراعي الفوارق بين الجنسين. وتدعو اللجنة الدولة الطرف إلى تعديل قانونها الجنائي. وهي تكرر توصيتها السابقة الداعية إلى أن تجري الدولة الطرف بحوثا بشأن انتشار جميع أشكال العنف ضد المرأة، بما فيه العنف العائلي، وأسبابه وعواقبه، لتكون أساسا لنشاط شامل</w:t>
      </w:r>
      <w:r w:rsidR="00F96F67">
        <w:rPr>
          <w:rFonts w:hint="eastAsia"/>
          <w:rtl/>
        </w:rPr>
        <w:t> </w:t>
      </w:r>
      <w:r w:rsidR="00F96F67">
        <w:rPr>
          <w:rFonts w:hint="cs"/>
          <w:rtl/>
        </w:rPr>
        <w:t>وهادف.</w:t>
      </w:r>
    </w:p>
    <w:p w:rsidR="00995294" w:rsidRDefault="00F96F67" w:rsidP="00F96F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معلومات عن تنفيذ هذه التوصي</w:t>
      </w:r>
      <w:r>
        <w:rPr>
          <w:rFonts w:hint="cs"/>
          <w:rtl/>
        </w:rPr>
        <w:t>ة</w:t>
      </w:r>
    </w:p>
    <w:p w:rsidR="00995294" w:rsidRPr="00F96F67" w:rsidRDefault="00F96F67" w:rsidP="00F96F67">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995294" w:rsidRPr="00F96F67">
        <w:rPr>
          <w:rtl/>
        </w:rPr>
        <w:t xml:space="preserve">سن قانون خاص </w:t>
      </w:r>
      <w:r>
        <w:rPr>
          <w:rFonts w:hint="cs"/>
          <w:rtl/>
        </w:rPr>
        <w:t>يتعلق</w:t>
      </w:r>
      <w:r w:rsidR="00995294" w:rsidRPr="00F96F67">
        <w:rPr>
          <w:rtl/>
        </w:rPr>
        <w:t xml:space="preserve"> </w:t>
      </w:r>
      <w:r>
        <w:rPr>
          <w:rFonts w:hint="cs"/>
          <w:rtl/>
        </w:rPr>
        <w:t>ب</w:t>
      </w:r>
      <w:r w:rsidR="00995294" w:rsidRPr="00F96F67">
        <w:rPr>
          <w:rtl/>
        </w:rPr>
        <w:t>العنف العائلي</w:t>
      </w:r>
    </w:p>
    <w:p w:rsidR="00995294" w:rsidRDefault="00995294" w:rsidP="00F96F67">
      <w:pPr>
        <w:pStyle w:val="SingleTxt"/>
        <w:rPr>
          <w:rtl/>
        </w:rPr>
      </w:pPr>
      <w:r>
        <w:rPr>
          <w:rtl/>
        </w:rPr>
        <w:t>5</w:t>
      </w:r>
      <w:r w:rsidR="00F96F67">
        <w:rPr>
          <w:rFonts w:hint="cs"/>
          <w:rtl/>
        </w:rPr>
        <w:t xml:space="preserve"> -</w:t>
      </w:r>
      <w:r>
        <w:rPr>
          <w:rtl/>
        </w:rPr>
        <w:tab/>
        <w:t>خضع قانون جمهورية أذربيجان المتعلق بالعنف العائلي لثلاث قراءات أثناء الدورة الصيفية للبرلمان حتى اعتُمد في 22 حزيران/يونيه 2010</w:t>
      </w:r>
      <w:r w:rsidR="00F96F67">
        <w:rPr>
          <w:rFonts w:hint="cs"/>
          <w:rtl/>
        </w:rPr>
        <w:t>،</w:t>
      </w:r>
      <w:r>
        <w:rPr>
          <w:rtl/>
        </w:rPr>
        <w:t xml:space="preserve"> وفي الأول من تشرين الأول/أكتوبر 2010 وقع رئيس جمهورية أذربيجان مرسوماً بإعمال قانون جمهورية أذربيجان المتعلق بالعنف العائلي.</w:t>
      </w:r>
    </w:p>
    <w:p w:rsidR="00995294" w:rsidRDefault="00995294" w:rsidP="00F96F67">
      <w:pPr>
        <w:pStyle w:val="SingleTxt"/>
        <w:rPr>
          <w:rtl/>
        </w:rPr>
      </w:pPr>
      <w:r>
        <w:rPr>
          <w:rtl/>
        </w:rPr>
        <w:t>6</w:t>
      </w:r>
      <w:r w:rsidR="00F96F67">
        <w:rPr>
          <w:rFonts w:hint="cs"/>
          <w:rtl/>
        </w:rPr>
        <w:t xml:space="preserve"> -</w:t>
      </w:r>
      <w:r>
        <w:rPr>
          <w:rtl/>
        </w:rPr>
        <w:tab/>
        <w:t>ويتضمن هذا القانون الشامل أحكاماً ترمي إلى مكافحة العنف العائلي وإجراءات حماية لضحايا العنف.</w:t>
      </w:r>
    </w:p>
    <w:p w:rsidR="00995294" w:rsidRDefault="00995294" w:rsidP="00F96F67">
      <w:pPr>
        <w:pStyle w:val="SingleTxt"/>
        <w:rPr>
          <w:rtl/>
        </w:rPr>
      </w:pPr>
      <w:r>
        <w:rPr>
          <w:rtl/>
        </w:rPr>
        <w:t>7</w:t>
      </w:r>
      <w:r w:rsidR="00F96F67">
        <w:rPr>
          <w:rFonts w:hint="cs"/>
          <w:rtl/>
        </w:rPr>
        <w:t xml:space="preserve"> -</w:t>
      </w:r>
      <w:r>
        <w:rPr>
          <w:rtl/>
        </w:rPr>
        <w:tab/>
        <w:t xml:space="preserve"> وتحتاج النساء اللواتي يتعرضن للعنف إلى </w:t>
      </w:r>
      <w:r w:rsidR="00F96F67">
        <w:rPr>
          <w:rFonts w:hint="cs"/>
          <w:rtl/>
        </w:rPr>
        <w:t>ملاجئ و</w:t>
      </w:r>
      <w:r w:rsidR="00F96F67">
        <w:rPr>
          <w:rtl/>
        </w:rPr>
        <w:t>دعم طبي ونفسي وغير</w:t>
      </w:r>
      <w:r w:rsidR="00F96F67">
        <w:rPr>
          <w:rFonts w:hint="cs"/>
          <w:rtl/>
        </w:rPr>
        <w:t xml:space="preserve"> ذلك</w:t>
      </w:r>
      <w:r>
        <w:rPr>
          <w:rtl/>
        </w:rPr>
        <w:t xml:space="preserve"> من أشكال الدعم </w:t>
      </w:r>
      <w:r w:rsidR="00F96F67">
        <w:rPr>
          <w:rFonts w:hint="cs"/>
          <w:rtl/>
        </w:rPr>
        <w:t xml:space="preserve">وخدمة </w:t>
      </w:r>
      <w:r>
        <w:rPr>
          <w:rtl/>
        </w:rPr>
        <w:t>المعونة القانونية و</w:t>
      </w:r>
      <w:r w:rsidR="00F96F67">
        <w:rPr>
          <w:rFonts w:hint="cs"/>
          <w:rtl/>
        </w:rPr>
        <w:t xml:space="preserve">غيرها من </w:t>
      </w:r>
      <w:r>
        <w:rPr>
          <w:rtl/>
        </w:rPr>
        <w:t>الخدمات التي توفر للضحايا.</w:t>
      </w:r>
    </w:p>
    <w:p w:rsidR="00F96F67" w:rsidRPr="00F96F67" w:rsidRDefault="00F96F67" w:rsidP="00F96F67">
      <w:pPr>
        <w:pStyle w:val="SingleTxt"/>
        <w:spacing w:after="0" w:line="120" w:lineRule="exact"/>
        <w:rPr>
          <w:sz w:val="10"/>
          <w:rtl/>
        </w:rPr>
      </w:pPr>
    </w:p>
    <w:p w:rsidR="00995294" w:rsidRPr="00437B02" w:rsidRDefault="00437B02" w:rsidP="00B5352B">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995294" w:rsidRPr="00437B02">
        <w:rPr>
          <w:rtl/>
        </w:rPr>
        <w:t xml:space="preserve">مشروع </w:t>
      </w:r>
      <w:r>
        <w:rPr>
          <w:rFonts w:hint="cs"/>
          <w:rtl/>
        </w:rPr>
        <w:t>”</w:t>
      </w:r>
      <w:r w:rsidR="00995294" w:rsidRPr="00437B02">
        <w:rPr>
          <w:rtl/>
        </w:rPr>
        <w:t>القرن الحادي والعشرون دون عنف ضد المرأة</w:t>
      </w:r>
      <w:r>
        <w:rPr>
          <w:rFonts w:hint="cs"/>
          <w:rtl/>
        </w:rPr>
        <w:t>“</w:t>
      </w:r>
    </w:p>
    <w:p w:rsidR="00995294" w:rsidRDefault="00995294" w:rsidP="00437B02">
      <w:pPr>
        <w:pStyle w:val="SingleTxt"/>
        <w:rPr>
          <w:rtl/>
        </w:rPr>
      </w:pPr>
      <w:r>
        <w:rPr>
          <w:rtl/>
        </w:rPr>
        <w:t>8</w:t>
      </w:r>
      <w:r w:rsidR="00437B02">
        <w:rPr>
          <w:rFonts w:hint="cs"/>
          <w:rtl/>
        </w:rPr>
        <w:t xml:space="preserve"> -</w:t>
      </w:r>
      <w:r>
        <w:rPr>
          <w:rtl/>
        </w:rPr>
        <w:tab/>
        <w:t xml:space="preserve">مُدِّد مشروع </w:t>
      </w:r>
      <w:r w:rsidR="00437B02">
        <w:rPr>
          <w:rFonts w:hint="cs"/>
          <w:rtl/>
        </w:rPr>
        <w:t>”</w:t>
      </w:r>
      <w:r>
        <w:rPr>
          <w:rtl/>
        </w:rPr>
        <w:t>القرن الحادي والعشرون دون عنف ضد المرأة</w:t>
      </w:r>
      <w:r w:rsidR="00437B02">
        <w:rPr>
          <w:rFonts w:hint="cs"/>
          <w:rtl/>
        </w:rPr>
        <w:t>“</w:t>
      </w:r>
      <w:r>
        <w:rPr>
          <w:rtl/>
        </w:rPr>
        <w:t xml:space="preserve"> الذي وُقع بين اللجنة الحكومية لشؤون الأسرة والمرأة والطفل ومؤسسة حيدر علييف وصندوق الأمم المتحدة للسكان في 16 كانون الثاني/يناير 2008، ليقدم دعماً أفضل لعدد كبير من الإجراءات الرامية إلى مكافحة العنف ضد المرأة. وقد اتبعت اللجنة الحكومية لشؤون الأسرة والمرأة والطفل وشركا</w:t>
      </w:r>
      <w:r w:rsidR="00437B02">
        <w:rPr>
          <w:rFonts w:hint="cs"/>
          <w:rtl/>
        </w:rPr>
        <w:t>ؤ</w:t>
      </w:r>
      <w:r>
        <w:rPr>
          <w:rtl/>
        </w:rPr>
        <w:t>ها عند تصميم المشروع التوجيهات التي قدمتها اللجنة في توصيتها العامة رقم 19 بشأن العنف ضد المرأة.</w:t>
      </w:r>
    </w:p>
    <w:p w:rsidR="00995294" w:rsidRDefault="00995294" w:rsidP="00437B02">
      <w:pPr>
        <w:pStyle w:val="SingleTxt"/>
        <w:rPr>
          <w:rtl/>
        </w:rPr>
      </w:pPr>
      <w:r>
        <w:rPr>
          <w:rtl/>
        </w:rPr>
        <w:t>9</w:t>
      </w:r>
      <w:r w:rsidR="00437B02">
        <w:rPr>
          <w:rFonts w:hint="cs"/>
          <w:rtl/>
        </w:rPr>
        <w:t xml:space="preserve"> -</w:t>
      </w:r>
      <w:r>
        <w:rPr>
          <w:rtl/>
        </w:rPr>
        <w:tab/>
        <w:t>وقد شمل المشروع ثلاثة عناصر بالغة الأهمية:</w:t>
      </w:r>
    </w:p>
    <w:p w:rsidR="00995294" w:rsidRDefault="00437B02" w:rsidP="00437B0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995294">
        <w:rPr>
          <w:rtl/>
        </w:rPr>
        <w:t>•</w:t>
      </w:r>
      <w:r w:rsidR="00995294">
        <w:rPr>
          <w:rtl/>
        </w:rPr>
        <w:tab/>
        <w:t>تنمية قدرات المؤسسات العامة على حماية ضحايا العنف وإعادة تأهيلهن؛</w:t>
      </w:r>
    </w:p>
    <w:p w:rsidR="00995294" w:rsidRDefault="00437B02" w:rsidP="00437B0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995294">
        <w:rPr>
          <w:rtl/>
        </w:rPr>
        <w:t>•</w:t>
      </w:r>
      <w:r w:rsidR="00995294">
        <w:rPr>
          <w:rtl/>
        </w:rPr>
        <w:tab/>
        <w:t>إعداد برامج تثقيف وطنية لمرتكبي أعمال العنف (</w:t>
      </w:r>
      <w:r w:rsidR="00B5352B">
        <w:rPr>
          <w:rtl/>
        </w:rPr>
        <w:t>الجناة) عن قواعد السلوك الذي لا</w:t>
      </w:r>
      <w:r w:rsidR="00B5352B">
        <w:rPr>
          <w:rFonts w:hint="cs"/>
          <w:rtl/>
        </w:rPr>
        <w:t> </w:t>
      </w:r>
      <w:r w:rsidR="00995294">
        <w:rPr>
          <w:rtl/>
        </w:rPr>
        <w:t>يتسم بالعنف؛</w:t>
      </w:r>
    </w:p>
    <w:p w:rsidR="00995294" w:rsidRDefault="00437B02" w:rsidP="00437B0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995294">
        <w:rPr>
          <w:rtl/>
        </w:rPr>
        <w:t>•</w:t>
      </w:r>
      <w:r w:rsidR="00995294">
        <w:rPr>
          <w:rtl/>
        </w:rPr>
        <w:tab/>
        <w:t>إجراءات إعادة تأهيل ضحايا العنف.</w:t>
      </w:r>
    </w:p>
    <w:p w:rsidR="00995294" w:rsidRDefault="00995294" w:rsidP="00437B02">
      <w:pPr>
        <w:pStyle w:val="SingleTxt"/>
        <w:rPr>
          <w:rtl/>
        </w:rPr>
      </w:pPr>
      <w:r>
        <w:rPr>
          <w:rtl/>
        </w:rPr>
        <w:t>10</w:t>
      </w:r>
      <w:r w:rsidR="00437B02">
        <w:rPr>
          <w:rFonts w:hint="cs"/>
          <w:rtl/>
        </w:rPr>
        <w:t xml:space="preserve"> -</w:t>
      </w:r>
      <w:r>
        <w:rPr>
          <w:rtl/>
        </w:rPr>
        <w:tab/>
      </w:r>
      <w:r w:rsidR="00437B02">
        <w:rPr>
          <w:rFonts w:hint="cs"/>
          <w:rtl/>
        </w:rPr>
        <w:t>و</w:t>
      </w:r>
      <w:r>
        <w:rPr>
          <w:rtl/>
        </w:rPr>
        <w:t>ستتاح في إطار المشروع أربعة ملاجئ لضحايا العنف. والملاجئ متاحة وقيد الاستخدام حالياً في أذربيجان.</w:t>
      </w:r>
    </w:p>
    <w:p w:rsidR="00437B02" w:rsidRPr="00437B02" w:rsidRDefault="00437B02" w:rsidP="00437B02">
      <w:pPr>
        <w:pStyle w:val="SingleTxt"/>
        <w:spacing w:after="0" w:line="120" w:lineRule="exact"/>
        <w:rPr>
          <w:sz w:val="10"/>
          <w:rtl/>
        </w:rPr>
      </w:pPr>
    </w:p>
    <w:p w:rsidR="00995294" w:rsidRPr="00437B02" w:rsidRDefault="00437B02" w:rsidP="00437B02">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995294" w:rsidRPr="00437B02">
        <w:rPr>
          <w:rtl/>
        </w:rPr>
        <w:t>بناء القدرات والتدريب</w:t>
      </w:r>
    </w:p>
    <w:p w:rsidR="00995294" w:rsidRDefault="00995294" w:rsidP="00437B02">
      <w:pPr>
        <w:pStyle w:val="SingleTxt"/>
        <w:rPr>
          <w:rtl/>
        </w:rPr>
      </w:pPr>
      <w:r>
        <w:rPr>
          <w:rtl/>
        </w:rPr>
        <w:t>11</w:t>
      </w:r>
      <w:r w:rsidR="00437B02">
        <w:rPr>
          <w:rFonts w:hint="cs"/>
          <w:rtl/>
        </w:rPr>
        <w:t xml:space="preserve"> -</w:t>
      </w:r>
      <w:r>
        <w:rPr>
          <w:rtl/>
        </w:rPr>
        <w:tab/>
        <w:t>تدرك اللجنة الحكومية لشؤون الأسرة والمرأة والطفل تماماً أن جميع العاملين في مواجهة العنف ضد المرأة يتطلبون طاقات للتصدي لهذا العنف بشكل يراعي الفوارق الجنسانية. وهكذا اتخذت تدابير</w:t>
      </w:r>
      <w:r w:rsidR="00437B02">
        <w:rPr>
          <w:rFonts w:hint="cs"/>
          <w:rtl/>
        </w:rPr>
        <w:t xml:space="preserve"> </w:t>
      </w:r>
      <w:r>
        <w:rPr>
          <w:rtl/>
        </w:rPr>
        <w:t>الدعوة لمواجهة العنف بمشاركة الهيئات الإدارية المحلية والبلديات والمجتمع المدني. وأنشئت مراكز مساعدة للنساء لزيادة فعالية إجراءات حماية حقوق المرأة في إطار المشروع.</w:t>
      </w:r>
    </w:p>
    <w:p w:rsidR="00995294" w:rsidRDefault="00B5352B" w:rsidP="00995294">
      <w:pPr>
        <w:pStyle w:val="SingleTxt"/>
        <w:rPr>
          <w:rtl/>
        </w:rPr>
      </w:pPr>
      <w:r>
        <w:rPr>
          <w:rtl/>
        </w:rPr>
        <w:t>12</w:t>
      </w:r>
      <w:r>
        <w:rPr>
          <w:rFonts w:hint="cs"/>
          <w:rtl/>
        </w:rPr>
        <w:t xml:space="preserve"> -</w:t>
      </w:r>
      <w:r w:rsidR="00995294">
        <w:rPr>
          <w:rtl/>
        </w:rPr>
        <w:tab/>
        <w:t>كما اتخذت تدابير مختلفة لتلبية متطلبات ضمان حقوق وحريات المرأة الصادرة بموجب أحكام القوانين المحلية والدولية، بما فيها منع التمييز والأعمال المخالفة للقانون. ولأن حقوق المرأة وحرياتها تبقى دوماً محور الاهتمام، فقد نُظمت نشاطات مختلفة في هذا الصدد.</w:t>
      </w:r>
    </w:p>
    <w:p w:rsidR="00995294" w:rsidRDefault="00995294" w:rsidP="00437B02">
      <w:pPr>
        <w:pStyle w:val="SingleTxt"/>
        <w:rPr>
          <w:rtl/>
        </w:rPr>
      </w:pPr>
      <w:r>
        <w:rPr>
          <w:rtl/>
        </w:rPr>
        <w:t>13</w:t>
      </w:r>
      <w:r w:rsidR="00B5352B">
        <w:rPr>
          <w:rFonts w:hint="cs"/>
          <w:rtl/>
        </w:rPr>
        <w:t xml:space="preserve"> -</w:t>
      </w:r>
      <w:r>
        <w:rPr>
          <w:rtl/>
        </w:rPr>
        <w:tab/>
      </w:r>
      <w:r w:rsidR="00437B02">
        <w:rPr>
          <w:rFonts w:hint="cs"/>
          <w:rtl/>
        </w:rPr>
        <w:t xml:space="preserve">ولما كانت </w:t>
      </w:r>
      <w:r>
        <w:rPr>
          <w:rtl/>
        </w:rPr>
        <w:t xml:space="preserve">قضية العنف ضد المرأة إحدى أخطر </w:t>
      </w:r>
      <w:r w:rsidR="00437B02">
        <w:rPr>
          <w:rFonts w:hint="cs"/>
          <w:rtl/>
        </w:rPr>
        <w:t>ال</w:t>
      </w:r>
      <w:r>
        <w:rPr>
          <w:rtl/>
        </w:rPr>
        <w:t xml:space="preserve">مشكلات </w:t>
      </w:r>
      <w:r w:rsidR="00437B02">
        <w:rPr>
          <w:rFonts w:hint="cs"/>
          <w:rtl/>
        </w:rPr>
        <w:t xml:space="preserve">في </w:t>
      </w:r>
      <w:r>
        <w:rPr>
          <w:rtl/>
        </w:rPr>
        <w:t>المجتمع</w:t>
      </w:r>
      <w:r w:rsidR="00437B02">
        <w:rPr>
          <w:rFonts w:hint="cs"/>
          <w:rtl/>
        </w:rPr>
        <w:t xml:space="preserve">، لذا فإنها توضع </w:t>
      </w:r>
      <w:r>
        <w:rPr>
          <w:rtl/>
        </w:rPr>
        <w:t xml:space="preserve">دوماً </w:t>
      </w:r>
      <w:r w:rsidR="00437B02">
        <w:rPr>
          <w:rFonts w:hint="cs"/>
          <w:rtl/>
        </w:rPr>
        <w:t>في مركز</w:t>
      </w:r>
      <w:r>
        <w:rPr>
          <w:rtl/>
        </w:rPr>
        <w:t xml:space="preserve"> </w:t>
      </w:r>
      <w:r w:rsidR="00437B02">
        <w:rPr>
          <w:rFonts w:hint="cs"/>
          <w:rtl/>
        </w:rPr>
        <w:t>ا</w:t>
      </w:r>
      <w:r>
        <w:rPr>
          <w:rtl/>
        </w:rPr>
        <w:t xml:space="preserve">لاهتمام </w:t>
      </w:r>
      <w:r w:rsidR="00437B02">
        <w:rPr>
          <w:rFonts w:hint="cs"/>
          <w:rtl/>
        </w:rPr>
        <w:t xml:space="preserve">وذلك </w:t>
      </w:r>
      <w:r>
        <w:rPr>
          <w:rtl/>
        </w:rPr>
        <w:t>في سياق إجراءات مناصرة حقوق المرأة التي تقوم بها المؤسسات العامة والمنظمات غير الحكومية المعنية وخاصة من خلال المواد التي تبثها وتوزعها وسائط الإعلام الجماهيري.</w:t>
      </w:r>
    </w:p>
    <w:p w:rsidR="002F0573" w:rsidRDefault="00995294" w:rsidP="00437B02">
      <w:pPr>
        <w:pStyle w:val="SingleTxt"/>
        <w:rPr>
          <w:rFonts w:hint="cs"/>
          <w:rtl/>
        </w:rPr>
      </w:pPr>
      <w:r>
        <w:rPr>
          <w:rtl/>
        </w:rPr>
        <w:t>14</w:t>
      </w:r>
      <w:r w:rsidR="00437B02">
        <w:rPr>
          <w:rFonts w:hint="cs"/>
          <w:rtl/>
        </w:rPr>
        <w:t xml:space="preserve"> -</w:t>
      </w:r>
      <w:r>
        <w:rPr>
          <w:rtl/>
        </w:rPr>
        <w:tab/>
        <w:t>وقد نشأت علاقات وثيقة بين المؤسسات العامة والمنظمات غير الحكومية ووسائط الإعلام الجماهيري التي تعمل للقضاء على التمييز والعنف ضد النساء والفتيات.</w:t>
      </w:r>
    </w:p>
    <w:p w:rsidR="00995294" w:rsidRPr="00437B02" w:rsidRDefault="00437B02" w:rsidP="00437B02">
      <w:pPr>
        <w:pStyle w:val="SingleTxt"/>
        <w:spacing w:after="0" w:line="240" w:lineRule="auto"/>
        <w:rPr>
          <w:rFonts w:hint="cs"/>
          <w:rtl/>
          <w:lang w:bidi="ar-EG"/>
        </w:rPr>
      </w:pPr>
      <w:r>
        <w:rPr>
          <w:rFonts w:hint="cs"/>
          <w:noProof/>
          <w:w w:val="100"/>
          <w:rtl/>
        </w:rPr>
        <w:pict>
          <v:line id="_x0000_s1026" style="position:absolute;left:0;text-align:left;z-index:1" from="206.6pt,24pt" to="278.6pt,24pt" strokeweight=".25pt">
            <w10:wrap anchorx="page"/>
          </v:line>
        </w:pict>
      </w:r>
    </w:p>
    <w:sectPr w:rsidR="00995294" w:rsidRPr="00437B02" w:rsidSect="00712905">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1-04-26T17:55:00Z" w:initials="Start">
    <w:p w:rsidR="009038BF" w:rsidRDefault="009038BF">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NO&gt;&gt;N1130132A&lt;&lt;ODS JOB NO&gt;&gt;</w:t>
      </w:r>
    </w:p>
    <w:p w:rsidR="009038BF" w:rsidRDefault="009038BF">
      <w:pPr>
        <w:pStyle w:val="CommentText"/>
      </w:pPr>
      <w:r>
        <w:t>&lt;&lt;ODS DOC SYMBOL1&gt;&gt;CEDAW/C/AZE/CO/4/Add.1&lt;&lt;ODS DOC SYMBOL1&gt;&gt;</w:t>
      </w:r>
    </w:p>
    <w:p w:rsidR="009038BF" w:rsidRDefault="009038B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BF" w:rsidRDefault="009038BF" w:rsidP="00712905">
      <w:r>
        <w:separator/>
      </w:r>
    </w:p>
  </w:endnote>
  <w:endnote w:type="continuationSeparator" w:id="0">
    <w:p w:rsidR="009038BF" w:rsidRDefault="009038BF" w:rsidP="0071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038BF" w:rsidTr="00712905">
      <w:tblPrEx>
        <w:tblCellMar>
          <w:top w:w="0" w:type="dxa"/>
          <w:bottom w:w="0" w:type="dxa"/>
        </w:tblCellMar>
      </w:tblPrEx>
      <w:tc>
        <w:tcPr>
          <w:tcW w:w="5033" w:type="dxa"/>
          <w:shd w:val="clear" w:color="auto" w:fill="auto"/>
        </w:tcPr>
        <w:p w:rsidR="009038BF" w:rsidRPr="00712905" w:rsidRDefault="009038BF" w:rsidP="00712905">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9038BF" w:rsidRPr="00712905" w:rsidRDefault="009038BF" w:rsidP="0071290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11-30132</w:t>
          </w:r>
          <w:r>
            <w:rPr>
              <w:b w:val="0"/>
              <w:w w:val="103"/>
            </w:rPr>
            <w:fldChar w:fldCharType="end"/>
          </w:r>
        </w:p>
      </w:tc>
    </w:tr>
  </w:tbl>
  <w:p w:rsidR="009038BF" w:rsidRPr="00712905" w:rsidRDefault="009038BF" w:rsidP="00712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038BF" w:rsidTr="00712905">
      <w:tblPrEx>
        <w:tblCellMar>
          <w:top w:w="0" w:type="dxa"/>
          <w:bottom w:w="0" w:type="dxa"/>
        </w:tblCellMar>
      </w:tblPrEx>
      <w:tc>
        <w:tcPr>
          <w:tcW w:w="5033" w:type="dxa"/>
          <w:shd w:val="clear" w:color="auto" w:fill="auto"/>
        </w:tcPr>
        <w:p w:rsidR="009038BF" w:rsidRPr="00712905" w:rsidRDefault="009038BF" w:rsidP="00712905">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11-30132</w:t>
          </w:r>
          <w:r>
            <w:rPr>
              <w:b w:val="0"/>
              <w:w w:val="103"/>
            </w:rPr>
            <w:fldChar w:fldCharType="end"/>
          </w:r>
        </w:p>
      </w:tc>
      <w:tc>
        <w:tcPr>
          <w:tcW w:w="5033" w:type="dxa"/>
          <w:shd w:val="clear" w:color="auto" w:fill="auto"/>
        </w:tcPr>
        <w:p w:rsidR="009038BF" w:rsidRPr="00712905" w:rsidRDefault="009038BF" w:rsidP="00712905">
          <w:pPr>
            <w:pStyle w:val="Footer"/>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r>
  </w:tbl>
  <w:p w:rsidR="009038BF" w:rsidRPr="00712905" w:rsidRDefault="009038BF" w:rsidP="007129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9038BF">
      <w:tblPrEx>
        <w:tblCellMar>
          <w:top w:w="0" w:type="dxa"/>
          <w:bottom w:w="0" w:type="dxa"/>
        </w:tblCellMar>
      </w:tblPrEx>
      <w:tc>
        <w:tcPr>
          <w:tcW w:w="5033" w:type="dxa"/>
        </w:tcPr>
        <w:p w:rsidR="009038BF" w:rsidRDefault="009038BF" w:rsidP="00712905">
          <w:pPr>
            <w:pStyle w:val="Footer"/>
            <w:spacing w:line="240" w:lineRule="atLeast"/>
            <w:rPr>
              <w:rFonts w:cs="Times New Roman"/>
              <w:b w:val="0"/>
              <w:w w:val="103"/>
              <w:sz w:val="20"/>
            </w:rPr>
          </w:pPr>
          <w:r w:rsidRPr="00712905">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9038BF" w:rsidRDefault="009038BF" w:rsidP="009038BF">
          <w:pPr>
            <w:pStyle w:val="Footer"/>
            <w:jc w:val="right"/>
            <w:rPr>
              <w:rFonts w:cs="Times New Roman"/>
              <w:b w:val="0"/>
              <w:w w:val="103"/>
              <w:sz w:val="20"/>
            </w:rPr>
          </w:pPr>
          <w:r>
            <w:rPr>
              <w:rFonts w:cs="Times New Roman"/>
              <w:b w:val="0"/>
              <w:w w:val="103"/>
              <w:sz w:val="20"/>
            </w:rPr>
            <w:t xml:space="preserve">270411    260411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11-30132 (A)</w:t>
          </w:r>
          <w:r>
            <w:rPr>
              <w:rFonts w:cs="Times New Roman"/>
              <w:b w:val="0"/>
              <w:w w:val="103"/>
              <w:sz w:val="20"/>
            </w:rPr>
            <w:fldChar w:fldCharType="end"/>
          </w:r>
        </w:p>
        <w:p w:rsidR="009038BF" w:rsidRPr="00712905" w:rsidRDefault="009038BF" w:rsidP="00712905">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*1130132*</w:t>
          </w:r>
          <w:r>
            <w:rPr>
              <w:rFonts w:ascii="Barcode 3 of 9 by request" w:hAnsi="Barcode 3 of 9 by request" w:cs="Times New Roman"/>
              <w:b w:val="0"/>
              <w:sz w:val="24"/>
            </w:rPr>
            <w:fldChar w:fldCharType="end"/>
          </w:r>
        </w:p>
      </w:tc>
    </w:tr>
  </w:tbl>
  <w:p w:rsidR="009038BF" w:rsidRPr="00712905" w:rsidRDefault="009038BF" w:rsidP="00712905">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BF" w:rsidRDefault="009038BF" w:rsidP="00712905">
      <w:r>
        <w:separator/>
      </w:r>
    </w:p>
  </w:footnote>
  <w:footnote w:type="continuationSeparator" w:id="0">
    <w:p w:rsidR="009038BF" w:rsidRDefault="009038BF" w:rsidP="00712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9038BF" w:rsidTr="00712905">
      <w:tblPrEx>
        <w:tblCellMar>
          <w:top w:w="0" w:type="dxa"/>
          <w:bottom w:w="0" w:type="dxa"/>
        </w:tblCellMar>
      </w:tblPrEx>
      <w:trPr>
        <w:trHeight w:hRule="exact" w:val="864"/>
        <w:jc w:val="center"/>
      </w:trPr>
      <w:tc>
        <w:tcPr>
          <w:tcW w:w="4925" w:type="dxa"/>
          <w:shd w:val="clear" w:color="auto" w:fill="auto"/>
          <w:vAlign w:val="bottom"/>
        </w:tcPr>
        <w:p w:rsidR="009038BF" w:rsidRDefault="009038BF" w:rsidP="00712905">
          <w:pPr>
            <w:pStyle w:val="Header"/>
            <w:bidi/>
            <w:jc w:val="right"/>
          </w:pPr>
        </w:p>
      </w:tc>
      <w:tc>
        <w:tcPr>
          <w:tcW w:w="4925" w:type="dxa"/>
          <w:shd w:val="clear" w:color="auto" w:fill="auto"/>
          <w:vAlign w:val="bottom"/>
        </w:tcPr>
        <w:p w:rsidR="009038BF" w:rsidRPr="00712905" w:rsidRDefault="009038BF" w:rsidP="00712905">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CEDAW/C/AZE/CO/4/Add.1</w:t>
          </w:r>
          <w:r>
            <w:rPr>
              <w:w w:val="103"/>
            </w:rPr>
            <w:fldChar w:fldCharType="end"/>
          </w:r>
        </w:p>
      </w:tc>
    </w:tr>
  </w:tbl>
  <w:p w:rsidR="009038BF" w:rsidRPr="00712905" w:rsidRDefault="009038BF" w:rsidP="00712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9038BF" w:rsidTr="00712905">
      <w:tblPrEx>
        <w:tblCellMar>
          <w:top w:w="0" w:type="dxa"/>
          <w:bottom w:w="0" w:type="dxa"/>
        </w:tblCellMar>
      </w:tblPrEx>
      <w:trPr>
        <w:trHeight w:hRule="exact" w:val="864"/>
        <w:jc w:val="center"/>
      </w:trPr>
      <w:tc>
        <w:tcPr>
          <w:tcW w:w="4925" w:type="dxa"/>
          <w:shd w:val="clear" w:color="auto" w:fill="auto"/>
          <w:vAlign w:val="bottom"/>
        </w:tcPr>
        <w:p w:rsidR="009038BF" w:rsidRPr="00712905" w:rsidRDefault="009038BF" w:rsidP="0071290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CEDAW/C/AZE/CO/4/Add.1</w:t>
          </w:r>
          <w:r>
            <w:rPr>
              <w:w w:val="103"/>
            </w:rPr>
            <w:fldChar w:fldCharType="end"/>
          </w:r>
        </w:p>
      </w:tc>
      <w:tc>
        <w:tcPr>
          <w:tcW w:w="4925" w:type="dxa"/>
          <w:shd w:val="clear" w:color="auto" w:fill="auto"/>
          <w:vAlign w:val="bottom"/>
        </w:tcPr>
        <w:p w:rsidR="009038BF" w:rsidRDefault="009038BF" w:rsidP="00712905">
          <w:pPr>
            <w:pStyle w:val="Header"/>
          </w:pPr>
        </w:p>
      </w:tc>
    </w:tr>
  </w:tbl>
  <w:p w:rsidR="009038BF" w:rsidRPr="00712905" w:rsidRDefault="009038BF" w:rsidP="00712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038BF" w:rsidTr="0071290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038BF" w:rsidRDefault="009038BF" w:rsidP="00712905">
          <w:pPr>
            <w:pStyle w:val="Header"/>
            <w:spacing w:after="120"/>
          </w:pPr>
        </w:p>
      </w:tc>
      <w:tc>
        <w:tcPr>
          <w:tcW w:w="1786" w:type="dxa"/>
          <w:tcBorders>
            <w:bottom w:val="single" w:sz="4" w:space="0" w:color="auto"/>
          </w:tcBorders>
          <w:shd w:val="clear" w:color="auto" w:fill="auto"/>
          <w:vAlign w:val="bottom"/>
        </w:tcPr>
        <w:p w:rsidR="009038BF" w:rsidRPr="00712905" w:rsidRDefault="009038BF" w:rsidP="0071290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038BF" w:rsidRDefault="009038BF" w:rsidP="00712905">
          <w:pPr>
            <w:pStyle w:val="Header"/>
            <w:spacing w:after="120"/>
          </w:pPr>
        </w:p>
      </w:tc>
      <w:tc>
        <w:tcPr>
          <w:tcW w:w="6523" w:type="dxa"/>
          <w:gridSpan w:val="3"/>
          <w:tcBorders>
            <w:bottom w:val="single" w:sz="4" w:space="0" w:color="auto"/>
          </w:tcBorders>
          <w:shd w:val="clear" w:color="auto" w:fill="auto"/>
          <w:vAlign w:val="bottom"/>
        </w:tcPr>
        <w:p w:rsidR="009038BF" w:rsidRPr="00712905" w:rsidRDefault="009038BF" w:rsidP="00712905">
          <w:pPr>
            <w:spacing w:line="380" w:lineRule="exact"/>
            <w:jc w:val="right"/>
          </w:pPr>
          <w:r>
            <w:rPr>
              <w:sz w:val="40"/>
            </w:rPr>
            <w:t>CEDAW</w:t>
          </w:r>
          <w:r>
            <w:t>/C/AZE/CO/4/Add.1</w:t>
          </w:r>
        </w:p>
      </w:tc>
    </w:tr>
    <w:tr w:rsidR="009038BF" w:rsidRPr="00712905" w:rsidTr="0071290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038BF" w:rsidRDefault="009038BF" w:rsidP="00712905">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038BF" w:rsidRPr="00712905" w:rsidRDefault="009038BF" w:rsidP="00712905">
          <w:pPr>
            <w:pStyle w:val="Header"/>
            <w:spacing w:before="109"/>
            <w:jc w:val="right"/>
          </w:pPr>
        </w:p>
      </w:tc>
      <w:tc>
        <w:tcPr>
          <w:tcW w:w="5227" w:type="dxa"/>
          <w:gridSpan w:val="3"/>
          <w:tcBorders>
            <w:top w:val="single" w:sz="4" w:space="0" w:color="auto"/>
            <w:bottom w:val="single" w:sz="12" w:space="0" w:color="auto"/>
          </w:tcBorders>
          <w:shd w:val="clear" w:color="auto" w:fill="auto"/>
        </w:tcPr>
        <w:p w:rsidR="009038BF" w:rsidRPr="00712905" w:rsidRDefault="009038BF" w:rsidP="0071290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038BF" w:rsidRPr="00712905" w:rsidRDefault="009038BF" w:rsidP="00712905">
          <w:pPr>
            <w:pStyle w:val="Header"/>
            <w:spacing w:before="109"/>
          </w:pPr>
        </w:p>
      </w:tc>
      <w:tc>
        <w:tcPr>
          <w:tcW w:w="3100" w:type="dxa"/>
          <w:gridSpan w:val="2"/>
          <w:tcBorders>
            <w:top w:val="single" w:sz="4" w:space="0" w:color="auto"/>
            <w:bottom w:val="single" w:sz="12" w:space="0" w:color="auto"/>
          </w:tcBorders>
          <w:shd w:val="clear" w:color="auto" w:fill="auto"/>
        </w:tcPr>
        <w:p w:rsidR="009038BF" w:rsidRDefault="009038BF" w:rsidP="00712905">
          <w:pPr>
            <w:bidi w:val="0"/>
            <w:spacing w:before="240" w:line="240" w:lineRule="exact"/>
          </w:pPr>
          <w:r>
            <w:t>Distr.: General</w:t>
          </w:r>
        </w:p>
        <w:p w:rsidR="009038BF" w:rsidRDefault="009038BF" w:rsidP="00712905">
          <w:pPr>
            <w:bidi w:val="0"/>
            <w:spacing w:line="240" w:lineRule="exact"/>
            <w:jc w:val="left"/>
          </w:pPr>
          <w:r>
            <w:t>15 April 2011</w:t>
          </w:r>
        </w:p>
        <w:p w:rsidR="009038BF" w:rsidRDefault="009038BF" w:rsidP="00712905">
          <w:pPr>
            <w:bidi w:val="0"/>
            <w:spacing w:line="240" w:lineRule="exact"/>
            <w:jc w:val="left"/>
          </w:pPr>
          <w:r>
            <w:t>Arabic</w:t>
          </w:r>
        </w:p>
        <w:p w:rsidR="009038BF" w:rsidRPr="00712905" w:rsidRDefault="009038BF" w:rsidP="00712905">
          <w:pPr>
            <w:bidi w:val="0"/>
            <w:spacing w:line="240" w:lineRule="exact"/>
            <w:jc w:val="left"/>
          </w:pPr>
          <w:r>
            <w:t>Original: English</w:t>
          </w:r>
        </w:p>
      </w:tc>
    </w:tr>
  </w:tbl>
  <w:p w:rsidR="009038BF" w:rsidRPr="00712905" w:rsidRDefault="009038BF" w:rsidP="0071290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30132*"/>
    <w:docVar w:name="CreationDt" w:val="26/04/2011 5:55: PM"/>
    <w:docVar w:name="DocCategory" w:val="Doc"/>
    <w:docVar w:name="DocType" w:val="Final"/>
    <w:docVar w:name="FooterJN" w:val="11-30132"/>
    <w:docVar w:name="jobn" w:val="11-30132 (A)"/>
    <w:docVar w:name="jobnDT" w:val="11-30132 (A)   260411"/>
    <w:docVar w:name="jobnDTDT" w:val="11-30132 (A)   260411   260411"/>
    <w:docVar w:name="JobNo" w:val="1130132A"/>
    <w:docVar w:name="OandT" w:val=" "/>
    <w:docVar w:name="sss1" w:val="CEDAW/C/AZE/CO/4/Add.1"/>
    <w:docVar w:name="sss2" w:val="-"/>
    <w:docVar w:name="Symbol1" w:val="CEDAW/C/AZE/CO/4/Add.1"/>
    <w:docVar w:name="Symbol2" w:val="-"/>
  </w:docVars>
  <w:rsids>
    <w:rsidRoot w:val="004E0293"/>
    <w:rsid w:val="000170D3"/>
    <w:rsid w:val="000311C9"/>
    <w:rsid w:val="00037243"/>
    <w:rsid w:val="00042425"/>
    <w:rsid w:val="00047F6A"/>
    <w:rsid w:val="0006648F"/>
    <w:rsid w:val="00087310"/>
    <w:rsid w:val="000953F8"/>
    <w:rsid w:val="0009732C"/>
    <w:rsid w:val="000C4EED"/>
    <w:rsid w:val="000D2CEC"/>
    <w:rsid w:val="00101EE8"/>
    <w:rsid w:val="00113349"/>
    <w:rsid w:val="0012522B"/>
    <w:rsid w:val="001519A9"/>
    <w:rsid w:val="001568A8"/>
    <w:rsid w:val="001737F8"/>
    <w:rsid w:val="001775EA"/>
    <w:rsid w:val="0018030C"/>
    <w:rsid w:val="00187870"/>
    <w:rsid w:val="001A38EB"/>
    <w:rsid w:val="001E5A5A"/>
    <w:rsid w:val="001E5A7A"/>
    <w:rsid w:val="001F6786"/>
    <w:rsid w:val="00236A29"/>
    <w:rsid w:val="002416C5"/>
    <w:rsid w:val="0025002E"/>
    <w:rsid w:val="00252D19"/>
    <w:rsid w:val="00266F59"/>
    <w:rsid w:val="00272B6C"/>
    <w:rsid w:val="0027623A"/>
    <w:rsid w:val="00290F2F"/>
    <w:rsid w:val="002937DA"/>
    <w:rsid w:val="002A09C6"/>
    <w:rsid w:val="002C2AF2"/>
    <w:rsid w:val="002C4E1B"/>
    <w:rsid w:val="002E1490"/>
    <w:rsid w:val="002F0573"/>
    <w:rsid w:val="00312162"/>
    <w:rsid w:val="003501D5"/>
    <w:rsid w:val="00371AC4"/>
    <w:rsid w:val="00371B39"/>
    <w:rsid w:val="00376CFA"/>
    <w:rsid w:val="00383A67"/>
    <w:rsid w:val="00383CA8"/>
    <w:rsid w:val="003A65ED"/>
    <w:rsid w:val="003D4612"/>
    <w:rsid w:val="003E26D7"/>
    <w:rsid w:val="003F4B8C"/>
    <w:rsid w:val="00401BDF"/>
    <w:rsid w:val="00411BBD"/>
    <w:rsid w:val="00415922"/>
    <w:rsid w:val="00423BD7"/>
    <w:rsid w:val="0042757D"/>
    <w:rsid w:val="00437B02"/>
    <w:rsid w:val="00437C14"/>
    <w:rsid w:val="004527C9"/>
    <w:rsid w:val="00453069"/>
    <w:rsid w:val="00483F5B"/>
    <w:rsid w:val="00490874"/>
    <w:rsid w:val="00494EE2"/>
    <w:rsid w:val="00496E83"/>
    <w:rsid w:val="004A2886"/>
    <w:rsid w:val="004B14A0"/>
    <w:rsid w:val="004D1B0C"/>
    <w:rsid w:val="004E0293"/>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7ED8"/>
    <w:rsid w:val="006007BD"/>
    <w:rsid w:val="00616E82"/>
    <w:rsid w:val="006218A3"/>
    <w:rsid w:val="00632B2C"/>
    <w:rsid w:val="0064522D"/>
    <w:rsid w:val="006564CE"/>
    <w:rsid w:val="00663F64"/>
    <w:rsid w:val="00692B46"/>
    <w:rsid w:val="00696B7A"/>
    <w:rsid w:val="006A1E4E"/>
    <w:rsid w:val="006C38EE"/>
    <w:rsid w:val="00700F06"/>
    <w:rsid w:val="00712905"/>
    <w:rsid w:val="0071531E"/>
    <w:rsid w:val="0071645B"/>
    <w:rsid w:val="00716E9D"/>
    <w:rsid w:val="00747B9E"/>
    <w:rsid w:val="007524BE"/>
    <w:rsid w:val="007525FA"/>
    <w:rsid w:val="00770CF8"/>
    <w:rsid w:val="00774FF0"/>
    <w:rsid w:val="0079046D"/>
    <w:rsid w:val="0079753A"/>
    <w:rsid w:val="007A296C"/>
    <w:rsid w:val="007A6DD9"/>
    <w:rsid w:val="007D60E0"/>
    <w:rsid w:val="007D6B8D"/>
    <w:rsid w:val="007E32B9"/>
    <w:rsid w:val="0081284F"/>
    <w:rsid w:val="00814843"/>
    <w:rsid w:val="008170DE"/>
    <w:rsid w:val="00830E32"/>
    <w:rsid w:val="00845A14"/>
    <w:rsid w:val="00853F0F"/>
    <w:rsid w:val="00873A11"/>
    <w:rsid w:val="00873AF9"/>
    <w:rsid w:val="0088317F"/>
    <w:rsid w:val="008A3FCA"/>
    <w:rsid w:val="008D1C04"/>
    <w:rsid w:val="008F04A0"/>
    <w:rsid w:val="008F419C"/>
    <w:rsid w:val="008F64A7"/>
    <w:rsid w:val="0090012B"/>
    <w:rsid w:val="0090351F"/>
    <w:rsid w:val="009038BF"/>
    <w:rsid w:val="00964FA8"/>
    <w:rsid w:val="00970BAD"/>
    <w:rsid w:val="009768D1"/>
    <w:rsid w:val="009829B7"/>
    <w:rsid w:val="009927C0"/>
    <w:rsid w:val="00995294"/>
    <w:rsid w:val="009961E6"/>
    <w:rsid w:val="009A748E"/>
    <w:rsid w:val="009B6C65"/>
    <w:rsid w:val="009B752D"/>
    <w:rsid w:val="009C0017"/>
    <w:rsid w:val="009C15F4"/>
    <w:rsid w:val="009D62A3"/>
    <w:rsid w:val="009E2A1F"/>
    <w:rsid w:val="009F5698"/>
    <w:rsid w:val="009F67BA"/>
    <w:rsid w:val="00A37C4B"/>
    <w:rsid w:val="00A56F63"/>
    <w:rsid w:val="00A66F66"/>
    <w:rsid w:val="00A71AE5"/>
    <w:rsid w:val="00A77F16"/>
    <w:rsid w:val="00A97D80"/>
    <w:rsid w:val="00AA1E16"/>
    <w:rsid w:val="00AC002C"/>
    <w:rsid w:val="00AC2EE0"/>
    <w:rsid w:val="00AC6CDD"/>
    <w:rsid w:val="00AD38D0"/>
    <w:rsid w:val="00AE108C"/>
    <w:rsid w:val="00AE5AE2"/>
    <w:rsid w:val="00AF1A53"/>
    <w:rsid w:val="00AF7AC7"/>
    <w:rsid w:val="00B05ADC"/>
    <w:rsid w:val="00B272BE"/>
    <w:rsid w:val="00B5352B"/>
    <w:rsid w:val="00B5784C"/>
    <w:rsid w:val="00B9542C"/>
    <w:rsid w:val="00B95560"/>
    <w:rsid w:val="00BA7FAB"/>
    <w:rsid w:val="00BC2F4C"/>
    <w:rsid w:val="00BC4A05"/>
    <w:rsid w:val="00BC567D"/>
    <w:rsid w:val="00BF0B15"/>
    <w:rsid w:val="00C006C8"/>
    <w:rsid w:val="00C12CBB"/>
    <w:rsid w:val="00C25A2D"/>
    <w:rsid w:val="00C260F8"/>
    <w:rsid w:val="00C43FBE"/>
    <w:rsid w:val="00C449C6"/>
    <w:rsid w:val="00C564B0"/>
    <w:rsid w:val="00C6283F"/>
    <w:rsid w:val="00C71487"/>
    <w:rsid w:val="00C814A5"/>
    <w:rsid w:val="00C84B2B"/>
    <w:rsid w:val="00C855F6"/>
    <w:rsid w:val="00C96573"/>
    <w:rsid w:val="00CA4791"/>
    <w:rsid w:val="00CD0BB8"/>
    <w:rsid w:val="00CD3849"/>
    <w:rsid w:val="00CF7384"/>
    <w:rsid w:val="00D2343D"/>
    <w:rsid w:val="00D30EAE"/>
    <w:rsid w:val="00D318F1"/>
    <w:rsid w:val="00D40B0E"/>
    <w:rsid w:val="00D44FE0"/>
    <w:rsid w:val="00D66413"/>
    <w:rsid w:val="00DA66B7"/>
    <w:rsid w:val="00DB0865"/>
    <w:rsid w:val="00DB7206"/>
    <w:rsid w:val="00DE5433"/>
    <w:rsid w:val="00DE68A7"/>
    <w:rsid w:val="00DF5A43"/>
    <w:rsid w:val="00DF5F38"/>
    <w:rsid w:val="00E23336"/>
    <w:rsid w:val="00E31661"/>
    <w:rsid w:val="00E32B52"/>
    <w:rsid w:val="00E47EB8"/>
    <w:rsid w:val="00E704FD"/>
    <w:rsid w:val="00E750E1"/>
    <w:rsid w:val="00E9114A"/>
    <w:rsid w:val="00EA489C"/>
    <w:rsid w:val="00EA7B59"/>
    <w:rsid w:val="00EB0CA7"/>
    <w:rsid w:val="00EB4992"/>
    <w:rsid w:val="00EF2E52"/>
    <w:rsid w:val="00F031FB"/>
    <w:rsid w:val="00F32E4A"/>
    <w:rsid w:val="00F36D8C"/>
    <w:rsid w:val="00F93545"/>
    <w:rsid w:val="00F96F67"/>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SingleTxt"/>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712905"/>
    <w:rPr>
      <w:szCs w:val="20"/>
    </w:rPr>
  </w:style>
  <w:style w:type="paragraph" w:styleId="CommentSubject">
    <w:name w:val="annotation subject"/>
    <w:basedOn w:val="CommentText"/>
    <w:next w:val="CommentText"/>
    <w:semiHidden/>
    <w:rsid w:val="00712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946</Words>
  <Characters>4467</Characters>
  <Application>Microsoft Office Word</Application>
  <DocSecurity>4</DocSecurity>
  <Lines>117</Lines>
  <Paragraphs>73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Aly.El-Sharidy</dc:creator>
  <cp:keywords/>
  <dc:description/>
  <cp:lastModifiedBy>Front Desk 1</cp:lastModifiedBy>
  <cp:revision>7</cp:revision>
  <cp:lastPrinted>2011-04-26T17:47:00Z</cp:lastPrinted>
  <dcterms:created xsi:type="dcterms:W3CDTF">2011-04-26T17:44:00Z</dcterms:created>
  <dcterms:modified xsi:type="dcterms:W3CDTF">2011-04-27T08:43:00Z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1130132</vt:lpwstr>
  </property>
  <property fmtid="{D5CDD505-2E9C-101B-9397-08002B2CF9AE}" pid="3" name="Symbol1">
    <vt:lpwstr>CEDAW/C/AZE/CO/4/Add.1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شريف</vt:lpwstr>
  </property>
</Properties>
</file>