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D" w:rsidRPr="00E46B94" w:rsidRDefault="004260DD" w:rsidP="004260DD">
      <w:pPr>
        <w:spacing w:line="60" w:lineRule="exact"/>
        <w:rPr>
          <w:color w:val="010000"/>
          <w:sz w:val="6"/>
        </w:rPr>
        <w:sectPr w:rsidR="004260DD" w:rsidRPr="00E46B94" w:rsidSect="004260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E46B94">
        <w:rPr>
          <w:rStyle w:val="CommentReference"/>
        </w:rPr>
        <w:commentReference w:id="0"/>
      </w:r>
    </w:p>
    <w:p w:rsidR="00E46B94" w:rsidRDefault="00E46B94" w:rsidP="006034C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E46B94">
        <w:lastRenderedPageBreak/>
        <w:t>Комитет по ликвидации расовой дискриминации</w:t>
      </w:r>
    </w:p>
    <w:p w:rsidR="006034CD" w:rsidRPr="006034CD" w:rsidRDefault="006034CD" w:rsidP="006034CD">
      <w:pPr>
        <w:spacing w:line="120" w:lineRule="exact"/>
        <w:rPr>
          <w:sz w:val="10"/>
          <w:lang w:val="en-US"/>
        </w:rPr>
      </w:pPr>
    </w:p>
    <w:p w:rsidR="006034CD" w:rsidRPr="006034CD" w:rsidRDefault="006034CD" w:rsidP="006034CD">
      <w:pPr>
        <w:spacing w:line="120" w:lineRule="exact"/>
        <w:rPr>
          <w:sz w:val="10"/>
          <w:lang w:val="en-US"/>
        </w:rPr>
      </w:pPr>
    </w:p>
    <w:p w:rsidR="006034CD" w:rsidRPr="006034CD" w:rsidRDefault="006034CD" w:rsidP="006034CD">
      <w:pPr>
        <w:spacing w:line="120" w:lineRule="exact"/>
        <w:rPr>
          <w:sz w:val="10"/>
          <w:lang w:val="en-US"/>
        </w:rPr>
      </w:pPr>
    </w:p>
    <w:p w:rsidR="00E46B94" w:rsidRDefault="00E46B94" w:rsidP="006034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6B94">
        <w:tab/>
      </w:r>
      <w:r w:rsidRPr="00E46B94">
        <w:tab/>
        <w:t>Сообщение № 55/2014</w:t>
      </w: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p w:rsidR="004260DD" w:rsidRPr="006034CD" w:rsidRDefault="00E46B94" w:rsidP="006034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6B94">
        <w:tab/>
      </w:r>
      <w:r w:rsidRPr="00E46B94">
        <w:tab/>
        <w:t>Решение, принятое Комитетом на его восемьдесят седьмой сессии (3</w:t>
      </w:r>
      <w:r w:rsidR="00E569AC" w:rsidRPr="00E569AC">
        <w:t>–</w:t>
      </w:r>
      <w:r w:rsidRPr="00E46B94">
        <w:t>28 августа 2015 года)</w:t>
      </w:r>
    </w:p>
    <w:p w:rsidR="006034CD" w:rsidRPr="006034CD" w:rsidRDefault="006034CD" w:rsidP="006034CD">
      <w:pPr>
        <w:pStyle w:val="SingleTxt"/>
        <w:spacing w:after="0" w:line="120" w:lineRule="exact"/>
        <w:rPr>
          <w:sz w:val="10"/>
        </w:rPr>
      </w:pPr>
    </w:p>
    <w:p w:rsidR="006034CD" w:rsidRPr="006034CD" w:rsidRDefault="006034CD" w:rsidP="006034C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050"/>
      </w:tblGrid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Представлено:</w:t>
            </w:r>
          </w:p>
        </w:tc>
        <w:tc>
          <w:tcPr>
            <w:tcW w:w="4050" w:type="dxa"/>
          </w:tcPr>
          <w:p w:rsidR="006034CD" w:rsidRPr="00F914D5" w:rsidRDefault="006034CD" w:rsidP="00E569AC">
            <w:pPr>
              <w:spacing w:after="120"/>
              <w:ind w:left="14" w:right="36"/>
              <w:textDirection w:val="tbLrV"/>
            </w:pPr>
            <w:r w:rsidRPr="00F914D5">
              <w:t>М.М. (представлен адвокатом Сергеем Голубком)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Предполагаемая жертва:</w:t>
            </w:r>
          </w:p>
        </w:tc>
        <w:tc>
          <w:tcPr>
            <w:tcW w:w="4050" w:type="dxa"/>
          </w:tcPr>
          <w:p w:rsidR="006034CD" w:rsidRPr="00F914D5" w:rsidRDefault="006034CD" w:rsidP="006034CD">
            <w:pPr>
              <w:spacing w:after="120"/>
              <w:ind w:left="14" w:right="36"/>
              <w:textDirection w:val="tbLrV"/>
              <w:rPr>
                <w:i/>
              </w:rPr>
            </w:pPr>
            <w:r w:rsidRPr="00F914D5">
              <w:t>заявитель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Государство-участник:</w:t>
            </w:r>
          </w:p>
        </w:tc>
        <w:tc>
          <w:tcPr>
            <w:tcW w:w="4050" w:type="dxa"/>
          </w:tcPr>
          <w:p w:rsidR="006034CD" w:rsidRPr="00F914D5" w:rsidRDefault="006034CD" w:rsidP="006034CD">
            <w:pPr>
              <w:spacing w:after="120"/>
              <w:ind w:left="14" w:right="36"/>
              <w:textDirection w:val="tbLrV"/>
              <w:rPr>
                <w:i/>
              </w:rPr>
            </w:pPr>
            <w:r w:rsidRPr="00F914D5">
              <w:t>Российская Федерация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Дата сообщения:</w:t>
            </w:r>
          </w:p>
        </w:tc>
        <w:tc>
          <w:tcPr>
            <w:tcW w:w="4050" w:type="dxa"/>
          </w:tcPr>
          <w:p w:rsidR="006034CD" w:rsidRPr="00F914D5" w:rsidRDefault="006034CD" w:rsidP="006034CD">
            <w:pPr>
              <w:spacing w:after="120"/>
              <w:ind w:left="14" w:right="36"/>
              <w:textDirection w:val="tbLrV"/>
              <w:rPr>
                <w:i/>
              </w:rPr>
            </w:pPr>
            <w:r w:rsidRPr="00F914D5">
              <w:t>6 августа 2013 года (первоначальное представление)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Дата настоящего решения:</w:t>
            </w:r>
          </w:p>
        </w:tc>
        <w:tc>
          <w:tcPr>
            <w:tcW w:w="4050" w:type="dxa"/>
          </w:tcPr>
          <w:p w:rsidR="006034CD" w:rsidRPr="00F914D5" w:rsidRDefault="006034CD" w:rsidP="006034CD">
            <w:pPr>
              <w:spacing w:after="120"/>
              <w:ind w:left="14" w:right="36"/>
              <w:textDirection w:val="tbLrV"/>
            </w:pPr>
            <w:r w:rsidRPr="00F914D5">
              <w:t>7 августа 2015 года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Предмет рассмотрения:</w:t>
            </w:r>
          </w:p>
        </w:tc>
        <w:tc>
          <w:tcPr>
            <w:tcW w:w="4050" w:type="dxa"/>
          </w:tcPr>
          <w:p w:rsidR="006034CD" w:rsidRPr="006034CD" w:rsidRDefault="006034CD" w:rsidP="006034CD">
            <w:pPr>
              <w:spacing w:after="120"/>
              <w:ind w:left="14" w:right="36"/>
              <w:textDirection w:val="tbLrV"/>
            </w:pPr>
            <w:r w:rsidRPr="00F914D5">
              <w:t>продление сроков предварительного следствия по признаку расовой дискриминации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Вопрос существа:</w:t>
            </w:r>
          </w:p>
        </w:tc>
        <w:tc>
          <w:tcPr>
            <w:tcW w:w="4050" w:type="dxa"/>
          </w:tcPr>
          <w:p w:rsidR="006034CD" w:rsidRPr="006034CD" w:rsidRDefault="006034CD" w:rsidP="006034CD">
            <w:pPr>
              <w:spacing w:after="120"/>
              <w:ind w:left="14" w:right="36"/>
              <w:textDirection w:val="tbLrV"/>
            </w:pPr>
            <w:r w:rsidRPr="00F914D5">
              <w:t>дискриминация по признаку расовой принадлежности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textDirection w:val="tbLrV"/>
              <w:rPr>
                <w:i/>
              </w:rPr>
            </w:pPr>
            <w:r w:rsidRPr="006034CD">
              <w:rPr>
                <w:i/>
              </w:rPr>
              <w:t>Процедурный вопрос:</w:t>
            </w:r>
          </w:p>
        </w:tc>
        <w:tc>
          <w:tcPr>
            <w:tcW w:w="4050" w:type="dxa"/>
          </w:tcPr>
          <w:p w:rsidR="006034CD" w:rsidRPr="006034CD" w:rsidRDefault="006034CD" w:rsidP="006034CD">
            <w:pPr>
              <w:spacing w:after="120"/>
              <w:ind w:left="14" w:right="36"/>
              <w:textDirection w:val="tbLrV"/>
            </w:pPr>
            <w:r w:rsidRPr="00F914D5">
              <w:t xml:space="preserve">приемлемость сообщения </w:t>
            </w:r>
            <w:r w:rsidRPr="006034CD">
              <w:t>–</w:t>
            </w:r>
            <w:r w:rsidRPr="00F914D5">
              <w:t xml:space="preserve"> исчерпание внутренних средств правовой защиты</w:t>
            </w:r>
          </w:p>
        </w:tc>
      </w:tr>
      <w:tr w:rsidR="006034CD" w:rsidRPr="00E46B94" w:rsidTr="006034CD">
        <w:tc>
          <w:tcPr>
            <w:tcW w:w="3132" w:type="dxa"/>
          </w:tcPr>
          <w:p w:rsidR="006034CD" w:rsidRPr="006034CD" w:rsidRDefault="006034CD" w:rsidP="006034CD">
            <w:pPr>
              <w:spacing w:after="120"/>
              <w:ind w:left="14"/>
              <w:rPr>
                <w:i/>
              </w:rPr>
            </w:pPr>
            <w:r w:rsidRPr="006034CD">
              <w:rPr>
                <w:i/>
              </w:rPr>
              <w:t>Статьи Конвенции:</w:t>
            </w:r>
          </w:p>
        </w:tc>
        <w:tc>
          <w:tcPr>
            <w:tcW w:w="4050" w:type="dxa"/>
          </w:tcPr>
          <w:p w:rsidR="006034CD" w:rsidRDefault="006034CD" w:rsidP="00F0637B">
            <w:pPr>
              <w:spacing w:after="120"/>
              <w:ind w:left="14" w:right="36"/>
            </w:pPr>
            <w:r w:rsidRPr="00F914D5">
              <w:t>статьи 2</w:t>
            </w:r>
            <w:r w:rsidR="00F0637B">
              <w:t>,</w:t>
            </w:r>
            <w:r w:rsidRPr="00F914D5">
              <w:t xml:space="preserve"> пункт 1</w:t>
            </w:r>
            <w:r w:rsidR="00F0637B" w:rsidRPr="00F0637B">
              <w:t xml:space="preserve"> </w:t>
            </w:r>
            <w:r w:rsidRPr="00F914D5">
              <w:t>а), 5</w:t>
            </w:r>
            <w:r w:rsidR="00F0637B">
              <w:t>,</w:t>
            </w:r>
            <w:r w:rsidRPr="00F914D5">
              <w:t xml:space="preserve"> пункт а)</w:t>
            </w:r>
            <w:r w:rsidR="00F0637B">
              <w:t>,</w:t>
            </w:r>
            <w:r w:rsidRPr="00F914D5">
              <w:t xml:space="preserve"> и 6</w:t>
            </w:r>
          </w:p>
        </w:tc>
      </w:tr>
    </w:tbl>
    <w:p w:rsidR="006034CD" w:rsidRPr="006034CD" w:rsidRDefault="006034CD" w:rsidP="006034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6034CD">
        <w:lastRenderedPageBreak/>
        <w:t>Приложение</w:t>
      </w:r>
    </w:p>
    <w:p w:rsidR="006034CD" w:rsidRPr="006034CD" w:rsidRDefault="006034CD" w:rsidP="006034CD">
      <w:pPr>
        <w:pStyle w:val="SingleTxt"/>
        <w:spacing w:after="0" w:line="120" w:lineRule="exact"/>
        <w:rPr>
          <w:sz w:val="10"/>
        </w:rPr>
      </w:pPr>
    </w:p>
    <w:p w:rsidR="006034CD" w:rsidRPr="006034CD" w:rsidRDefault="006034CD" w:rsidP="006034CD">
      <w:pPr>
        <w:pStyle w:val="SingleTxt"/>
        <w:spacing w:after="0" w:line="120" w:lineRule="exact"/>
        <w:rPr>
          <w:sz w:val="10"/>
        </w:rPr>
      </w:pPr>
      <w:bookmarkStart w:id="1" w:name="_GoBack"/>
      <w:bookmarkEnd w:id="1"/>
    </w:p>
    <w:p w:rsidR="006034CD" w:rsidRDefault="006034CD" w:rsidP="006034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  <w:t>Решение Комитета по ликвидации расовой дискриминации в соответствии со статьей 14 Международной конвенции о ликвидации всех форм расовой дискриминации (восемьдесят седьмая сессия)</w:t>
      </w: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E569AC" w:rsidRDefault="006034CD" w:rsidP="00E569AC">
      <w:pPr>
        <w:pStyle w:val="SingleTxt"/>
        <w:spacing w:after="0" w:line="120" w:lineRule="exact"/>
        <w:rPr>
          <w:sz w:val="10"/>
        </w:rPr>
      </w:pPr>
      <w:r w:rsidRPr="006034CD">
        <w:t>относительно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Default="006034CD" w:rsidP="006034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</w:r>
      <w:r w:rsidR="00A16756" w:rsidRPr="006034CD">
        <w:t>С</w:t>
      </w:r>
      <w:r w:rsidRPr="006034CD">
        <w:t>ообщения № 55/2014</w:t>
      </w:r>
      <w:r w:rsidRPr="001C2B3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Style w:val="TableGrid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03"/>
      </w:tblGrid>
      <w:tr w:rsidR="006034CD" w:rsidRPr="007D18F1" w:rsidTr="00033F28">
        <w:tc>
          <w:tcPr>
            <w:tcW w:w="3114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i/>
                <w:kern w:val="0"/>
                <w:szCs w:val="22"/>
                <w:lang w:eastAsia="en-US"/>
              </w:rPr>
            </w:pPr>
            <w:r w:rsidRPr="007D18F1">
              <w:rPr>
                <w:rFonts w:eastAsiaTheme="minorHAnsi"/>
                <w:i/>
                <w:kern w:val="0"/>
                <w:szCs w:val="22"/>
                <w:lang w:eastAsia="en-US"/>
              </w:rPr>
              <w:t>Представлено:</w:t>
            </w:r>
          </w:p>
        </w:tc>
        <w:tc>
          <w:tcPr>
            <w:tcW w:w="4203" w:type="dxa"/>
          </w:tcPr>
          <w:p w:rsidR="006034CD" w:rsidRPr="007D18F1" w:rsidRDefault="006034CD" w:rsidP="001C6B50">
            <w:pPr>
              <w:spacing w:after="120"/>
              <w:ind w:left="14"/>
              <w:rPr>
                <w:rFonts w:eastAsiaTheme="minorHAnsi"/>
                <w:kern w:val="0"/>
                <w:szCs w:val="22"/>
                <w:lang w:eastAsia="en-US"/>
              </w:rPr>
            </w:pPr>
            <w:r w:rsidRPr="006034CD">
              <w:t>М.М. (представлен адвокатом Сергеем Голубком)</w:t>
            </w:r>
          </w:p>
        </w:tc>
      </w:tr>
      <w:tr w:rsidR="006034CD" w:rsidRPr="007D18F1" w:rsidTr="00033F28">
        <w:trPr>
          <w:trHeight w:val="270"/>
        </w:trPr>
        <w:tc>
          <w:tcPr>
            <w:tcW w:w="3114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i/>
                <w:kern w:val="0"/>
                <w:szCs w:val="22"/>
                <w:lang w:eastAsia="en-US"/>
              </w:rPr>
            </w:pPr>
            <w:r w:rsidRPr="007D18F1">
              <w:rPr>
                <w:rFonts w:eastAsiaTheme="minorHAnsi"/>
                <w:i/>
                <w:kern w:val="0"/>
                <w:szCs w:val="22"/>
                <w:lang w:eastAsia="en-US"/>
              </w:rPr>
              <w:t>Предполагаемая жертва:</w:t>
            </w:r>
          </w:p>
        </w:tc>
        <w:tc>
          <w:tcPr>
            <w:tcW w:w="4203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kern w:val="0"/>
                <w:szCs w:val="22"/>
                <w:lang w:eastAsia="en-US"/>
              </w:rPr>
            </w:pPr>
            <w:r w:rsidRPr="006034CD">
              <w:t>автор сообщения</w:t>
            </w:r>
          </w:p>
        </w:tc>
      </w:tr>
      <w:tr w:rsidR="006034CD" w:rsidRPr="007D18F1" w:rsidTr="00033F28">
        <w:tc>
          <w:tcPr>
            <w:tcW w:w="3114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i/>
                <w:kern w:val="0"/>
                <w:szCs w:val="22"/>
                <w:lang w:eastAsia="en-US"/>
              </w:rPr>
            </w:pPr>
            <w:r w:rsidRPr="007D18F1">
              <w:rPr>
                <w:rFonts w:eastAsiaTheme="minorHAnsi"/>
                <w:i/>
                <w:kern w:val="0"/>
                <w:szCs w:val="22"/>
                <w:lang w:eastAsia="en-US"/>
              </w:rPr>
              <w:t>Государство-участник:</w:t>
            </w:r>
          </w:p>
        </w:tc>
        <w:tc>
          <w:tcPr>
            <w:tcW w:w="4203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kern w:val="0"/>
                <w:szCs w:val="22"/>
                <w:lang w:eastAsia="en-US"/>
              </w:rPr>
            </w:pPr>
            <w:r w:rsidRPr="006034CD">
              <w:t>Российская Федерация</w:t>
            </w:r>
          </w:p>
        </w:tc>
      </w:tr>
      <w:tr w:rsidR="006034CD" w:rsidRPr="007D18F1" w:rsidTr="00033F28">
        <w:tc>
          <w:tcPr>
            <w:tcW w:w="3114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i/>
                <w:kern w:val="0"/>
                <w:szCs w:val="22"/>
                <w:lang w:eastAsia="en-US"/>
              </w:rPr>
            </w:pPr>
            <w:r w:rsidRPr="007D18F1">
              <w:rPr>
                <w:rFonts w:eastAsiaTheme="minorHAnsi"/>
                <w:i/>
                <w:kern w:val="0"/>
                <w:szCs w:val="22"/>
                <w:lang w:eastAsia="en-US"/>
              </w:rPr>
              <w:t>Дата сообщения:</w:t>
            </w:r>
          </w:p>
        </w:tc>
        <w:tc>
          <w:tcPr>
            <w:tcW w:w="4203" w:type="dxa"/>
          </w:tcPr>
          <w:p w:rsidR="006034CD" w:rsidRPr="007D18F1" w:rsidRDefault="006034CD" w:rsidP="00033F28">
            <w:pPr>
              <w:spacing w:after="120"/>
              <w:ind w:left="14"/>
              <w:rPr>
                <w:rFonts w:eastAsiaTheme="minorHAnsi"/>
                <w:kern w:val="0"/>
                <w:szCs w:val="22"/>
                <w:lang w:eastAsia="en-US"/>
              </w:rPr>
            </w:pPr>
            <w:r w:rsidRPr="006034CD">
              <w:t>6 августа 2013 года (первоначальное представление)</w:t>
            </w:r>
          </w:p>
        </w:tc>
      </w:tr>
    </w:tbl>
    <w:p w:rsidR="006034CD" w:rsidRPr="00AF20D8" w:rsidRDefault="006034CD" w:rsidP="00AF20D8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</w:pPr>
      <w:r w:rsidRPr="006034CD">
        <w:tab/>
      </w:r>
      <w:r w:rsidRPr="006034CD">
        <w:rPr>
          <w:i/>
          <w:iCs/>
        </w:rPr>
        <w:t>Комитет по ликвидации расовой дискриминации</w:t>
      </w:r>
      <w:r w:rsidRPr="006034CD">
        <w:t>, учрежденный в соотве</w:t>
      </w:r>
      <w:r w:rsidRPr="006034CD">
        <w:t>т</w:t>
      </w:r>
      <w:r w:rsidRPr="006034CD">
        <w:t>ствии со статьей 8 Международной конвенции о ликвидации всех форм расовой дискриминации,</w:t>
      </w:r>
    </w:p>
    <w:p w:rsidR="006034CD" w:rsidRPr="006034CD" w:rsidRDefault="006034CD" w:rsidP="006034CD">
      <w:pPr>
        <w:pStyle w:val="SingleTxt"/>
      </w:pPr>
      <w:r w:rsidRPr="006034CD">
        <w:tab/>
      </w:r>
      <w:r w:rsidRPr="006034CD">
        <w:rPr>
          <w:i/>
          <w:iCs/>
        </w:rPr>
        <w:t>на своем заседании</w:t>
      </w:r>
      <w:r w:rsidRPr="006034CD">
        <w:t xml:space="preserve"> 7 августа 2015 года,</w:t>
      </w:r>
    </w:p>
    <w:p w:rsidR="006034CD" w:rsidRPr="006034CD" w:rsidRDefault="006034CD" w:rsidP="006034CD">
      <w:pPr>
        <w:pStyle w:val="SingleTxt"/>
      </w:pPr>
      <w:r w:rsidRPr="006034CD">
        <w:tab/>
      </w:r>
      <w:r w:rsidRPr="006034CD">
        <w:rPr>
          <w:i/>
          <w:iCs/>
        </w:rPr>
        <w:t>завершив</w:t>
      </w:r>
      <w:r w:rsidRPr="006034CD">
        <w:t xml:space="preserve"> рассмотрение сообщения № 55/2014, которое было представлено на рассмотрение Комитета М.М. в соответствии со статьей 14 Конвенции,</w:t>
      </w:r>
    </w:p>
    <w:p w:rsidR="006034CD" w:rsidRPr="006034CD" w:rsidRDefault="006034CD" w:rsidP="006034CD">
      <w:pPr>
        <w:pStyle w:val="SingleTxt"/>
      </w:pPr>
      <w:r w:rsidRPr="006034CD">
        <w:tab/>
      </w:r>
      <w:r w:rsidRPr="006034CD">
        <w:rPr>
          <w:i/>
          <w:iCs/>
        </w:rPr>
        <w:t>приняв во внимание</w:t>
      </w:r>
      <w:r w:rsidRPr="006034CD">
        <w:t xml:space="preserve"> всю информацию, предоставленную ему автором соо</w:t>
      </w:r>
      <w:r w:rsidRPr="006034CD">
        <w:t>б</w:t>
      </w:r>
      <w:r w:rsidRPr="006034CD">
        <w:t>щения, его адвокатом и государством-участником,</w:t>
      </w:r>
    </w:p>
    <w:p w:rsidR="006034CD" w:rsidRDefault="006034CD" w:rsidP="006034CD">
      <w:pPr>
        <w:pStyle w:val="SingleTxt"/>
        <w:rPr>
          <w:lang w:val="en-US"/>
        </w:rPr>
      </w:pPr>
      <w:r w:rsidRPr="006034CD">
        <w:tab/>
      </w:r>
      <w:r w:rsidRPr="006034CD">
        <w:rPr>
          <w:i/>
          <w:iCs/>
        </w:rPr>
        <w:t>принимает следующее</w:t>
      </w:r>
      <w:r w:rsidRPr="006034CD">
        <w:t>: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Default="00E569AC" w:rsidP="00E569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034CD" w:rsidRPr="006034CD">
        <w:t>Решение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1C2B31" w:rsidRDefault="006034CD" w:rsidP="006034CD">
      <w:pPr>
        <w:pStyle w:val="SingleTxt"/>
      </w:pPr>
      <w:r w:rsidRPr="006034CD">
        <w:t>1.</w:t>
      </w:r>
      <w:r w:rsidRPr="006034CD">
        <w:tab/>
        <w:t>Автором сообщения является М.М., гражданин Сомали, в настоящее время проживающий в Соединенных Штатах Америки. Он утверждает, что является жертвой нарушения Российской Федерацией</w:t>
      </w:r>
      <w:r w:rsidRPr="001C2B31">
        <w:rPr>
          <w:vertAlign w:val="superscript"/>
        </w:rPr>
        <w:footnoteReference w:id="2"/>
      </w:r>
      <w:r w:rsidRPr="006034CD">
        <w:t xml:space="preserve"> его прав по статьям 2</w:t>
      </w:r>
      <w:r w:rsidR="001C6B50">
        <w:t>,</w:t>
      </w:r>
      <w:r w:rsidRPr="006034CD">
        <w:t xml:space="preserve"> пункт 1</w:t>
      </w:r>
      <w:r w:rsidR="001C6B50">
        <w:t xml:space="preserve"> </w:t>
      </w:r>
      <w:r w:rsidRPr="006034CD">
        <w:t>а</w:t>
      </w:r>
      <w:r w:rsidR="001C2B31">
        <w:t>)</w:t>
      </w:r>
      <w:r w:rsidR="001C6B50">
        <w:t>,</w:t>
      </w:r>
      <w:r w:rsidR="001C2B31">
        <w:t xml:space="preserve"> 5</w:t>
      </w:r>
      <w:r w:rsidR="001C6B50">
        <w:t xml:space="preserve">, </w:t>
      </w:r>
      <w:r w:rsidRPr="006034CD">
        <w:t>пункт а)</w:t>
      </w:r>
      <w:r w:rsidR="001C6B50">
        <w:t>,</w:t>
      </w:r>
      <w:r w:rsidRPr="006034CD">
        <w:t xml:space="preserve"> и 6 Конвенции. Его представляет адвокат.</w:t>
      </w:r>
    </w:p>
    <w:p w:rsidR="00E569AC" w:rsidRPr="001C2B31" w:rsidRDefault="00E569AC" w:rsidP="00E569AC">
      <w:pPr>
        <w:pStyle w:val="SingleTxt"/>
        <w:spacing w:after="0" w:line="120" w:lineRule="exact"/>
        <w:rPr>
          <w:sz w:val="10"/>
        </w:rPr>
      </w:pPr>
    </w:p>
    <w:p w:rsidR="006034CD" w:rsidRDefault="006034CD" w:rsidP="00E569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  <w:t>Факты, представленные заявителем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</w:pPr>
      <w:r w:rsidRPr="006034CD">
        <w:t>2.1</w:t>
      </w:r>
      <w:r w:rsidRPr="006034CD">
        <w:tab/>
        <w:t>В мае 2012 года в Российской Федерации против автора сообщения было возбуждено уголовное дело по пункту 3 статьи 30 и пункту 3 b) статьи 291 Уг</w:t>
      </w:r>
      <w:r w:rsidRPr="006034CD">
        <w:t>о</w:t>
      </w:r>
      <w:r w:rsidRPr="006034CD">
        <w:t>ловного кодекса Российской Федерации по обвинению в попытке дачи взятки должностному лицу в особо крупных размерах за незаконный провоз иностра</w:t>
      </w:r>
      <w:r w:rsidRPr="006034CD">
        <w:t>н</w:t>
      </w:r>
      <w:r w:rsidRPr="006034CD">
        <w:t>ных граждан через границу между Российско</w:t>
      </w:r>
      <w:r w:rsidR="001C6B50">
        <w:t xml:space="preserve">й Федерацией и Финляндией. </w:t>
      </w:r>
      <w:r w:rsidR="001C6B50">
        <w:lastRenderedPageBreak/>
        <w:t>Он </w:t>
      </w:r>
      <w:r w:rsidRPr="006034CD">
        <w:t>был задержан 28 мая 2012 года и 31 мая 2012 года взят под стражу по реш</w:t>
      </w:r>
      <w:r w:rsidRPr="006034CD">
        <w:t>е</w:t>
      </w:r>
      <w:r w:rsidRPr="006034CD">
        <w:t>нию Приморского районного суда города Санкт-Петербурга, которое было по</w:t>
      </w:r>
      <w:r w:rsidRPr="006034CD">
        <w:t>д</w:t>
      </w:r>
      <w:r w:rsidRPr="006034CD">
        <w:t>тверждено в ходе апелляционного производства в Санкт-</w:t>
      </w:r>
      <w:r w:rsidR="001C6B50" w:rsidRPr="006034CD">
        <w:t>п</w:t>
      </w:r>
      <w:r w:rsidRPr="006034CD">
        <w:t>етербургском горо</w:t>
      </w:r>
      <w:r w:rsidRPr="006034CD">
        <w:t>д</w:t>
      </w:r>
      <w:r w:rsidRPr="006034CD">
        <w:t>ском суде. 6 ноября 2012 года срок предварительного следствия был продлен до 14 декабря 2012 года заместителем главы Главного управления Следственного комит</w:t>
      </w:r>
      <w:r w:rsidRPr="006034CD">
        <w:t>е</w:t>
      </w:r>
      <w:r w:rsidRPr="006034CD">
        <w:t>та по городу Санкт-Петербургу.</w:t>
      </w:r>
    </w:p>
    <w:p w:rsidR="006034CD" w:rsidRPr="006034CD" w:rsidRDefault="006034CD" w:rsidP="006034CD">
      <w:pPr>
        <w:pStyle w:val="SingleTxt"/>
      </w:pPr>
      <w:r w:rsidRPr="006034CD">
        <w:t>2.2</w:t>
      </w:r>
      <w:r w:rsidRPr="006034CD">
        <w:tab/>
        <w:t>26 ноября 2012 года глава Следственного комитета оставил в силе решение от 6 ноября 2012 года о продлении срока предварительного следствия в связи со сложностями в ходе предварительного следствия, в том числе необходимостью надлежащего установления личности обвиняемых, один из которых предъявил фальшивые документы, удостоверяющие личность, а также потребностью во времени, требующемся для перевода большого числа процедурных документов и допроса нескольких иностранных граждан, нуждавшихся в услугах переводчика.</w:t>
      </w:r>
    </w:p>
    <w:p w:rsidR="006034CD" w:rsidRPr="006034CD" w:rsidRDefault="006034CD" w:rsidP="006034CD">
      <w:pPr>
        <w:pStyle w:val="SingleTxt"/>
      </w:pPr>
      <w:r w:rsidRPr="006034CD">
        <w:t>2.3</w:t>
      </w:r>
      <w:r w:rsidRPr="006034CD">
        <w:tab/>
        <w:t>6 декабря 2012 года заместитель главы Следственного комитета вновь пр</w:t>
      </w:r>
      <w:r w:rsidRPr="006034CD">
        <w:t>о</w:t>
      </w:r>
      <w:r w:rsidRPr="006034CD">
        <w:t>длил срок предварительного следствия по делу заявителя до 29 января 2013 года. Продление срока было утверждено главой Следс</w:t>
      </w:r>
      <w:r w:rsidR="001C2B31">
        <w:t>твенного комитета 9 января 2013</w:t>
      </w:r>
      <w:r w:rsidR="001C2B31">
        <w:rPr>
          <w:lang w:val="en-US"/>
        </w:rPr>
        <w:t> </w:t>
      </w:r>
      <w:r w:rsidRPr="006034CD">
        <w:t>года.</w:t>
      </w:r>
    </w:p>
    <w:p w:rsidR="006034CD" w:rsidRPr="006034CD" w:rsidRDefault="006034CD" w:rsidP="006034CD">
      <w:pPr>
        <w:pStyle w:val="SingleTxt"/>
      </w:pPr>
      <w:r w:rsidRPr="006034CD">
        <w:t>2.4</w:t>
      </w:r>
      <w:r w:rsidRPr="006034CD">
        <w:tab/>
        <w:t>В неуказанный день в декабре 2012 года автор сообщения обжаловал реш</w:t>
      </w:r>
      <w:r w:rsidRPr="006034CD">
        <w:t>е</w:t>
      </w:r>
      <w:r w:rsidRPr="006034CD">
        <w:t>ние о продлении сроков предварительного следствия от 26 ноября 2012 года в Приморском районном суде города Санкт-Петербурга. Он принес жалобу в соо</w:t>
      </w:r>
      <w:r w:rsidRPr="006034CD">
        <w:t>т</w:t>
      </w:r>
      <w:r w:rsidRPr="006034CD">
        <w:t>ветствии со статьей 125 Уголовно-процессуального кодекса, которая наделяет участников уголовного дела правом обжаловать в судебном порядке законность мер и решений дознавателя, следователя, руководителя следственного органа или прокурора, принимаемых на стадии предварительного следствия.</w:t>
      </w:r>
    </w:p>
    <w:p w:rsidR="006034CD" w:rsidRPr="006034CD" w:rsidRDefault="006034CD" w:rsidP="006034CD">
      <w:pPr>
        <w:pStyle w:val="SingleTxt"/>
      </w:pPr>
      <w:r w:rsidRPr="006034CD">
        <w:t>2.5</w:t>
      </w:r>
      <w:r w:rsidRPr="006034CD">
        <w:tab/>
        <w:t>7 февраля 2013 года Районный суд отклонил его жалобу в связи с заверш</w:t>
      </w:r>
      <w:r w:rsidRPr="006034CD">
        <w:t>е</w:t>
      </w:r>
      <w:r w:rsidRPr="006034CD">
        <w:t xml:space="preserve">нием предварительного следствия и передачей уголовного дела </w:t>
      </w:r>
      <w:r w:rsidR="001C2B31">
        <w:t>28 декабря 2012</w:t>
      </w:r>
      <w:r w:rsidR="001C2B31">
        <w:rPr>
          <w:lang w:val="en-US"/>
        </w:rPr>
        <w:t> </w:t>
      </w:r>
      <w:r w:rsidRPr="006034CD">
        <w:t>года в суд для судебного разбирательства. Районный суд указал в своем р</w:t>
      </w:r>
      <w:r w:rsidRPr="006034CD">
        <w:t>е</w:t>
      </w:r>
      <w:r w:rsidRPr="006034CD">
        <w:t>шении, что заявитель мог принести жалобу до рассмотрения дела в суде первой инста</w:t>
      </w:r>
      <w:r w:rsidRPr="006034CD">
        <w:t>н</w:t>
      </w:r>
      <w:r w:rsidRPr="006034CD">
        <w:t>ции.</w:t>
      </w:r>
    </w:p>
    <w:p w:rsidR="006034CD" w:rsidRDefault="006034CD" w:rsidP="006034CD">
      <w:pPr>
        <w:pStyle w:val="SingleTxt"/>
        <w:rPr>
          <w:lang w:val="en-US"/>
        </w:rPr>
      </w:pPr>
      <w:r w:rsidRPr="006034CD">
        <w:t>2.6</w:t>
      </w:r>
      <w:r w:rsidRPr="006034CD">
        <w:tab/>
        <w:t>В тот же день, 7 февраля 2013 года, автор сообщения принес жалобу на это решение Районного суда в Городской суд Санкт-Петербурга. Он настаивал на своем праве на рассмотрение его жалобы в соответствии со статьей 125 Уголо</w:t>
      </w:r>
      <w:r w:rsidRPr="006034CD">
        <w:t>в</w:t>
      </w:r>
      <w:r w:rsidRPr="006034CD">
        <w:t>но-процессуального кодекса на том основании, что он намерен обжаловать нез</w:t>
      </w:r>
      <w:r w:rsidRPr="006034CD">
        <w:t>а</w:t>
      </w:r>
      <w:r w:rsidRPr="006034CD">
        <w:t>конность того или иного решения или приемлемость доказательств, собранных в ходе предварительного следствия, а решение о продлении срока предварительн</w:t>
      </w:r>
      <w:r w:rsidRPr="006034CD">
        <w:t>о</w:t>
      </w:r>
      <w:r w:rsidRPr="006034CD">
        <w:t>го следствия, которое не могло бы быть эффективно рассмотрено судом первой инстанции. Он утверждал, что основа для принятия решения о продлении срока предварительного следствия, т.е. потребность в обеспечении устного и письме</w:t>
      </w:r>
      <w:r w:rsidRPr="006034CD">
        <w:t>н</w:t>
      </w:r>
      <w:r w:rsidRPr="006034CD">
        <w:t>ного перевода, носит дискриминационный характер согласно статье 2 Конве</w:t>
      </w:r>
      <w:r w:rsidRPr="006034CD">
        <w:t>н</w:t>
      </w:r>
      <w:r w:rsidRPr="006034CD">
        <w:t>ции. Городской суд отклонил его жалобу 4 июня 2013 года и поддержал решение нижестоящего суда; Городской суд проинформировал автора сообщения о его праве подать кассационную жалобу в Президиум Городского суда Санкт-Петербурга в течение одного года. С последующей жалобой заявитель не обр</w:t>
      </w:r>
      <w:r w:rsidRPr="006034CD">
        <w:t>а</w:t>
      </w:r>
      <w:r w:rsidRPr="006034CD">
        <w:t>щался.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Default="006034CD" w:rsidP="00E569A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6034CD">
        <w:tab/>
      </w:r>
      <w:r w:rsidRPr="006034CD">
        <w:tab/>
        <w:t>Жалоба</w:t>
      </w:r>
    </w:p>
    <w:p w:rsidR="00E569AC" w:rsidRPr="00E569AC" w:rsidRDefault="00E569AC" w:rsidP="00E569AC">
      <w:pPr>
        <w:spacing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</w:pPr>
      <w:r w:rsidRPr="006034CD">
        <w:t>3.1</w:t>
      </w:r>
      <w:r w:rsidRPr="006034CD">
        <w:tab/>
        <w:t>Автор сообщения утверждает, что сроки следствия и следовательно его с</w:t>
      </w:r>
      <w:r w:rsidRPr="006034CD">
        <w:t>о</w:t>
      </w:r>
      <w:r w:rsidRPr="006034CD">
        <w:t>держания под стражей до суда неоднократно продлевались на дискриминацио</w:t>
      </w:r>
      <w:r w:rsidRPr="006034CD">
        <w:t>н</w:t>
      </w:r>
      <w:r w:rsidRPr="006034CD">
        <w:t>ных основаниях, связанных с его неспособностью читать и говорить на русском языке, что является нарушением его прав по пункту 1 а) статьи 2 Конвенции.</w:t>
      </w:r>
    </w:p>
    <w:p w:rsidR="006034CD" w:rsidRPr="006034CD" w:rsidRDefault="006034CD" w:rsidP="006034CD">
      <w:pPr>
        <w:pStyle w:val="SingleTxt"/>
      </w:pPr>
      <w:r w:rsidRPr="006034CD">
        <w:lastRenderedPageBreak/>
        <w:t>3.2</w:t>
      </w:r>
      <w:r w:rsidRPr="006034CD">
        <w:tab/>
        <w:t>Он далее утверждает, что вследствие его обращения с просьбой о пред</w:t>
      </w:r>
      <w:r w:rsidRPr="006034CD">
        <w:t>о</w:t>
      </w:r>
      <w:r w:rsidRPr="006034CD">
        <w:t>ставлении услуг устного переводчика, которые были предоставлены бесплатно, были продлены сроки следствия и ему таким образом не было обеспечено равн</w:t>
      </w:r>
      <w:r w:rsidRPr="006034CD">
        <w:t>о</w:t>
      </w:r>
      <w:r w:rsidRPr="006034CD">
        <w:t>правное отношение со стороны органов уголовного правосудия, в частности Следственного комитета, что является нарушением статьи 5 а) Конвенции.</w:t>
      </w:r>
    </w:p>
    <w:p w:rsidR="006034CD" w:rsidRPr="006034CD" w:rsidRDefault="006034CD" w:rsidP="006034CD">
      <w:pPr>
        <w:pStyle w:val="SingleTxt"/>
      </w:pPr>
      <w:r w:rsidRPr="006034CD">
        <w:t>3.3</w:t>
      </w:r>
      <w:r w:rsidRPr="006034CD">
        <w:tab/>
        <w:t>Кроме того, автор сообщения указывает на то, что, поскольку его жалоба на предполагаемую дискриминацию в ходе уголовного следствия не рассматрив</w:t>
      </w:r>
      <w:r w:rsidRPr="006034CD">
        <w:t>а</w:t>
      </w:r>
      <w:r w:rsidRPr="006034CD">
        <w:t>лась Районным и Городским судами по существу, он в нарушение статьи 6 Ко</w:t>
      </w:r>
      <w:r w:rsidRPr="006034CD">
        <w:t>н</w:t>
      </w:r>
      <w:r w:rsidRPr="006034CD">
        <w:t>венции был лишен эффективного средства правовой защиты.</w:t>
      </w:r>
    </w:p>
    <w:p w:rsidR="006034CD" w:rsidRPr="00A16756" w:rsidRDefault="006034CD" w:rsidP="006034CD">
      <w:pPr>
        <w:pStyle w:val="SingleTxt"/>
      </w:pPr>
      <w:r w:rsidRPr="006034CD">
        <w:t>3.4</w:t>
      </w:r>
      <w:r w:rsidRPr="006034CD">
        <w:tab/>
        <w:t>Автор сообщения просит Комитет по ликвидации расовой дискриминации установить факт нарушения пункта 1 а) статьи 2</w:t>
      </w:r>
      <w:r w:rsidR="00A16756">
        <w:t>, пункта а) статьи 5 и ст</w:t>
      </w:r>
      <w:r w:rsidR="00A16756">
        <w:t>а</w:t>
      </w:r>
      <w:r w:rsidR="00A16756">
        <w:t>тьи 6 </w:t>
      </w:r>
      <w:r w:rsidRPr="006034CD">
        <w:t>Конвенции в связи с его делом и предоставить ему надлежащие средства правовой защиты</w:t>
      </w:r>
      <w:r w:rsidRPr="001C2B31">
        <w:rPr>
          <w:vertAlign w:val="superscript"/>
        </w:rPr>
        <w:footnoteReference w:id="3"/>
      </w:r>
      <w:r w:rsidRPr="006034CD">
        <w:t>.</w:t>
      </w:r>
    </w:p>
    <w:p w:rsidR="00E569AC" w:rsidRPr="00A16756" w:rsidRDefault="00E569AC" w:rsidP="00E569AC">
      <w:pPr>
        <w:pStyle w:val="SingleTxt"/>
        <w:spacing w:after="0" w:line="120" w:lineRule="exact"/>
        <w:rPr>
          <w:sz w:val="10"/>
        </w:rPr>
      </w:pPr>
    </w:p>
    <w:p w:rsidR="006034CD" w:rsidRDefault="006034CD" w:rsidP="00E569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  <w:t>Замечания государства-участника относительно приемлем</w:t>
      </w:r>
      <w:r w:rsidRPr="006034CD">
        <w:t>о</w:t>
      </w:r>
      <w:r w:rsidRPr="006034CD">
        <w:t>сти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</w:pPr>
      <w:r w:rsidRPr="006034CD">
        <w:t>4.1</w:t>
      </w:r>
      <w:r w:rsidRPr="006034CD">
        <w:tab/>
        <w:t>В вербальной ноте от 16 мая 2014 года государство поставило под сомнение приемлемость данного сообщения, поскольку автор сообщения не принес касс</w:t>
      </w:r>
      <w:r w:rsidRPr="006034CD">
        <w:t>а</w:t>
      </w:r>
      <w:r w:rsidRPr="006034CD">
        <w:t>ционную жалобу на решение Районного суда от 7 февраля 2013 года. Кроме того, государство-участник утверждает, что поднятые автором сообщения в Районном суде вопросы в отношении продления сроков предварительного следствия можно было поставить в суде первой инстанции во время рассмотрения его уголовного дела по существу.</w:t>
      </w:r>
    </w:p>
    <w:p w:rsidR="006034CD" w:rsidRPr="006034CD" w:rsidRDefault="006034CD" w:rsidP="006034CD">
      <w:pPr>
        <w:pStyle w:val="SingleTxt"/>
      </w:pPr>
      <w:r w:rsidRPr="006034CD">
        <w:t>4.2</w:t>
      </w:r>
      <w:r w:rsidRPr="006034CD">
        <w:tab/>
        <w:t>Что касается утверждения автора сообщения о расовой дискриминации в связи с его неспособностью говорить по-русски, то государство-участник отм</w:t>
      </w:r>
      <w:r w:rsidRPr="006034CD">
        <w:t>е</w:t>
      </w:r>
      <w:r w:rsidRPr="006034CD">
        <w:t>чает, что при вынесении решения по вопросу о заключении автора сообщения под стражу до суда Приморский районный суд Санкт-Петербурга принял во вн</w:t>
      </w:r>
      <w:r w:rsidRPr="006034CD">
        <w:t>и</w:t>
      </w:r>
      <w:r w:rsidRPr="006034CD">
        <w:t>мание: a) серьезность выдвинутых против него обвинений; b) отсутствие у него постоянного места жительства на территории Российской Федерации; с) тот факт, что он не проживал по месту его регистрации в городе Москве; d) его зая</w:t>
      </w:r>
      <w:r w:rsidRPr="006034CD">
        <w:t>в</w:t>
      </w:r>
      <w:r w:rsidRPr="006034CD">
        <w:t>ленное намерение покинуть страну и ходатайствовать о предоставлении гра</w:t>
      </w:r>
      <w:r w:rsidRPr="006034CD">
        <w:t>ж</w:t>
      </w:r>
      <w:r w:rsidRPr="006034CD">
        <w:t>данства за ее пределами; и е) отсутствие у него каких-либо заявленных источн</w:t>
      </w:r>
      <w:r w:rsidRPr="006034CD">
        <w:t>и</w:t>
      </w:r>
      <w:r w:rsidRPr="006034CD">
        <w:t>ков дохода. Решение о продлении срока предварительного следствия было пр</w:t>
      </w:r>
      <w:r w:rsidRPr="006034CD">
        <w:t>и</w:t>
      </w:r>
      <w:r w:rsidRPr="006034CD">
        <w:t>нято с учетом сложного характера данного дела, который требовал, в частности, значительного объема следственных действий с участием иностранных граждан, а также письменного и устного перевода и ряда следственных и процессуальных действий и судебно-медицинских экспертиз в целях достоверного установления личности обвиняемых. Государство-участник утверждает, что никаких подтве</w:t>
      </w:r>
      <w:r w:rsidRPr="006034CD">
        <w:t>р</w:t>
      </w:r>
      <w:r w:rsidRPr="006034CD">
        <w:t>ж</w:t>
      </w:r>
      <w:r w:rsidR="00677D74">
        <w:t>д</w:t>
      </w:r>
      <w:r w:rsidRPr="006034CD">
        <w:t>ений совершения в ходе следствия действий, имеющих характер расовой ди</w:t>
      </w:r>
      <w:r w:rsidRPr="006034CD">
        <w:t>с</w:t>
      </w:r>
      <w:r w:rsidRPr="006034CD">
        <w:t>криминации в отношении автора сообщения, нет.</w:t>
      </w:r>
    </w:p>
    <w:p w:rsidR="006034CD" w:rsidRDefault="006034CD" w:rsidP="006034CD">
      <w:pPr>
        <w:pStyle w:val="SingleTxt"/>
        <w:rPr>
          <w:lang w:val="en-US"/>
        </w:rPr>
      </w:pPr>
      <w:r w:rsidRPr="006034CD">
        <w:t>4.3</w:t>
      </w:r>
      <w:r w:rsidRPr="006034CD">
        <w:tab/>
        <w:t>Государство-участник утверждает далее, что автору сообщения</w:t>
      </w:r>
      <w:r w:rsidR="00637A1E">
        <w:t xml:space="preserve"> по его просьбе</w:t>
      </w:r>
      <w:r w:rsidRPr="006034CD">
        <w:t xml:space="preserve"> были предоставлены услуги устного переводчика. Процессуальные д</w:t>
      </w:r>
      <w:r w:rsidRPr="006034CD">
        <w:t>о</w:t>
      </w:r>
      <w:r w:rsidRPr="006034CD">
        <w:t>кументы переводились в день их принятия или на следующий день, и ни автор сообщения, ни его адвокат не выражали неудовлетворения в связи с работой ус</w:t>
      </w:r>
      <w:r w:rsidRPr="006034CD">
        <w:t>т</w:t>
      </w:r>
      <w:r w:rsidRPr="006034CD">
        <w:t>ного переводчика. Оно отмечает также, что права автора сообщения не наруш</w:t>
      </w:r>
      <w:r w:rsidRPr="006034CD">
        <w:t>а</w:t>
      </w:r>
      <w:r w:rsidRPr="006034CD">
        <w:t>лись ни на одной стадии уголовного процесса, идет ли речь о его задержании, продлении сроков содержания под стражей или решении Районного суда об о</w:t>
      </w:r>
      <w:r w:rsidRPr="006034CD">
        <w:t>т</w:t>
      </w:r>
      <w:r w:rsidRPr="006034CD">
        <w:lastRenderedPageBreak/>
        <w:t>клонении его жалобы, принесенной в соответствии со статьей 125 Уголовно-процессуального кодекса.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Default="006034CD" w:rsidP="00E569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  <w:t>Комментарии автора сообщения к замечаниям государства-участника относительно приемлемости сообщения и его существа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Default="006034CD" w:rsidP="006034CD">
      <w:pPr>
        <w:pStyle w:val="SingleTxt"/>
        <w:rPr>
          <w:lang w:val="en-US"/>
        </w:rPr>
      </w:pPr>
      <w:r w:rsidRPr="006034CD">
        <w:t>5.</w:t>
      </w:r>
      <w:r w:rsidRPr="006034CD">
        <w:tab/>
        <w:t>23 июня 2014 года автор сообщения обратился к вопросу о неисчерпании внутренних средств правовой защиты и заявил, что применение внутренних средств правовой защиты для оспаривания решения Городского суда от 4 июня 2013 года было бы неэффективным. Он утверждает, что решения национальных судов о нерассмотрении по существу его жалобы в соответствии со статьей 125 Уголовно-процессуального кодекса принимались на основе постановления Ве</w:t>
      </w:r>
      <w:r w:rsidRPr="006034CD">
        <w:t>р</w:t>
      </w:r>
      <w:r w:rsidRPr="006034CD">
        <w:t>ховного Суда Российской Федерации о запрете рассмотрения в судебном порядке решений, принятых на стадии следствия после передачи уголовного дела в суд для судебного разбирательства</w:t>
      </w:r>
      <w:r w:rsidRPr="001C2B31">
        <w:rPr>
          <w:vertAlign w:val="superscript"/>
        </w:rPr>
        <w:footnoteReference w:id="4"/>
      </w:r>
      <w:r w:rsidRPr="006034CD">
        <w:t>. По этой причине все последующие жалобы на решения Районного и Городского судов были бы безуспешными. Автор сообщ</w:t>
      </w:r>
      <w:r w:rsidRPr="006034CD">
        <w:t>е</w:t>
      </w:r>
      <w:r w:rsidRPr="006034CD">
        <w:t>ния также утверждает, что предлагавшиеся государством-участником средства правовой защиты сочтены неэффективными Комитетом по правам человека и Е</w:t>
      </w:r>
      <w:r w:rsidRPr="006034CD">
        <w:t>в</w:t>
      </w:r>
      <w:r w:rsidRPr="006034CD">
        <w:t>ропейским судом по правам человека</w:t>
      </w:r>
      <w:r w:rsidRPr="001C2B31">
        <w:rPr>
          <w:vertAlign w:val="superscript"/>
        </w:rPr>
        <w:footnoteReference w:id="5"/>
      </w:r>
      <w:r w:rsidRPr="006034CD">
        <w:t>.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E569AC" w:rsidRDefault="006034CD" w:rsidP="00E569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034CD">
        <w:tab/>
      </w:r>
      <w:r w:rsidRPr="006034CD">
        <w:tab/>
        <w:t>Вопросы и процедура их рассмотрения в Комитете</w:t>
      </w:r>
    </w:p>
    <w:p w:rsidR="00E569AC" w:rsidRPr="00E569AC" w:rsidRDefault="00E569AC" w:rsidP="00E569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6034CD" w:rsidRDefault="00E569AC" w:rsidP="00E569A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034CD" w:rsidRPr="006034CD">
        <w:t>Рассмотрение вопроса о приемлемости</w:t>
      </w:r>
    </w:p>
    <w:p w:rsidR="00E569AC" w:rsidRPr="00E569AC" w:rsidRDefault="00E569AC" w:rsidP="00E569AC">
      <w:pPr>
        <w:pStyle w:val="SingleTxt"/>
        <w:spacing w:after="0" w:line="120" w:lineRule="exact"/>
        <w:rPr>
          <w:sz w:val="10"/>
          <w:lang w:val="en-US"/>
        </w:rPr>
      </w:pPr>
    </w:p>
    <w:p w:rsidR="006034CD" w:rsidRPr="006034CD" w:rsidRDefault="006034CD" w:rsidP="006034CD">
      <w:pPr>
        <w:pStyle w:val="SingleTxt"/>
      </w:pPr>
      <w:r w:rsidRPr="006034CD">
        <w:t>6.1</w:t>
      </w:r>
      <w:r w:rsidRPr="006034CD">
        <w:tab/>
        <w:t>Прежде чем рассматривать какие-либо утверждения, содержащиеся в соо</w:t>
      </w:r>
      <w:r w:rsidRPr="006034CD">
        <w:t>б</w:t>
      </w:r>
      <w:r w:rsidRPr="006034CD">
        <w:t>щении, Комитет по ликвидации расовой дискриминации должен принять реш</w:t>
      </w:r>
      <w:r w:rsidRPr="006034CD">
        <w:t>е</w:t>
      </w:r>
      <w:r w:rsidRPr="006034CD">
        <w:t>ние о том, является ли данное сообщение приемлемым.</w:t>
      </w:r>
    </w:p>
    <w:p w:rsidR="006034CD" w:rsidRPr="006034CD" w:rsidRDefault="006034CD" w:rsidP="006034CD">
      <w:pPr>
        <w:pStyle w:val="SingleTxt"/>
      </w:pPr>
      <w:r w:rsidRPr="006034CD">
        <w:t>6.2</w:t>
      </w:r>
      <w:r w:rsidRPr="006034CD">
        <w:tab/>
        <w:t>Комитет отмечает, что жалоба автора сообщения основана на утверждении о том, что он стал жертвой расовой дискриминации. Кроме того, Комитет отмечает аргумент государства-участника о том, что никаких указаний на расовую ди</w:t>
      </w:r>
      <w:r w:rsidRPr="006034CD">
        <w:t>с</w:t>
      </w:r>
      <w:r w:rsidRPr="006034CD">
        <w:t>криминацию ни на одной стадии уголовного процесса по делу заявителя нет.</w:t>
      </w:r>
    </w:p>
    <w:p w:rsidR="006034CD" w:rsidRPr="006034CD" w:rsidRDefault="006034CD" w:rsidP="006034CD">
      <w:pPr>
        <w:pStyle w:val="SingleTxt"/>
      </w:pPr>
      <w:r w:rsidRPr="006034CD">
        <w:t>6.3</w:t>
      </w:r>
      <w:r w:rsidRPr="006034CD">
        <w:tab/>
        <w:t>Для того чтобы считать утверждения автора сообщения приемлемыми, К</w:t>
      </w:r>
      <w:r w:rsidRPr="006034CD">
        <w:t>о</w:t>
      </w:r>
      <w:r w:rsidRPr="006034CD">
        <w:t>митет должен определить, приводит ли автор сообщения факты, которые имеют характер дискриминации по признаку расы, цвета кожи, родового, национального или этнического происхождения. Комитет отмечает, что, по мнению автора с</w:t>
      </w:r>
      <w:r w:rsidRPr="006034CD">
        <w:t>о</w:t>
      </w:r>
      <w:r w:rsidRPr="006034CD">
        <w:t>общения, акты дискриминации в отношении его проявлялись в продлении сроков предварительного следствия. Комитет отмечает также, что государство-участник в ответ на это утверждает, что продление сроков предварительного следствия было вызвано необходимостью, продиктованной сложностью дела, потребова</w:t>
      </w:r>
      <w:r w:rsidRPr="006034CD">
        <w:t>в</w:t>
      </w:r>
      <w:r w:rsidRPr="006034CD">
        <w:t>шей, в частности, значительного объема следственных действий с участием ин</w:t>
      </w:r>
      <w:r w:rsidRPr="006034CD">
        <w:t>о</w:t>
      </w:r>
      <w:r w:rsidRPr="006034CD">
        <w:t>странных граждан, письменного и устного перевода, и что никаких нареканий на работу устного переводчика и на качество устного перевода в течение всего пр</w:t>
      </w:r>
      <w:r w:rsidRPr="006034CD">
        <w:t>о</w:t>
      </w:r>
      <w:r w:rsidRPr="006034CD">
        <w:t>цесса не поступало. Комитет отмечает, что автор сообщения не оспаривает эти утверждения, которые, по мнению Комитета, равноценны разумному объяснению причин продления сроков предв</w:t>
      </w:r>
      <w:r w:rsidR="00400437">
        <w:t>арительного следствия и которые</w:t>
      </w:r>
      <w:r w:rsidRPr="006034CD">
        <w:t xml:space="preserve"> таким образом опровергают утверждение автора сообщения о преднамеренной дискриминации. Кроме того, Комитет констатирует, что автор сообщения не объясняет, каким о</w:t>
      </w:r>
      <w:r w:rsidRPr="006034CD">
        <w:t>б</w:t>
      </w:r>
      <w:r w:rsidRPr="006034CD">
        <w:t>разом якобы имевшая место дискриминация на том основании, что он не говорит на языке страны, представляет собой расовую дискриминацию</w:t>
      </w:r>
      <w:r w:rsidR="00400437">
        <w:t>,</w:t>
      </w:r>
      <w:r w:rsidRPr="006034CD">
        <w:t xml:space="preserve"> как она опред</w:t>
      </w:r>
      <w:r w:rsidRPr="006034CD">
        <w:t>е</w:t>
      </w:r>
      <w:r w:rsidRPr="006034CD">
        <w:t>лена в пункте 1 статьи 1 Конвенции.</w:t>
      </w:r>
    </w:p>
    <w:p w:rsidR="006034CD" w:rsidRPr="006034CD" w:rsidRDefault="006034CD" w:rsidP="00400437">
      <w:pPr>
        <w:pStyle w:val="SingleTxt"/>
        <w:pageBreakBefore/>
      </w:pPr>
      <w:r w:rsidRPr="006034CD">
        <w:lastRenderedPageBreak/>
        <w:t>6.4</w:t>
      </w:r>
      <w:r w:rsidRPr="006034CD">
        <w:tab/>
        <w:t>С учетом вышеизложенного Комитет считает, что автор сообщения не предоставил достаточных подтверждений того, что он стал жертвой расовой ди</w:t>
      </w:r>
      <w:r w:rsidRPr="006034CD">
        <w:t>с</w:t>
      </w:r>
      <w:r w:rsidRPr="006034CD">
        <w:t>криминации. Считая, что автор сообщения не смог в достаточной степени обо</w:t>
      </w:r>
      <w:r w:rsidRPr="006034CD">
        <w:t>с</w:t>
      </w:r>
      <w:r w:rsidRPr="006034CD">
        <w:t>новать свои утверждения, Комитет приходит к заключению, что данное сообщ</w:t>
      </w:r>
      <w:r w:rsidRPr="006034CD">
        <w:t>е</w:t>
      </w:r>
      <w:r w:rsidRPr="006034CD">
        <w:t>ние не соответствует положениям Конвенции, как того требует правило 91 с) его правил процедуры. Соответственно, он объявляет данное сообщение неприемл</w:t>
      </w:r>
      <w:r w:rsidRPr="006034CD">
        <w:t>е</w:t>
      </w:r>
      <w:r w:rsidRPr="006034CD">
        <w:t>мым по пункту 1 статьи 14 Конвенции. В свете этого заключения Комитет не в</w:t>
      </w:r>
      <w:r w:rsidRPr="006034CD">
        <w:t>и</w:t>
      </w:r>
      <w:r w:rsidRPr="006034CD">
        <w:t>дит необходимости в рассмотрении других оснований для признания сообщения неприемлемым.</w:t>
      </w:r>
    </w:p>
    <w:p w:rsidR="006034CD" w:rsidRPr="006034CD" w:rsidRDefault="006034CD" w:rsidP="00E569AC">
      <w:pPr>
        <w:pStyle w:val="SingleTxt"/>
      </w:pPr>
      <w:r w:rsidRPr="006034CD">
        <w:t>7.</w:t>
      </w:r>
      <w:r w:rsidRPr="006034CD">
        <w:tab/>
        <w:t>В этой связи Комитет по ликвидации расовой дискриминации пост</w:t>
      </w:r>
      <w:r w:rsidRPr="006034CD">
        <w:t>а</w:t>
      </w:r>
      <w:r w:rsidRPr="006034CD">
        <w:t>новляет:</w:t>
      </w:r>
    </w:p>
    <w:p w:rsidR="006034CD" w:rsidRPr="006034CD" w:rsidRDefault="00E569AC" w:rsidP="00E569AC">
      <w:pPr>
        <w:pStyle w:val="SingleTxt"/>
      </w:pPr>
      <w:r>
        <w:rPr>
          <w:lang w:val="en-US"/>
        </w:rPr>
        <w:tab/>
      </w:r>
      <w:r w:rsidR="006034CD" w:rsidRPr="006034CD">
        <w:t>a)</w:t>
      </w:r>
      <w:r w:rsidR="006034CD" w:rsidRPr="006034CD">
        <w:tab/>
        <w:t>считать данное сообщение неприемлемым;</w:t>
      </w:r>
    </w:p>
    <w:p w:rsidR="00E46B94" w:rsidRPr="00E46B94" w:rsidRDefault="00E569AC" w:rsidP="00E569AC">
      <w:pPr>
        <w:pStyle w:val="SingleTxt"/>
      </w:pPr>
      <w:r>
        <w:rPr>
          <w:lang w:val="en-US"/>
        </w:rPr>
        <w:tab/>
      </w:r>
      <w:r w:rsidR="006034CD" w:rsidRPr="006034CD">
        <w:t>b)</w:t>
      </w:r>
      <w:r w:rsidR="006034CD" w:rsidRPr="006034CD">
        <w:tab/>
        <w:t>препроводить настоящее решение государству-участнику и автору с</w:t>
      </w:r>
      <w:r w:rsidR="006034CD" w:rsidRPr="006034CD">
        <w:t>о</w:t>
      </w:r>
      <w:r w:rsidR="006034CD" w:rsidRPr="006034CD">
        <w:t>общения.</w:t>
      </w:r>
    </w:p>
    <w:p w:rsidR="00E569AC" w:rsidRPr="00E569AC" w:rsidRDefault="00E569AC" w:rsidP="00E569A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569AC" w:rsidRPr="00E569AC" w:rsidSect="004260D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3T13:04:00Z" w:initials="Start">
    <w:p w:rsidR="004260DD" w:rsidRPr="00E46B94" w:rsidRDefault="004260DD">
      <w:pPr>
        <w:pStyle w:val="CommentText"/>
        <w:rPr>
          <w:lang w:val="en-US"/>
        </w:rPr>
      </w:pPr>
      <w:r>
        <w:fldChar w:fldCharType="begin"/>
      </w:r>
      <w:r w:rsidRPr="00E46B94">
        <w:rPr>
          <w:rStyle w:val="CommentReference"/>
          <w:lang w:val="en-US"/>
        </w:rPr>
        <w:instrText xml:space="preserve"> </w:instrText>
      </w:r>
      <w:r w:rsidRPr="00E46B94">
        <w:rPr>
          <w:lang w:val="en-US"/>
        </w:rPr>
        <w:instrText>PAGE \# "'Page: '#'</w:instrText>
      </w:r>
      <w:r w:rsidRPr="00E46B94">
        <w:rPr>
          <w:lang w:val="en-US"/>
        </w:rPr>
        <w:br/>
        <w:instrText>'"</w:instrText>
      </w:r>
      <w:r w:rsidRPr="00E46B9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46B94">
        <w:rPr>
          <w:lang w:val="en-US"/>
        </w:rPr>
        <w:t>&lt;&lt;ODS JOB NO&gt;&gt;N1520660R&lt;&lt;ODS JOB NO&gt;&gt;</w:t>
      </w:r>
    </w:p>
    <w:p w:rsidR="004260DD" w:rsidRPr="00E46B94" w:rsidRDefault="004260DD">
      <w:pPr>
        <w:pStyle w:val="CommentText"/>
        <w:rPr>
          <w:lang w:val="fr-FR"/>
        </w:rPr>
      </w:pPr>
      <w:r w:rsidRPr="00E46B94">
        <w:rPr>
          <w:lang w:val="fr-FR"/>
        </w:rPr>
        <w:t>&lt;&lt;ODS DOC SYMBOL1&gt;&gt;CERD/C/87/D/55/2014&lt;&lt;ODS DOC SYMBOL1&gt;&gt;</w:t>
      </w:r>
    </w:p>
    <w:p w:rsidR="004260DD" w:rsidRDefault="004260D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0F" w:rsidRDefault="00EC2F0F" w:rsidP="008A1A7A">
      <w:pPr>
        <w:spacing w:line="240" w:lineRule="auto"/>
      </w:pPr>
      <w:r>
        <w:separator/>
      </w:r>
    </w:p>
  </w:endnote>
  <w:endnote w:type="continuationSeparator" w:id="0">
    <w:p w:rsidR="00EC2F0F" w:rsidRDefault="00EC2F0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260DD" w:rsidTr="004260D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5B2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75B26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5B26">
            <w:rPr>
              <w:b w:val="0"/>
              <w:color w:val="000000"/>
              <w:sz w:val="14"/>
            </w:rPr>
            <w:t>GE.15-15445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260DD" w:rsidRPr="004260DD" w:rsidRDefault="004260DD" w:rsidP="00426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260DD" w:rsidTr="004260D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5B26">
            <w:rPr>
              <w:b w:val="0"/>
              <w:color w:val="000000"/>
              <w:sz w:val="14"/>
            </w:rPr>
            <w:t>GE.15-15445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5B26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C75B26">
              <w:rPr>
                <w:noProof/>
              </w:rPr>
              <w:t>6</w:t>
            </w:r>
          </w:fldSimple>
        </w:p>
      </w:tc>
    </w:tr>
  </w:tbl>
  <w:p w:rsidR="004260DD" w:rsidRPr="004260DD" w:rsidRDefault="004260DD" w:rsidP="00426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260DD" w:rsidTr="004260DD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4260DD" w:rsidRDefault="004260DD" w:rsidP="004260DD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4FE498C1" wp14:editId="0FC4F1A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RD/C/87/D/55/20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RD/C/87/D/55/20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GE.15-15445 (R)</w:t>
          </w:r>
          <w:r>
            <w:rPr>
              <w:color w:val="010000"/>
            </w:rPr>
            <w:t xml:space="preserve">    231015    231015</w:t>
          </w:r>
        </w:p>
        <w:p w:rsidR="004260DD" w:rsidRPr="004260DD" w:rsidRDefault="004260DD" w:rsidP="004260D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*1515445*</w:t>
          </w:r>
        </w:p>
      </w:tc>
      <w:tc>
        <w:tcPr>
          <w:tcW w:w="5127" w:type="dxa"/>
        </w:tcPr>
        <w:p w:rsidR="004260DD" w:rsidRDefault="004260DD" w:rsidP="004260D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1177E086" wp14:editId="3EED3F6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DD" w:rsidRPr="004260DD" w:rsidRDefault="004260DD" w:rsidP="004260D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0F" w:rsidRPr="001C2B31" w:rsidRDefault="001C2B31" w:rsidP="001C2B31">
      <w:pPr>
        <w:pStyle w:val="Footer"/>
        <w:spacing w:after="80"/>
        <w:ind w:left="792"/>
        <w:rPr>
          <w:sz w:val="16"/>
        </w:rPr>
      </w:pPr>
      <w:r w:rsidRPr="001C2B31">
        <w:rPr>
          <w:sz w:val="16"/>
        </w:rPr>
        <w:t>__________________</w:t>
      </w:r>
    </w:p>
  </w:footnote>
  <w:footnote w:type="continuationSeparator" w:id="0">
    <w:p w:rsidR="00EC2F0F" w:rsidRPr="001C2B31" w:rsidRDefault="001C2B31" w:rsidP="001C2B31">
      <w:pPr>
        <w:pStyle w:val="Footer"/>
        <w:spacing w:after="80"/>
        <w:ind w:left="792"/>
        <w:rPr>
          <w:sz w:val="16"/>
        </w:rPr>
      </w:pPr>
      <w:r w:rsidRPr="001C2B31">
        <w:rPr>
          <w:sz w:val="16"/>
        </w:rPr>
        <w:t>__________________</w:t>
      </w:r>
    </w:p>
  </w:footnote>
  <w:footnote w:id="1">
    <w:p w:rsidR="006034CD" w:rsidRPr="006034CD" w:rsidRDefault="006034CD" w:rsidP="001C2B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 w:rsidRPr="006034CD">
        <w:rPr>
          <w:rStyle w:val="FootnoteReference"/>
          <w:vertAlign w:val="baseline"/>
        </w:rPr>
        <w:t>*</w:t>
      </w:r>
      <w:r w:rsidRPr="006034CD">
        <w:tab/>
      </w:r>
      <w:r>
        <w:t>В рассмотрении настоящего сообщения участвовали следующие члены Комитета: Марк Боссайт, Хосе Франсиско Кали Цай, Анастасия Крикли, Фатимата-Бинта Виктория Дах, Ион Диакону, Афива-Киндена Хохуэто, Хуан Юнань, Патриция Нозипхо Джануари-Бардилль, Анвар Кемаль, Мельхем Халаф, Гюн Кут, Жозе С. Линдгрен Алвис, Пастор Элиас Мурильо Мартинес и Ен Кам Джон Ен Сик Юн. В соответствии с правилом 89 правил процедуры Алексей С. Автономов участия в рассмотрении настоящего сообщения не принимал.</w:t>
      </w:r>
    </w:p>
  </w:footnote>
  <w:footnote w:id="2">
    <w:p w:rsidR="006034CD" w:rsidRPr="00FB6D41" w:rsidRDefault="006034CD" w:rsidP="001C2B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E929E3">
        <w:rPr>
          <w:rStyle w:val="FootnoteReference"/>
        </w:rPr>
        <w:footnoteRef/>
      </w:r>
      <w:r w:rsidR="00E569AC" w:rsidRPr="00E569AC">
        <w:tab/>
      </w:r>
      <w:r>
        <w:t>Конвенция была ратифицирована Российской Федерацией 4 февраля 1969 года, а заявление по статье 14 было сделано 1 октября 1991 года.</w:t>
      </w:r>
    </w:p>
  </w:footnote>
  <w:footnote w:id="3">
    <w:p w:rsidR="006034CD" w:rsidRPr="00FB6D41" w:rsidRDefault="006034CD" w:rsidP="001C2B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E929E3">
        <w:rPr>
          <w:rStyle w:val="FootnoteReference"/>
        </w:rPr>
        <w:footnoteRef/>
      </w:r>
      <w:r>
        <w:tab/>
        <w:t>В своем первоначальном представлении, автор сообщения просил предоставить ему надлежащие средства правовой защиты в свете продолжаю</w:t>
      </w:r>
      <w:r w:rsidR="00A16756">
        <w:t>щегося содержания под стражей и </w:t>
      </w:r>
      <w:r>
        <w:t>судебного разбирательства. К моменту рассмотрения данного сообщения Комитетом автор сообщения покинул Российскую Федерацию и в настоящее время проживает в Соединенных Штатах.</w:t>
      </w:r>
    </w:p>
  </w:footnote>
  <w:footnote w:id="4">
    <w:p w:rsidR="006034CD" w:rsidRPr="00FB6D41" w:rsidRDefault="006034CD" w:rsidP="001C2B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E929E3">
        <w:rPr>
          <w:rStyle w:val="FootnoteReference"/>
        </w:rPr>
        <w:footnoteRef/>
      </w:r>
      <w:r>
        <w:tab/>
        <w:t>Постановление Пленума Верховного Суда № 1 от 10 февраля 2009 года, пункт 9.</w:t>
      </w:r>
    </w:p>
  </w:footnote>
  <w:footnote w:id="5">
    <w:p w:rsidR="006034CD" w:rsidRPr="00FB6D41" w:rsidRDefault="006034CD" w:rsidP="001C2B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E929E3">
        <w:rPr>
          <w:rStyle w:val="FootnoteReference"/>
        </w:rPr>
        <w:footnoteRef/>
      </w:r>
      <w:r>
        <w:tab/>
        <w:t>Ни на какие конкретные правовые прецеденты автор сообщения не ссылается.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260DD" w:rsidTr="004260D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5B26">
            <w:rPr>
              <w:b/>
            </w:rPr>
            <w:t>CERD/C/87/D/55/2014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260DD" w:rsidRDefault="004260DD" w:rsidP="004260DD">
          <w:pPr>
            <w:pStyle w:val="Header"/>
          </w:pPr>
        </w:p>
      </w:tc>
    </w:tr>
  </w:tbl>
  <w:p w:rsidR="004260DD" w:rsidRPr="004260DD" w:rsidRDefault="004260DD" w:rsidP="00426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260DD" w:rsidTr="004260D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260DD" w:rsidRDefault="004260DD" w:rsidP="004260D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260DD" w:rsidRPr="004260DD" w:rsidRDefault="004260DD" w:rsidP="004260D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5B26">
            <w:rPr>
              <w:b/>
            </w:rPr>
            <w:t>CERD/C/87/D/55/2014</w:t>
          </w:r>
          <w:r>
            <w:rPr>
              <w:b/>
            </w:rPr>
            <w:fldChar w:fldCharType="end"/>
          </w:r>
        </w:p>
      </w:tc>
    </w:tr>
  </w:tbl>
  <w:p w:rsidR="004260DD" w:rsidRPr="004260DD" w:rsidRDefault="004260DD" w:rsidP="00426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260DD" w:rsidTr="004260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260DD" w:rsidRPr="004260DD" w:rsidRDefault="004260DD" w:rsidP="004260D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260DD" w:rsidRDefault="004260DD" w:rsidP="004260D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260DD" w:rsidRPr="004260DD" w:rsidRDefault="004260DD" w:rsidP="004260D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CERD</w:t>
          </w:r>
          <w:r>
            <w:rPr>
              <w:sz w:val="20"/>
            </w:rPr>
            <w:t>/C/87/D/55/2014</w:t>
          </w:r>
        </w:p>
      </w:tc>
    </w:tr>
    <w:tr w:rsidR="004260DD" w:rsidRPr="00E46B94" w:rsidTr="004260D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60DD" w:rsidRPr="004260DD" w:rsidRDefault="004260DD" w:rsidP="004260D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3CE31031" wp14:editId="6DF0F49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60DD" w:rsidRPr="004260DD" w:rsidRDefault="004260DD" w:rsidP="004260D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Международная конвенция</w:t>
          </w:r>
          <w:r>
            <w:rPr>
              <w:sz w:val="34"/>
            </w:rPr>
            <w:br/>
            <w:t>о ликвидации всех форм</w:t>
          </w:r>
          <w:r>
            <w:rPr>
              <w:sz w:val="34"/>
            </w:rPr>
            <w:br/>
            <w:t>расовой дискриминации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60DD" w:rsidRPr="004260DD" w:rsidRDefault="004260DD" w:rsidP="004260D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60DD" w:rsidRPr="00E46B94" w:rsidRDefault="004260DD" w:rsidP="004260DD">
          <w:pPr>
            <w:pStyle w:val="Distribution"/>
            <w:rPr>
              <w:color w:val="000000"/>
              <w:lang w:val="en-US"/>
            </w:rPr>
          </w:pPr>
          <w:r w:rsidRPr="00E46B94">
            <w:rPr>
              <w:color w:val="000000"/>
              <w:lang w:val="en-US"/>
            </w:rPr>
            <w:t>Distr.: General</w:t>
          </w:r>
        </w:p>
        <w:p w:rsidR="004260DD" w:rsidRPr="00E46B94" w:rsidRDefault="004260DD" w:rsidP="004260DD">
          <w:pPr>
            <w:pStyle w:val="Publication"/>
            <w:rPr>
              <w:color w:val="000000"/>
              <w:lang w:val="en-US"/>
            </w:rPr>
          </w:pPr>
          <w:r w:rsidRPr="00E46B94">
            <w:rPr>
              <w:color w:val="000000"/>
              <w:lang w:val="en-US"/>
            </w:rPr>
            <w:t>11 September 2015</w:t>
          </w:r>
        </w:p>
        <w:p w:rsidR="004260DD" w:rsidRPr="00E46B94" w:rsidRDefault="004260DD" w:rsidP="004260DD">
          <w:pPr>
            <w:rPr>
              <w:color w:val="000000"/>
              <w:lang w:val="en-US"/>
            </w:rPr>
          </w:pPr>
          <w:r w:rsidRPr="00E46B94">
            <w:rPr>
              <w:color w:val="000000"/>
              <w:lang w:val="en-US"/>
            </w:rPr>
            <w:t>Russian</w:t>
          </w:r>
        </w:p>
        <w:p w:rsidR="004260DD" w:rsidRPr="00E46B94" w:rsidRDefault="004260DD" w:rsidP="004260DD">
          <w:pPr>
            <w:pStyle w:val="Original"/>
            <w:rPr>
              <w:color w:val="000000"/>
              <w:lang w:val="en-US"/>
            </w:rPr>
          </w:pPr>
          <w:r w:rsidRPr="00E46B94">
            <w:rPr>
              <w:color w:val="000000"/>
              <w:lang w:val="en-US"/>
            </w:rPr>
            <w:t>Original: English</w:t>
          </w:r>
        </w:p>
        <w:p w:rsidR="004260DD" w:rsidRPr="00E46B94" w:rsidRDefault="004260DD" w:rsidP="004260DD">
          <w:pPr>
            <w:rPr>
              <w:lang w:val="en-US"/>
            </w:rPr>
          </w:pPr>
        </w:p>
      </w:tc>
    </w:tr>
  </w:tbl>
  <w:p w:rsidR="004260DD" w:rsidRPr="00E46B94" w:rsidRDefault="004260DD" w:rsidP="004260D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9E8296B"/>
    <w:multiLevelType w:val="hybridMultilevel"/>
    <w:tmpl w:val="722EACE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B086467"/>
    <w:multiLevelType w:val="hybridMultilevel"/>
    <w:tmpl w:val="2918E03E"/>
    <w:lvl w:ilvl="0" w:tplc="A6BE4D2A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445*"/>
    <w:docVar w:name="CreationDt" w:val="10/23/2015 1:04: PM"/>
    <w:docVar w:name="DocCategory" w:val="Doc"/>
    <w:docVar w:name="DocType" w:val="Final"/>
    <w:docVar w:name="DutyStation" w:val="Geneva"/>
    <w:docVar w:name="FooterJN" w:val="GE.15-15445"/>
    <w:docVar w:name="jobn" w:val="GE.15-15445 (R)"/>
    <w:docVar w:name="jobnDT" w:val="GE.15-15445 (R)   231015"/>
    <w:docVar w:name="jobnDTDT" w:val="GE.15-15445 (R)   231015   231015"/>
    <w:docVar w:name="JobNo" w:val="GE.1515445R"/>
    <w:docVar w:name="JobNo2" w:val="1520660R"/>
    <w:docVar w:name="LocalDrive" w:val="0"/>
    <w:docVar w:name="OandT" w:val="ei"/>
    <w:docVar w:name="PaperSize" w:val="A4"/>
    <w:docVar w:name="sss1" w:val="CERD/C/87/D/55/2014"/>
    <w:docVar w:name="sss2" w:val="-"/>
    <w:docVar w:name="Symbol1" w:val="CERD/C/87/D/55/2014"/>
    <w:docVar w:name="Symbol2" w:val="-"/>
  </w:docVars>
  <w:rsids>
    <w:rsidRoot w:val="00EC2F0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2B31"/>
    <w:rsid w:val="001C54CE"/>
    <w:rsid w:val="001C6B50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0437"/>
    <w:rsid w:val="00401CDD"/>
    <w:rsid w:val="00402244"/>
    <w:rsid w:val="00410A3F"/>
    <w:rsid w:val="00415DEC"/>
    <w:rsid w:val="004260DD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34C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37A1E"/>
    <w:rsid w:val="006409EF"/>
    <w:rsid w:val="006457F1"/>
    <w:rsid w:val="006459C6"/>
    <w:rsid w:val="00646363"/>
    <w:rsid w:val="00647668"/>
    <w:rsid w:val="00655212"/>
    <w:rsid w:val="00657EE4"/>
    <w:rsid w:val="00677D7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2DA9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5305"/>
    <w:rsid w:val="009D6E3D"/>
    <w:rsid w:val="009E5E58"/>
    <w:rsid w:val="009F0808"/>
    <w:rsid w:val="00A0688A"/>
    <w:rsid w:val="00A070E6"/>
    <w:rsid w:val="00A1426A"/>
    <w:rsid w:val="00A14F1D"/>
    <w:rsid w:val="00A152DC"/>
    <w:rsid w:val="00A16756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20D8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5B26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6B94"/>
    <w:rsid w:val="00E4741B"/>
    <w:rsid w:val="00E478DE"/>
    <w:rsid w:val="00E5157F"/>
    <w:rsid w:val="00E5226F"/>
    <w:rsid w:val="00E53135"/>
    <w:rsid w:val="00E54141"/>
    <w:rsid w:val="00E54D94"/>
    <w:rsid w:val="00E569AC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2F0F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637B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2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D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D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E46B9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link w:val="SingleTxtGChar"/>
    <w:rsid w:val="00E46B94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E46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rsid w:val="006034CD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">
    <w:name w:val="Bullet"/>
    <w:basedOn w:val="Normal"/>
    <w:rsid w:val="006034CD"/>
    <w:pPr>
      <w:numPr>
        <w:numId w:val="12"/>
      </w:numPr>
      <w:spacing w:after="240" w:line="240" w:lineRule="auto"/>
    </w:pPr>
    <w:rPr>
      <w:rFonts w:eastAsia="Times New Roman"/>
      <w:spacing w:val="0"/>
      <w:w w:val="100"/>
      <w:kern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2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D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D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E46B9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link w:val="SingleTxtGChar"/>
    <w:rsid w:val="00E46B94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E46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rsid w:val="006034CD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">
    <w:name w:val="Bullet"/>
    <w:basedOn w:val="Normal"/>
    <w:rsid w:val="006034CD"/>
    <w:pPr>
      <w:numPr>
        <w:numId w:val="12"/>
      </w:numPr>
      <w:spacing w:after="240" w:line="240" w:lineRule="auto"/>
    </w:pPr>
    <w:rPr>
      <w:rFonts w:eastAsia="Times New Roman"/>
      <w:spacing w:val="0"/>
      <w:w w:val="100"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105E-5383-4E80-97A5-BF21F8D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Izotova Elena</cp:lastModifiedBy>
  <cp:revision>3</cp:revision>
  <cp:lastPrinted>2015-10-23T12:46:00Z</cp:lastPrinted>
  <dcterms:created xsi:type="dcterms:W3CDTF">2015-10-23T12:46:00Z</dcterms:created>
  <dcterms:modified xsi:type="dcterms:W3CDTF">2015-10-23T12:47:00Z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1515445R</vt:lpwstr>
  </property>
  <property fmtid="{D5CDD505-2E9C-101B-9397-08002B2CF9AE}" pid="3" name="ODSRefJobNo">
    <vt:lpwstr>1520660R</vt:lpwstr>
  </property>
  <property fmtid="{D5CDD505-2E9C-101B-9397-08002B2CF9AE}" pid="4" name="Symbol1">
    <vt:lpwstr>CERD/C/87/D/55/2014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231015</vt:lpwstr>
  </property>
</Properties>
</file>