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6090F" w14:textId="77777777" w:rsidR="001A40D9" w:rsidRPr="00C51D17" w:rsidRDefault="001A40D9" w:rsidP="001A40D9">
      <w:pPr>
        <w:spacing w:line="240" w:lineRule="auto"/>
        <w:rPr>
          <w:sz w:val="2"/>
        </w:rPr>
        <w:sectPr w:rsidR="001A40D9" w:rsidRPr="00C51D17" w:rsidSect="003C3DDB">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p>
    <w:p w14:paraId="5F4A20F7" w14:textId="0D6C4F9E" w:rsidR="00F1256D" w:rsidRPr="00C51D17" w:rsidRDefault="00646413" w:rsidP="00F1256D">
      <w:pPr>
        <w:pStyle w:val="TitleH1"/>
        <w:tabs>
          <w:tab w:val="clear" w:pos="1267"/>
          <w:tab w:val="left" w:pos="900"/>
        </w:tabs>
        <w:rPr>
          <w:w w:val="100"/>
        </w:rPr>
      </w:pPr>
      <w:r w:rsidRPr="00C51D17">
        <w:rPr>
          <w:w w:val="100"/>
        </w:rPr>
        <w:t>Comité pour l</w:t>
      </w:r>
      <w:r w:rsidR="00723345" w:rsidRPr="00C51D17">
        <w:rPr>
          <w:w w:val="100"/>
        </w:rPr>
        <w:t>’</w:t>
      </w:r>
      <w:r w:rsidRPr="00C51D17">
        <w:rPr>
          <w:w w:val="100"/>
        </w:rPr>
        <w:t xml:space="preserve">élimination de la discrimination </w:t>
      </w:r>
    </w:p>
    <w:p w14:paraId="5AA132FD" w14:textId="77777777" w:rsidR="003C3DDB" w:rsidRPr="00C51D17" w:rsidRDefault="003C3DDB" w:rsidP="003C3DDB">
      <w:pPr>
        <w:pStyle w:val="TitleH1"/>
        <w:tabs>
          <w:tab w:val="clear" w:pos="1267"/>
          <w:tab w:val="left" w:pos="900"/>
        </w:tabs>
        <w:spacing w:line="20" w:lineRule="exact"/>
        <w:rPr>
          <w:w w:val="100"/>
          <w:sz w:val="2"/>
        </w:rPr>
      </w:pPr>
      <w:r w:rsidRPr="00C51D17">
        <w:rPr>
          <w:rStyle w:val="CommentReference"/>
          <w:b w:val="0"/>
        </w:rPr>
        <w:commentReference w:id="0"/>
      </w:r>
    </w:p>
    <w:p w14:paraId="0E319EE2" w14:textId="33583976" w:rsidR="00646413" w:rsidRPr="00C51D17" w:rsidRDefault="00646413" w:rsidP="00F1256D">
      <w:pPr>
        <w:pStyle w:val="TitleH1"/>
        <w:tabs>
          <w:tab w:val="clear" w:pos="1267"/>
          <w:tab w:val="left" w:pos="900"/>
        </w:tabs>
        <w:rPr>
          <w:w w:val="100"/>
        </w:rPr>
      </w:pPr>
      <w:r w:rsidRPr="00C51D17">
        <w:rPr>
          <w:w w:val="100"/>
        </w:rPr>
        <w:t>à l</w:t>
      </w:r>
      <w:r w:rsidR="00723345" w:rsidRPr="00C51D17">
        <w:rPr>
          <w:w w:val="100"/>
        </w:rPr>
        <w:t>’</w:t>
      </w:r>
      <w:r w:rsidRPr="00C51D17">
        <w:rPr>
          <w:w w:val="100"/>
        </w:rPr>
        <w:t>égard des femmes</w:t>
      </w:r>
    </w:p>
    <w:p w14:paraId="20A8ECA4" w14:textId="77777777" w:rsidR="00646413" w:rsidRPr="00C51D17" w:rsidRDefault="00646413" w:rsidP="005A7961">
      <w:pPr>
        <w:pStyle w:val="Session"/>
        <w:rPr>
          <w:w w:val="100"/>
        </w:rPr>
      </w:pPr>
      <w:r w:rsidRPr="00C51D17">
        <w:rPr>
          <w:w w:val="100"/>
        </w:rPr>
        <w:t>Soixante-treizième session</w:t>
      </w:r>
    </w:p>
    <w:p w14:paraId="0B8B0D53" w14:textId="77777777" w:rsidR="00646413" w:rsidRPr="00C51D17" w:rsidRDefault="00646413" w:rsidP="005A7961">
      <w:pPr>
        <w:pStyle w:val="AgendaItemNormal"/>
        <w:rPr>
          <w:w w:val="100"/>
          <w:lang w:val="fr-FR"/>
        </w:rPr>
      </w:pPr>
      <w:r w:rsidRPr="00C51D17">
        <w:rPr>
          <w:w w:val="100"/>
          <w:lang w:val="fr-FR"/>
        </w:rPr>
        <w:t>1</w:t>
      </w:r>
      <w:r w:rsidRPr="00C51D17">
        <w:rPr>
          <w:w w:val="100"/>
          <w:vertAlign w:val="superscript"/>
          <w:lang w:val="fr-FR"/>
        </w:rPr>
        <w:t>er</w:t>
      </w:r>
      <w:r w:rsidRPr="00C51D17">
        <w:rPr>
          <w:w w:val="100"/>
          <w:lang w:val="fr-FR"/>
        </w:rPr>
        <w:t>-19 juillet 2019</w:t>
      </w:r>
    </w:p>
    <w:p w14:paraId="708AD00A" w14:textId="51806D56" w:rsidR="00646413" w:rsidRPr="00C51D17" w:rsidRDefault="00646413" w:rsidP="005A7961">
      <w:pPr>
        <w:pStyle w:val="AgendaItemNormal"/>
        <w:rPr>
          <w:w w:val="100"/>
          <w:lang w:val="fr-FR"/>
        </w:rPr>
      </w:pPr>
      <w:r w:rsidRPr="00C51D17">
        <w:rPr>
          <w:w w:val="100"/>
          <w:lang w:val="fr-FR"/>
        </w:rPr>
        <w:t>Point 4 de l</w:t>
      </w:r>
      <w:r w:rsidR="00723345" w:rsidRPr="00C51D17">
        <w:rPr>
          <w:w w:val="100"/>
          <w:lang w:val="fr-FR"/>
        </w:rPr>
        <w:t>’</w:t>
      </w:r>
      <w:r w:rsidRPr="00C51D17">
        <w:rPr>
          <w:w w:val="100"/>
          <w:lang w:val="fr-FR"/>
        </w:rPr>
        <w:t>ordre du jour provisoire</w:t>
      </w:r>
    </w:p>
    <w:p w14:paraId="3FE5706C" w14:textId="1464F936" w:rsidR="00646413" w:rsidRPr="00C51D17" w:rsidRDefault="00646413" w:rsidP="005A7961">
      <w:pPr>
        <w:pStyle w:val="AgendaTitleH2"/>
        <w:rPr>
          <w:w w:val="100"/>
        </w:rPr>
      </w:pPr>
      <w:r w:rsidRPr="00C51D17">
        <w:rPr>
          <w:w w:val="100"/>
        </w:rPr>
        <w:t>Examen des rapports soumis par les États parties en</w:t>
      </w:r>
      <w:r w:rsidR="005A7961" w:rsidRPr="00C51D17">
        <w:rPr>
          <w:w w:val="100"/>
        </w:rPr>
        <w:t> </w:t>
      </w:r>
      <w:r w:rsidRPr="00C51D17">
        <w:rPr>
          <w:w w:val="100"/>
        </w:rPr>
        <w:t>application</w:t>
      </w:r>
      <w:r w:rsidR="005A7961" w:rsidRPr="00C51D17">
        <w:rPr>
          <w:w w:val="100"/>
        </w:rPr>
        <w:t xml:space="preserve"> </w:t>
      </w:r>
      <w:r w:rsidRPr="00C51D17">
        <w:rPr>
          <w:w w:val="100"/>
        </w:rPr>
        <w:t>de l</w:t>
      </w:r>
      <w:r w:rsidR="00723345" w:rsidRPr="00C51D17">
        <w:rPr>
          <w:w w:val="100"/>
        </w:rPr>
        <w:t>’</w:t>
      </w:r>
      <w:r w:rsidRPr="00C51D17">
        <w:rPr>
          <w:w w:val="100"/>
        </w:rPr>
        <w:t xml:space="preserve">article 18 de la Convention </w:t>
      </w:r>
    </w:p>
    <w:p w14:paraId="6016B2ED" w14:textId="2C443654" w:rsidR="00646413" w:rsidRPr="00C51D17" w:rsidRDefault="00646413" w:rsidP="00A95525">
      <w:pPr>
        <w:pStyle w:val="SingleTxt"/>
        <w:spacing w:after="0" w:line="120" w:lineRule="exact"/>
        <w:rPr>
          <w:w w:val="100"/>
          <w:sz w:val="10"/>
        </w:rPr>
      </w:pPr>
    </w:p>
    <w:p w14:paraId="4FE4FA0C" w14:textId="1E598DC8" w:rsidR="00A95525" w:rsidRPr="00C51D17" w:rsidRDefault="00A95525" w:rsidP="00A95525">
      <w:pPr>
        <w:pStyle w:val="SingleTxt"/>
        <w:spacing w:after="0" w:line="120" w:lineRule="exact"/>
        <w:rPr>
          <w:w w:val="100"/>
          <w:sz w:val="10"/>
        </w:rPr>
      </w:pPr>
    </w:p>
    <w:p w14:paraId="6CA0E8F3" w14:textId="7415B46D" w:rsidR="00A95525" w:rsidRPr="00C51D17" w:rsidRDefault="00A95525" w:rsidP="00A95525">
      <w:pPr>
        <w:pStyle w:val="SingleTxt"/>
        <w:spacing w:after="0" w:line="120" w:lineRule="exact"/>
        <w:rPr>
          <w:w w:val="100"/>
          <w:sz w:val="10"/>
        </w:rPr>
      </w:pPr>
    </w:p>
    <w:p w14:paraId="6BFF30ED" w14:textId="2C0C99F9" w:rsidR="00A95525" w:rsidRPr="00C51D17" w:rsidRDefault="00A95525" w:rsidP="00A95525">
      <w:pPr>
        <w:pStyle w:val="TitleHCH"/>
        <w:rPr>
          <w:w w:val="100"/>
        </w:rPr>
      </w:pPr>
      <w:r w:rsidRPr="00C51D17">
        <w:rPr>
          <w:w w:val="100"/>
        </w:rPr>
        <w:tab/>
      </w:r>
      <w:r w:rsidRPr="00C51D17">
        <w:rPr>
          <w:w w:val="100"/>
        </w:rPr>
        <w:tab/>
      </w:r>
      <w:r w:rsidR="00646413" w:rsidRPr="00C51D17">
        <w:rPr>
          <w:w w:val="100"/>
        </w:rPr>
        <w:t xml:space="preserve">Liste de points et de questions concernant le deuxième rapport périodique du Qatar </w:t>
      </w:r>
    </w:p>
    <w:p w14:paraId="7A7BA9A3" w14:textId="7527DDA7" w:rsidR="00A95525" w:rsidRPr="00C51D17" w:rsidRDefault="00A95525" w:rsidP="00A95525">
      <w:pPr>
        <w:pStyle w:val="SingleTxt"/>
        <w:spacing w:after="0" w:line="120" w:lineRule="exact"/>
        <w:rPr>
          <w:sz w:val="10"/>
        </w:rPr>
      </w:pPr>
    </w:p>
    <w:p w14:paraId="156F5139" w14:textId="6A8BAD6E" w:rsidR="00A95525" w:rsidRPr="00C51D17" w:rsidRDefault="00A95525" w:rsidP="00A95525">
      <w:pPr>
        <w:pStyle w:val="SingleTxt"/>
        <w:spacing w:after="0" w:line="120" w:lineRule="exact"/>
        <w:rPr>
          <w:sz w:val="10"/>
        </w:rPr>
      </w:pPr>
    </w:p>
    <w:p w14:paraId="0BB30FF5" w14:textId="7A743623" w:rsidR="00646413" w:rsidRPr="00C51D17" w:rsidRDefault="00A95525" w:rsidP="00BA22A0">
      <w:pPr>
        <w:pStyle w:val="TitleH2"/>
        <w:rPr>
          <w:w w:val="100"/>
        </w:rPr>
      </w:pPr>
      <w:r w:rsidRPr="00C51D17">
        <w:rPr>
          <w:w w:val="100"/>
        </w:rPr>
        <w:tab/>
      </w:r>
      <w:r w:rsidRPr="00C51D17">
        <w:rPr>
          <w:w w:val="100"/>
        </w:rPr>
        <w:tab/>
      </w:r>
      <w:r w:rsidR="00646413" w:rsidRPr="00C51D17">
        <w:rPr>
          <w:w w:val="100"/>
        </w:rPr>
        <w:t xml:space="preserve">Additif </w:t>
      </w:r>
    </w:p>
    <w:p w14:paraId="574DCAB5" w14:textId="5E667478" w:rsidR="00A95525" w:rsidRPr="00C51D17" w:rsidRDefault="00A95525" w:rsidP="00A95525">
      <w:pPr>
        <w:pStyle w:val="SingleTxt"/>
        <w:spacing w:after="0" w:line="120" w:lineRule="exact"/>
        <w:rPr>
          <w:sz w:val="10"/>
        </w:rPr>
      </w:pPr>
    </w:p>
    <w:p w14:paraId="1B8EFCF5" w14:textId="78568C4C" w:rsidR="00A95525" w:rsidRPr="00C51D17" w:rsidRDefault="00A95525" w:rsidP="00A95525">
      <w:pPr>
        <w:pStyle w:val="SingleTxt"/>
        <w:spacing w:after="0" w:line="120" w:lineRule="exact"/>
        <w:rPr>
          <w:sz w:val="10"/>
        </w:rPr>
      </w:pPr>
    </w:p>
    <w:p w14:paraId="62A3FE6F" w14:textId="055D923F" w:rsidR="00646413" w:rsidRPr="00C51D17" w:rsidRDefault="00A95525" w:rsidP="00A95525">
      <w:pPr>
        <w:pStyle w:val="TitleH1"/>
        <w:ind w:right="1260"/>
        <w:rPr>
          <w:b w:val="0"/>
          <w:w w:val="100"/>
          <w:sz w:val="20"/>
          <w:szCs w:val="20"/>
        </w:rPr>
      </w:pPr>
      <w:r w:rsidRPr="00C51D17">
        <w:rPr>
          <w:w w:val="100"/>
        </w:rPr>
        <w:tab/>
      </w:r>
      <w:r w:rsidRPr="00C51D17">
        <w:rPr>
          <w:w w:val="100"/>
        </w:rPr>
        <w:tab/>
      </w:r>
      <w:r w:rsidR="00646413" w:rsidRPr="00C51D17">
        <w:rPr>
          <w:w w:val="100"/>
        </w:rPr>
        <w:t>Réponses du Qatar à la liste de points et de questions</w:t>
      </w:r>
      <w:r w:rsidR="00646413" w:rsidRPr="00C51D17">
        <w:rPr>
          <w:b w:val="0"/>
          <w:w w:val="100"/>
          <w:sz w:val="20"/>
          <w:szCs w:val="20"/>
        </w:rPr>
        <w:footnoteReference w:customMarkFollows="1" w:id="1"/>
        <w:sym w:font="Symbol" w:char="F02A"/>
      </w:r>
    </w:p>
    <w:p w14:paraId="71C03F72" w14:textId="64FB29F5" w:rsidR="00A36332" w:rsidRPr="00C51D17" w:rsidRDefault="00A36332" w:rsidP="00A36332">
      <w:pPr>
        <w:pStyle w:val="SingleTxt"/>
        <w:spacing w:after="0" w:line="120" w:lineRule="exact"/>
        <w:rPr>
          <w:sz w:val="10"/>
        </w:rPr>
      </w:pPr>
    </w:p>
    <w:p w14:paraId="12858787" w14:textId="77777777" w:rsidR="00BA22A0" w:rsidRPr="00C51D17" w:rsidRDefault="00BA22A0" w:rsidP="00A36332">
      <w:pPr>
        <w:pStyle w:val="SingleTxt"/>
        <w:spacing w:after="0" w:line="120" w:lineRule="exact"/>
        <w:rPr>
          <w:sz w:val="10"/>
        </w:rPr>
      </w:pPr>
    </w:p>
    <w:p w14:paraId="5F5975D2" w14:textId="0A8B153F" w:rsidR="00646413" w:rsidRPr="00C51D17" w:rsidRDefault="00646413" w:rsidP="00A36332">
      <w:pPr>
        <w:pStyle w:val="SingleTxt"/>
        <w:jc w:val="right"/>
        <w:rPr>
          <w:w w:val="100"/>
        </w:rPr>
      </w:pPr>
      <w:r w:rsidRPr="00C51D17">
        <w:rPr>
          <w:w w:val="100"/>
        </w:rPr>
        <w:t>[Date de réception</w:t>
      </w:r>
      <w:r w:rsidR="0012596A" w:rsidRPr="00C51D17">
        <w:rPr>
          <w:w w:val="100"/>
        </w:rPr>
        <w:t xml:space="preserve"> : </w:t>
      </w:r>
      <w:r w:rsidRPr="00C51D17">
        <w:rPr>
          <w:w w:val="100"/>
        </w:rPr>
        <w:t>19 mars 2019]</w:t>
      </w:r>
    </w:p>
    <w:p w14:paraId="0609E5DD" w14:textId="1E6B2463" w:rsidR="009A7F0E" w:rsidRPr="00C51D17" w:rsidRDefault="009A7F0E">
      <w:pPr>
        <w:spacing w:after="200" w:line="276" w:lineRule="auto"/>
        <w:rPr>
          <w:rFonts w:eastAsia="Calibri"/>
          <w:color w:val="000000"/>
          <w:spacing w:val="0"/>
          <w:w w:val="100"/>
          <w:kern w:val="0"/>
          <w:sz w:val="24"/>
          <w:szCs w:val="24"/>
        </w:rPr>
      </w:pPr>
      <w:r w:rsidRPr="00C51D17">
        <w:rPr>
          <w:rFonts w:eastAsia="Calibri"/>
          <w:color w:val="000000"/>
          <w:spacing w:val="0"/>
          <w:w w:val="100"/>
          <w:kern w:val="0"/>
          <w:sz w:val="24"/>
          <w:szCs w:val="24"/>
        </w:rPr>
        <w:br w:type="page"/>
      </w:r>
    </w:p>
    <w:p w14:paraId="6A0975EF" w14:textId="14BAD6C0" w:rsidR="00646413" w:rsidRPr="00C51D17" w:rsidRDefault="00646413" w:rsidP="00BB07FC">
      <w:pPr>
        <w:pStyle w:val="SingleTxt"/>
        <w:jc w:val="right"/>
        <w:rPr>
          <w:w w:val="100"/>
        </w:rPr>
      </w:pPr>
      <w:r w:rsidRPr="00C51D17">
        <w:rPr>
          <w:w w:val="100"/>
        </w:rPr>
        <w:lastRenderedPageBreak/>
        <w:t>[Original</w:t>
      </w:r>
      <w:r w:rsidR="0012596A" w:rsidRPr="00C51D17">
        <w:rPr>
          <w:w w:val="100"/>
        </w:rPr>
        <w:t xml:space="preserve"> : </w:t>
      </w:r>
      <w:r w:rsidRPr="00C51D17">
        <w:rPr>
          <w:w w:val="100"/>
        </w:rPr>
        <w:t>arabe]</w:t>
      </w:r>
    </w:p>
    <w:p w14:paraId="07FE45E4" w14:textId="5B71A6AA" w:rsidR="00646413" w:rsidRPr="00C51D17" w:rsidRDefault="00646413" w:rsidP="00134D11">
      <w:pPr>
        <w:spacing w:line="120" w:lineRule="exact"/>
        <w:rPr>
          <w:rFonts w:eastAsia="Calibri"/>
          <w:b/>
          <w:color w:val="000000"/>
          <w:spacing w:val="0"/>
          <w:w w:val="100"/>
          <w:kern w:val="0"/>
          <w:sz w:val="10"/>
          <w:szCs w:val="24"/>
        </w:rPr>
      </w:pPr>
    </w:p>
    <w:p w14:paraId="40CBFD2A" w14:textId="05919BE6" w:rsidR="00646413" w:rsidRPr="00C51D17" w:rsidRDefault="00134D11" w:rsidP="00134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Cadre constitutionnel et lois discriminatoires</w:t>
      </w:r>
    </w:p>
    <w:p w14:paraId="3E166C18" w14:textId="7D3DAEA1" w:rsidR="00134D11" w:rsidRPr="00C51D17" w:rsidRDefault="00134D11" w:rsidP="00134D11">
      <w:pPr>
        <w:pStyle w:val="SingleTxt"/>
        <w:spacing w:after="0" w:line="120" w:lineRule="exact"/>
        <w:rPr>
          <w:sz w:val="10"/>
        </w:rPr>
      </w:pPr>
    </w:p>
    <w:p w14:paraId="6CBC1D15" w14:textId="69A80EAE" w:rsidR="00646413" w:rsidRPr="00C51D17" w:rsidRDefault="00646413" w:rsidP="00134D11">
      <w:pPr>
        <w:pStyle w:val="SingleTxt"/>
        <w:numPr>
          <w:ilvl w:val="0"/>
          <w:numId w:val="63"/>
        </w:numPr>
        <w:spacing w:line="240" w:lineRule="exact"/>
        <w:ind w:left="1267"/>
        <w:rPr>
          <w:w w:val="100"/>
        </w:rPr>
      </w:pPr>
      <w:r w:rsidRPr="00C51D17">
        <w:rPr>
          <w:bCs/>
          <w:w w:val="100"/>
        </w:rPr>
        <w:t xml:space="preserve">Le Qatar </w:t>
      </w:r>
      <w:r w:rsidRPr="00C51D17">
        <w:rPr>
          <w:w w:val="100"/>
        </w:rPr>
        <w:t>a adhéré à la Convention sur l</w:t>
      </w:r>
      <w:r w:rsidR="00723345" w:rsidRPr="00C51D17">
        <w:rPr>
          <w:w w:val="100"/>
        </w:rPr>
        <w:t>’</w:t>
      </w:r>
      <w:r w:rsidRPr="00C51D17">
        <w:rPr>
          <w:w w:val="100"/>
        </w:rPr>
        <w:t>élimination de toutes les formes de discrimination à l</w:t>
      </w:r>
      <w:r w:rsidR="00723345" w:rsidRPr="00C51D17">
        <w:rPr>
          <w:w w:val="100"/>
        </w:rPr>
        <w:t>’</w:t>
      </w:r>
      <w:r w:rsidRPr="00C51D17">
        <w:rPr>
          <w:w w:val="100"/>
        </w:rPr>
        <w:t xml:space="preserve">égard des femmes le 24 mars 2009. </w:t>
      </w:r>
      <w:r w:rsidR="00BB07FC" w:rsidRPr="00C51D17">
        <w:rPr>
          <w:w w:val="100"/>
        </w:rPr>
        <w:t>Le</w:t>
      </w:r>
      <w:r w:rsidRPr="00C51D17">
        <w:rPr>
          <w:w w:val="100"/>
        </w:rPr>
        <w:t xml:space="preserve"> 23 juin 2009, il a adopté le décret n</w:t>
      </w:r>
      <w:r w:rsidRPr="00C51D17">
        <w:rPr>
          <w:w w:val="100"/>
          <w:vertAlign w:val="superscript"/>
        </w:rPr>
        <w:t>o</w:t>
      </w:r>
      <w:r w:rsidR="002275DC" w:rsidRPr="00C51D17">
        <w:rPr>
          <w:w w:val="100"/>
        </w:rPr>
        <w:t> </w:t>
      </w:r>
      <w:r w:rsidRPr="00C51D17">
        <w:rPr>
          <w:w w:val="100"/>
        </w:rPr>
        <w:t>28 de 2009 portant approbation de l</w:t>
      </w:r>
      <w:r w:rsidR="00723345" w:rsidRPr="00C51D17">
        <w:rPr>
          <w:w w:val="100"/>
        </w:rPr>
        <w:t>’</w:t>
      </w:r>
      <w:r w:rsidRPr="00C51D17">
        <w:rPr>
          <w:w w:val="100"/>
        </w:rPr>
        <w:t>adhésion du pays à la Convention. L</w:t>
      </w:r>
      <w:r w:rsidR="00723345" w:rsidRPr="00C51D17">
        <w:rPr>
          <w:w w:val="100"/>
        </w:rPr>
        <w:t>’</w:t>
      </w:r>
      <w:r w:rsidRPr="00C51D17">
        <w:rPr>
          <w:w w:val="100"/>
        </w:rPr>
        <w:t>article premier du décret souligne que la Convention a force de loi conformément à l</w:t>
      </w:r>
      <w:r w:rsidR="00723345" w:rsidRPr="00C51D17">
        <w:rPr>
          <w:w w:val="100"/>
        </w:rPr>
        <w:t>’</w:t>
      </w:r>
      <w:r w:rsidRPr="00C51D17">
        <w:rPr>
          <w:w w:val="100"/>
        </w:rPr>
        <w:t>article 68 de la Constitution permanente de l</w:t>
      </w:r>
      <w:r w:rsidR="00723345" w:rsidRPr="00C51D17">
        <w:rPr>
          <w:w w:val="100"/>
        </w:rPr>
        <w:t>’</w:t>
      </w:r>
      <w:r w:rsidRPr="00C51D17">
        <w:rPr>
          <w:w w:val="100"/>
        </w:rPr>
        <w:t>État. En conséquence, les dispositions de la Convention sont transposées dans le droit interne du pays.</w:t>
      </w:r>
    </w:p>
    <w:p w14:paraId="07B48CE4" w14:textId="3C4A519F" w:rsidR="00646413" w:rsidRPr="00C51D17" w:rsidRDefault="00646413" w:rsidP="00134D11">
      <w:pPr>
        <w:pStyle w:val="SingleTxt"/>
        <w:numPr>
          <w:ilvl w:val="0"/>
          <w:numId w:val="63"/>
        </w:numPr>
        <w:spacing w:line="240" w:lineRule="exact"/>
        <w:ind w:left="1267"/>
        <w:rPr>
          <w:w w:val="100"/>
        </w:rPr>
      </w:pPr>
      <w:r w:rsidRPr="00C51D17">
        <w:rPr>
          <w:w w:val="100"/>
        </w:rPr>
        <w:t>Le Qatar a pris de nombreuses mesures pour garantir l</w:t>
      </w:r>
      <w:r w:rsidR="00723345" w:rsidRPr="00C51D17">
        <w:rPr>
          <w:w w:val="100"/>
        </w:rPr>
        <w:t>’</w:t>
      </w:r>
      <w:r w:rsidRPr="00C51D17">
        <w:rPr>
          <w:w w:val="100"/>
        </w:rPr>
        <w:t>égalité entre les hommes et les femmes, que ce soit dans la Constitution ou la législation. Ainsi, la Constitution du Qatar consacre le principe d</w:t>
      </w:r>
      <w:r w:rsidR="00723345" w:rsidRPr="00C51D17">
        <w:rPr>
          <w:w w:val="100"/>
        </w:rPr>
        <w:t>’</w:t>
      </w:r>
      <w:r w:rsidRPr="00C51D17">
        <w:rPr>
          <w:w w:val="100"/>
        </w:rPr>
        <w:t>égalité devant la loi de tous les citoyens, en droits et en devoirs, quel que soit leur sexe, ce qui garantit la protection de la femme contre toute forme de discrimination. La femme est ainsi aussi bien armée que l</w:t>
      </w:r>
      <w:r w:rsidR="00723345" w:rsidRPr="00C51D17">
        <w:rPr>
          <w:w w:val="100"/>
        </w:rPr>
        <w:t>’</w:t>
      </w:r>
      <w:r w:rsidRPr="00C51D17">
        <w:rPr>
          <w:w w:val="100"/>
        </w:rPr>
        <w:t xml:space="preserve">homme pour valoriser son potentiel, protéger et renforcer ses droits et participer </w:t>
      </w:r>
      <w:r w:rsidR="00BB07FC" w:rsidRPr="00C51D17">
        <w:rPr>
          <w:w w:val="100"/>
        </w:rPr>
        <w:t>de manière constructive</w:t>
      </w:r>
      <w:r w:rsidRPr="00C51D17">
        <w:rPr>
          <w:w w:val="100"/>
        </w:rPr>
        <w:t xml:space="preserve"> au développement de la société. La législation nationale accorde une place importante au renforcement des droits de la femme, à la suppression de toute forme de discrimination et à la consécration de l</w:t>
      </w:r>
      <w:r w:rsidR="00723345" w:rsidRPr="00C51D17">
        <w:rPr>
          <w:w w:val="100"/>
        </w:rPr>
        <w:t>’</w:t>
      </w:r>
      <w:r w:rsidRPr="00C51D17">
        <w:rPr>
          <w:w w:val="100"/>
        </w:rPr>
        <w:t xml:space="preserve">égalité </w:t>
      </w:r>
      <w:r w:rsidR="00BB07FC" w:rsidRPr="00C51D17">
        <w:rPr>
          <w:w w:val="100"/>
        </w:rPr>
        <w:t>d</w:t>
      </w:r>
      <w:r w:rsidRPr="00C51D17">
        <w:rPr>
          <w:w w:val="100"/>
        </w:rPr>
        <w:t>es sexes dans tous les domaines. S</w:t>
      </w:r>
      <w:r w:rsidR="00723345" w:rsidRPr="00C51D17">
        <w:rPr>
          <w:w w:val="100"/>
        </w:rPr>
        <w:t>’</w:t>
      </w:r>
      <w:r w:rsidRPr="00C51D17">
        <w:rPr>
          <w:w w:val="100"/>
        </w:rPr>
        <w:t>agissant des droits et obligations des citoyens, la législation qatarienne s</w:t>
      </w:r>
      <w:r w:rsidR="00723345" w:rsidRPr="00C51D17">
        <w:rPr>
          <w:w w:val="100"/>
        </w:rPr>
        <w:t>’</w:t>
      </w:r>
      <w:r w:rsidRPr="00C51D17">
        <w:rPr>
          <w:w w:val="100"/>
        </w:rPr>
        <w:t>adresse indifféremment et sans distinction aux deux sexes. En effet, le discours destiné à l</w:t>
      </w:r>
      <w:r w:rsidR="00723345" w:rsidRPr="00C51D17">
        <w:rPr>
          <w:w w:val="100"/>
        </w:rPr>
        <w:t>’</w:t>
      </w:r>
      <w:r w:rsidRPr="00C51D17">
        <w:rPr>
          <w:w w:val="100"/>
        </w:rPr>
        <w:t>homme s</w:t>
      </w:r>
      <w:r w:rsidR="00723345" w:rsidRPr="00C51D17">
        <w:rPr>
          <w:w w:val="100"/>
        </w:rPr>
        <w:t>’</w:t>
      </w:r>
      <w:r w:rsidRPr="00C51D17">
        <w:rPr>
          <w:w w:val="100"/>
        </w:rPr>
        <w:t>applique tout autant à la femme, à moins que la loi en dispose expressément autrement. On trouvera ci-après quelques exemples d</w:t>
      </w:r>
      <w:r w:rsidR="00723345" w:rsidRPr="00C51D17">
        <w:rPr>
          <w:w w:val="100"/>
        </w:rPr>
        <w:t>’</w:t>
      </w:r>
      <w:r w:rsidRPr="00C51D17">
        <w:rPr>
          <w:w w:val="100"/>
        </w:rPr>
        <w:t>abrogation ou d</w:t>
      </w:r>
      <w:r w:rsidR="00723345" w:rsidRPr="00C51D17">
        <w:rPr>
          <w:w w:val="100"/>
        </w:rPr>
        <w:t>’</w:t>
      </w:r>
      <w:r w:rsidRPr="00C51D17">
        <w:rPr>
          <w:w w:val="100"/>
        </w:rPr>
        <w:t>amendement de certaines dispositions de loi qui comportaient des formes de discrimination à l</w:t>
      </w:r>
      <w:r w:rsidR="00723345" w:rsidRPr="00C51D17">
        <w:rPr>
          <w:w w:val="100"/>
        </w:rPr>
        <w:t>’</w:t>
      </w:r>
      <w:r w:rsidRPr="00C51D17">
        <w:rPr>
          <w:w w:val="100"/>
        </w:rPr>
        <w:t>égard des femmes</w:t>
      </w:r>
      <w:r w:rsidR="00C16B48" w:rsidRPr="00C51D17">
        <w:rPr>
          <w:w w:val="100"/>
        </w:rPr>
        <w:t> </w:t>
      </w:r>
      <w:r w:rsidRPr="00C51D17">
        <w:rPr>
          <w:w w:val="100"/>
        </w:rPr>
        <w:t>:</w:t>
      </w:r>
    </w:p>
    <w:p w14:paraId="348DCDC9" w14:textId="2EDE86CD" w:rsidR="00646413" w:rsidRPr="00C51D17" w:rsidRDefault="00C16B48" w:rsidP="00C16B48">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loi n</w:t>
      </w:r>
      <w:r w:rsidR="00646413" w:rsidRPr="00C51D17">
        <w:rPr>
          <w:w w:val="100"/>
          <w:vertAlign w:val="superscript"/>
        </w:rPr>
        <w:t>o</w:t>
      </w:r>
      <w:r w:rsidRPr="00C51D17">
        <w:rPr>
          <w:w w:val="100"/>
        </w:rPr>
        <w:t> </w:t>
      </w:r>
      <w:r w:rsidR="00646413" w:rsidRPr="00C51D17">
        <w:rPr>
          <w:w w:val="100"/>
        </w:rPr>
        <w:t>19 de 2008 qui a établi l</w:t>
      </w:r>
      <w:r w:rsidR="00723345" w:rsidRPr="00C51D17">
        <w:rPr>
          <w:w w:val="100"/>
        </w:rPr>
        <w:t>’</w:t>
      </w:r>
      <w:r w:rsidR="00646413" w:rsidRPr="00C51D17">
        <w:rPr>
          <w:w w:val="100"/>
        </w:rPr>
        <w:t>égalité entre les hommes et les femmes en ce qui concerne le prix du sang versé (</w:t>
      </w:r>
      <w:r w:rsidR="00646413" w:rsidRPr="00C51D17">
        <w:rPr>
          <w:i/>
          <w:w w:val="100"/>
        </w:rPr>
        <w:t>diya</w:t>
      </w:r>
      <w:r w:rsidR="00646413" w:rsidRPr="00C51D17">
        <w:rPr>
          <w:w w:val="100"/>
        </w:rPr>
        <w:t>) en cas d</w:t>
      </w:r>
      <w:r w:rsidR="00723345" w:rsidRPr="00C51D17">
        <w:rPr>
          <w:w w:val="100"/>
        </w:rPr>
        <w:t>’</w:t>
      </w:r>
      <w:r w:rsidR="00646413" w:rsidRPr="00C51D17">
        <w:rPr>
          <w:w w:val="100"/>
        </w:rPr>
        <w:t>homicide involontaire, celui-ci était, avant cette loi, égal à la moitié de celui de l</w:t>
      </w:r>
      <w:r w:rsidR="00723345" w:rsidRPr="00C51D17">
        <w:rPr>
          <w:w w:val="100"/>
        </w:rPr>
        <w:t>’</w:t>
      </w:r>
      <w:r w:rsidR="00646413" w:rsidRPr="00C51D17">
        <w:rPr>
          <w:w w:val="100"/>
        </w:rPr>
        <w:t>homme</w:t>
      </w:r>
      <w:r w:rsidR="0012596A" w:rsidRPr="00C51D17">
        <w:rPr>
          <w:w w:val="100"/>
        </w:rPr>
        <w:t> ;</w:t>
      </w:r>
    </w:p>
    <w:p w14:paraId="3F1C7262" w14:textId="5372EE38" w:rsidR="00646413" w:rsidRPr="00C51D17" w:rsidRDefault="00C16B48" w:rsidP="00C16B48">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loi n</w:t>
      </w:r>
      <w:r w:rsidR="00646413" w:rsidRPr="00C51D17">
        <w:rPr>
          <w:w w:val="100"/>
          <w:vertAlign w:val="superscript"/>
        </w:rPr>
        <w:t>o</w:t>
      </w:r>
      <w:r w:rsidRPr="00C51D17">
        <w:rPr>
          <w:w w:val="100"/>
        </w:rPr>
        <w:t> </w:t>
      </w:r>
      <w:r w:rsidR="00646413" w:rsidRPr="00C51D17">
        <w:rPr>
          <w:w w:val="100"/>
        </w:rPr>
        <w:t>5 de 2009 modifiant la loi no 14 de 1993 relative au passeport, qui a aboli l</w:t>
      </w:r>
      <w:r w:rsidR="00723345" w:rsidRPr="00C51D17">
        <w:rPr>
          <w:w w:val="100"/>
        </w:rPr>
        <w:t>’</w:t>
      </w:r>
      <w:r w:rsidR="00646413" w:rsidRPr="00C51D17">
        <w:rPr>
          <w:w w:val="100"/>
        </w:rPr>
        <w:t>exigence pour une femme d</w:t>
      </w:r>
      <w:r w:rsidR="00723345" w:rsidRPr="00C51D17">
        <w:rPr>
          <w:w w:val="100"/>
        </w:rPr>
        <w:t>’</w:t>
      </w:r>
      <w:r w:rsidR="00646413" w:rsidRPr="00C51D17">
        <w:rPr>
          <w:w w:val="100"/>
        </w:rPr>
        <w:t>obtenir l</w:t>
      </w:r>
      <w:r w:rsidR="00723345" w:rsidRPr="00C51D17">
        <w:rPr>
          <w:w w:val="100"/>
        </w:rPr>
        <w:t>’</w:t>
      </w:r>
      <w:r w:rsidR="00646413" w:rsidRPr="00C51D17">
        <w:rPr>
          <w:w w:val="100"/>
        </w:rPr>
        <w:t>autorisation de son tuteur légal pour se faire établir un passeport. En revanche, l</w:t>
      </w:r>
      <w:r w:rsidR="00723345" w:rsidRPr="00C51D17">
        <w:rPr>
          <w:w w:val="100"/>
        </w:rPr>
        <w:t>’</w:t>
      </w:r>
      <w:r w:rsidR="00646413" w:rsidRPr="00C51D17">
        <w:rPr>
          <w:w w:val="100"/>
        </w:rPr>
        <w:t>autorisation du tuteur légal pour l</w:t>
      </w:r>
      <w:r w:rsidR="00723345" w:rsidRPr="00C51D17">
        <w:rPr>
          <w:w w:val="100"/>
        </w:rPr>
        <w:t>’</w:t>
      </w:r>
      <w:r w:rsidR="00646413" w:rsidRPr="00C51D17">
        <w:rPr>
          <w:w w:val="100"/>
        </w:rPr>
        <w:t>établissement de passeports à l</w:t>
      </w:r>
      <w:r w:rsidR="00723345" w:rsidRPr="00C51D17">
        <w:rPr>
          <w:w w:val="100"/>
        </w:rPr>
        <w:t>’</w:t>
      </w:r>
      <w:r w:rsidR="00646413" w:rsidRPr="00C51D17">
        <w:rPr>
          <w:w w:val="100"/>
        </w:rPr>
        <w:t>intention de personnes dénuées de capacité juridique ou ayant une capacité juridique limitée est maintenue</w:t>
      </w:r>
      <w:r w:rsidR="0012596A" w:rsidRPr="00C51D17">
        <w:rPr>
          <w:w w:val="100"/>
        </w:rPr>
        <w:t> ;</w:t>
      </w:r>
    </w:p>
    <w:p w14:paraId="415CF5B0" w14:textId="3E34B379" w:rsidR="00646413" w:rsidRPr="00C51D17" w:rsidRDefault="00C16B48" w:rsidP="00C16B48">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loi n</w:t>
      </w:r>
      <w:r w:rsidR="00646413" w:rsidRPr="00C51D17">
        <w:rPr>
          <w:w w:val="100"/>
          <w:vertAlign w:val="superscript"/>
        </w:rPr>
        <w:t>o</w:t>
      </w:r>
      <w:r w:rsidRPr="00C51D17">
        <w:rPr>
          <w:w w:val="100"/>
        </w:rPr>
        <w:t> </w:t>
      </w:r>
      <w:r w:rsidR="00646413" w:rsidRPr="00C51D17">
        <w:rPr>
          <w:w w:val="100"/>
        </w:rPr>
        <w:t>2 de 2007 relative à l</w:t>
      </w:r>
      <w:r w:rsidR="00723345" w:rsidRPr="00C51D17">
        <w:rPr>
          <w:w w:val="100"/>
        </w:rPr>
        <w:t>’</w:t>
      </w:r>
      <w:r w:rsidR="00646413" w:rsidRPr="00C51D17">
        <w:rPr>
          <w:w w:val="100"/>
        </w:rPr>
        <w:t>habitat, qui a supprimé l</w:t>
      </w:r>
      <w:r w:rsidR="00723345" w:rsidRPr="00C51D17">
        <w:rPr>
          <w:w w:val="100"/>
        </w:rPr>
        <w:t>’</w:t>
      </w:r>
      <w:r w:rsidR="00646413" w:rsidRPr="00C51D17">
        <w:rPr>
          <w:w w:val="100"/>
        </w:rPr>
        <w:t>accès à un mécanisme d</w:t>
      </w:r>
      <w:r w:rsidR="00723345" w:rsidRPr="00C51D17">
        <w:rPr>
          <w:w w:val="100"/>
        </w:rPr>
        <w:t>’</w:t>
      </w:r>
      <w:r w:rsidR="00646413" w:rsidRPr="00C51D17">
        <w:rPr>
          <w:w w:val="100"/>
        </w:rPr>
        <w:t>aide au logement aux seules personnes de sexe masculin et l</w:t>
      </w:r>
      <w:r w:rsidR="00723345" w:rsidRPr="00C51D17">
        <w:rPr>
          <w:w w:val="100"/>
        </w:rPr>
        <w:t>’</w:t>
      </w:r>
      <w:r w:rsidR="00646413" w:rsidRPr="00C51D17">
        <w:rPr>
          <w:w w:val="100"/>
        </w:rPr>
        <w:t>a élargi aux femmes et le décret n</w:t>
      </w:r>
      <w:r w:rsidR="00646413" w:rsidRPr="00C51D17">
        <w:rPr>
          <w:w w:val="100"/>
          <w:vertAlign w:val="superscript"/>
        </w:rPr>
        <w:t>o</w:t>
      </w:r>
      <w:r w:rsidRPr="00C51D17">
        <w:rPr>
          <w:w w:val="100"/>
        </w:rPr>
        <w:t> </w:t>
      </w:r>
      <w:r w:rsidR="00646413" w:rsidRPr="00C51D17">
        <w:rPr>
          <w:w w:val="100"/>
        </w:rPr>
        <w:t>17 de 2007 relatif aux priorités et aux règles de jouissance de ce système, qui octroie aux citoyens célibataires des deux sexes de plus de 35 ans, ou de moins de 35 ans dans le cas d</w:t>
      </w:r>
      <w:r w:rsidR="00723345" w:rsidRPr="00C51D17">
        <w:rPr>
          <w:w w:val="100"/>
        </w:rPr>
        <w:t>’</w:t>
      </w:r>
      <w:r w:rsidR="00646413" w:rsidRPr="00C51D17">
        <w:rPr>
          <w:w w:val="100"/>
        </w:rPr>
        <w:t>une personne qui est soutien d</w:t>
      </w:r>
      <w:r w:rsidR="00723345" w:rsidRPr="00C51D17">
        <w:rPr>
          <w:w w:val="100"/>
        </w:rPr>
        <w:t>’</w:t>
      </w:r>
      <w:r w:rsidR="00646413" w:rsidRPr="00C51D17">
        <w:rPr>
          <w:w w:val="100"/>
        </w:rPr>
        <w:t>une ou de plusieurs personnes, le droit de bénéficier de ce mécanisme, qui était auparavant réservé exclusivement aux hommes</w:t>
      </w:r>
      <w:r w:rsidR="0012596A" w:rsidRPr="00C51D17">
        <w:rPr>
          <w:w w:val="100"/>
        </w:rPr>
        <w:t> ;</w:t>
      </w:r>
    </w:p>
    <w:p w14:paraId="264A43D8" w14:textId="750317E8" w:rsidR="00646413" w:rsidRPr="00C51D17" w:rsidRDefault="00C16B48" w:rsidP="00C16B48">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décret n</w:t>
      </w:r>
      <w:r w:rsidR="00646413" w:rsidRPr="00C51D17">
        <w:rPr>
          <w:w w:val="100"/>
          <w:vertAlign w:val="superscript"/>
        </w:rPr>
        <w:t>o</w:t>
      </w:r>
      <w:r w:rsidRPr="00C51D17">
        <w:rPr>
          <w:w w:val="100"/>
        </w:rPr>
        <w:t> </w:t>
      </w:r>
      <w:r w:rsidR="00646413" w:rsidRPr="00C51D17">
        <w:rPr>
          <w:w w:val="100"/>
        </w:rPr>
        <w:t>19 de 2007 relatif au permis de conduire qui prévoit pour les hommes et les femmes les mêmes conditions de délivrance du permis de conduire.</w:t>
      </w:r>
    </w:p>
    <w:p w14:paraId="0A198652" w14:textId="3319BCFA" w:rsidR="00646413" w:rsidRPr="00C51D17" w:rsidRDefault="00646413" w:rsidP="00F83334">
      <w:pPr>
        <w:pStyle w:val="SingleTxt"/>
        <w:numPr>
          <w:ilvl w:val="0"/>
          <w:numId w:val="65"/>
        </w:numPr>
        <w:tabs>
          <w:tab w:val="num" w:pos="2804"/>
        </w:tabs>
        <w:spacing w:line="240" w:lineRule="exact"/>
        <w:ind w:left="1267"/>
        <w:rPr>
          <w:w w:val="100"/>
        </w:rPr>
      </w:pPr>
      <w:r w:rsidRPr="00C51D17">
        <w:rPr>
          <w:w w:val="100"/>
        </w:rPr>
        <w:t>La législation régissant le marché du travail au Qatar applique également les règles établies dans la Constitution permanente de l</w:t>
      </w:r>
      <w:r w:rsidR="00723345" w:rsidRPr="00C51D17">
        <w:rPr>
          <w:w w:val="100"/>
        </w:rPr>
        <w:t>’</w:t>
      </w:r>
      <w:r w:rsidRPr="00C51D17">
        <w:rPr>
          <w:w w:val="100"/>
        </w:rPr>
        <w:t>État, puisqu</w:t>
      </w:r>
      <w:r w:rsidR="00723345" w:rsidRPr="00C51D17">
        <w:rPr>
          <w:w w:val="100"/>
        </w:rPr>
        <w:t>’</w:t>
      </w:r>
      <w:r w:rsidRPr="00C51D17">
        <w:rPr>
          <w:w w:val="100"/>
        </w:rPr>
        <w:t>elle ne comporte aucune discrimination à l</w:t>
      </w:r>
      <w:r w:rsidR="00723345" w:rsidRPr="00C51D17">
        <w:rPr>
          <w:w w:val="100"/>
        </w:rPr>
        <w:t>’</w:t>
      </w:r>
      <w:r w:rsidRPr="00C51D17">
        <w:rPr>
          <w:w w:val="100"/>
        </w:rPr>
        <w:t>égard de la femme. Il n</w:t>
      </w:r>
      <w:r w:rsidR="00723345" w:rsidRPr="00C51D17">
        <w:rPr>
          <w:w w:val="100"/>
        </w:rPr>
        <w:t>’</w:t>
      </w:r>
      <w:r w:rsidRPr="00C51D17">
        <w:rPr>
          <w:w w:val="100"/>
        </w:rPr>
        <w:t>y a pas de différences salariales, ni de prestations différenciées selon le sexe</w:t>
      </w:r>
      <w:r w:rsidRPr="00C51D17">
        <w:rPr>
          <w:w w:val="100"/>
          <w:vertAlign w:val="superscript"/>
        </w:rPr>
        <w:footnoteReference w:id="2"/>
      </w:r>
      <w:r w:rsidR="00F83334" w:rsidRPr="00C51D17">
        <w:rPr>
          <w:w w:val="100"/>
        </w:rPr>
        <w:t>.</w:t>
      </w:r>
      <w:r w:rsidRPr="00C51D17">
        <w:rPr>
          <w:w w:val="100"/>
        </w:rPr>
        <w:t xml:space="preserve"> De même, la loi n</w:t>
      </w:r>
      <w:r w:rsidRPr="00C51D17">
        <w:rPr>
          <w:w w:val="100"/>
          <w:vertAlign w:val="superscript"/>
        </w:rPr>
        <w:t>o</w:t>
      </w:r>
      <w:r w:rsidR="00F83334" w:rsidRPr="00C51D17">
        <w:rPr>
          <w:w w:val="100"/>
        </w:rPr>
        <w:t> </w:t>
      </w:r>
      <w:r w:rsidRPr="00C51D17">
        <w:rPr>
          <w:w w:val="100"/>
        </w:rPr>
        <w:t>38 de 1995 relative à la sécurité sociale modifiée comporte des dispositions prescrivant le versement de pensions de sécurité sociale au bénéfice de plusieurs catégories sociales dont les femmes veuves, les femmes divorcées et les femmes abandonnées.</w:t>
      </w:r>
    </w:p>
    <w:p w14:paraId="1042AAE5" w14:textId="4F400284" w:rsidR="00646413" w:rsidRPr="00C51D17" w:rsidRDefault="00646413" w:rsidP="00F83334">
      <w:pPr>
        <w:pStyle w:val="SingleTxt"/>
        <w:numPr>
          <w:ilvl w:val="0"/>
          <w:numId w:val="65"/>
        </w:numPr>
        <w:spacing w:line="240" w:lineRule="exact"/>
        <w:ind w:left="1267"/>
        <w:rPr>
          <w:w w:val="100"/>
        </w:rPr>
      </w:pPr>
      <w:r w:rsidRPr="00C51D17">
        <w:rPr>
          <w:w w:val="100"/>
        </w:rPr>
        <w:t>On trouvera ci-après certaines précisions concernant la révision des lois discriminant les femmes et les filles</w:t>
      </w:r>
      <w:r w:rsidR="00F83334" w:rsidRPr="00C51D17">
        <w:rPr>
          <w:w w:val="100"/>
        </w:rPr>
        <w:t> </w:t>
      </w:r>
      <w:r w:rsidRPr="00C51D17">
        <w:rPr>
          <w:w w:val="100"/>
        </w:rPr>
        <w:t>:</w:t>
      </w:r>
    </w:p>
    <w:p w14:paraId="68A2C205" w14:textId="4C76E18B" w:rsidR="00646413" w:rsidRPr="00C51D17" w:rsidRDefault="00ED2F17" w:rsidP="00ED2F17">
      <w:pPr>
        <w:pStyle w:val="SingleTxt"/>
        <w:tabs>
          <w:tab w:val="right" w:pos="1685"/>
        </w:tabs>
        <w:ind w:left="1742" w:hanging="475"/>
        <w:rPr>
          <w:w w:val="100"/>
        </w:rPr>
      </w:pPr>
      <w:r w:rsidRPr="00C51D17">
        <w:rPr>
          <w:w w:val="100"/>
        </w:rPr>
        <w:tab/>
        <w:t>•</w:t>
      </w:r>
      <w:r w:rsidRPr="00C51D17">
        <w:rPr>
          <w:w w:val="100"/>
        </w:rPr>
        <w:tab/>
      </w:r>
      <w:r w:rsidR="00646413" w:rsidRPr="00C51D17">
        <w:rPr>
          <w:w w:val="100"/>
        </w:rPr>
        <w:t>Il n</w:t>
      </w:r>
      <w:r w:rsidR="00723345" w:rsidRPr="00C51D17">
        <w:rPr>
          <w:w w:val="100"/>
        </w:rPr>
        <w:t>’</w:t>
      </w:r>
      <w:r w:rsidR="00646413" w:rsidRPr="00C51D17">
        <w:rPr>
          <w:w w:val="100"/>
        </w:rPr>
        <w:t>existe dans la loi n</w:t>
      </w:r>
      <w:r w:rsidR="001F6807" w:rsidRPr="00C51D17">
        <w:rPr>
          <w:w w:val="100"/>
          <w:vertAlign w:val="superscript"/>
        </w:rPr>
        <w:t>o</w:t>
      </w:r>
      <w:r w:rsidR="001F6807" w:rsidRPr="00C51D17">
        <w:rPr>
          <w:w w:val="100"/>
        </w:rPr>
        <w:t> </w:t>
      </w:r>
      <w:r w:rsidR="00646413" w:rsidRPr="00C51D17">
        <w:rPr>
          <w:w w:val="100"/>
        </w:rPr>
        <w:t>22 de 2006 portant Code de la famille aucune disposition discriminatoire à l</w:t>
      </w:r>
      <w:r w:rsidR="00723345" w:rsidRPr="00C51D17">
        <w:rPr>
          <w:w w:val="100"/>
        </w:rPr>
        <w:t>’</w:t>
      </w:r>
      <w:r w:rsidR="00646413" w:rsidRPr="00C51D17">
        <w:rPr>
          <w:w w:val="100"/>
        </w:rPr>
        <w:t>égard de femmes. L</w:t>
      </w:r>
      <w:r w:rsidR="00BB07FC" w:rsidRPr="00C51D17">
        <w:rPr>
          <w:w w:val="100"/>
        </w:rPr>
        <w:t>e</w:t>
      </w:r>
      <w:r w:rsidR="00646413" w:rsidRPr="00C51D17">
        <w:rPr>
          <w:w w:val="100"/>
        </w:rPr>
        <w:t xml:space="preserve"> Qatar a accepté les dispositions </w:t>
      </w:r>
      <w:r w:rsidR="00BB07FC" w:rsidRPr="00C51D17">
        <w:rPr>
          <w:w w:val="100"/>
        </w:rPr>
        <w:t>figurant</w:t>
      </w:r>
      <w:r w:rsidR="00646413" w:rsidRPr="00C51D17">
        <w:rPr>
          <w:w w:val="100"/>
        </w:rPr>
        <w:t xml:space="preserve"> </w:t>
      </w:r>
      <w:r w:rsidR="00BB07FC" w:rsidRPr="00C51D17">
        <w:rPr>
          <w:w w:val="100"/>
        </w:rPr>
        <w:t>à</w:t>
      </w:r>
      <w:r w:rsidR="00646413" w:rsidRPr="00C51D17">
        <w:rPr>
          <w:w w:val="100"/>
        </w:rPr>
        <w:t xml:space="preserve"> l</w:t>
      </w:r>
      <w:r w:rsidR="00723345" w:rsidRPr="00C51D17">
        <w:rPr>
          <w:w w:val="100"/>
        </w:rPr>
        <w:t>’</w:t>
      </w:r>
      <w:r w:rsidR="00646413" w:rsidRPr="00C51D17">
        <w:rPr>
          <w:w w:val="100"/>
        </w:rPr>
        <w:t>article premier de la Convention, à condition qu</w:t>
      </w:r>
      <w:r w:rsidR="00723345" w:rsidRPr="00C51D17">
        <w:rPr>
          <w:w w:val="100"/>
        </w:rPr>
        <w:t>’</w:t>
      </w:r>
      <w:r w:rsidR="00646413" w:rsidRPr="00C51D17">
        <w:rPr>
          <w:w w:val="100"/>
        </w:rPr>
        <w:t xml:space="preserve">il ne soit pas entendu par le membre de phrase « quel que soit leur état matrimonial » figurant dans cet article un encouragement des relations familiales en dehors du cadre du mariage légal conformément à la </w:t>
      </w:r>
      <w:r w:rsidR="00BB07FC" w:rsidRPr="00C51D17">
        <w:rPr>
          <w:w w:val="100"/>
        </w:rPr>
        <w:t>c</w:t>
      </w:r>
      <w:r w:rsidR="00646413" w:rsidRPr="00C51D17">
        <w:rPr>
          <w:w w:val="100"/>
        </w:rPr>
        <w:t>haria</w:t>
      </w:r>
      <w:r w:rsidR="00BB07FC" w:rsidRPr="00C51D17">
        <w:rPr>
          <w:w w:val="100"/>
        </w:rPr>
        <w:t xml:space="preserve"> </w:t>
      </w:r>
      <w:r w:rsidR="00646413" w:rsidRPr="00C51D17">
        <w:rPr>
          <w:w w:val="100"/>
        </w:rPr>
        <w:t>et à la législation qatarienne</w:t>
      </w:r>
      <w:r w:rsidR="0012596A" w:rsidRPr="00C51D17">
        <w:rPr>
          <w:w w:val="100"/>
        </w:rPr>
        <w:t> ;</w:t>
      </w:r>
      <w:r w:rsidR="00646413" w:rsidRPr="00C51D17">
        <w:rPr>
          <w:w w:val="100"/>
        </w:rPr>
        <w:t xml:space="preserve"> </w:t>
      </w:r>
    </w:p>
    <w:p w14:paraId="46FA27D0" w14:textId="218100B8" w:rsidR="00646413" w:rsidRPr="00C51D17" w:rsidRDefault="00ED2F17" w:rsidP="00ED2F17">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loi n</w:t>
      </w:r>
      <w:r w:rsidR="001F6807" w:rsidRPr="00C51D17">
        <w:rPr>
          <w:w w:val="100"/>
          <w:vertAlign w:val="superscript"/>
        </w:rPr>
        <w:t>o</w:t>
      </w:r>
      <w:r w:rsidR="001F6807" w:rsidRPr="00C51D17">
        <w:rPr>
          <w:w w:val="100"/>
        </w:rPr>
        <w:t> </w:t>
      </w:r>
      <w:r w:rsidR="00646413" w:rsidRPr="00C51D17">
        <w:rPr>
          <w:w w:val="100"/>
        </w:rPr>
        <w:t>11 de 2004 portant Code pénal ne contient aucune disposition discriminant les femmes. Ce code criminalise la violence sous toutes ses formes et impose à cet égard des sanctions dissuasives. Ses dispositions favorisent la protection de la personne humaine en général et de la femme en particulier. C</w:t>
      </w:r>
      <w:r w:rsidR="00723345" w:rsidRPr="00C51D17">
        <w:rPr>
          <w:w w:val="100"/>
        </w:rPr>
        <w:t>’</w:t>
      </w:r>
      <w:r w:rsidR="00646413" w:rsidRPr="00C51D17">
        <w:rPr>
          <w:w w:val="100"/>
        </w:rPr>
        <w:t>est ainsi que les actes de violence qui visent les femmes parce qu</w:t>
      </w:r>
      <w:r w:rsidR="00723345" w:rsidRPr="00C51D17">
        <w:rPr>
          <w:w w:val="100"/>
        </w:rPr>
        <w:t>’</w:t>
      </w:r>
      <w:r w:rsidR="00646413" w:rsidRPr="00C51D17">
        <w:rPr>
          <w:w w:val="100"/>
        </w:rPr>
        <w:t xml:space="preserve">elles sont femmes sont criminalisés (violence </w:t>
      </w:r>
      <w:r w:rsidR="00BB07FC" w:rsidRPr="00C51D17">
        <w:rPr>
          <w:w w:val="100"/>
        </w:rPr>
        <w:t>fondée sur le genre</w:t>
      </w:r>
      <w:r w:rsidR="00646413" w:rsidRPr="00C51D17">
        <w:rPr>
          <w:w w:val="100"/>
        </w:rPr>
        <w:t>), notamment le viol, la violence sexuelle, l</w:t>
      </w:r>
      <w:r w:rsidR="00723345" w:rsidRPr="00C51D17">
        <w:rPr>
          <w:w w:val="100"/>
        </w:rPr>
        <w:t>’</w:t>
      </w:r>
      <w:r w:rsidR="00646413" w:rsidRPr="00C51D17">
        <w:rPr>
          <w:w w:val="100"/>
        </w:rPr>
        <w:t>exploitation dans la prostitution et l</w:t>
      </w:r>
      <w:r w:rsidR="00723345" w:rsidRPr="00C51D17">
        <w:rPr>
          <w:w w:val="100"/>
        </w:rPr>
        <w:t>’</w:t>
      </w:r>
      <w:r w:rsidR="00646413" w:rsidRPr="00C51D17">
        <w:rPr>
          <w:w w:val="100"/>
        </w:rPr>
        <w:t>avortement. Parmi ces dispositions, on citera l</w:t>
      </w:r>
      <w:r w:rsidR="00723345" w:rsidRPr="00C51D17">
        <w:rPr>
          <w:w w:val="100"/>
        </w:rPr>
        <w:t>’</w:t>
      </w:r>
      <w:r w:rsidR="00646413" w:rsidRPr="00C51D17">
        <w:rPr>
          <w:w w:val="100"/>
        </w:rPr>
        <w:t>article 279 sur le viol, dont l</w:t>
      </w:r>
      <w:r w:rsidR="00723345" w:rsidRPr="00C51D17">
        <w:rPr>
          <w:w w:val="100"/>
        </w:rPr>
        <w:t>’</w:t>
      </w:r>
      <w:r w:rsidR="00646413" w:rsidRPr="00C51D17">
        <w:rPr>
          <w:w w:val="100"/>
        </w:rPr>
        <w:t>auteur peut être condamné à la peine capitale ou à la prison à perpétuité. Si l</w:t>
      </w:r>
      <w:r w:rsidR="00723345" w:rsidRPr="00C51D17">
        <w:rPr>
          <w:w w:val="100"/>
        </w:rPr>
        <w:t>’</w:t>
      </w:r>
      <w:r w:rsidR="00646413" w:rsidRPr="00C51D17">
        <w:rPr>
          <w:w w:val="100"/>
        </w:rPr>
        <w:t>auteur du viol est un ascendant de la victime, seule la peine capitale est appliquée</w:t>
      </w:r>
      <w:r w:rsidR="0012596A" w:rsidRPr="00C51D17">
        <w:rPr>
          <w:w w:val="100"/>
        </w:rPr>
        <w:t> ;</w:t>
      </w:r>
      <w:r w:rsidR="00646413" w:rsidRPr="00C51D17">
        <w:rPr>
          <w:w w:val="100"/>
        </w:rPr>
        <w:t xml:space="preserve"> l</w:t>
      </w:r>
      <w:r w:rsidR="00723345" w:rsidRPr="00C51D17">
        <w:rPr>
          <w:w w:val="100"/>
        </w:rPr>
        <w:t>’</w:t>
      </w:r>
      <w:r w:rsidR="00646413" w:rsidRPr="00C51D17">
        <w:rPr>
          <w:w w:val="100"/>
        </w:rPr>
        <w:t>article 286 qui condamne à une peine de prison de 15 ans au maximum toute personne coupable de violence sexuelle, que ce soit par la contrainte, la menace ou la ruse, ainsi que l</w:t>
      </w:r>
      <w:r w:rsidR="00723345" w:rsidRPr="00C51D17">
        <w:rPr>
          <w:w w:val="100"/>
        </w:rPr>
        <w:t>’</w:t>
      </w:r>
      <w:r w:rsidR="00646413" w:rsidRPr="00C51D17">
        <w:rPr>
          <w:w w:val="100"/>
        </w:rPr>
        <w:t>article 288 qui présume légalement que le jeune âge d</w:t>
      </w:r>
      <w:r w:rsidR="00723345" w:rsidRPr="00C51D17">
        <w:rPr>
          <w:w w:val="100"/>
        </w:rPr>
        <w:t>’</w:t>
      </w:r>
      <w:r w:rsidR="00646413" w:rsidRPr="00C51D17">
        <w:rPr>
          <w:w w:val="100"/>
        </w:rPr>
        <w:t>une victime signifie qu</w:t>
      </w:r>
      <w:r w:rsidR="00723345" w:rsidRPr="00C51D17">
        <w:rPr>
          <w:w w:val="100"/>
        </w:rPr>
        <w:t>’</w:t>
      </w:r>
      <w:r w:rsidR="00646413" w:rsidRPr="00C51D17">
        <w:rPr>
          <w:w w:val="100"/>
        </w:rPr>
        <w:t>elle n</w:t>
      </w:r>
      <w:r w:rsidR="00723345" w:rsidRPr="00C51D17">
        <w:rPr>
          <w:w w:val="100"/>
        </w:rPr>
        <w:t>’</w:t>
      </w:r>
      <w:r w:rsidR="00646413" w:rsidRPr="00C51D17">
        <w:rPr>
          <w:w w:val="100"/>
        </w:rPr>
        <w:t>est pas consentante. La législation qatarienne couvre également la question de la violence psychologique contre les femmes. L</w:t>
      </w:r>
      <w:r w:rsidR="00723345" w:rsidRPr="00C51D17">
        <w:rPr>
          <w:w w:val="100"/>
        </w:rPr>
        <w:t>’</w:t>
      </w:r>
      <w:r w:rsidR="00646413" w:rsidRPr="00C51D17">
        <w:rPr>
          <w:w w:val="100"/>
        </w:rPr>
        <w:t>article 291 du Code pénal criminalise l</w:t>
      </w:r>
      <w:r w:rsidR="00723345" w:rsidRPr="00C51D17">
        <w:rPr>
          <w:w w:val="100"/>
        </w:rPr>
        <w:t>’</w:t>
      </w:r>
      <w:r w:rsidR="00646413" w:rsidRPr="00C51D17">
        <w:rPr>
          <w:w w:val="100"/>
        </w:rPr>
        <w:t>atteinte à la pudeur d</w:t>
      </w:r>
      <w:r w:rsidR="00723345" w:rsidRPr="00C51D17">
        <w:rPr>
          <w:w w:val="100"/>
        </w:rPr>
        <w:t>’</w:t>
      </w:r>
      <w:r w:rsidR="00646413" w:rsidRPr="00C51D17">
        <w:rPr>
          <w:w w:val="100"/>
        </w:rPr>
        <w:t>une femme, sous quelque forme que ce soit, par la parole, le geste ou l</w:t>
      </w:r>
      <w:r w:rsidR="00723345" w:rsidRPr="00C51D17">
        <w:rPr>
          <w:w w:val="100"/>
        </w:rPr>
        <w:t>’</w:t>
      </w:r>
      <w:r w:rsidR="00646413" w:rsidRPr="00C51D17">
        <w:rPr>
          <w:w w:val="100"/>
        </w:rPr>
        <w:t>attitude, cet acte étant puni d</w:t>
      </w:r>
      <w:r w:rsidR="00723345" w:rsidRPr="00C51D17">
        <w:rPr>
          <w:w w:val="100"/>
        </w:rPr>
        <w:t>’</w:t>
      </w:r>
      <w:r w:rsidR="00646413" w:rsidRPr="00C51D17">
        <w:rPr>
          <w:w w:val="100"/>
        </w:rPr>
        <w:t>une peine d</w:t>
      </w:r>
      <w:r w:rsidR="00723345" w:rsidRPr="00C51D17">
        <w:rPr>
          <w:w w:val="100"/>
        </w:rPr>
        <w:t>’</w:t>
      </w:r>
      <w:r w:rsidR="00646413" w:rsidRPr="00C51D17">
        <w:rPr>
          <w:w w:val="100"/>
        </w:rPr>
        <w:t>un an de prison au maximum et d</w:t>
      </w:r>
      <w:r w:rsidR="00723345" w:rsidRPr="00C51D17">
        <w:rPr>
          <w:w w:val="100"/>
        </w:rPr>
        <w:t>’</w:t>
      </w:r>
      <w:r w:rsidR="00646413" w:rsidRPr="00C51D17">
        <w:rPr>
          <w:w w:val="100"/>
        </w:rPr>
        <w:t>une amende de 5 000 riyals au maximum</w:t>
      </w:r>
      <w:r w:rsidR="0012596A" w:rsidRPr="00C51D17">
        <w:rPr>
          <w:w w:val="100"/>
        </w:rPr>
        <w:t> ;</w:t>
      </w:r>
    </w:p>
    <w:p w14:paraId="05D622EB" w14:textId="663F5B09" w:rsidR="00646413" w:rsidRPr="00C51D17" w:rsidRDefault="00ED2F17" w:rsidP="00ED2F17">
      <w:pPr>
        <w:pStyle w:val="SingleTxt"/>
        <w:tabs>
          <w:tab w:val="right" w:pos="1685"/>
        </w:tabs>
        <w:ind w:left="1742" w:hanging="475"/>
        <w:rPr>
          <w:b/>
          <w:w w:val="100"/>
        </w:rPr>
      </w:pPr>
      <w:r w:rsidRPr="00C51D17">
        <w:rPr>
          <w:w w:val="100"/>
        </w:rPr>
        <w:tab/>
        <w:t>•</w:t>
      </w:r>
      <w:r w:rsidRPr="00C51D17">
        <w:rPr>
          <w:w w:val="100"/>
        </w:rPr>
        <w:tab/>
      </w:r>
      <w:r w:rsidR="00646413" w:rsidRPr="00C51D17">
        <w:rPr>
          <w:w w:val="100"/>
        </w:rPr>
        <w:t>La Constitution permanente énonce en son article 41 que « La nationalité du Qatar et les règles la gouvernant sont prescrites par la loi, et celle-ci à la nature d</w:t>
      </w:r>
      <w:r w:rsidR="00723345" w:rsidRPr="00C51D17">
        <w:rPr>
          <w:w w:val="100"/>
        </w:rPr>
        <w:t>’</w:t>
      </w:r>
      <w:r w:rsidR="00646413" w:rsidRPr="00C51D17">
        <w:rPr>
          <w:w w:val="100"/>
        </w:rPr>
        <w:t>une loi constitutionnelle »</w:t>
      </w:r>
      <w:r w:rsidR="00211824" w:rsidRPr="00C51D17">
        <w:rPr>
          <w:w w:val="100"/>
        </w:rPr>
        <w:t>.</w:t>
      </w:r>
      <w:r w:rsidR="00646413" w:rsidRPr="00C51D17">
        <w:rPr>
          <w:w w:val="100"/>
        </w:rPr>
        <w:t xml:space="preserve"> La loi n</w:t>
      </w:r>
      <w:r w:rsidR="00646413" w:rsidRPr="00C51D17">
        <w:rPr>
          <w:w w:val="100"/>
          <w:vertAlign w:val="superscript"/>
        </w:rPr>
        <w:t>o</w:t>
      </w:r>
      <w:r w:rsidRPr="00C51D17">
        <w:rPr>
          <w:w w:val="100"/>
        </w:rPr>
        <w:t> </w:t>
      </w:r>
      <w:r w:rsidR="00646413" w:rsidRPr="00C51D17">
        <w:rPr>
          <w:w w:val="100"/>
        </w:rPr>
        <w:t>38 de 2005 portant Code de la nationalité prescrit les conditions d</w:t>
      </w:r>
      <w:r w:rsidR="00723345" w:rsidRPr="00C51D17">
        <w:rPr>
          <w:w w:val="100"/>
        </w:rPr>
        <w:t>’</w:t>
      </w:r>
      <w:r w:rsidR="00646413" w:rsidRPr="00C51D17">
        <w:rPr>
          <w:w w:val="100"/>
        </w:rPr>
        <w:t>acquisition, d</w:t>
      </w:r>
      <w:r w:rsidR="00723345" w:rsidRPr="00C51D17">
        <w:rPr>
          <w:w w:val="100"/>
        </w:rPr>
        <w:t>’</w:t>
      </w:r>
      <w:r w:rsidR="00646413" w:rsidRPr="00C51D17">
        <w:rPr>
          <w:w w:val="100"/>
        </w:rPr>
        <w:t>octroi, de retrait et de rétablissement de la nationalité qatarienne sans aucune distinction entre l</w:t>
      </w:r>
      <w:r w:rsidR="00723345" w:rsidRPr="00C51D17">
        <w:rPr>
          <w:w w:val="100"/>
        </w:rPr>
        <w:t>’</w:t>
      </w:r>
      <w:r w:rsidR="00646413" w:rsidRPr="00C51D17">
        <w:rPr>
          <w:w w:val="100"/>
        </w:rPr>
        <w:t>homme et la femme. À l</w:t>
      </w:r>
      <w:r w:rsidR="00723345" w:rsidRPr="00C51D17">
        <w:rPr>
          <w:w w:val="100"/>
        </w:rPr>
        <w:t>’</w:t>
      </w:r>
      <w:r w:rsidR="00646413" w:rsidRPr="00C51D17">
        <w:rPr>
          <w:w w:val="100"/>
        </w:rPr>
        <w:t>exclusion du cas du mariage d</w:t>
      </w:r>
      <w:r w:rsidR="00723345" w:rsidRPr="00C51D17">
        <w:rPr>
          <w:w w:val="100"/>
        </w:rPr>
        <w:t>’</w:t>
      </w:r>
      <w:r w:rsidR="00646413" w:rsidRPr="00C51D17">
        <w:rPr>
          <w:w w:val="100"/>
        </w:rPr>
        <w:t>un</w:t>
      </w:r>
      <w:r w:rsidR="00625AC6" w:rsidRPr="00C51D17">
        <w:rPr>
          <w:w w:val="100"/>
        </w:rPr>
        <w:t>e</w:t>
      </w:r>
      <w:r w:rsidR="00646413" w:rsidRPr="00C51D17">
        <w:rPr>
          <w:w w:val="100"/>
        </w:rPr>
        <w:t xml:space="preserve"> Qatarienne avec un non-Qatarien, la nationalité qatarienne n</w:t>
      </w:r>
      <w:r w:rsidR="00723345" w:rsidRPr="00C51D17">
        <w:rPr>
          <w:w w:val="100"/>
        </w:rPr>
        <w:t>’</w:t>
      </w:r>
      <w:r w:rsidR="00646413" w:rsidRPr="00C51D17">
        <w:rPr>
          <w:w w:val="100"/>
        </w:rPr>
        <w:t>est pas accordée à l</w:t>
      </w:r>
      <w:r w:rsidR="00723345" w:rsidRPr="00C51D17">
        <w:rPr>
          <w:w w:val="100"/>
        </w:rPr>
        <w:t>’</w:t>
      </w:r>
      <w:r w:rsidR="00646413" w:rsidRPr="00C51D17">
        <w:rPr>
          <w:w w:val="100"/>
        </w:rPr>
        <w:t>époux d</w:t>
      </w:r>
      <w:r w:rsidR="00723345" w:rsidRPr="00C51D17">
        <w:rPr>
          <w:w w:val="100"/>
        </w:rPr>
        <w:t>’</w:t>
      </w:r>
      <w:r w:rsidR="00646413" w:rsidRPr="00C51D17">
        <w:rPr>
          <w:w w:val="100"/>
        </w:rPr>
        <w:t>une Qatarienne et à ses enfants, car l</w:t>
      </w:r>
      <w:r w:rsidR="00723345" w:rsidRPr="00C51D17">
        <w:rPr>
          <w:w w:val="100"/>
        </w:rPr>
        <w:t>’</w:t>
      </w:r>
      <w:r w:rsidR="00646413" w:rsidRPr="00C51D17">
        <w:rPr>
          <w:w w:val="100"/>
        </w:rPr>
        <w:t>octroi de la nationalité est considéré comme un acte souverain relevant du pouvoir discrétionnaire de l</w:t>
      </w:r>
      <w:r w:rsidR="00723345" w:rsidRPr="00C51D17">
        <w:rPr>
          <w:w w:val="100"/>
        </w:rPr>
        <w:t>’</w:t>
      </w:r>
      <w:r w:rsidR="00646413" w:rsidRPr="00C51D17">
        <w:rPr>
          <w:w w:val="100"/>
        </w:rPr>
        <w:t>État. Dans les règles régissant l</w:t>
      </w:r>
      <w:r w:rsidR="00723345" w:rsidRPr="00C51D17">
        <w:rPr>
          <w:w w:val="100"/>
        </w:rPr>
        <w:t>’</w:t>
      </w:r>
      <w:r w:rsidR="00646413" w:rsidRPr="00C51D17">
        <w:rPr>
          <w:w w:val="100"/>
        </w:rPr>
        <w:t>octroi de la nationalité qatarienne, la priorité va à la personne de mère qatarienne. La femme qatarienne ne perd pas sa nationalité en cas de mariage avec un non-Qatarien, sauf s</w:t>
      </w:r>
      <w:r w:rsidR="00723345" w:rsidRPr="00C51D17">
        <w:rPr>
          <w:w w:val="100"/>
        </w:rPr>
        <w:t>’</w:t>
      </w:r>
      <w:r w:rsidR="00646413" w:rsidRPr="00C51D17">
        <w:rPr>
          <w:w w:val="100"/>
        </w:rPr>
        <w:t>il est prouvé qu</w:t>
      </w:r>
      <w:r w:rsidR="00723345" w:rsidRPr="00C51D17">
        <w:rPr>
          <w:w w:val="100"/>
        </w:rPr>
        <w:t>’</w:t>
      </w:r>
      <w:r w:rsidR="00646413" w:rsidRPr="00C51D17">
        <w:rPr>
          <w:w w:val="100"/>
        </w:rPr>
        <w:t>elle a acquis la nationalité de son époux. Dans ce cas, elle peut par la suite être réintégrée dans la nationalité qatarienne si elle abandonne l</w:t>
      </w:r>
      <w:r w:rsidR="00723345" w:rsidRPr="00C51D17">
        <w:rPr>
          <w:w w:val="100"/>
        </w:rPr>
        <w:t>’</w:t>
      </w:r>
      <w:r w:rsidR="00646413" w:rsidRPr="00C51D17">
        <w:rPr>
          <w:w w:val="100"/>
        </w:rPr>
        <w:t>autre nationalité.</w:t>
      </w:r>
    </w:p>
    <w:p w14:paraId="4C4B3C52" w14:textId="047491E6" w:rsidR="00371522" w:rsidRPr="00C51D17" w:rsidRDefault="00ED2F17" w:rsidP="00ED2F17">
      <w:pPr>
        <w:pStyle w:val="SingleTxt"/>
        <w:rPr>
          <w:w w:val="100"/>
        </w:rPr>
      </w:pPr>
      <w:r w:rsidRPr="00C51D17">
        <w:rPr>
          <w:w w:val="100"/>
        </w:rPr>
        <w:tab/>
      </w:r>
      <w:r w:rsidR="00646413" w:rsidRPr="00C51D17">
        <w:rPr>
          <w:w w:val="100"/>
        </w:rPr>
        <w:t>Il importe à cet égard de souligner l</w:t>
      </w:r>
      <w:r w:rsidR="00723345" w:rsidRPr="00C51D17">
        <w:rPr>
          <w:w w:val="100"/>
        </w:rPr>
        <w:t>’</w:t>
      </w:r>
      <w:r w:rsidR="00646413" w:rsidRPr="00C51D17">
        <w:rPr>
          <w:w w:val="100"/>
        </w:rPr>
        <w:t>adoption de la loi n</w:t>
      </w:r>
      <w:r w:rsidR="001F6807" w:rsidRPr="00C51D17">
        <w:rPr>
          <w:w w:val="100"/>
          <w:vertAlign w:val="superscript"/>
        </w:rPr>
        <w:t>o</w:t>
      </w:r>
      <w:r w:rsidR="001F6807" w:rsidRPr="00C51D17">
        <w:rPr>
          <w:w w:val="100"/>
        </w:rPr>
        <w:t> </w:t>
      </w:r>
      <w:r w:rsidR="00646413" w:rsidRPr="00C51D17">
        <w:rPr>
          <w:w w:val="100"/>
        </w:rPr>
        <w:t>10 de 2018 relative au permis de résidence permanente, qui est accordé à certaines catégories dont les enfants de Qatariennes mariées à des étrangers. La carte de résident permanent donne à son détenteur un certain nombre d</w:t>
      </w:r>
      <w:r w:rsidR="00723345" w:rsidRPr="00C51D17">
        <w:rPr>
          <w:w w:val="100"/>
        </w:rPr>
        <w:t>’</w:t>
      </w:r>
      <w:r w:rsidR="00646413" w:rsidRPr="00C51D17">
        <w:rPr>
          <w:w w:val="100"/>
        </w:rPr>
        <w:t>avantages en matière d</w:t>
      </w:r>
      <w:r w:rsidR="00723345" w:rsidRPr="00C51D17">
        <w:rPr>
          <w:w w:val="100"/>
        </w:rPr>
        <w:t>’</w:t>
      </w:r>
      <w:r w:rsidR="00646413" w:rsidRPr="00C51D17">
        <w:rPr>
          <w:w w:val="100"/>
        </w:rPr>
        <w:t>éducation, de soins de santé et de nomination à des fonctions générales militaires et civiles et de propriété foncière.</w:t>
      </w:r>
    </w:p>
    <w:p w14:paraId="4CE46F68" w14:textId="7292C670" w:rsidR="00371522" w:rsidRPr="00C51D17" w:rsidRDefault="00371522" w:rsidP="00371522">
      <w:pPr>
        <w:pStyle w:val="SingleTxt"/>
        <w:spacing w:after="0" w:line="120" w:lineRule="exact"/>
        <w:rPr>
          <w:w w:val="100"/>
          <w:sz w:val="10"/>
        </w:rPr>
      </w:pPr>
    </w:p>
    <w:p w14:paraId="2313246D" w14:textId="02247D38" w:rsidR="00646413" w:rsidRPr="00C51D17" w:rsidRDefault="00371522" w:rsidP="003715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 xml:space="preserve">Réserves </w:t>
      </w:r>
    </w:p>
    <w:p w14:paraId="4CE48AA2" w14:textId="76A75905" w:rsidR="00371522" w:rsidRPr="00C51D17" w:rsidRDefault="00371522" w:rsidP="00371522">
      <w:pPr>
        <w:pStyle w:val="SingleTxt"/>
        <w:spacing w:after="0" w:line="120" w:lineRule="exact"/>
        <w:rPr>
          <w:sz w:val="10"/>
        </w:rPr>
      </w:pPr>
    </w:p>
    <w:p w14:paraId="3069411E" w14:textId="4609E333" w:rsidR="00646413" w:rsidRPr="00C51D17" w:rsidRDefault="00646413" w:rsidP="00371522">
      <w:pPr>
        <w:pStyle w:val="SingleTxt"/>
        <w:numPr>
          <w:ilvl w:val="0"/>
          <w:numId w:val="65"/>
        </w:numPr>
        <w:spacing w:line="240" w:lineRule="exact"/>
        <w:ind w:left="1267"/>
        <w:rPr>
          <w:w w:val="100"/>
        </w:rPr>
      </w:pPr>
      <w:r w:rsidRPr="00C51D17">
        <w:rPr>
          <w:w w:val="100"/>
        </w:rPr>
        <w:t>Le Qatar s</w:t>
      </w:r>
      <w:r w:rsidR="00723345" w:rsidRPr="00C51D17">
        <w:rPr>
          <w:w w:val="100"/>
        </w:rPr>
        <w:t>’</w:t>
      </w:r>
      <w:r w:rsidRPr="00C51D17">
        <w:rPr>
          <w:w w:val="100"/>
        </w:rPr>
        <w:t>emploie régulièrement à réviser les réserves formulées dans toutes les conventions internationales relatives aux droits de l</w:t>
      </w:r>
      <w:r w:rsidR="00723345" w:rsidRPr="00C51D17">
        <w:rPr>
          <w:w w:val="100"/>
        </w:rPr>
        <w:t>’</w:t>
      </w:r>
      <w:r w:rsidRPr="00C51D17">
        <w:rPr>
          <w:w w:val="100"/>
        </w:rPr>
        <w:t>homme. Aucun calendrier précis n</w:t>
      </w:r>
      <w:r w:rsidR="00723345" w:rsidRPr="00C51D17">
        <w:rPr>
          <w:w w:val="100"/>
        </w:rPr>
        <w:t>’</w:t>
      </w:r>
      <w:r w:rsidRPr="00C51D17">
        <w:rPr>
          <w:w w:val="100"/>
        </w:rPr>
        <w:t>a cependant été établi concernant l</w:t>
      </w:r>
      <w:r w:rsidR="00723345" w:rsidRPr="00C51D17">
        <w:rPr>
          <w:w w:val="100"/>
        </w:rPr>
        <w:t>’</w:t>
      </w:r>
      <w:r w:rsidRPr="00C51D17">
        <w:rPr>
          <w:w w:val="100"/>
        </w:rPr>
        <w:t>examen des réserves à la Convention sur l</w:t>
      </w:r>
      <w:r w:rsidR="00723345" w:rsidRPr="00C51D17">
        <w:rPr>
          <w:w w:val="100"/>
        </w:rPr>
        <w:t>’</w:t>
      </w:r>
      <w:r w:rsidRPr="00C51D17">
        <w:rPr>
          <w:w w:val="100"/>
        </w:rPr>
        <w:t>élimination de toutes les formes de discrimination à l</w:t>
      </w:r>
      <w:r w:rsidR="00723345" w:rsidRPr="00C51D17">
        <w:rPr>
          <w:w w:val="100"/>
        </w:rPr>
        <w:t>’</w:t>
      </w:r>
      <w:r w:rsidRPr="00C51D17">
        <w:rPr>
          <w:w w:val="100"/>
        </w:rPr>
        <w:t>égard des femmes</w:t>
      </w:r>
      <w:r w:rsidRPr="00C51D17">
        <w:rPr>
          <w:w w:val="100"/>
          <w:vertAlign w:val="superscript"/>
        </w:rPr>
        <w:footnoteReference w:id="3"/>
      </w:r>
      <w:r w:rsidR="004611DB" w:rsidRPr="00C51D17">
        <w:rPr>
          <w:w w:val="100"/>
        </w:rPr>
        <w:t>.</w:t>
      </w:r>
      <w:r w:rsidRPr="00C51D17">
        <w:rPr>
          <w:w w:val="100"/>
        </w:rPr>
        <w:t xml:space="preserve"> </w:t>
      </w:r>
    </w:p>
    <w:p w14:paraId="50F3EC5F" w14:textId="559D6825" w:rsidR="00646413" w:rsidRPr="00C51D17" w:rsidRDefault="00646413" w:rsidP="00371522">
      <w:pPr>
        <w:pStyle w:val="SingleTxt"/>
        <w:numPr>
          <w:ilvl w:val="0"/>
          <w:numId w:val="65"/>
        </w:numPr>
        <w:spacing w:line="240" w:lineRule="exact"/>
        <w:ind w:left="1267"/>
        <w:rPr>
          <w:w w:val="100"/>
        </w:rPr>
      </w:pPr>
      <w:r w:rsidRPr="00C51D17">
        <w:rPr>
          <w:w w:val="100"/>
        </w:rPr>
        <w:t>En ce qui concerne les formations destinées aux institutions qui exercent une autorité en relation avec l</w:t>
      </w:r>
      <w:r w:rsidR="00723345" w:rsidRPr="00C51D17">
        <w:rPr>
          <w:w w:val="100"/>
        </w:rPr>
        <w:t>’</w:t>
      </w:r>
      <w:r w:rsidRPr="00C51D17">
        <w:rPr>
          <w:w w:val="100"/>
        </w:rPr>
        <w:t>islam, la Commission nationale des droits de l</w:t>
      </w:r>
      <w:r w:rsidR="00723345" w:rsidRPr="00C51D17">
        <w:rPr>
          <w:w w:val="100"/>
        </w:rPr>
        <w:t>’</w:t>
      </w:r>
      <w:r w:rsidRPr="00C51D17">
        <w:rPr>
          <w:w w:val="100"/>
        </w:rPr>
        <w:t>homme a organisé de 2011 à 2015 des cycles de formation sur les droits de l</w:t>
      </w:r>
      <w:r w:rsidR="00723345" w:rsidRPr="00C51D17">
        <w:rPr>
          <w:w w:val="100"/>
        </w:rPr>
        <w:t>’</w:t>
      </w:r>
      <w:r w:rsidRPr="00C51D17">
        <w:rPr>
          <w:w w:val="100"/>
        </w:rPr>
        <w:t>homme à l</w:t>
      </w:r>
      <w:r w:rsidR="00723345" w:rsidRPr="00C51D17">
        <w:rPr>
          <w:w w:val="100"/>
        </w:rPr>
        <w:t>’</w:t>
      </w:r>
      <w:r w:rsidRPr="00C51D17">
        <w:rPr>
          <w:w w:val="100"/>
        </w:rPr>
        <w:t>intention de 80 « prêcheurs des mosquées », qui ont, entre autres, porté sur la Convention sur l</w:t>
      </w:r>
      <w:r w:rsidR="00723345" w:rsidRPr="00C51D17">
        <w:rPr>
          <w:w w:val="100"/>
        </w:rPr>
        <w:t>’</w:t>
      </w:r>
      <w:r w:rsidRPr="00C51D17">
        <w:rPr>
          <w:w w:val="100"/>
        </w:rPr>
        <w:t>élimination de toutes les formes de discrimination à l</w:t>
      </w:r>
      <w:r w:rsidR="00723345" w:rsidRPr="00C51D17">
        <w:rPr>
          <w:w w:val="100"/>
        </w:rPr>
        <w:t>’</w:t>
      </w:r>
      <w:r w:rsidRPr="00C51D17">
        <w:rPr>
          <w:w w:val="100"/>
        </w:rPr>
        <w:t>égard des femmes. Ces formations ont été couronnées de succès au point où les prêcheurs des mosquées demandent de les organiser à nouveau et de les élargir à un nombre plus élevé de prêcheurs et de fonctionnaires du Ministère des Awqafs et des affaires islamiques. Il a donc été décidé d</w:t>
      </w:r>
      <w:r w:rsidR="00723345" w:rsidRPr="00C51D17">
        <w:rPr>
          <w:w w:val="100"/>
        </w:rPr>
        <w:t>’</w:t>
      </w:r>
      <w:r w:rsidRPr="00C51D17">
        <w:rPr>
          <w:w w:val="100"/>
        </w:rPr>
        <w:t>offrir à nouveau ce type de formation dès mai 2019 dans le cadre du programme de travail de la Commission des droits de l</w:t>
      </w:r>
      <w:r w:rsidR="00723345" w:rsidRPr="00C51D17">
        <w:rPr>
          <w:w w:val="100"/>
        </w:rPr>
        <w:t>’</w:t>
      </w:r>
      <w:r w:rsidRPr="00C51D17">
        <w:rPr>
          <w:w w:val="100"/>
        </w:rPr>
        <w:t>homme.</w:t>
      </w:r>
    </w:p>
    <w:p w14:paraId="38BFD580" w14:textId="2B5C444E" w:rsidR="00646413" w:rsidRPr="00C51D17" w:rsidRDefault="00646413" w:rsidP="00371522">
      <w:pPr>
        <w:pStyle w:val="SingleTxt"/>
        <w:numPr>
          <w:ilvl w:val="0"/>
          <w:numId w:val="65"/>
        </w:numPr>
        <w:spacing w:line="240" w:lineRule="exact"/>
        <w:ind w:left="1267"/>
        <w:rPr>
          <w:w w:val="100"/>
        </w:rPr>
      </w:pPr>
      <w:r w:rsidRPr="00C51D17">
        <w:rPr>
          <w:w w:val="100"/>
        </w:rPr>
        <w:t>De même, le Ministère des Awqafs et des affaires islamiques a mené, dans le cadre des prêches du vendredi, des actions de sensibilisation aux questions de la lutte contre la discrimination entre les sexes, de la violence contre les femmes et de la violence domestique. Il a également consacré certaines de ses publications à ces questions.</w:t>
      </w:r>
    </w:p>
    <w:p w14:paraId="326E52F0" w14:textId="0DB5277A" w:rsidR="00646413" w:rsidRPr="00C51D17" w:rsidRDefault="00646413" w:rsidP="00371522">
      <w:pPr>
        <w:pStyle w:val="SingleTxt"/>
        <w:spacing w:after="0" w:line="120" w:lineRule="exact"/>
        <w:rPr>
          <w:w w:val="100"/>
          <w:sz w:val="10"/>
        </w:rPr>
      </w:pPr>
    </w:p>
    <w:p w14:paraId="4D7086F2" w14:textId="7917035E" w:rsidR="00646413" w:rsidRPr="00C51D17" w:rsidRDefault="00371522" w:rsidP="003715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Définition de la discrimination</w:t>
      </w:r>
    </w:p>
    <w:p w14:paraId="02E933CC" w14:textId="4774DC52" w:rsidR="00371522" w:rsidRPr="00C51D17" w:rsidRDefault="00371522" w:rsidP="00371522">
      <w:pPr>
        <w:pStyle w:val="SingleTxt"/>
        <w:spacing w:after="0" w:line="120" w:lineRule="exact"/>
        <w:rPr>
          <w:sz w:val="10"/>
        </w:rPr>
      </w:pPr>
    </w:p>
    <w:p w14:paraId="70F5CFDF" w14:textId="4ECF4074" w:rsidR="00646413" w:rsidRPr="00C51D17" w:rsidRDefault="00646413" w:rsidP="00371522">
      <w:pPr>
        <w:pStyle w:val="SingleTxt"/>
        <w:numPr>
          <w:ilvl w:val="0"/>
          <w:numId w:val="65"/>
        </w:numPr>
        <w:spacing w:line="240" w:lineRule="exact"/>
        <w:ind w:left="1267"/>
        <w:rPr>
          <w:w w:val="100"/>
        </w:rPr>
      </w:pPr>
      <w:r w:rsidRPr="00C51D17">
        <w:rPr>
          <w:w w:val="100"/>
        </w:rPr>
        <w:t>Le cadre juridique du Qatar, qu</w:t>
      </w:r>
      <w:r w:rsidR="00723345" w:rsidRPr="00C51D17">
        <w:rPr>
          <w:w w:val="100"/>
        </w:rPr>
        <w:t>’</w:t>
      </w:r>
      <w:r w:rsidRPr="00C51D17">
        <w:rPr>
          <w:w w:val="100"/>
        </w:rPr>
        <w:t>il s</w:t>
      </w:r>
      <w:r w:rsidR="00723345" w:rsidRPr="00C51D17">
        <w:rPr>
          <w:w w:val="100"/>
        </w:rPr>
        <w:t>’</w:t>
      </w:r>
      <w:r w:rsidRPr="00C51D17">
        <w:rPr>
          <w:w w:val="100"/>
        </w:rPr>
        <w:t>agisse de la Constitution ou de la législation nationale, est conforme aux dispositions de l</w:t>
      </w:r>
      <w:r w:rsidR="00723345" w:rsidRPr="00C51D17">
        <w:rPr>
          <w:w w:val="100"/>
        </w:rPr>
        <w:t>’</w:t>
      </w:r>
      <w:r w:rsidRPr="00C51D17">
        <w:rPr>
          <w:w w:val="100"/>
        </w:rPr>
        <w:t>article premier de la Convention relatif à la définition de la discrimination à l</w:t>
      </w:r>
      <w:r w:rsidR="00723345" w:rsidRPr="00C51D17">
        <w:rPr>
          <w:w w:val="100"/>
        </w:rPr>
        <w:t>’</w:t>
      </w:r>
      <w:r w:rsidRPr="00C51D17">
        <w:rPr>
          <w:w w:val="100"/>
        </w:rPr>
        <w:t>égard des femmes. Le Qatar a aussi veillé à adhérer aux conventions et protocoles internationaux relatifs à la protection des droits des femmes, à la lutte contre les violences faites aux femmes sous toutes leurs formes et à la lutte contre la traite des personnes. Il a en outre adhéré en 2009 à la Convention des Nations Unies contre la criminalité transnationale organisée et à son Protocole visant à prévenir, réprimer et punir la traite des personnes, en particulier des femmes et des enfants. Le Qatar a promulgué plusieurs lois mettant l</w:t>
      </w:r>
      <w:r w:rsidR="00723345" w:rsidRPr="00C51D17">
        <w:rPr>
          <w:w w:val="100"/>
        </w:rPr>
        <w:t>’</w:t>
      </w:r>
      <w:r w:rsidRPr="00C51D17">
        <w:rPr>
          <w:w w:val="100"/>
        </w:rPr>
        <w:t>accent sur la protection de la femme contre les atteintes à sa personne, la violence ou la traite, dont le Code de la famille qatarien, en 2006, et la loi relative à la lutte contre la traite des personnes, en 2011.</w:t>
      </w:r>
    </w:p>
    <w:p w14:paraId="541E78DB" w14:textId="77777777" w:rsidR="00BB643E" w:rsidRPr="00C51D17" w:rsidRDefault="00BB643E" w:rsidP="00BB643E">
      <w:pPr>
        <w:pStyle w:val="SingleTxt"/>
        <w:spacing w:after="0" w:line="120" w:lineRule="exact"/>
        <w:rPr>
          <w:w w:val="100"/>
          <w:sz w:val="10"/>
        </w:rPr>
      </w:pPr>
    </w:p>
    <w:p w14:paraId="213495AD" w14:textId="673C06DD" w:rsidR="00646413" w:rsidRPr="00C51D17" w:rsidRDefault="00BB643E" w:rsidP="00BB64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Mécanisme national de promotion des femmes</w:t>
      </w:r>
    </w:p>
    <w:p w14:paraId="04E04B5E" w14:textId="2BB80B06" w:rsidR="00BB643E" w:rsidRPr="00C51D17" w:rsidRDefault="00BB643E" w:rsidP="00BB643E">
      <w:pPr>
        <w:pStyle w:val="SingleTxt"/>
        <w:spacing w:after="0" w:line="120" w:lineRule="exact"/>
        <w:rPr>
          <w:sz w:val="10"/>
        </w:rPr>
      </w:pPr>
    </w:p>
    <w:p w14:paraId="795EC478" w14:textId="279D9C3F" w:rsidR="00646413" w:rsidRPr="00C51D17" w:rsidRDefault="00646413" w:rsidP="00BB643E">
      <w:pPr>
        <w:pStyle w:val="SingleTxt"/>
        <w:numPr>
          <w:ilvl w:val="0"/>
          <w:numId w:val="65"/>
        </w:numPr>
        <w:spacing w:line="240" w:lineRule="exact"/>
        <w:ind w:left="1267"/>
        <w:rPr>
          <w:w w:val="100"/>
        </w:rPr>
      </w:pPr>
      <w:r w:rsidRPr="00C51D17">
        <w:rPr>
          <w:w w:val="100"/>
        </w:rPr>
        <w:t>En ce qui concerne les renseignements demandés sur les moyens alloués au Ministère du développement administratif, du travail et des affaires sociales pour promouvoir l</w:t>
      </w:r>
      <w:r w:rsidR="00723345" w:rsidRPr="00C51D17">
        <w:rPr>
          <w:w w:val="100"/>
        </w:rPr>
        <w:t>’</w:t>
      </w:r>
      <w:r w:rsidRPr="00C51D17">
        <w:rPr>
          <w:w w:val="100"/>
        </w:rPr>
        <w:t>égalité des sexes, on notera que ce département emploie près de 250</w:t>
      </w:r>
      <w:r w:rsidR="00BB643E" w:rsidRPr="00C51D17">
        <w:rPr>
          <w:w w:val="100"/>
        </w:rPr>
        <w:t> </w:t>
      </w:r>
      <w:r w:rsidRPr="00C51D17">
        <w:rPr>
          <w:w w:val="100"/>
        </w:rPr>
        <w:t>fonctionnaires et experts dans les questions de la femme, de l</w:t>
      </w:r>
      <w:r w:rsidR="00723345" w:rsidRPr="00C51D17">
        <w:rPr>
          <w:w w:val="100"/>
        </w:rPr>
        <w:t>’</w:t>
      </w:r>
      <w:r w:rsidRPr="00C51D17">
        <w:rPr>
          <w:w w:val="100"/>
        </w:rPr>
        <w:t>enfant et des personnes handicapées. Le Ministère bénéficie de moyens suffisants pour mener à bien ses activités, notamment celles qui concernent l</w:t>
      </w:r>
      <w:r w:rsidR="00723345" w:rsidRPr="00C51D17">
        <w:rPr>
          <w:w w:val="100"/>
        </w:rPr>
        <w:t>’</w:t>
      </w:r>
      <w:r w:rsidRPr="00C51D17">
        <w:rPr>
          <w:w w:val="100"/>
        </w:rPr>
        <w:t>égalité entre les sexes.</w:t>
      </w:r>
    </w:p>
    <w:p w14:paraId="43A41965" w14:textId="5767E625" w:rsidR="00646413" w:rsidRPr="00C51D17" w:rsidRDefault="00646413" w:rsidP="00BB643E">
      <w:pPr>
        <w:pStyle w:val="SingleTxt"/>
        <w:numPr>
          <w:ilvl w:val="0"/>
          <w:numId w:val="65"/>
        </w:numPr>
        <w:spacing w:line="240" w:lineRule="exact"/>
        <w:ind w:left="1267"/>
        <w:rPr>
          <w:w w:val="100"/>
        </w:rPr>
      </w:pPr>
      <w:r w:rsidRPr="00C51D17">
        <w:rPr>
          <w:w w:val="100"/>
        </w:rPr>
        <w:t>Grâce aux efforts et activités du Département des affaires de la famille en faveur de la femme au cours de la période allant de 2016 à 2018, des progrès notables ont été enregistrés sur le chemin de l</w:t>
      </w:r>
      <w:r w:rsidR="00723345" w:rsidRPr="00C51D17">
        <w:rPr>
          <w:w w:val="100"/>
        </w:rPr>
        <w:t>’</w:t>
      </w:r>
      <w:r w:rsidRPr="00C51D17">
        <w:rPr>
          <w:w w:val="100"/>
        </w:rPr>
        <w:t>égalité entre les sexes, notamment à la faveur de l</w:t>
      </w:r>
      <w:r w:rsidR="00723345" w:rsidRPr="00C51D17">
        <w:rPr>
          <w:w w:val="100"/>
        </w:rPr>
        <w:t>’</w:t>
      </w:r>
      <w:r w:rsidRPr="00C51D17">
        <w:rPr>
          <w:w w:val="100"/>
        </w:rPr>
        <w:t>exécution de plusieurs programmes et initiatives</w:t>
      </w:r>
      <w:r w:rsidRPr="00C51D17">
        <w:rPr>
          <w:w w:val="100"/>
          <w:vertAlign w:val="superscript"/>
        </w:rPr>
        <w:footnoteReference w:id="4"/>
      </w:r>
      <w:r w:rsidR="006A754E" w:rsidRPr="00C51D17">
        <w:rPr>
          <w:w w:val="100"/>
        </w:rPr>
        <w:t>.</w:t>
      </w:r>
    </w:p>
    <w:p w14:paraId="096EFD74" w14:textId="47AD301E" w:rsidR="00646413" w:rsidRPr="00C51D17" w:rsidRDefault="00646413" w:rsidP="00BB643E">
      <w:pPr>
        <w:pStyle w:val="SingleTxt"/>
        <w:numPr>
          <w:ilvl w:val="0"/>
          <w:numId w:val="65"/>
        </w:numPr>
        <w:spacing w:line="240" w:lineRule="exact"/>
        <w:ind w:left="1267"/>
        <w:rPr>
          <w:w w:val="100"/>
        </w:rPr>
      </w:pPr>
      <w:r w:rsidRPr="00C51D17">
        <w:rPr>
          <w:w w:val="100"/>
        </w:rPr>
        <w:t>Par ailleurs, on notera que la plupart des organisations de la société civile du Qatar travaillent sous l</w:t>
      </w:r>
      <w:r w:rsidR="00723345" w:rsidRPr="00C51D17">
        <w:rPr>
          <w:w w:val="100"/>
        </w:rPr>
        <w:t>’</w:t>
      </w:r>
      <w:r w:rsidRPr="00C51D17">
        <w:rPr>
          <w:w w:val="100"/>
        </w:rPr>
        <w:t>égide de la Fondation du Qatar pour l</w:t>
      </w:r>
      <w:r w:rsidR="00723345" w:rsidRPr="00C51D17">
        <w:rPr>
          <w:w w:val="100"/>
        </w:rPr>
        <w:t>’</w:t>
      </w:r>
      <w:r w:rsidRPr="00C51D17">
        <w:rPr>
          <w:w w:val="100"/>
        </w:rPr>
        <w:t>action sociale, qui est chargée de promouvoir le développement des organisations de la société civile qui lui sont affiliées, développer leurs capacités et renforcer leur rôle dans la société en s</w:t>
      </w:r>
      <w:r w:rsidR="00723345" w:rsidRPr="00C51D17">
        <w:rPr>
          <w:w w:val="100"/>
        </w:rPr>
        <w:t>’</w:t>
      </w:r>
      <w:r w:rsidRPr="00C51D17">
        <w:rPr>
          <w:w w:val="100"/>
        </w:rPr>
        <w:t>appuyant sur les principes des droits de l</w:t>
      </w:r>
      <w:r w:rsidR="00723345" w:rsidRPr="00C51D17">
        <w:rPr>
          <w:w w:val="100"/>
        </w:rPr>
        <w:t>’</w:t>
      </w:r>
      <w:r w:rsidRPr="00C51D17">
        <w:rPr>
          <w:w w:val="100"/>
        </w:rPr>
        <w:t>homme et les instruments et accords internationaux relatifs à l</w:t>
      </w:r>
      <w:r w:rsidR="00723345" w:rsidRPr="00C51D17">
        <w:rPr>
          <w:w w:val="100"/>
        </w:rPr>
        <w:t>’</w:t>
      </w:r>
      <w:r w:rsidRPr="00C51D17">
        <w:rPr>
          <w:w w:val="100"/>
        </w:rPr>
        <w:t>action sociale. Le rôle et le mandat de la Fondation apparaissent clairement dans sa grande</w:t>
      </w:r>
      <w:r w:rsidR="0012596A" w:rsidRPr="00C51D17">
        <w:rPr>
          <w:w w:val="100"/>
        </w:rPr>
        <w:t xml:space="preserve"> </w:t>
      </w:r>
      <w:r w:rsidRPr="00C51D17">
        <w:rPr>
          <w:w w:val="100"/>
        </w:rPr>
        <w:t>implication avec l</w:t>
      </w:r>
      <w:r w:rsidR="00723345" w:rsidRPr="00C51D17">
        <w:rPr>
          <w:w w:val="100"/>
        </w:rPr>
        <w:t>’</w:t>
      </w:r>
      <w:r w:rsidRPr="00C51D17">
        <w:rPr>
          <w:w w:val="100"/>
        </w:rPr>
        <w:t>État, à travers notamment</w:t>
      </w:r>
      <w:r w:rsidR="004B22BA" w:rsidRPr="00C51D17">
        <w:rPr>
          <w:w w:val="100"/>
        </w:rPr>
        <w:t> </w:t>
      </w:r>
      <w:r w:rsidRPr="00C51D17">
        <w:rPr>
          <w:w w:val="100"/>
        </w:rPr>
        <w:t>:</w:t>
      </w:r>
    </w:p>
    <w:p w14:paraId="01FE02BE" w14:textId="5A1BD879" w:rsidR="00646413" w:rsidRPr="00C51D17" w:rsidRDefault="004B22BA" w:rsidP="004B22BA">
      <w:pPr>
        <w:pStyle w:val="SingleTxt"/>
        <w:tabs>
          <w:tab w:val="right" w:pos="1685"/>
        </w:tabs>
        <w:ind w:left="1742" w:hanging="475"/>
        <w:rPr>
          <w:w w:val="100"/>
        </w:rPr>
      </w:pPr>
      <w:r w:rsidRPr="00C51D17">
        <w:rPr>
          <w:w w:val="100"/>
        </w:rPr>
        <w:tab/>
        <w:t>•</w:t>
      </w:r>
      <w:r w:rsidRPr="00C51D17">
        <w:rPr>
          <w:w w:val="100"/>
        </w:rPr>
        <w:tab/>
      </w:r>
      <w:r w:rsidR="00646413" w:rsidRPr="00C51D17">
        <w:rPr>
          <w:w w:val="100"/>
        </w:rPr>
        <w:t>Sa présence dans les travaux de plusieurs commissions nationales agissant dans son domaine propre telle que la Commission nationale de lutte contre la traite des personnes</w:t>
      </w:r>
      <w:r w:rsidR="0012596A" w:rsidRPr="00C51D17">
        <w:rPr>
          <w:w w:val="100"/>
        </w:rPr>
        <w:t> ;</w:t>
      </w:r>
    </w:p>
    <w:p w14:paraId="08BBDDF6" w14:textId="794C712C" w:rsidR="00646413" w:rsidRPr="00C51D17" w:rsidRDefault="004B22BA" w:rsidP="004B22BA">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Signature de 22 mémorandums d</w:t>
      </w:r>
      <w:r w:rsidR="00723345" w:rsidRPr="00C51D17">
        <w:rPr>
          <w:w w:val="100"/>
        </w:rPr>
        <w:t>’</w:t>
      </w:r>
      <w:r w:rsidR="00646413" w:rsidRPr="00C51D17">
        <w:rPr>
          <w:w w:val="100"/>
        </w:rPr>
        <w:t>accord avec divers organes gouvernementaux et non gouvernementaux au Qatar.</w:t>
      </w:r>
    </w:p>
    <w:p w14:paraId="48ADF6D5" w14:textId="6C26236A" w:rsidR="00646413" w:rsidRPr="00C51D17" w:rsidRDefault="00646413" w:rsidP="004B22BA">
      <w:pPr>
        <w:pStyle w:val="SingleTxt"/>
        <w:numPr>
          <w:ilvl w:val="0"/>
          <w:numId w:val="65"/>
        </w:numPr>
        <w:spacing w:line="240" w:lineRule="exact"/>
        <w:ind w:left="1267"/>
        <w:rPr>
          <w:w w:val="100"/>
        </w:rPr>
      </w:pPr>
      <w:r w:rsidRPr="00C51D17">
        <w:rPr>
          <w:w w:val="100"/>
        </w:rPr>
        <w:t>C</w:t>
      </w:r>
      <w:r w:rsidR="00723345" w:rsidRPr="00C51D17">
        <w:rPr>
          <w:w w:val="100"/>
        </w:rPr>
        <w:t>’</w:t>
      </w:r>
      <w:r w:rsidRPr="00C51D17">
        <w:rPr>
          <w:w w:val="100"/>
        </w:rPr>
        <w:t>est à ce titre que la Fondation du Qatar pour l</w:t>
      </w:r>
      <w:r w:rsidR="00723345" w:rsidRPr="00C51D17">
        <w:rPr>
          <w:w w:val="100"/>
        </w:rPr>
        <w:t>’</w:t>
      </w:r>
      <w:r w:rsidRPr="00C51D17">
        <w:rPr>
          <w:w w:val="100"/>
        </w:rPr>
        <w:t>action sociale et les centres qui lui sont affiliés ont contribué à l</w:t>
      </w:r>
      <w:r w:rsidR="00723345" w:rsidRPr="00C51D17">
        <w:rPr>
          <w:w w:val="100"/>
        </w:rPr>
        <w:t>’</w:t>
      </w:r>
      <w:r w:rsidRPr="00C51D17">
        <w:rPr>
          <w:w w:val="100"/>
        </w:rPr>
        <w:t>élaboration des huit stratégies sectorielles composant la deuxième Stratégie de développement national 2017-2022. Elle a également supervisé les plans de mise en œuvre des programmes et projets de ces centres, soit 55 projets institutionnels et de développement portant sur des questions telles que le handicap, l</w:t>
      </w:r>
      <w:r w:rsidR="00723345" w:rsidRPr="00C51D17">
        <w:rPr>
          <w:w w:val="100"/>
        </w:rPr>
        <w:t>’</w:t>
      </w:r>
      <w:r w:rsidRPr="00C51D17">
        <w:rPr>
          <w:w w:val="100"/>
        </w:rPr>
        <w:t>orientation familiale et la lutte contre la violence. La Fondation a en outre signé des mémorandums d</w:t>
      </w:r>
      <w:r w:rsidR="00723345" w:rsidRPr="00C51D17">
        <w:rPr>
          <w:w w:val="100"/>
        </w:rPr>
        <w:t>’</w:t>
      </w:r>
      <w:r w:rsidRPr="00C51D17">
        <w:rPr>
          <w:w w:val="100"/>
        </w:rPr>
        <w:t>accord avec la Ligue des États arabes afin de renforcer la coopération technique pour la mise en œuvre de la Décennie arabe des organisations de la société civile et avec le Fonds des Nations Unies pour la population pour renforcer la coopération conjointe.</w:t>
      </w:r>
    </w:p>
    <w:p w14:paraId="54E3214E" w14:textId="5911FF8A" w:rsidR="00646413" w:rsidRPr="00C51D17" w:rsidRDefault="00646413" w:rsidP="004B22BA">
      <w:pPr>
        <w:pStyle w:val="SingleTxt"/>
        <w:numPr>
          <w:ilvl w:val="0"/>
          <w:numId w:val="66"/>
        </w:numPr>
        <w:tabs>
          <w:tab w:val="num" w:pos="2804"/>
        </w:tabs>
        <w:spacing w:line="240" w:lineRule="exact"/>
        <w:ind w:left="1267"/>
      </w:pPr>
      <w:r w:rsidRPr="00C51D17">
        <w:t>S</w:t>
      </w:r>
      <w:r w:rsidR="00723345" w:rsidRPr="00C51D17">
        <w:t>’</w:t>
      </w:r>
      <w:r w:rsidRPr="00C51D17">
        <w:t>agissant de l</w:t>
      </w:r>
      <w:r w:rsidR="00723345" w:rsidRPr="00C51D17">
        <w:t>’</w:t>
      </w:r>
      <w:r w:rsidRPr="00C51D17">
        <w:t>exécution et de l</w:t>
      </w:r>
      <w:r w:rsidR="00723345" w:rsidRPr="00C51D17">
        <w:t>’</w:t>
      </w:r>
      <w:r w:rsidRPr="00C51D17">
        <w:t>évaluation de l</w:t>
      </w:r>
      <w:r w:rsidR="00723345" w:rsidRPr="00C51D17">
        <w:t>’</w:t>
      </w:r>
      <w:r w:rsidRPr="00C51D17">
        <w:t>impact du Programme « </w:t>
      </w:r>
      <w:r w:rsidR="0033791C" w:rsidRPr="00C51D17">
        <w:t xml:space="preserve">Les ambitions </w:t>
      </w:r>
      <w:r w:rsidRPr="00C51D17">
        <w:t xml:space="preserve">du Qatar </w:t>
      </w:r>
      <w:r w:rsidR="0033791C" w:rsidRPr="00C51D17">
        <w:t>à l’horizon</w:t>
      </w:r>
      <w:r w:rsidRPr="00C51D17">
        <w:t xml:space="preserve"> 2030 » conformément aux obligations qu</w:t>
      </w:r>
      <w:r w:rsidR="00723345" w:rsidRPr="00C51D17">
        <w:t>’</w:t>
      </w:r>
      <w:r w:rsidRPr="00C51D17">
        <w:t>impose la Convention et aux objectifs de développement durable, on notera que ce programme vise à bâtir une société basée sur le renforcement de la justice et de l</w:t>
      </w:r>
      <w:r w:rsidR="00723345" w:rsidRPr="00C51D17">
        <w:t>’</w:t>
      </w:r>
      <w:r w:rsidRPr="00C51D17">
        <w:t>égalité, consacrant ainsi les principes constitutionnels du Qatar, qui protègent les libertés publiques et privées et renforcent les valeurs morales et religieuses, ainsi que les coutumes et traditions et l</w:t>
      </w:r>
      <w:r w:rsidR="00723345" w:rsidRPr="00C51D17">
        <w:t>’</w:t>
      </w:r>
      <w:r w:rsidRPr="00C51D17">
        <w:t>identité culturelle, tout en garantissant la sécurité, la stabilité et l</w:t>
      </w:r>
      <w:r w:rsidR="00723345" w:rsidRPr="00C51D17">
        <w:t>’</w:t>
      </w:r>
      <w:r w:rsidRPr="00C51D17">
        <w:t>égalité des chances. L</w:t>
      </w:r>
      <w:r w:rsidR="0033791C" w:rsidRPr="00C51D17">
        <w:t>es ambitions</w:t>
      </w:r>
      <w:r w:rsidRPr="00C51D17">
        <w:t xml:space="preserve"> du Qatar </w:t>
      </w:r>
      <w:r w:rsidR="0033791C" w:rsidRPr="00C51D17">
        <w:t>à l’horizon</w:t>
      </w:r>
      <w:r w:rsidRPr="00C51D17">
        <w:t xml:space="preserve"> 2030 </w:t>
      </w:r>
      <w:r w:rsidR="0033791C" w:rsidRPr="00C51D17">
        <w:t>ont</w:t>
      </w:r>
      <w:r w:rsidRPr="00C51D17">
        <w:t xml:space="preserve"> établi plusieurs objectifs liés à la cohésion familiale et à l</w:t>
      </w:r>
      <w:r w:rsidR="00723345" w:rsidRPr="00C51D17">
        <w:t>’</w:t>
      </w:r>
      <w:r w:rsidRPr="00C51D17">
        <w:t>autonomisation de la femme, notamment</w:t>
      </w:r>
      <w:r w:rsidR="00894E85" w:rsidRPr="00C51D17">
        <w:t> </w:t>
      </w:r>
      <w:r w:rsidRPr="00C51D17">
        <w:t>:</w:t>
      </w:r>
    </w:p>
    <w:p w14:paraId="2881A047" w14:textId="24F87553" w:rsidR="00646413" w:rsidRPr="00C51D17" w:rsidRDefault="00894E85" w:rsidP="00894E85">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édification de cellules familiales fortes et cohésives qui pourvoient aux besoins de</w:t>
      </w:r>
      <w:r w:rsidR="0012596A" w:rsidRPr="00C51D17">
        <w:rPr>
          <w:w w:val="100"/>
        </w:rPr>
        <w:t xml:space="preserve"> </w:t>
      </w:r>
      <w:r w:rsidR="00646413" w:rsidRPr="00C51D17">
        <w:rPr>
          <w:w w:val="100"/>
        </w:rPr>
        <w:t>leurs membres et préservent les valeurs religieuses et morales, ainsi que les grands idéaux de l</w:t>
      </w:r>
      <w:r w:rsidR="00723345" w:rsidRPr="00C51D17">
        <w:rPr>
          <w:w w:val="100"/>
        </w:rPr>
        <w:t>’</w:t>
      </w:r>
      <w:r w:rsidR="00646413" w:rsidRPr="00C51D17">
        <w:rPr>
          <w:w w:val="100"/>
        </w:rPr>
        <w:t>humanité</w:t>
      </w:r>
      <w:r w:rsidR="0012596A" w:rsidRPr="00C51D17">
        <w:rPr>
          <w:w w:val="100"/>
        </w:rPr>
        <w:t> ;</w:t>
      </w:r>
    </w:p>
    <w:p w14:paraId="0FEE8FB3" w14:textId="6AB9B02A" w:rsidR="00646413" w:rsidRPr="00C51D17" w:rsidRDefault="00894E85" w:rsidP="00894E85">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préservation des familles cohésives et fortes dont les membres nourrissent et préservent les valeurs morales et religieuses et les grands idéaux</w:t>
      </w:r>
      <w:r w:rsidR="0012596A" w:rsidRPr="00C51D17">
        <w:rPr>
          <w:w w:val="100"/>
        </w:rPr>
        <w:t> ;</w:t>
      </w:r>
    </w:p>
    <w:p w14:paraId="4E0B7994" w14:textId="425B2369" w:rsidR="00646413" w:rsidRPr="00C51D17" w:rsidRDefault="00894E85" w:rsidP="00894E85">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développement d</w:t>
      </w:r>
      <w:r w:rsidR="00723345" w:rsidRPr="00C51D17">
        <w:rPr>
          <w:w w:val="100"/>
        </w:rPr>
        <w:t>’</w:t>
      </w:r>
      <w:r w:rsidR="00646413" w:rsidRPr="00C51D17">
        <w:rPr>
          <w:w w:val="100"/>
        </w:rPr>
        <w:t>un tissu social sain et l</w:t>
      </w:r>
      <w:r w:rsidR="00723345" w:rsidRPr="00C51D17">
        <w:rPr>
          <w:w w:val="100"/>
        </w:rPr>
        <w:t>’</w:t>
      </w:r>
      <w:r w:rsidR="00646413" w:rsidRPr="00C51D17">
        <w:rPr>
          <w:w w:val="100"/>
        </w:rPr>
        <w:t>édification d</w:t>
      </w:r>
      <w:r w:rsidR="00723345" w:rsidRPr="00C51D17">
        <w:rPr>
          <w:w w:val="100"/>
        </w:rPr>
        <w:t>’</w:t>
      </w:r>
      <w:r w:rsidR="00646413" w:rsidRPr="00C51D17">
        <w:rPr>
          <w:w w:val="100"/>
        </w:rPr>
        <w:t>institutions publiques efficaces et d</w:t>
      </w:r>
      <w:r w:rsidR="00723345" w:rsidRPr="00C51D17">
        <w:rPr>
          <w:w w:val="100"/>
        </w:rPr>
        <w:t>’</w:t>
      </w:r>
      <w:r w:rsidR="00646413" w:rsidRPr="00C51D17">
        <w:rPr>
          <w:w w:val="100"/>
        </w:rPr>
        <w:t>organisations de la société civile actives et fortes</w:t>
      </w:r>
      <w:r w:rsidR="0012596A" w:rsidRPr="00C51D17">
        <w:rPr>
          <w:w w:val="100"/>
        </w:rPr>
        <w:t> ;</w:t>
      </w:r>
    </w:p>
    <w:p w14:paraId="2943FB68" w14:textId="3E22509A" w:rsidR="00646413" w:rsidRPr="00C51D17" w:rsidRDefault="00894E85" w:rsidP="00894E85">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édification d</w:t>
      </w:r>
      <w:r w:rsidR="00723345" w:rsidRPr="00C51D17">
        <w:rPr>
          <w:w w:val="100"/>
        </w:rPr>
        <w:t>’</w:t>
      </w:r>
      <w:r w:rsidR="00646413" w:rsidRPr="00C51D17">
        <w:rPr>
          <w:w w:val="100"/>
        </w:rPr>
        <w:t>un système efficace de protection sociale bénéficiant à tous les Qatariens, préservant leurs droits civils, valorisant leur participation efficace au développement de la société et leur garantissant des revenus suffisants permettant de préserver leur dignité et leur santé</w:t>
      </w:r>
      <w:r w:rsidR="0012596A" w:rsidRPr="00C51D17">
        <w:rPr>
          <w:w w:val="100"/>
        </w:rPr>
        <w:t> ;</w:t>
      </w:r>
    </w:p>
    <w:p w14:paraId="30109A0D" w14:textId="08B20504" w:rsidR="00646413" w:rsidRPr="00C51D17" w:rsidRDefault="00894E85" w:rsidP="00894E85">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renforcement des capacités des femmes et de leur autonomisation afin qu</w:t>
      </w:r>
      <w:r w:rsidR="00723345" w:rsidRPr="00C51D17">
        <w:rPr>
          <w:w w:val="100"/>
        </w:rPr>
        <w:t>’</w:t>
      </w:r>
      <w:r w:rsidR="00646413" w:rsidRPr="00C51D17">
        <w:rPr>
          <w:w w:val="100"/>
        </w:rPr>
        <w:t>elles</w:t>
      </w:r>
      <w:r w:rsidR="0012596A" w:rsidRPr="00C51D17">
        <w:rPr>
          <w:w w:val="100"/>
        </w:rPr>
        <w:t xml:space="preserve"> </w:t>
      </w:r>
      <w:r w:rsidR="00646413" w:rsidRPr="00C51D17">
        <w:rPr>
          <w:w w:val="100"/>
        </w:rPr>
        <w:t>participent à la vie économique et politique, notamment dans les fonctions de prise de décision</w:t>
      </w:r>
      <w:r w:rsidR="0012596A" w:rsidRPr="00C51D17">
        <w:rPr>
          <w:w w:val="100"/>
        </w:rPr>
        <w:t> ;</w:t>
      </w:r>
    </w:p>
    <w:p w14:paraId="07F2B354" w14:textId="7DE24757" w:rsidR="00646413" w:rsidRPr="00C51D17" w:rsidRDefault="00894E85" w:rsidP="00894E85">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organisation de cycles de formation et d</w:t>
      </w:r>
      <w:r w:rsidR="00723345" w:rsidRPr="00C51D17">
        <w:rPr>
          <w:w w:val="100"/>
        </w:rPr>
        <w:t>’</w:t>
      </w:r>
      <w:r w:rsidR="00646413" w:rsidRPr="00C51D17">
        <w:rPr>
          <w:w w:val="100"/>
        </w:rPr>
        <w:t>ateliers de travail destinés à renforcer les capacités et l</w:t>
      </w:r>
      <w:r w:rsidR="00723345" w:rsidRPr="00C51D17">
        <w:rPr>
          <w:w w:val="100"/>
        </w:rPr>
        <w:t>’</w:t>
      </w:r>
      <w:r w:rsidR="00646413" w:rsidRPr="00C51D17">
        <w:rPr>
          <w:w w:val="100"/>
        </w:rPr>
        <w:t>autonomisation de la femme.</w:t>
      </w:r>
    </w:p>
    <w:p w14:paraId="04D63F63" w14:textId="6A4FBE4F" w:rsidR="00646413" w:rsidRPr="00C51D17" w:rsidRDefault="00646413" w:rsidP="00FA35C0">
      <w:pPr>
        <w:pStyle w:val="SingleTxt"/>
        <w:numPr>
          <w:ilvl w:val="0"/>
          <w:numId w:val="66"/>
        </w:numPr>
        <w:spacing w:line="240" w:lineRule="exact"/>
        <w:ind w:left="1267"/>
        <w:rPr>
          <w:w w:val="100"/>
        </w:rPr>
      </w:pPr>
      <w:r w:rsidRPr="00C51D17">
        <w:rPr>
          <w:w w:val="100"/>
        </w:rPr>
        <w:t>Au titre de la stratégie relative à la cohésion familiale et à l</w:t>
      </w:r>
      <w:r w:rsidR="00723345" w:rsidRPr="00C51D17">
        <w:rPr>
          <w:w w:val="100"/>
        </w:rPr>
        <w:t>’</w:t>
      </w:r>
      <w:r w:rsidRPr="00C51D17">
        <w:rPr>
          <w:w w:val="100"/>
        </w:rPr>
        <w:t>autonomisation de la femme, des objectifs principaux de développement, au nombre de huit, ont été arrêtés, dans le cadre de trois axes de travail portant sur la cohésion familiale, la protection sociale et l</w:t>
      </w:r>
      <w:r w:rsidR="00723345" w:rsidRPr="00C51D17">
        <w:rPr>
          <w:w w:val="100"/>
        </w:rPr>
        <w:t>’</w:t>
      </w:r>
      <w:r w:rsidRPr="00C51D17">
        <w:rPr>
          <w:w w:val="100"/>
        </w:rPr>
        <w:t>autonomisation de la femme. Il s</w:t>
      </w:r>
      <w:r w:rsidR="00723345" w:rsidRPr="00C51D17">
        <w:rPr>
          <w:w w:val="100"/>
        </w:rPr>
        <w:t>’</w:t>
      </w:r>
      <w:r w:rsidRPr="00C51D17">
        <w:rPr>
          <w:w w:val="100"/>
        </w:rPr>
        <w:t>agit à cet égard d</w:t>
      </w:r>
      <w:r w:rsidR="00723345" w:rsidRPr="00C51D17">
        <w:rPr>
          <w:w w:val="100"/>
        </w:rPr>
        <w:t>’</w:t>
      </w:r>
      <w:r w:rsidRPr="00C51D17">
        <w:rPr>
          <w:w w:val="100"/>
        </w:rPr>
        <w:t>actionner les moyens de mise en œuvre de</w:t>
      </w:r>
      <w:r w:rsidR="0033791C" w:rsidRPr="00C51D17">
        <w:rPr>
          <w:w w:val="100"/>
        </w:rPr>
        <w:t xml:space="preserve">s ambitions </w:t>
      </w:r>
      <w:r w:rsidRPr="00C51D17">
        <w:rPr>
          <w:w w:val="100"/>
        </w:rPr>
        <w:t xml:space="preserve">du Qatar </w:t>
      </w:r>
      <w:r w:rsidR="0033791C" w:rsidRPr="00C51D17">
        <w:rPr>
          <w:w w:val="100"/>
        </w:rPr>
        <w:t>à l’horizon</w:t>
      </w:r>
      <w:r w:rsidRPr="00C51D17">
        <w:rPr>
          <w:w w:val="100"/>
        </w:rPr>
        <w:t xml:space="preserve"> 2030. Les objectifs fixés seront réalisés à travers 12 projets intégrés visant à</w:t>
      </w:r>
      <w:r w:rsidR="00FA35C0" w:rsidRPr="00C51D17">
        <w:rPr>
          <w:w w:val="100"/>
        </w:rPr>
        <w:t> </w:t>
      </w:r>
      <w:r w:rsidRPr="00C51D17">
        <w:rPr>
          <w:w w:val="100"/>
        </w:rPr>
        <w:t>:</w:t>
      </w:r>
    </w:p>
    <w:p w14:paraId="2A4A7057" w14:textId="5EEBABC5" w:rsidR="00646413" w:rsidRPr="00C51D17" w:rsidRDefault="007822D0" w:rsidP="007822D0">
      <w:pPr>
        <w:pStyle w:val="SingleTxt"/>
        <w:tabs>
          <w:tab w:val="right" w:pos="1685"/>
        </w:tabs>
        <w:ind w:left="1742" w:hanging="475"/>
        <w:rPr>
          <w:w w:val="100"/>
        </w:rPr>
      </w:pPr>
      <w:r w:rsidRPr="00C51D17">
        <w:rPr>
          <w:w w:val="100"/>
        </w:rPr>
        <w:tab/>
        <w:t>•</w:t>
      </w:r>
      <w:r w:rsidRPr="00C51D17">
        <w:rPr>
          <w:w w:val="100"/>
        </w:rPr>
        <w:tab/>
      </w:r>
      <w:r w:rsidR="00646413" w:rsidRPr="00C51D17">
        <w:rPr>
          <w:w w:val="100"/>
        </w:rPr>
        <w:t>Renforcer le rôle de la famille qatarienne en tant que fondement essentiel de la société</w:t>
      </w:r>
      <w:r w:rsidR="0012596A" w:rsidRPr="00C51D17">
        <w:rPr>
          <w:w w:val="100"/>
        </w:rPr>
        <w:t> ;</w:t>
      </w:r>
    </w:p>
    <w:p w14:paraId="04C47600" w14:textId="12298A49" w:rsidR="00646413" w:rsidRPr="00C51D17" w:rsidRDefault="007822D0" w:rsidP="007822D0">
      <w:pPr>
        <w:pStyle w:val="SingleTxt"/>
        <w:tabs>
          <w:tab w:val="right" w:pos="1685"/>
        </w:tabs>
        <w:ind w:left="1742" w:hanging="475"/>
        <w:rPr>
          <w:w w:val="100"/>
        </w:rPr>
      </w:pPr>
      <w:r w:rsidRPr="00C51D17">
        <w:rPr>
          <w:w w:val="100"/>
        </w:rPr>
        <w:tab/>
        <w:t>•</w:t>
      </w:r>
      <w:r w:rsidRPr="00C51D17">
        <w:rPr>
          <w:w w:val="100"/>
        </w:rPr>
        <w:tab/>
      </w:r>
      <w:r w:rsidR="00646413" w:rsidRPr="00C51D17">
        <w:rPr>
          <w:w w:val="100"/>
        </w:rPr>
        <w:t>Renforcer la responsabilité des parents et réduire le recours aux travailleuses domestiques</w:t>
      </w:r>
      <w:r w:rsidR="0012596A" w:rsidRPr="00C51D17">
        <w:rPr>
          <w:w w:val="100"/>
        </w:rPr>
        <w:t> ;</w:t>
      </w:r>
    </w:p>
    <w:p w14:paraId="7FEFA0E8" w14:textId="58EAB443" w:rsidR="00646413" w:rsidRPr="00C51D17" w:rsidRDefault="007822D0" w:rsidP="007822D0">
      <w:pPr>
        <w:pStyle w:val="SingleTxt"/>
        <w:tabs>
          <w:tab w:val="right" w:pos="1685"/>
        </w:tabs>
        <w:ind w:left="1742" w:hanging="475"/>
        <w:rPr>
          <w:w w:val="100"/>
        </w:rPr>
      </w:pPr>
      <w:r w:rsidRPr="00C51D17">
        <w:rPr>
          <w:w w:val="100"/>
        </w:rPr>
        <w:tab/>
        <w:t>•</w:t>
      </w:r>
      <w:r w:rsidRPr="00C51D17">
        <w:rPr>
          <w:w w:val="100"/>
        </w:rPr>
        <w:tab/>
      </w:r>
      <w:r w:rsidR="00646413" w:rsidRPr="00C51D17">
        <w:rPr>
          <w:w w:val="100"/>
        </w:rPr>
        <w:t>Réduire les niveaux de violence domestique et créer un système de protection et d</w:t>
      </w:r>
      <w:r w:rsidR="00723345" w:rsidRPr="00C51D17">
        <w:rPr>
          <w:w w:val="100"/>
        </w:rPr>
        <w:t>’</w:t>
      </w:r>
      <w:r w:rsidR="00646413" w:rsidRPr="00C51D17">
        <w:rPr>
          <w:w w:val="100"/>
        </w:rPr>
        <w:t>aide aux victimes</w:t>
      </w:r>
      <w:r w:rsidR="0012596A" w:rsidRPr="00C51D17">
        <w:rPr>
          <w:w w:val="100"/>
        </w:rPr>
        <w:t> ;</w:t>
      </w:r>
    </w:p>
    <w:p w14:paraId="26FCEC5A" w14:textId="3FFF897D" w:rsidR="00646413" w:rsidRPr="00C51D17" w:rsidRDefault="007822D0" w:rsidP="007822D0">
      <w:pPr>
        <w:pStyle w:val="SingleTxt"/>
        <w:tabs>
          <w:tab w:val="right" w:pos="1685"/>
        </w:tabs>
        <w:ind w:left="1742" w:hanging="475"/>
        <w:rPr>
          <w:w w:val="100"/>
        </w:rPr>
      </w:pPr>
      <w:r w:rsidRPr="00C51D17">
        <w:rPr>
          <w:w w:val="100"/>
        </w:rPr>
        <w:tab/>
        <w:t>•</w:t>
      </w:r>
      <w:r w:rsidRPr="00C51D17">
        <w:rPr>
          <w:w w:val="100"/>
        </w:rPr>
        <w:tab/>
      </w:r>
      <w:r w:rsidR="00646413" w:rsidRPr="00C51D17">
        <w:rPr>
          <w:w w:val="100"/>
        </w:rPr>
        <w:t>Mettre en place des systèmes d</w:t>
      </w:r>
      <w:r w:rsidR="00723345" w:rsidRPr="00C51D17">
        <w:rPr>
          <w:w w:val="100"/>
        </w:rPr>
        <w:t>’</w:t>
      </w:r>
      <w:r w:rsidR="00646413" w:rsidRPr="00C51D17">
        <w:rPr>
          <w:w w:val="100"/>
        </w:rPr>
        <w:t>aide aux familles vivant dans des conditions spéciales telles que les familles des personnes handicapées et des mineurs délinquants</w:t>
      </w:r>
      <w:r w:rsidR="0012596A" w:rsidRPr="00C51D17">
        <w:rPr>
          <w:w w:val="100"/>
        </w:rPr>
        <w:t> ;</w:t>
      </w:r>
    </w:p>
    <w:p w14:paraId="50040D24" w14:textId="44C2B76E" w:rsidR="00646413" w:rsidRPr="00C51D17" w:rsidRDefault="007822D0" w:rsidP="007822D0">
      <w:pPr>
        <w:pStyle w:val="SingleTxt"/>
        <w:tabs>
          <w:tab w:val="right" w:pos="1685"/>
        </w:tabs>
        <w:ind w:left="1742" w:hanging="475"/>
        <w:rPr>
          <w:w w:val="100"/>
        </w:rPr>
      </w:pPr>
      <w:r w:rsidRPr="00C51D17">
        <w:rPr>
          <w:w w:val="100"/>
        </w:rPr>
        <w:tab/>
        <w:t>•</w:t>
      </w:r>
      <w:r w:rsidRPr="00C51D17">
        <w:rPr>
          <w:w w:val="100"/>
        </w:rPr>
        <w:tab/>
      </w:r>
      <w:r w:rsidR="00646413" w:rsidRPr="00C51D17">
        <w:rPr>
          <w:w w:val="100"/>
        </w:rPr>
        <w:t>Réduire les niveaux d</w:t>
      </w:r>
      <w:r w:rsidR="00723345" w:rsidRPr="00C51D17">
        <w:rPr>
          <w:w w:val="100"/>
        </w:rPr>
        <w:t>’</w:t>
      </w:r>
      <w:r w:rsidR="00646413" w:rsidRPr="00C51D17">
        <w:rPr>
          <w:w w:val="100"/>
        </w:rPr>
        <w:t>exposition des familles qatariennes aux aléas économiques et sociaux et veiller à améliorer leur situation financière</w:t>
      </w:r>
      <w:r w:rsidR="0012596A" w:rsidRPr="00C51D17">
        <w:rPr>
          <w:w w:val="100"/>
        </w:rPr>
        <w:t> ;</w:t>
      </w:r>
    </w:p>
    <w:p w14:paraId="4678ECC1" w14:textId="16EF7454" w:rsidR="00646413" w:rsidRPr="00C51D17" w:rsidRDefault="007822D0" w:rsidP="007822D0">
      <w:pPr>
        <w:pStyle w:val="SingleTxt"/>
        <w:tabs>
          <w:tab w:val="right" w:pos="1685"/>
        </w:tabs>
        <w:ind w:left="1742" w:hanging="475"/>
        <w:rPr>
          <w:w w:val="100"/>
        </w:rPr>
      </w:pPr>
      <w:r w:rsidRPr="00C51D17">
        <w:rPr>
          <w:w w:val="100"/>
        </w:rPr>
        <w:tab/>
        <w:t>•</w:t>
      </w:r>
      <w:r w:rsidRPr="00C51D17">
        <w:rPr>
          <w:w w:val="100"/>
        </w:rPr>
        <w:tab/>
      </w:r>
      <w:r w:rsidR="00646413" w:rsidRPr="00C51D17">
        <w:rPr>
          <w:w w:val="100"/>
        </w:rPr>
        <w:t>Promouvoir la santé et l</w:t>
      </w:r>
      <w:r w:rsidR="00723345" w:rsidRPr="00C51D17">
        <w:rPr>
          <w:w w:val="100"/>
        </w:rPr>
        <w:t>’</w:t>
      </w:r>
      <w:r w:rsidR="00646413" w:rsidRPr="00C51D17">
        <w:rPr>
          <w:w w:val="100"/>
        </w:rPr>
        <w:t>épanouissement des enfants et les protéger</w:t>
      </w:r>
      <w:r w:rsidR="0012596A" w:rsidRPr="00C51D17">
        <w:rPr>
          <w:w w:val="100"/>
        </w:rPr>
        <w:t> ;</w:t>
      </w:r>
    </w:p>
    <w:p w14:paraId="281F7750" w14:textId="0BC4709A" w:rsidR="00646413" w:rsidRPr="00C51D17" w:rsidRDefault="007822D0" w:rsidP="007822D0">
      <w:pPr>
        <w:pStyle w:val="SingleTxt"/>
        <w:tabs>
          <w:tab w:val="right" w:pos="1685"/>
        </w:tabs>
        <w:ind w:left="1742" w:hanging="475"/>
        <w:rPr>
          <w:w w:val="100"/>
        </w:rPr>
      </w:pPr>
      <w:r w:rsidRPr="00C51D17">
        <w:rPr>
          <w:w w:val="100"/>
        </w:rPr>
        <w:tab/>
        <w:t>•</w:t>
      </w:r>
      <w:r w:rsidRPr="00C51D17">
        <w:rPr>
          <w:w w:val="100"/>
        </w:rPr>
        <w:tab/>
      </w:r>
      <w:r w:rsidR="00646413" w:rsidRPr="00C51D17">
        <w:rPr>
          <w:w w:val="100"/>
        </w:rPr>
        <w:t>Renforcer l</w:t>
      </w:r>
      <w:r w:rsidR="00723345" w:rsidRPr="00C51D17">
        <w:rPr>
          <w:w w:val="100"/>
        </w:rPr>
        <w:t>’</w:t>
      </w:r>
      <w:r w:rsidR="00646413" w:rsidRPr="00C51D17">
        <w:rPr>
          <w:w w:val="100"/>
        </w:rPr>
        <w:t>appui aux familles employées, notamment aux femmes</w:t>
      </w:r>
      <w:r w:rsidR="0012596A" w:rsidRPr="00C51D17">
        <w:rPr>
          <w:w w:val="100"/>
        </w:rPr>
        <w:t> ;</w:t>
      </w:r>
    </w:p>
    <w:p w14:paraId="5A3111AD" w14:textId="0A2086B6" w:rsidR="00646413" w:rsidRPr="00C51D17" w:rsidRDefault="007822D0" w:rsidP="007822D0">
      <w:pPr>
        <w:pStyle w:val="SingleTxt"/>
        <w:tabs>
          <w:tab w:val="right" w:pos="1685"/>
        </w:tabs>
        <w:ind w:left="1742" w:hanging="475"/>
        <w:rPr>
          <w:w w:val="100"/>
        </w:rPr>
      </w:pPr>
      <w:r w:rsidRPr="00C51D17">
        <w:rPr>
          <w:w w:val="100"/>
        </w:rPr>
        <w:tab/>
        <w:t>•</w:t>
      </w:r>
      <w:r w:rsidRPr="00C51D17">
        <w:rPr>
          <w:w w:val="100"/>
        </w:rPr>
        <w:tab/>
      </w:r>
      <w:r w:rsidR="00646413" w:rsidRPr="00C51D17">
        <w:rPr>
          <w:w w:val="100"/>
        </w:rPr>
        <w:t>Augmenter le nombre de femmes dans des fonctions de direction et de prise de décision politique</w:t>
      </w:r>
      <w:r w:rsidR="0012596A" w:rsidRPr="00C51D17">
        <w:rPr>
          <w:w w:val="100"/>
        </w:rPr>
        <w:t> ;</w:t>
      </w:r>
    </w:p>
    <w:p w14:paraId="277FFCFB" w14:textId="604B726C" w:rsidR="00646413" w:rsidRPr="00C51D17" w:rsidRDefault="007822D0" w:rsidP="007822D0">
      <w:pPr>
        <w:pStyle w:val="SingleTxt"/>
        <w:tabs>
          <w:tab w:val="right" w:pos="1685"/>
        </w:tabs>
        <w:ind w:left="1742" w:hanging="475"/>
        <w:rPr>
          <w:w w:val="100"/>
        </w:rPr>
      </w:pPr>
      <w:r w:rsidRPr="00C51D17">
        <w:rPr>
          <w:w w:val="100"/>
        </w:rPr>
        <w:tab/>
        <w:t>•</w:t>
      </w:r>
      <w:r w:rsidRPr="00C51D17">
        <w:rPr>
          <w:w w:val="100"/>
        </w:rPr>
        <w:tab/>
      </w:r>
      <w:r w:rsidR="00646413" w:rsidRPr="00C51D17">
        <w:rPr>
          <w:w w:val="100"/>
        </w:rPr>
        <w:t>Lutter contre les stéréotypes sur les rôles et responsabilités des femmes.</w:t>
      </w:r>
    </w:p>
    <w:p w14:paraId="7418E892" w14:textId="04EFDA14" w:rsidR="00646413" w:rsidRPr="00C51D17" w:rsidRDefault="00646413" w:rsidP="007822D0">
      <w:pPr>
        <w:pStyle w:val="SingleTxt"/>
        <w:numPr>
          <w:ilvl w:val="0"/>
          <w:numId w:val="66"/>
        </w:numPr>
        <w:spacing w:line="240" w:lineRule="exact"/>
        <w:ind w:left="1267"/>
        <w:rPr>
          <w:w w:val="100"/>
        </w:rPr>
      </w:pPr>
      <w:r w:rsidRPr="00C51D17">
        <w:rPr>
          <w:w w:val="100"/>
        </w:rPr>
        <w:t>Les projets relatifs à la cohésion familiale permettront d</w:t>
      </w:r>
      <w:r w:rsidR="00723345" w:rsidRPr="00C51D17">
        <w:rPr>
          <w:w w:val="100"/>
        </w:rPr>
        <w:t>’</w:t>
      </w:r>
      <w:r w:rsidRPr="00C51D17">
        <w:rPr>
          <w:w w:val="100"/>
        </w:rPr>
        <w:t>atteindre trois résultats sectoriels principaux, dont la réduction de la violence domestique et la protection et l</w:t>
      </w:r>
      <w:r w:rsidR="00723345" w:rsidRPr="00C51D17">
        <w:rPr>
          <w:w w:val="100"/>
        </w:rPr>
        <w:t>’</w:t>
      </w:r>
      <w:r w:rsidRPr="00C51D17">
        <w:rPr>
          <w:w w:val="100"/>
        </w:rPr>
        <w:t>aide aux familles qui en sont victimes. On trouvera ci-après une présentation succincte du contenu de la stratégie de cohésion familiale et d</w:t>
      </w:r>
      <w:r w:rsidR="00723345" w:rsidRPr="00C51D17">
        <w:rPr>
          <w:w w:val="100"/>
        </w:rPr>
        <w:t>’</w:t>
      </w:r>
      <w:r w:rsidRPr="00C51D17">
        <w:rPr>
          <w:w w:val="100"/>
        </w:rPr>
        <w:t>autonomisation de la femme en relation avec la réduction de la violence domestique, ainsi que des progrès accomplis depuis 2011</w:t>
      </w:r>
      <w:r w:rsidR="007073D3" w:rsidRPr="00C51D17">
        <w:rPr>
          <w:w w:val="100"/>
        </w:rPr>
        <w:t> </w:t>
      </w:r>
      <w:r w:rsidRPr="00C51D17">
        <w:rPr>
          <w:w w:val="100"/>
        </w:rPr>
        <w:t>:</w:t>
      </w:r>
    </w:p>
    <w:p w14:paraId="7A9F1C80" w14:textId="20C0FEAB" w:rsidR="00646413" w:rsidRPr="00C51D17" w:rsidRDefault="007073D3" w:rsidP="007073D3">
      <w:pPr>
        <w:pStyle w:val="SingleTxt"/>
        <w:tabs>
          <w:tab w:val="right" w:pos="1685"/>
        </w:tabs>
        <w:ind w:left="1742" w:hanging="475"/>
        <w:rPr>
          <w:w w:val="100"/>
        </w:rPr>
      </w:pPr>
      <w:r w:rsidRPr="00C51D17">
        <w:rPr>
          <w:w w:val="100"/>
        </w:rPr>
        <w:tab/>
        <w:t>•</w:t>
      </w:r>
      <w:r w:rsidRPr="00C51D17">
        <w:rPr>
          <w:w w:val="100"/>
        </w:rPr>
        <w:tab/>
      </w:r>
      <w:r w:rsidR="00646413" w:rsidRPr="00C51D17">
        <w:rPr>
          <w:w w:val="100"/>
        </w:rPr>
        <w:t>Résultat sectoriel 3</w:t>
      </w:r>
      <w:r w:rsidR="0012596A" w:rsidRPr="00C51D17">
        <w:rPr>
          <w:w w:val="100"/>
        </w:rPr>
        <w:t xml:space="preserve"> : </w:t>
      </w:r>
      <w:r w:rsidR="00646413" w:rsidRPr="00C51D17">
        <w:rPr>
          <w:w w:val="100"/>
        </w:rPr>
        <w:t>Réduction de la violence domestique et protection et aide aux familles victimes. La violence est un des actes qui portent atteinte aux normes les plus élevées du comportement humain et aux valeurs morales. C</w:t>
      </w:r>
      <w:r w:rsidR="00723345" w:rsidRPr="00C51D17">
        <w:rPr>
          <w:w w:val="100"/>
        </w:rPr>
        <w:t>’</w:t>
      </w:r>
      <w:r w:rsidR="00646413" w:rsidRPr="00C51D17">
        <w:rPr>
          <w:w w:val="100"/>
        </w:rPr>
        <w:t>est aussi une pratique préjudiciable au renforcement des principes relatifs aux droits fondamentaux de l</w:t>
      </w:r>
      <w:r w:rsidR="00723345" w:rsidRPr="00C51D17">
        <w:rPr>
          <w:w w:val="100"/>
        </w:rPr>
        <w:t>’</w:t>
      </w:r>
      <w:r w:rsidR="00646413" w:rsidRPr="00C51D17">
        <w:rPr>
          <w:w w:val="100"/>
        </w:rPr>
        <w:t>homme et à l</w:t>
      </w:r>
      <w:r w:rsidR="00723345" w:rsidRPr="00C51D17">
        <w:rPr>
          <w:w w:val="100"/>
        </w:rPr>
        <w:t>’</w:t>
      </w:r>
      <w:r w:rsidR="00646413" w:rsidRPr="00C51D17">
        <w:rPr>
          <w:w w:val="100"/>
        </w:rPr>
        <w:t>élimination de toutes les formes de discrimination à l</w:t>
      </w:r>
      <w:r w:rsidR="00723345" w:rsidRPr="00C51D17">
        <w:rPr>
          <w:w w:val="100"/>
        </w:rPr>
        <w:t>’</w:t>
      </w:r>
      <w:r w:rsidR="00646413" w:rsidRPr="00C51D17">
        <w:rPr>
          <w:w w:val="100"/>
        </w:rPr>
        <w:t>égard de la femme et de l</w:t>
      </w:r>
      <w:r w:rsidR="00723345" w:rsidRPr="00C51D17">
        <w:rPr>
          <w:w w:val="100"/>
        </w:rPr>
        <w:t>’</w:t>
      </w:r>
      <w:r w:rsidR="00646413" w:rsidRPr="00C51D17">
        <w:rPr>
          <w:w w:val="100"/>
        </w:rPr>
        <w:t>enfant tels que les prescrivent les textes nationaux fondateurs et les instruments internationaux auxquels le Qatar est partie. Dans le cadre de la lutte contre les effets de la violence domestique, les autorités ont adopté, au titre de la stratégie de développement national, deux projets principaux devant contribuer à atteindre ce résultat.</w:t>
      </w:r>
    </w:p>
    <w:p w14:paraId="45155741" w14:textId="731CD473" w:rsidR="00646413" w:rsidRPr="00C51D17" w:rsidRDefault="007073D3" w:rsidP="007073D3">
      <w:pPr>
        <w:pStyle w:val="SingleTxt"/>
        <w:tabs>
          <w:tab w:val="right" w:pos="1685"/>
        </w:tabs>
        <w:ind w:left="1742" w:hanging="475"/>
        <w:rPr>
          <w:w w:val="100"/>
        </w:rPr>
      </w:pPr>
      <w:r w:rsidRPr="00C51D17">
        <w:rPr>
          <w:color w:val="000000"/>
          <w:w w:val="100"/>
        </w:rPr>
        <w:tab/>
        <w:t>•</w:t>
      </w:r>
      <w:r w:rsidRPr="00C51D17">
        <w:rPr>
          <w:color w:val="000000"/>
          <w:w w:val="100"/>
        </w:rPr>
        <w:tab/>
      </w:r>
      <w:r w:rsidR="00646413" w:rsidRPr="00C51D17">
        <w:rPr>
          <w:color w:val="000000"/>
          <w:w w:val="100"/>
        </w:rPr>
        <w:t>Le projet 3.1</w:t>
      </w:r>
      <w:r w:rsidR="0012596A" w:rsidRPr="00C51D17">
        <w:rPr>
          <w:w w:val="100"/>
        </w:rPr>
        <w:t xml:space="preserve"> : </w:t>
      </w:r>
      <w:r w:rsidR="00646413" w:rsidRPr="00C51D17">
        <w:rPr>
          <w:w w:val="100"/>
        </w:rPr>
        <w:t>Système global de protection contre la violence domestique. Ce projet se décline en 11 activités</w:t>
      </w:r>
      <w:r w:rsidR="0012596A" w:rsidRPr="00C51D17">
        <w:rPr>
          <w:w w:val="100"/>
        </w:rPr>
        <w:t xml:space="preserve"> : </w:t>
      </w:r>
      <w:r w:rsidR="00646413" w:rsidRPr="00C51D17">
        <w:rPr>
          <w:w w:val="100"/>
        </w:rPr>
        <w:t>la révision de la collecte actuelle de données relatives à la violence, dont la violence domestique</w:t>
      </w:r>
      <w:r w:rsidR="0012596A" w:rsidRPr="00C51D17">
        <w:rPr>
          <w:w w:val="100"/>
        </w:rPr>
        <w:t> ;</w:t>
      </w:r>
      <w:r w:rsidR="00646413" w:rsidRPr="00C51D17">
        <w:rPr>
          <w:w w:val="100"/>
        </w:rPr>
        <w:t xml:space="preserve"> l</w:t>
      </w:r>
      <w:r w:rsidR="00723345" w:rsidRPr="00C51D17">
        <w:rPr>
          <w:w w:val="100"/>
        </w:rPr>
        <w:t>’</w:t>
      </w:r>
      <w:r w:rsidR="00646413" w:rsidRPr="00C51D17">
        <w:rPr>
          <w:w w:val="100"/>
        </w:rPr>
        <w:t>adoption dans le Code pénal de dispositions criminalisant la violence domestique</w:t>
      </w:r>
      <w:r w:rsidR="0012596A" w:rsidRPr="00C51D17">
        <w:rPr>
          <w:w w:val="100"/>
        </w:rPr>
        <w:t> ;</w:t>
      </w:r>
      <w:r w:rsidR="00646413" w:rsidRPr="00C51D17">
        <w:rPr>
          <w:w w:val="100"/>
        </w:rPr>
        <w:t xml:space="preserve"> l</w:t>
      </w:r>
      <w:r w:rsidR="00723345" w:rsidRPr="00C51D17">
        <w:rPr>
          <w:w w:val="100"/>
        </w:rPr>
        <w:t>’</w:t>
      </w:r>
      <w:r w:rsidR="00646413" w:rsidRPr="00C51D17">
        <w:rPr>
          <w:w w:val="100"/>
        </w:rPr>
        <w:t>élaboration et l</w:t>
      </w:r>
      <w:r w:rsidR="00723345" w:rsidRPr="00C51D17">
        <w:rPr>
          <w:w w:val="100"/>
        </w:rPr>
        <w:t>’</w:t>
      </w:r>
      <w:r w:rsidR="00646413" w:rsidRPr="00C51D17">
        <w:rPr>
          <w:w w:val="100"/>
        </w:rPr>
        <w:t>adoption d</w:t>
      </w:r>
      <w:r w:rsidR="00723345" w:rsidRPr="00C51D17">
        <w:rPr>
          <w:w w:val="100"/>
        </w:rPr>
        <w:t>’</w:t>
      </w:r>
      <w:r w:rsidR="00646413" w:rsidRPr="00C51D17">
        <w:rPr>
          <w:w w:val="100"/>
        </w:rPr>
        <w:t>un mécanisme juridique de protection des personnes qui dénoncent des cas de violence et désignent les victimes</w:t>
      </w:r>
      <w:r w:rsidR="0012596A" w:rsidRPr="00C51D17">
        <w:rPr>
          <w:w w:val="100"/>
        </w:rPr>
        <w:t> ;</w:t>
      </w:r>
      <w:r w:rsidR="00646413" w:rsidRPr="00C51D17">
        <w:rPr>
          <w:w w:val="100"/>
        </w:rPr>
        <w:t xml:space="preserve"> l</w:t>
      </w:r>
      <w:r w:rsidR="00723345" w:rsidRPr="00C51D17">
        <w:rPr>
          <w:w w:val="100"/>
        </w:rPr>
        <w:t>’</w:t>
      </w:r>
      <w:r w:rsidR="00646413" w:rsidRPr="00C51D17">
        <w:rPr>
          <w:w w:val="100"/>
        </w:rPr>
        <w:t>élaboration, en collaboration avec les services de police, d</w:t>
      </w:r>
      <w:r w:rsidR="00723345" w:rsidRPr="00C51D17">
        <w:rPr>
          <w:w w:val="100"/>
        </w:rPr>
        <w:t>’</w:t>
      </w:r>
      <w:r w:rsidR="00646413" w:rsidRPr="00C51D17">
        <w:rPr>
          <w:w w:val="100"/>
        </w:rPr>
        <w:t>un mécanisme de protection et d</w:t>
      </w:r>
      <w:r w:rsidR="00723345" w:rsidRPr="00C51D17">
        <w:rPr>
          <w:w w:val="100"/>
        </w:rPr>
        <w:t>’</w:t>
      </w:r>
      <w:r w:rsidR="00646413" w:rsidRPr="00C51D17">
        <w:rPr>
          <w:w w:val="100"/>
        </w:rPr>
        <w:t>aide aux victimes de violence</w:t>
      </w:r>
      <w:r w:rsidR="0012596A" w:rsidRPr="00C51D17">
        <w:rPr>
          <w:w w:val="100"/>
        </w:rPr>
        <w:t> ;</w:t>
      </w:r>
      <w:r w:rsidR="00646413" w:rsidRPr="00C51D17">
        <w:rPr>
          <w:w w:val="100"/>
        </w:rPr>
        <w:t xml:space="preserve"> la création, dans diverses régions, de centres et d</w:t>
      </w:r>
      <w:r w:rsidR="00723345" w:rsidRPr="00C51D17">
        <w:rPr>
          <w:w w:val="100"/>
        </w:rPr>
        <w:t>’</w:t>
      </w:r>
      <w:r w:rsidR="00646413" w:rsidRPr="00C51D17">
        <w:rPr>
          <w:w w:val="100"/>
        </w:rPr>
        <w:t>unités intégrés offrant des services de protection contre la violence domestique</w:t>
      </w:r>
      <w:r w:rsidR="0012596A" w:rsidRPr="00C51D17">
        <w:rPr>
          <w:w w:val="100"/>
        </w:rPr>
        <w:t> ;</w:t>
      </w:r>
      <w:r w:rsidR="00646413" w:rsidRPr="00C51D17">
        <w:rPr>
          <w:w w:val="100"/>
        </w:rPr>
        <w:t xml:space="preserve"> la mise en place d</w:t>
      </w:r>
      <w:r w:rsidR="00723345" w:rsidRPr="00C51D17">
        <w:rPr>
          <w:w w:val="100"/>
        </w:rPr>
        <w:t>’</w:t>
      </w:r>
      <w:r w:rsidR="00646413" w:rsidRPr="00C51D17">
        <w:rPr>
          <w:w w:val="100"/>
        </w:rPr>
        <w:t>un mécanisme officiel de dénonciation et de suivi de la violence domestique</w:t>
      </w:r>
      <w:r w:rsidR="0012596A" w:rsidRPr="00C51D17">
        <w:rPr>
          <w:w w:val="100"/>
        </w:rPr>
        <w:t> ;</w:t>
      </w:r>
      <w:r w:rsidR="00646413" w:rsidRPr="00C51D17">
        <w:rPr>
          <w:w w:val="100"/>
        </w:rPr>
        <w:t xml:space="preserve"> l</w:t>
      </w:r>
      <w:r w:rsidR="00723345" w:rsidRPr="00C51D17">
        <w:rPr>
          <w:w w:val="100"/>
        </w:rPr>
        <w:t>’</w:t>
      </w:r>
      <w:r w:rsidR="00646413" w:rsidRPr="00C51D17">
        <w:rPr>
          <w:w w:val="100"/>
        </w:rPr>
        <w:t>organisation de cycles de formation sur la violence domestique</w:t>
      </w:r>
      <w:r w:rsidR="0012596A" w:rsidRPr="00C51D17">
        <w:rPr>
          <w:w w:val="100"/>
        </w:rPr>
        <w:t> ;</w:t>
      </w:r>
      <w:r w:rsidR="00646413" w:rsidRPr="00C51D17">
        <w:rPr>
          <w:w w:val="100"/>
        </w:rPr>
        <w:t xml:space="preserve"> le lancement de programmes et de campagnes de sensibilisation de la société à la violence domestique</w:t>
      </w:r>
      <w:r w:rsidR="0012596A" w:rsidRPr="00C51D17">
        <w:rPr>
          <w:w w:val="100"/>
        </w:rPr>
        <w:t> ;</w:t>
      </w:r>
      <w:r w:rsidR="00646413" w:rsidRPr="00C51D17">
        <w:rPr>
          <w:w w:val="100"/>
        </w:rPr>
        <w:t xml:space="preserve"> la création d</w:t>
      </w:r>
      <w:r w:rsidR="00723345" w:rsidRPr="00C51D17">
        <w:rPr>
          <w:w w:val="100"/>
        </w:rPr>
        <w:t>’</w:t>
      </w:r>
      <w:r w:rsidR="00646413" w:rsidRPr="00C51D17">
        <w:rPr>
          <w:w w:val="100"/>
        </w:rPr>
        <w:t xml:space="preserve">unités spéciales et </w:t>
      </w:r>
      <w:r w:rsidR="002F7BC5" w:rsidRPr="00C51D17">
        <w:rPr>
          <w:w w:val="100"/>
        </w:rPr>
        <w:t xml:space="preserve">la mise en place </w:t>
      </w:r>
      <w:r w:rsidR="00646413" w:rsidRPr="00C51D17">
        <w:rPr>
          <w:w w:val="100"/>
        </w:rPr>
        <w:t>d</w:t>
      </w:r>
      <w:r w:rsidR="00723345" w:rsidRPr="00C51D17">
        <w:rPr>
          <w:w w:val="100"/>
        </w:rPr>
        <w:t>’</w:t>
      </w:r>
      <w:r w:rsidR="00646413" w:rsidRPr="00C51D17">
        <w:rPr>
          <w:w w:val="100"/>
        </w:rPr>
        <w:t>une ligne téléphonique spéciale pour la notification des cas de violence domestique</w:t>
      </w:r>
      <w:r w:rsidR="0012596A" w:rsidRPr="00C51D17">
        <w:rPr>
          <w:w w:val="100"/>
        </w:rPr>
        <w:t> ;</w:t>
      </w:r>
      <w:r w:rsidR="00646413" w:rsidRPr="00C51D17">
        <w:rPr>
          <w:w w:val="100"/>
        </w:rPr>
        <w:t xml:space="preserve"> la création de foyers (lieux sûrs d</w:t>
      </w:r>
      <w:r w:rsidR="00723345" w:rsidRPr="00C51D17">
        <w:rPr>
          <w:w w:val="100"/>
        </w:rPr>
        <w:t>’</w:t>
      </w:r>
      <w:r w:rsidR="00646413" w:rsidRPr="00C51D17">
        <w:rPr>
          <w:w w:val="100"/>
        </w:rPr>
        <w:t>accueil des victimes conformes aux normes internationales) et la poursuite du soutien aux programmes de réadaptation et de réintégration sociale des victimes de violence.</w:t>
      </w:r>
    </w:p>
    <w:p w14:paraId="5EC14316" w14:textId="1044BC76" w:rsidR="00646413" w:rsidRPr="00C51D17" w:rsidRDefault="007073D3" w:rsidP="007073D3">
      <w:pPr>
        <w:pStyle w:val="SingleTxt"/>
        <w:tabs>
          <w:tab w:val="right" w:pos="1685"/>
        </w:tabs>
        <w:ind w:left="1742" w:hanging="475"/>
        <w:rPr>
          <w:w w:val="100"/>
          <w:u w:val="single"/>
        </w:rPr>
      </w:pPr>
      <w:r w:rsidRPr="00C51D17">
        <w:rPr>
          <w:color w:val="000000"/>
          <w:w w:val="100"/>
        </w:rPr>
        <w:tab/>
        <w:t>•</w:t>
      </w:r>
      <w:r w:rsidRPr="00C51D17">
        <w:rPr>
          <w:color w:val="000000"/>
          <w:w w:val="100"/>
        </w:rPr>
        <w:tab/>
      </w:r>
      <w:r w:rsidR="00646413" w:rsidRPr="00C51D17">
        <w:rPr>
          <w:color w:val="000000"/>
          <w:w w:val="100"/>
        </w:rPr>
        <w:t>Le projet 3</w:t>
      </w:r>
      <w:r w:rsidR="00646413" w:rsidRPr="00C51D17">
        <w:rPr>
          <w:w w:val="100"/>
        </w:rPr>
        <w:t>.2</w:t>
      </w:r>
      <w:r w:rsidR="0012596A" w:rsidRPr="00C51D17">
        <w:rPr>
          <w:w w:val="100"/>
        </w:rPr>
        <w:t xml:space="preserve"> : </w:t>
      </w:r>
      <w:r w:rsidR="00646413" w:rsidRPr="00C51D17">
        <w:rPr>
          <w:w w:val="100"/>
        </w:rPr>
        <w:t>Système d</w:t>
      </w:r>
      <w:r w:rsidR="00723345" w:rsidRPr="00C51D17">
        <w:rPr>
          <w:w w:val="100"/>
        </w:rPr>
        <w:t>’</w:t>
      </w:r>
      <w:r w:rsidR="00646413" w:rsidRPr="00C51D17">
        <w:rPr>
          <w:w w:val="100"/>
        </w:rPr>
        <w:t>alerte précoce concernant les cas de maltraitance et de négligence des enfants. Trois activités seront menées dans ce cadre</w:t>
      </w:r>
      <w:r w:rsidR="0012596A" w:rsidRPr="00C51D17">
        <w:rPr>
          <w:w w:val="100"/>
        </w:rPr>
        <w:t xml:space="preserve"> : </w:t>
      </w:r>
      <w:r w:rsidR="00646413" w:rsidRPr="00C51D17">
        <w:rPr>
          <w:w w:val="100"/>
        </w:rPr>
        <w:t>la multiplication du nombre de spécialistes de l</w:t>
      </w:r>
      <w:r w:rsidR="00723345" w:rsidRPr="00C51D17">
        <w:rPr>
          <w:w w:val="100"/>
        </w:rPr>
        <w:t>’</w:t>
      </w:r>
      <w:r w:rsidR="00646413" w:rsidRPr="00C51D17">
        <w:rPr>
          <w:w w:val="100"/>
        </w:rPr>
        <w:t>action sociale dans les écoles et le développement de leurs connaissances et capacités dans les domaines des mauvais traitements, de la violence et de la négligence dont les enfants peuvent être victimes</w:t>
      </w:r>
      <w:r w:rsidR="0012596A" w:rsidRPr="00C51D17">
        <w:rPr>
          <w:w w:val="100"/>
        </w:rPr>
        <w:t> ;</w:t>
      </w:r>
      <w:r w:rsidR="00646413" w:rsidRPr="00C51D17">
        <w:rPr>
          <w:w w:val="100"/>
        </w:rPr>
        <w:t xml:space="preserve"> l</w:t>
      </w:r>
      <w:r w:rsidR="00723345" w:rsidRPr="00C51D17">
        <w:rPr>
          <w:w w:val="100"/>
        </w:rPr>
        <w:t>’</w:t>
      </w:r>
      <w:r w:rsidR="00646413" w:rsidRPr="00C51D17">
        <w:rPr>
          <w:w w:val="100"/>
        </w:rPr>
        <w:t>élaboration d</w:t>
      </w:r>
      <w:r w:rsidR="00723345" w:rsidRPr="00C51D17">
        <w:rPr>
          <w:w w:val="100"/>
        </w:rPr>
        <w:t>’</w:t>
      </w:r>
      <w:r w:rsidR="00646413" w:rsidRPr="00C51D17">
        <w:rPr>
          <w:w w:val="100"/>
        </w:rPr>
        <w:t xml:space="preserve">un programme de sensibilisation des élèves à la violence et de protection de ceux-ci et la </w:t>
      </w:r>
      <w:r w:rsidR="002F7BC5" w:rsidRPr="00C51D17">
        <w:rPr>
          <w:w w:val="100"/>
        </w:rPr>
        <w:t>mise en place</w:t>
      </w:r>
      <w:r w:rsidR="00646413" w:rsidRPr="00C51D17">
        <w:rPr>
          <w:w w:val="100"/>
        </w:rPr>
        <w:t xml:space="preserve"> d</w:t>
      </w:r>
      <w:r w:rsidR="00723345" w:rsidRPr="00C51D17">
        <w:rPr>
          <w:w w:val="100"/>
        </w:rPr>
        <w:t>’</w:t>
      </w:r>
      <w:r w:rsidR="00646413" w:rsidRPr="00C51D17">
        <w:rPr>
          <w:w w:val="100"/>
        </w:rPr>
        <w:t>une ligne téléphonique spéciale pour notifier les cas de violence.</w:t>
      </w:r>
    </w:p>
    <w:p w14:paraId="3737811A" w14:textId="5FF247EC" w:rsidR="00646413" w:rsidRPr="00C51D17" w:rsidRDefault="00646413" w:rsidP="007073D3">
      <w:pPr>
        <w:pStyle w:val="SingleTxt"/>
        <w:numPr>
          <w:ilvl w:val="0"/>
          <w:numId w:val="66"/>
        </w:numPr>
        <w:spacing w:line="240" w:lineRule="exact"/>
        <w:ind w:left="1267"/>
        <w:rPr>
          <w:w w:val="100"/>
        </w:rPr>
      </w:pPr>
      <w:r w:rsidRPr="00C51D17">
        <w:rPr>
          <w:w w:val="100"/>
        </w:rPr>
        <w:t xml:space="preserve">En ce qui concerne la réalisation des objectifs de développement durable liés à la situation des femmes, la Fondation </w:t>
      </w:r>
      <w:r w:rsidRPr="00C51D17">
        <w:rPr>
          <w:color w:val="000000"/>
          <w:w w:val="100"/>
        </w:rPr>
        <w:t>du Qatar pour l</w:t>
      </w:r>
      <w:r w:rsidR="00723345" w:rsidRPr="00C51D17">
        <w:rPr>
          <w:color w:val="000000"/>
          <w:w w:val="100"/>
        </w:rPr>
        <w:t>’</w:t>
      </w:r>
      <w:r w:rsidRPr="00C51D17">
        <w:rPr>
          <w:color w:val="000000"/>
          <w:w w:val="100"/>
        </w:rPr>
        <w:t>action sociale</w:t>
      </w:r>
      <w:r w:rsidRPr="00C51D17">
        <w:rPr>
          <w:w w:val="100"/>
        </w:rPr>
        <w:t xml:space="preserve"> a organisé, en avril 2016, à Doha, en coopération avec le Programme des Nations Unies pour le développement, la Commission économique et sociale des Nations Unies pour l</w:t>
      </w:r>
      <w:r w:rsidR="00723345" w:rsidRPr="00C51D17">
        <w:rPr>
          <w:w w:val="100"/>
        </w:rPr>
        <w:t>’</w:t>
      </w:r>
      <w:r w:rsidRPr="00C51D17">
        <w:rPr>
          <w:w w:val="100"/>
        </w:rPr>
        <w:t>Asie occidentale, le Fonds des Nations Unies pour la population</w:t>
      </w:r>
      <w:r w:rsidR="000124A6" w:rsidRPr="00C51D17">
        <w:rPr>
          <w:w w:val="100"/>
        </w:rPr>
        <w:t xml:space="preserve"> (FNUAP)</w:t>
      </w:r>
      <w:r w:rsidRPr="00C51D17">
        <w:rPr>
          <w:w w:val="100"/>
        </w:rPr>
        <w:t>, la Ligue des États arabes et le Conseil de coopération du Golfe, la Conférence arabe sur le rôle de la société civile dans la mise œuvre du Programme de développement durable à l</w:t>
      </w:r>
      <w:r w:rsidR="00723345" w:rsidRPr="00C51D17">
        <w:rPr>
          <w:w w:val="100"/>
        </w:rPr>
        <w:t>’</w:t>
      </w:r>
      <w:r w:rsidRPr="00C51D17">
        <w:rPr>
          <w:w w:val="100"/>
        </w:rPr>
        <w:t>horizon 2030. Les représentants de 21 pays arabes ont pris part à cette conférence, qui s</w:t>
      </w:r>
      <w:r w:rsidR="00723345" w:rsidRPr="00C51D17">
        <w:rPr>
          <w:w w:val="100"/>
        </w:rPr>
        <w:t>’</w:t>
      </w:r>
      <w:r w:rsidRPr="00C51D17">
        <w:rPr>
          <w:w w:val="100"/>
        </w:rPr>
        <w:t>est achevée par l</w:t>
      </w:r>
      <w:r w:rsidR="00723345" w:rsidRPr="00C51D17">
        <w:rPr>
          <w:w w:val="100"/>
        </w:rPr>
        <w:t>’</w:t>
      </w:r>
      <w:r w:rsidRPr="00C51D17">
        <w:rPr>
          <w:w w:val="100"/>
        </w:rPr>
        <w:t>adoption de la « Déclaration de Doha sur le rôle de la société civile dans la mise œuvre du Programme de développement durable à l</w:t>
      </w:r>
      <w:r w:rsidR="00723345" w:rsidRPr="00C51D17">
        <w:rPr>
          <w:w w:val="100"/>
        </w:rPr>
        <w:t>’</w:t>
      </w:r>
      <w:r w:rsidRPr="00C51D17">
        <w:rPr>
          <w:w w:val="100"/>
        </w:rPr>
        <w:t xml:space="preserve">horizon 2030 ». </w:t>
      </w:r>
      <w:r w:rsidR="002F7BC5" w:rsidRPr="00C51D17">
        <w:rPr>
          <w:w w:val="100"/>
        </w:rPr>
        <w:t>L’objectif était de susciter</w:t>
      </w:r>
      <w:r w:rsidRPr="00C51D17">
        <w:rPr>
          <w:w w:val="100"/>
        </w:rPr>
        <w:t xml:space="preserve"> des idées novatrices</w:t>
      </w:r>
      <w:r w:rsidR="002F7BC5" w:rsidRPr="00C51D17">
        <w:rPr>
          <w:w w:val="100"/>
        </w:rPr>
        <w:t xml:space="preserve">, </w:t>
      </w:r>
      <w:r w:rsidRPr="00C51D17">
        <w:rPr>
          <w:w w:val="100"/>
        </w:rPr>
        <w:t>d</w:t>
      </w:r>
      <w:r w:rsidR="00723345" w:rsidRPr="00C51D17">
        <w:rPr>
          <w:w w:val="100"/>
        </w:rPr>
        <w:t>’</w:t>
      </w:r>
      <w:r w:rsidRPr="00C51D17">
        <w:rPr>
          <w:w w:val="100"/>
        </w:rPr>
        <w:t>entendre les vues des divers secteurs de la société civile et autres acteurs du monde arabe concernant les défis et les perspectives liés au Programme de développement durable à l</w:t>
      </w:r>
      <w:r w:rsidR="00723345" w:rsidRPr="00C51D17">
        <w:rPr>
          <w:w w:val="100"/>
        </w:rPr>
        <w:t>’</w:t>
      </w:r>
      <w:r w:rsidRPr="00C51D17">
        <w:rPr>
          <w:w w:val="100"/>
        </w:rPr>
        <w:t>horizon 2030 et de s</w:t>
      </w:r>
      <w:r w:rsidR="00723345" w:rsidRPr="00C51D17">
        <w:rPr>
          <w:w w:val="100"/>
        </w:rPr>
        <w:t>’</w:t>
      </w:r>
      <w:r w:rsidRPr="00C51D17">
        <w:rPr>
          <w:w w:val="100"/>
        </w:rPr>
        <w:t>employer à élaborer et mettre en œuvre une feuille de route au niveau national avec la participation de la société civile dans le cadre d</w:t>
      </w:r>
      <w:r w:rsidR="00723345" w:rsidRPr="00C51D17">
        <w:rPr>
          <w:w w:val="100"/>
        </w:rPr>
        <w:t>’</w:t>
      </w:r>
      <w:r w:rsidRPr="00C51D17">
        <w:rPr>
          <w:w w:val="100"/>
        </w:rPr>
        <w:t>un partenariat responsable entre les diverses parties prenantes du développement, et cela dans une vision de planification, d</w:t>
      </w:r>
      <w:r w:rsidR="00723345" w:rsidRPr="00C51D17">
        <w:rPr>
          <w:w w:val="100"/>
        </w:rPr>
        <w:t>’</w:t>
      </w:r>
      <w:r w:rsidRPr="00C51D17">
        <w:rPr>
          <w:w w:val="100"/>
        </w:rPr>
        <w:t>exécution, de suivi et de révision.</w:t>
      </w:r>
    </w:p>
    <w:p w14:paraId="6760A1AD" w14:textId="764F7FC3" w:rsidR="00646413" w:rsidRPr="00C51D17" w:rsidRDefault="00646413" w:rsidP="007073D3">
      <w:pPr>
        <w:pStyle w:val="SingleTxt"/>
        <w:numPr>
          <w:ilvl w:val="0"/>
          <w:numId w:val="66"/>
        </w:numPr>
        <w:spacing w:line="240" w:lineRule="exact"/>
        <w:ind w:left="1267"/>
        <w:rPr>
          <w:w w:val="100"/>
        </w:rPr>
      </w:pPr>
      <w:r w:rsidRPr="00C51D17">
        <w:rPr>
          <w:w w:val="100"/>
        </w:rPr>
        <w:t>Conformément à la Déclaration de Doha, adoptée à l</w:t>
      </w:r>
      <w:r w:rsidR="00723345" w:rsidRPr="00C51D17">
        <w:rPr>
          <w:w w:val="100"/>
        </w:rPr>
        <w:t>’</w:t>
      </w:r>
      <w:r w:rsidRPr="00C51D17">
        <w:rPr>
          <w:w w:val="100"/>
        </w:rPr>
        <w:t>issue de cette Conférence, notamment ses paragraphes 6 et 10, un mémorandum d</w:t>
      </w:r>
      <w:r w:rsidR="00723345" w:rsidRPr="00C51D17">
        <w:rPr>
          <w:w w:val="100"/>
        </w:rPr>
        <w:t>’</w:t>
      </w:r>
      <w:r w:rsidRPr="00C51D17">
        <w:rPr>
          <w:w w:val="100"/>
        </w:rPr>
        <w:t>accord a été signé entre la Fondation du Qatar pour l</w:t>
      </w:r>
      <w:r w:rsidR="00723345" w:rsidRPr="00C51D17">
        <w:rPr>
          <w:w w:val="100"/>
        </w:rPr>
        <w:t>’</w:t>
      </w:r>
      <w:r w:rsidRPr="00C51D17">
        <w:rPr>
          <w:w w:val="100"/>
        </w:rPr>
        <w:t>action sociale et le Bureau régional pour les pays arabes d</w:t>
      </w:r>
      <w:r w:rsidR="000124A6" w:rsidRPr="00C51D17">
        <w:rPr>
          <w:w w:val="100"/>
        </w:rPr>
        <w:t>u FNUAP</w:t>
      </w:r>
      <w:r w:rsidRPr="00C51D17">
        <w:rPr>
          <w:w w:val="100"/>
        </w:rPr>
        <w:t xml:space="preserve"> afin de renforcer la coopération conjointe. On met actuellement la dernière main à la préparation d</w:t>
      </w:r>
      <w:r w:rsidR="00723345" w:rsidRPr="00C51D17">
        <w:rPr>
          <w:w w:val="100"/>
        </w:rPr>
        <w:t>’</w:t>
      </w:r>
      <w:r w:rsidRPr="00C51D17">
        <w:rPr>
          <w:w w:val="100"/>
        </w:rPr>
        <w:t>un autre mémorandum d</w:t>
      </w:r>
      <w:r w:rsidR="00723345" w:rsidRPr="00C51D17">
        <w:rPr>
          <w:w w:val="100"/>
        </w:rPr>
        <w:t>’</w:t>
      </w:r>
      <w:r w:rsidRPr="00C51D17">
        <w:rPr>
          <w:w w:val="100"/>
        </w:rPr>
        <w:t>accord entre la Fondation et la Ligue des États arabes sur « le renforcement de la coopération technique aux fins de la réalisation des objectifs de la Décennie arabe des organisations de la société civile », qui appuie la réalisation des objectifs de développement durable.</w:t>
      </w:r>
    </w:p>
    <w:p w14:paraId="665D1E03" w14:textId="1D554750" w:rsidR="007073D3" w:rsidRPr="00C51D17" w:rsidRDefault="007073D3" w:rsidP="007073D3">
      <w:pPr>
        <w:pStyle w:val="SingleTxt"/>
        <w:spacing w:after="0" w:line="120" w:lineRule="exact"/>
        <w:rPr>
          <w:w w:val="100"/>
          <w:sz w:val="10"/>
        </w:rPr>
      </w:pPr>
    </w:p>
    <w:p w14:paraId="012764E2" w14:textId="7576C7C2" w:rsidR="00646413" w:rsidRPr="00C51D17" w:rsidRDefault="007073D3" w:rsidP="007073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Mesures temporaires spéciales</w:t>
      </w:r>
    </w:p>
    <w:p w14:paraId="68DA5822" w14:textId="1B73F788" w:rsidR="007073D3" w:rsidRPr="00C51D17" w:rsidRDefault="007073D3" w:rsidP="007073D3">
      <w:pPr>
        <w:pStyle w:val="SingleTxt"/>
        <w:spacing w:after="0" w:line="120" w:lineRule="exact"/>
        <w:rPr>
          <w:sz w:val="10"/>
        </w:rPr>
      </w:pPr>
    </w:p>
    <w:p w14:paraId="5F55EF51" w14:textId="776132D1" w:rsidR="00646413" w:rsidRPr="00C51D17" w:rsidRDefault="00646413" w:rsidP="007073D3">
      <w:pPr>
        <w:pStyle w:val="SingleTxt"/>
        <w:numPr>
          <w:ilvl w:val="0"/>
          <w:numId w:val="66"/>
        </w:numPr>
        <w:tabs>
          <w:tab w:val="num" w:pos="2804"/>
        </w:tabs>
        <w:spacing w:line="240" w:lineRule="exact"/>
        <w:ind w:left="1267"/>
      </w:pPr>
      <w:r w:rsidRPr="00C51D17">
        <w:rPr>
          <w:w w:val="100"/>
        </w:rPr>
        <w:t>Bien que la Constitution n</w:t>
      </w:r>
      <w:r w:rsidR="00723345" w:rsidRPr="00C51D17">
        <w:rPr>
          <w:w w:val="100"/>
        </w:rPr>
        <w:t>’</w:t>
      </w:r>
      <w:r w:rsidRPr="00C51D17">
        <w:rPr>
          <w:w w:val="100"/>
        </w:rPr>
        <w:t>ait pas précisé dans le chapitre relatif au Conseil de la Choura de consacrer une partie des sièges aux femmes, l</w:t>
      </w:r>
      <w:r w:rsidR="00723345" w:rsidRPr="00C51D17">
        <w:rPr>
          <w:w w:val="100"/>
        </w:rPr>
        <w:t>’</w:t>
      </w:r>
      <w:r w:rsidRPr="00C51D17">
        <w:rPr>
          <w:w w:val="100"/>
        </w:rPr>
        <w:t>État a néanmoins pris des mesures positives pour permettre aux femmes d</w:t>
      </w:r>
      <w:r w:rsidR="00723345" w:rsidRPr="00C51D17">
        <w:rPr>
          <w:w w:val="100"/>
        </w:rPr>
        <w:t>’</w:t>
      </w:r>
      <w:r w:rsidRPr="00C51D17">
        <w:rPr>
          <w:w w:val="100"/>
        </w:rPr>
        <w:t>apporter leur contribution dans la justice, au bureau du Procureur général et dans le pouvoir exécutif. Des femmes ont obtenu des portefeuilles ministériels ou des postes diplomatiques. D</w:t>
      </w:r>
      <w:r w:rsidR="00723345" w:rsidRPr="00C51D17">
        <w:rPr>
          <w:w w:val="100"/>
        </w:rPr>
        <w:t>’</w:t>
      </w:r>
      <w:r w:rsidRPr="00C51D17">
        <w:rPr>
          <w:w w:val="100"/>
        </w:rPr>
        <w:t>autres siègent depuis peu au Conseil de la Choura, qui est l</w:t>
      </w:r>
      <w:r w:rsidR="00723345" w:rsidRPr="00C51D17">
        <w:rPr>
          <w:w w:val="100"/>
        </w:rPr>
        <w:t>’</w:t>
      </w:r>
      <w:r w:rsidRPr="00C51D17">
        <w:rPr>
          <w:w w:val="100"/>
        </w:rPr>
        <w:t>organe du pouvoir législatif au Qatar. Toutes ces mesures font partie des mesures spéciales permettant d</w:t>
      </w:r>
      <w:r w:rsidR="00723345" w:rsidRPr="00C51D17">
        <w:rPr>
          <w:w w:val="100"/>
        </w:rPr>
        <w:t>’</w:t>
      </w:r>
      <w:r w:rsidRPr="00C51D17">
        <w:rPr>
          <w:w w:val="100"/>
        </w:rPr>
        <w:t>accélérer la pleine participation des femmes, sur un pied d</w:t>
      </w:r>
      <w:r w:rsidR="00723345" w:rsidRPr="00C51D17">
        <w:rPr>
          <w:w w:val="100"/>
        </w:rPr>
        <w:t>’</w:t>
      </w:r>
      <w:r w:rsidRPr="00C51D17">
        <w:rPr>
          <w:w w:val="100"/>
        </w:rPr>
        <w:t>égalité avec les hommes, dans tous les domaines couverts par la Convention, notamment dans la vie politique.</w:t>
      </w:r>
    </w:p>
    <w:p w14:paraId="7ECADF9F" w14:textId="48778E33" w:rsidR="00646413" w:rsidRPr="00C51D17" w:rsidRDefault="00646413" w:rsidP="005A3C25">
      <w:pPr>
        <w:pStyle w:val="SingleTxt"/>
        <w:numPr>
          <w:ilvl w:val="0"/>
          <w:numId w:val="66"/>
        </w:numPr>
        <w:spacing w:line="240" w:lineRule="exact"/>
        <w:ind w:left="1267"/>
        <w:rPr>
          <w:w w:val="100"/>
        </w:rPr>
      </w:pPr>
      <w:r w:rsidRPr="00C51D17">
        <w:rPr>
          <w:w w:val="100"/>
        </w:rPr>
        <w:t>Malgré les avancées réalisées en matière de participation des femmes dans la société et l</w:t>
      </w:r>
      <w:r w:rsidR="00723345" w:rsidRPr="00C51D17">
        <w:rPr>
          <w:w w:val="100"/>
        </w:rPr>
        <w:t>’</w:t>
      </w:r>
      <w:r w:rsidRPr="00C51D17">
        <w:rPr>
          <w:w w:val="100"/>
        </w:rPr>
        <w:t>importance accordée à leur contribution dans la vie nationale, certaines images stéréotypées négatives persistent. Lors des élections municipales de 1999, six femmes se sont portées candidates, mais aucune n</w:t>
      </w:r>
      <w:r w:rsidR="00723345" w:rsidRPr="00C51D17">
        <w:rPr>
          <w:w w:val="100"/>
        </w:rPr>
        <w:t>’</w:t>
      </w:r>
      <w:r w:rsidRPr="00C51D17">
        <w:rPr>
          <w:w w:val="100"/>
        </w:rPr>
        <w:t>a été élue. En 2015, sur cinq femmes candidates, deux ont été élues, bien que 40</w:t>
      </w:r>
      <w:r w:rsidR="0012596A" w:rsidRPr="00C51D17">
        <w:rPr>
          <w:w w:val="100"/>
        </w:rPr>
        <w:t> %</w:t>
      </w:r>
      <w:r w:rsidRPr="00C51D17">
        <w:rPr>
          <w:w w:val="100"/>
        </w:rPr>
        <w:t xml:space="preserve"> des électeurs soient des femmes. Un sondage a révélé que 62</w:t>
      </w:r>
      <w:r w:rsidR="0012596A" w:rsidRPr="00C51D17">
        <w:rPr>
          <w:w w:val="100"/>
        </w:rPr>
        <w:t> %</w:t>
      </w:r>
      <w:r w:rsidRPr="00C51D17">
        <w:rPr>
          <w:w w:val="100"/>
        </w:rPr>
        <w:t xml:space="preserve"> des électeurs préfèrent être représentés dans les conseils municipaux par des hommes. Les électrices expriment la même préférence dans une proportion de 50</w:t>
      </w:r>
      <w:r w:rsidR="0012596A" w:rsidRPr="00C51D17">
        <w:rPr>
          <w:w w:val="100"/>
        </w:rPr>
        <w:t> %</w:t>
      </w:r>
      <w:r w:rsidRPr="00C51D17">
        <w:rPr>
          <w:w w:val="100"/>
          <w:vertAlign w:val="superscript"/>
        </w:rPr>
        <w:footnoteReference w:id="5"/>
      </w:r>
      <w:r w:rsidR="00401953" w:rsidRPr="00C51D17">
        <w:rPr>
          <w:w w:val="100"/>
        </w:rPr>
        <w:t>.</w:t>
      </w:r>
    </w:p>
    <w:p w14:paraId="47F1E354" w14:textId="28BE13ED" w:rsidR="00646413" w:rsidRPr="00C51D17" w:rsidRDefault="00646413" w:rsidP="00401953">
      <w:pPr>
        <w:pStyle w:val="SingleTxt"/>
        <w:numPr>
          <w:ilvl w:val="0"/>
          <w:numId w:val="66"/>
        </w:numPr>
        <w:spacing w:line="240" w:lineRule="exact"/>
        <w:ind w:left="1267"/>
        <w:rPr>
          <w:w w:val="100"/>
        </w:rPr>
      </w:pPr>
      <w:r w:rsidRPr="00C51D17">
        <w:rPr>
          <w:w w:val="100"/>
        </w:rPr>
        <w:t>Il apparaît clairement que l</w:t>
      </w:r>
      <w:r w:rsidR="00723345" w:rsidRPr="00C51D17">
        <w:rPr>
          <w:w w:val="100"/>
        </w:rPr>
        <w:t>’</w:t>
      </w:r>
      <w:r w:rsidRPr="00C51D17">
        <w:rPr>
          <w:w w:val="100"/>
        </w:rPr>
        <w:t>accès des femmes aux postes de prise de décision qui étaient auparavant monopolisés par les hommes résulte aujourd</w:t>
      </w:r>
      <w:r w:rsidR="00723345" w:rsidRPr="00C51D17">
        <w:rPr>
          <w:w w:val="100"/>
        </w:rPr>
        <w:t>’</w:t>
      </w:r>
      <w:r w:rsidRPr="00C51D17">
        <w:rPr>
          <w:w w:val="100"/>
        </w:rPr>
        <w:t>hui de mesures spéciales prises volontairement par le pouvoir politique afin de donner tout leur sens aux valeurs d</w:t>
      </w:r>
      <w:r w:rsidR="00723345" w:rsidRPr="00C51D17">
        <w:rPr>
          <w:w w:val="100"/>
        </w:rPr>
        <w:t>’</w:t>
      </w:r>
      <w:r w:rsidRPr="00C51D17">
        <w:rPr>
          <w:w w:val="100"/>
        </w:rPr>
        <w:t>égalité entre les sexes, ce qui constitue une exigence de l</w:t>
      </w:r>
      <w:r w:rsidR="00723345" w:rsidRPr="00C51D17">
        <w:rPr>
          <w:w w:val="100"/>
        </w:rPr>
        <w:t>’</w:t>
      </w:r>
      <w:r w:rsidRPr="00C51D17">
        <w:rPr>
          <w:w w:val="100"/>
        </w:rPr>
        <w:t>époque actuelle, mais aussi une marque de respect des engagements internationaux du pays, sachant notamment que ces mesures ne sont pas le fruit de pressions ou de revendications sociales.</w:t>
      </w:r>
    </w:p>
    <w:p w14:paraId="32775115" w14:textId="77777777" w:rsidR="00401953" w:rsidRPr="00C51D17" w:rsidRDefault="00401953" w:rsidP="00401953">
      <w:pPr>
        <w:pStyle w:val="SingleTxt"/>
        <w:spacing w:after="0" w:line="120" w:lineRule="exact"/>
        <w:rPr>
          <w:w w:val="100"/>
          <w:sz w:val="10"/>
        </w:rPr>
      </w:pPr>
    </w:p>
    <w:p w14:paraId="25AADE11" w14:textId="41E77695" w:rsidR="00646413" w:rsidRPr="00C51D17" w:rsidRDefault="00401953" w:rsidP="0040195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rPr>
      </w:pPr>
      <w:r w:rsidRPr="00C51D17">
        <w:rPr>
          <w:w w:val="100"/>
        </w:rPr>
        <w:tab/>
      </w:r>
      <w:r w:rsidRPr="00C51D17">
        <w:rPr>
          <w:w w:val="100"/>
        </w:rPr>
        <w:tab/>
      </w:r>
      <w:r w:rsidR="00646413" w:rsidRPr="00C51D17">
        <w:rPr>
          <w:w w:val="100"/>
        </w:rPr>
        <w:t>Stéréotypes et pratiques néfastes</w:t>
      </w:r>
    </w:p>
    <w:p w14:paraId="67BD175B" w14:textId="1D0BD800" w:rsidR="00401953" w:rsidRPr="00C51D17" w:rsidRDefault="00401953" w:rsidP="00BB07FC">
      <w:pPr>
        <w:pStyle w:val="SingleTxt"/>
        <w:spacing w:after="0" w:line="120" w:lineRule="exact"/>
        <w:rPr>
          <w:sz w:val="10"/>
        </w:rPr>
      </w:pPr>
    </w:p>
    <w:p w14:paraId="2715EFC5" w14:textId="62B552DC" w:rsidR="00646413" w:rsidRPr="00C51D17" w:rsidRDefault="00646413" w:rsidP="00401953">
      <w:pPr>
        <w:pStyle w:val="SingleTxt"/>
        <w:numPr>
          <w:ilvl w:val="0"/>
          <w:numId w:val="66"/>
        </w:numPr>
        <w:spacing w:line="240" w:lineRule="exact"/>
        <w:ind w:left="1267"/>
        <w:rPr>
          <w:w w:val="100"/>
        </w:rPr>
      </w:pPr>
      <w:r w:rsidRPr="00C51D17">
        <w:rPr>
          <w:w w:val="100"/>
        </w:rPr>
        <w:t>À l</w:t>
      </w:r>
      <w:r w:rsidR="00723345" w:rsidRPr="00C51D17">
        <w:rPr>
          <w:w w:val="100"/>
        </w:rPr>
        <w:t>’</w:t>
      </w:r>
      <w:r w:rsidRPr="00C51D17">
        <w:rPr>
          <w:w w:val="100"/>
        </w:rPr>
        <w:t>exemple de l</w:t>
      </w:r>
      <w:r w:rsidR="00723345" w:rsidRPr="00C51D17">
        <w:rPr>
          <w:w w:val="100"/>
        </w:rPr>
        <w:t>’</w:t>
      </w:r>
      <w:r w:rsidRPr="00C51D17">
        <w:rPr>
          <w:w w:val="100"/>
        </w:rPr>
        <w:t>homme, la femme qatarienne participe au développement du pays. Dans le secteur de l</w:t>
      </w:r>
      <w:r w:rsidR="00723345" w:rsidRPr="00C51D17">
        <w:rPr>
          <w:w w:val="100"/>
        </w:rPr>
        <w:t>’</w:t>
      </w:r>
      <w:r w:rsidRPr="00C51D17">
        <w:rPr>
          <w:w w:val="100"/>
        </w:rPr>
        <w:t>emploi et de l</w:t>
      </w:r>
      <w:r w:rsidR="00723345" w:rsidRPr="00C51D17">
        <w:rPr>
          <w:w w:val="100"/>
        </w:rPr>
        <w:t>’</w:t>
      </w:r>
      <w:r w:rsidRPr="00C51D17">
        <w:rPr>
          <w:w w:val="100"/>
        </w:rPr>
        <w:t>enseignement, les stéréotypes sexistes ont été quasiment éliminés. La femme qatarienne est aujourd</w:t>
      </w:r>
      <w:r w:rsidR="00723345" w:rsidRPr="00C51D17">
        <w:rPr>
          <w:w w:val="100"/>
        </w:rPr>
        <w:t>’</w:t>
      </w:r>
      <w:r w:rsidRPr="00C51D17">
        <w:rPr>
          <w:w w:val="100"/>
        </w:rPr>
        <w:t>hui présente dans un grand nombre de professions et de fonctions non traditionnelles dont celles de pilote d</w:t>
      </w:r>
      <w:r w:rsidR="00723345" w:rsidRPr="00C51D17">
        <w:rPr>
          <w:w w:val="100"/>
        </w:rPr>
        <w:t>’</w:t>
      </w:r>
      <w:r w:rsidRPr="00C51D17">
        <w:rPr>
          <w:w w:val="100"/>
        </w:rPr>
        <w:t>avion civils, de fonctionnaire de police, de militaire, etc.</w:t>
      </w:r>
    </w:p>
    <w:p w14:paraId="0F9C17E2" w14:textId="146D7F4B" w:rsidR="00646413" w:rsidRPr="00C51D17" w:rsidRDefault="00646413" w:rsidP="00401953">
      <w:pPr>
        <w:pStyle w:val="SingleTxt"/>
        <w:numPr>
          <w:ilvl w:val="0"/>
          <w:numId w:val="66"/>
        </w:numPr>
        <w:spacing w:line="240" w:lineRule="exact"/>
        <w:ind w:left="1267"/>
        <w:rPr>
          <w:w w:val="100"/>
        </w:rPr>
      </w:pPr>
      <w:r w:rsidRPr="00C51D17">
        <w:rPr>
          <w:w w:val="100"/>
        </w:rPr>
        <w:t>La Commission nationale des droits de l</w:t>
      </w:r>
      <w:r w:rsidR="00723345" w:rsidRPr="00C51D17">
        <w:rPr>
          <w:w w:val="100"/>
        </w:rPr>
        <w:t>’</w:t>
      </w:r>
      <w:r w:rsidRPr="00C51D17">
        <w:rPr>
          <w:w w:val="100"/>
        </w:rPr>
        <w:t>homme note les progrès accomplis vers une plus grande égalité des chances en matière de formation. C</w:t>
      </w:r>
      <w:r w:rsidR="00723345" w:rsidRPr="00C51D17">
        <w:rPr>
          <w:w w:val="100"/>
        </w:rPr>
        <w:t>’</w:t>
      </w:r>
      <w:r w:rsidRPr="00C51D17">
        <w:rPr>
          <w:w w:val="100"/>
        </w:rPr>
        <w:t>est ainsi qu</w:t>
      </w:r>
      <w:r w:rsidR="00723345" w:rsidRPr="00C51D17">
        <w:rPr>
          <w:w w:val="100"/>
        </w:rPr>
        <w:t>’</w:t>
      </w:r>
      <w:r w:rsidRPr="00C51D17">
        <w:rPr>
          <w:w w:val="100"/>
        </w:rPr>
        <w:t>en 2017, 4 504 fonctionnaires</w:t>
      </w:r>
      <w:r w:rsidR="00087204" w:rsidRPr="00C51D17">
        <w:rPr>
          <w:w w:val="100"/>
        </w:rPr>
        <w:t xml:space="preserve"> de l’État </w:t>
      </w:r>
      <w:r w:rsidRPr="00C51D17">
        <w:rPr>
          <w:w w:val="100"/>
        </w:rPr>
        <w:t>ont participé à des programmes de formation portant sur la valorisation et le perfectionnement des ressources humaines au Ministère du travail, dont 41</w:t>
      </w:r>
      <w:r w:rsidR="0012596A" w:rsidRPr="00C51D17">
        <w:rPr>
          <w:w w:val="100"/>
        </w:rPr>
        <w:t> %</w:t>
      </w:r>
      <w:r w:rsidRPr="00C51D17">
        <w:rPr>
          <w:w w:val="100"/>
        </w:rPr>
        <w:t xml:space="preserve"> d</w:t>
      </w:r>
      <w:r w:rsidR="00723345" w:rsidRPr="00C51D17">
        <w:rPr>
          <w:w w:val="100"/>
        </w:rPr>
        <w:t>’</w:t>
      </w:r>
      <w:r w:rsidRPr="00C51D17">
        <w:rPr>
          <w:w w:val="100"/>
        </w:rPr>
        <w:t>hommes et 59</w:t>
      </w:r>
      <w:r w:rsidR="0012596A" w:rsidRPr="00C51D17">
        <w:rPr>
          <w:w w:val="100"/>
        </w:rPr>
        <w:t> %</w:t>
      </w:r>
      <w:r w:rsidRPr="00C51D17">
        <w:rPr>
          <w:w w:val="100"/>
        </w:rPr>
        <w:t xml:space="preserve"> de femmes.</w:t>
      </w:r>
    </w:p>
    <w:p w14:paraId="724CFF3B" w14:textId="42E5BFF7" w:rsidR="00646413" w:rsidRPr="00C51D17" w:rsidRDefault="00646413" w:rsidP="00401953">
      <w:pPr>
        <w:pStyle w:val="SingleTxt"/>
        <w:numPr>
          <w:ilvl w:val="0"/>
          <w:numId w:val="67"/>
        </w:numPr>
        <w:tabs>
          <w:tab w:val="num" w:pos="2804"/>
        </w:tabs>
        <w:spacing w:line="240" w:lineRule="exact"/>
        <w:ind w:left="1267"/>
        <w:rPr>
          <w:w w:val="100"/>
        </w:rPr>
      </w:pPr>
      <w:r w:rsidRPr="00C51D17">
        <w:rPr>
          <w:w w:val="100"/>
        </w:rPr>
        <w:t>S</w:t>
      </w:r>
      <w:r w:rsidR="00723345" w:rsidRPr="00C51D17">
        <w:rPr>
          <w:w w:val="100"/>
        </w:rPr>
        <w:t>’</w:t>
      </w:r>
      <w:r w:rsidRPr="00C51D17">
        <w:rPr>
          <w:w w:val="100"/>
        </w:rPr>
        <w:t>agissant des effets des activités</w:t>
      </w:r>
      <w:r w:rsidRPr="00C51D17">
        <w:rPr>
          <w:w w:val="100"/>
          <w:vertAlign w:val="superscript"/>
        </w:rPr>
        <w:footnoteReference w:id="6"/>
      </w:r>
      <w:r w:rsidRPr="00C51D17">
        <w:rPr>
          <w:w w:val="100"/>
        </w:rPr>
        <w:t xml:space="preserve"> conduites par le Centre Wifaq pour lutter contre les stéréotypes frappant les travailleuses domestiques, sensibiliser les citoyens et renforcer la mise en œuvre de la Convention, le Centre a élaboré un programme sur la rationalisation du recours aux travailleuses domestiques pour éduquer les enfants. Ce programme se propose d</w:t>
      </w:r>
      <w:r w:rsidR="00723345" w:rsidRPr="00C51D17">
        <w:rPr>
          <w:w w:val="100"/>
        </w:rPr>
        <w:t>’</w:t>
      </w:r>
      <w:r w:rsidRPr="00C51D17">
        <w:rPr>
          <w:w w:val="100"/>
        </w:rPr>
        <w:t>organiser les responsabilités familiales des parents par la codification du recours aux travailleuses domestiques et la sensibilisation aux effets négatifs qui peuvent en résulter sur la famille. Il vise à</w:t>
      </w:r>
      <w:r w:rsidR="00401953" w:rsidRPr="00C51D17">
        <w:rPr>
          <w:w w:val="100"/>
        </w:rPr>
        <w:t> </w:t>
      </w:r>
      <w:r w:rsidRPr="00C51D17">
        <w:rPr>
          <w:w w:val="100"/>
        </w:rPr>
        <w:t>:</w:t>
      </w:r>
    </w:p>
    <w:p w14:paraId="0EE87B3D" w14:textId="0803D7C2" w:rsidR="00646413" w:rsidRPr="00C51D17" w:rsidRDefault="001F16E1" w:rsidP="001F16E1">
      <w:pPr>
        <w:pStyle w:val="SingleTxt"/>
        <w:tabs>
          <w:tab w:val="right" w:pos="1685"/>
        </w:tabs>
        <w:ind w:left="1742" w:hanging="475"/>
        <w:rPr>
          <w:w w:val="100"/>
        </w:rPr>
      </w:pPr>
      <w:r w:rsidRPr="00C51D17">
        <w:rPr>
          <w:w w:val="100"/>
        </w:rPr>
        <w:tab/>
        <w:t>•</w:t>
      </w:r>
      <w:r w:rsidRPr="00C51D17">
        <w:rPr>
          <w:w w:val="100"/>
        </w:rPr>
        <w:tab/>
      </w:r>
      <w:r w:rsidR="00646413" w:rsidRPr="00C51D17">
        <w:rPr>
          <w:w w:val="100"/>
        </w:rPr>
        <w:t>Définir le rôle des travailleuses domestiques en matière d</w:t>
      </w:r>
      <w:r w:rsidR="00723345" w:rsidRPr="00C51D17">
        <w:rPr>
          <w:w w:val="100"/>
        </w:rPr>
        <w:t>’</w:t>
      </w:r>
      <w:r w:rsidR="00646413" w:rsidRPr="00C51D17">
        <w:rPr>
          <w:w w:val="100"/>
        </w:rPr>
        <w:t>éducation des enfants</w:t>
      </w:r>
      <w:r w:rsidR="0012596A" w:rsidRPr="00C51D17">
        <w:rPr>
          <w:w w:val="100"/>
        </w:rPr>
        <w:t> ;</w:t>
      </w:r>
    </w:p>
    <w:p w14:paraId="07CC8FEE" w14:textId="37606D8A" w:rsidR="00646413" w:rsidRPr="00C51D17" w:rsidRDefault="001F16E1" w:rsidP="001F16E1">
      <w:pPr>
        <w:pStyle w:val="SingleTxt"/>
        <w:tabs>
          <w:tab w:val="right" w:pos="1685"/>
        </w:tabs>
        <w:ind w:left="1742" w:hanging="475"/>
        <w:rPr>
          <w:w w:val="100"/>
        </w:rPr>
      </w:pPr>
      <w:r w:rsidRPr="00C51D17">
        <w:rPr>
          <w:w w:val="100"/>
        </w:rPr>
        <w:tab/>
        <w:t>•</w:t>
      </w:r>
      <w:r w:rsidRPr="00C51D17">
        <w:rPr>
          <w:w w:val="100"/>
        </w:rPr>
        <w:tab/>
      </w:r>
      <w:r w:rsidR="00646413" w:rsidRPr="00C51D17">
        <w:rPr>
          <w:w w:val="100"/>
        </w:rPr>
        <w:t>Éveiller les parents à la nécessité d</w:t>
      </w:r>
      <w:r w:rsidR="00723345" w:rsidRPr="00C51D17">
        <w:rPr>
          <w:w w:val="100"/>
        </w:rPr>
        <w:t>’</w:t>
      </w:r>
      <w:r w:rsidR="00646413" w:rsidRPr="00C51D17">
        <w:rPr>
          <w:w w:val="100"/>
        </w:rPr>
        <w:t>assumer leurs responsabilités</w:t>
      </w:r>
      <w:r w:rsidR="0012596A" w:rsidRPr="00C51D17">
        <w:rPr>
          <w:w w:val="100"/>
        </w:rPr>
        <w:t> ;</w:t>
      </w:r>
    </w:p>
    <w:p w14:paraId="4DBA5CDA" w14:textId="095710D4" w:rsidR="00646413" w:rsidRPr="00C51D17" w:rsidRDefault="001F16E1" w:rsidP="001F16E1">
      <w:pPr>
        <w:pStyle w:val="SingleTxt"/>
        <w:tabs>
          <w:tab w:val="right" w:pos="1685"/>
        </w:tabs>
        <w:ind w:left="1742" w:hanging="475"/>
        <w:rPr>
          <w:w w:val="100"/>
        </w:rPr>
      </w:pPr>
      <w:r w:rsidRPr="00C51D17">
        <w:rPr>
          <w:w w:val="100"/>
        </w:rPr>
        <w:tab/>
        <w:t>•</w:t>
      </w:r>
      <w:r w:rsidRPr="00C51D17">
        <w:rPr>
          <w:w w:val="100"/>
        </w:rPr>
        <w:tab/>
      </w:r>
      <w:r w:rsidR="00646413" w:rsidRPr="00C51D17">
        <w:rPr>
          <w:w w:val="100"/>
        </w:rPr>
        <w:t>Renforcer les relations familiales dans les foyers</w:t>
      </w:r>
      <w:r w:rsidR="0012596A" w:rsidRPr="00C51D17">
        <w:rPr>
          <w:w w:val="100"/>
        </w:rPr>
        <w:t> ;</w:t>
      </w:r>
    </w:p>
    <w:p w14:paraId="0188E44D" w14:textId="6C2D4DF5" w:rsidR="00646413" w:rsidRPr="00C51D17" w:rsidRDefault="001F16E1" w:rsidP="001F16E1">
      <w:pPr>
        <w:pStyle w:val="SingleTxt"/>
        <w:tabs>
          <w:tab w:val="right" w:pos="1685"/>
        </w:tabs>
        <w:ind w:left="1742" w:hanging="475"/>
        <w:rPr>
          <w:w w:val="100"/>
        </w:rPr>
      </w:pPr>
      <w:r w:rsidRPr="00C51D17">
        <w:rPr>
          <w:w w:val="100"/>
        </w:rPr>
        <w:tab/>
        <w:t>•</w:t>
      </w:r>
      <w:r w:rsidRPr="00C51D17">
        <w:rPr>
          <w:w w:val="100"/>
        </w:rPr>
        <w:tab/>
      </w:r>
      <w:r w:rsidR="00646413" w:rsidRPr="00C51D17">
        <w:rPr>
          <w:w w:val="100"/>
        </w:rPr>
        <w:t>Protéger les enfants contre la violence ou le harcèlement</w:t>
      </w:r>
      <w:r w:rsidR="0012596A" w:rsidRPr="00C51D17">
        <w:rPr>
          <w:w w:val="100"/>
        </w:rPr>
        <w:t> ;</w:t>
      </w:r>
    </w:p>
    <w:p w14:paraId="7BAB0DEC" w14:textId="2114B202" w:rsidR="00646413" w:rsidRPr="00C51D17" w:rsidRDefault="001F16E1" w:rsidP="001F16E1">
      <w:pPr>
        <w:pStyle w:val="SingleTxt"/>
        <w:tabs>
          <w:tab w:val="right" w:pos="1685"/>
        </w:tabs>
        <w:ind w:left="1742" w:hanging="475"/>
        <w:rPr>
          <w:w w:val="100"/>
        </w:rPr>
      </w:pPr>
      <w:r w:rsidRPr="00C51D17">
        <w:rPr>
          <w:w w:val="100"/>
        </w:rPr>
        <w:tab/>
        <w:t>•</w:t>
      </w:r>
      <w:r w:rsidRPr="00C51D17">
        <w:rPr>
          <w:w w:val="100"/>
        </w:rPr>
        <w:tab/>
      </w:r>
      <w:r w:rsidR="00646413" w:rsidRPr="00C51D17">
        <w:rPr>
          <w:w w:val="100"/>
        </w:rPr>
        <w:t>Promouvoir la bonne entente parentale</w:t>
      </w:r>
      <w:r w:rsidR="0012596A" w:rsidRPr="00C51D17">
        <w:rPr>
          <w:w w:val="100"/>
        </w:rPr>
        <w:t> ;</w:t>
      </w:r>
    </w:p>
    <w:p w14:paraId="6C422087" w14:textId="6C51D4BB" w:rsidR="00646413" w:rsidRPr="00C51D17" w:rsidRDefault="001F16E1" w:rsidP="001F16E1">
      <w:pPr>
        <w:pStyle w:val="SingleTxt"/>
        <w:tabs>
          <w:tab w:val="right" w:pos="1685"/>
        </w:tabs>
        <w:ind w:left="1742" w:hanging="475"/>
        <w:rPr>
          <w:w w:val="100"/>
        </w:rPr>
      </w:pPr>
      <w:r w:rsidRPr="00C51D17">
        <w:rPr>
          <w:w w:val="100"/>
        </w:rPr>
        <w:tab/>
        <w:t>•</w:t>
      </w:r>
      <w:r w:rsidRPr="00C51D17">
        <w:rPr>
          <w:w w:val="100"/>
        </w:rPr>
        <w:tab/>
      </w:r>
      <w:r w:rsidR="00646413" w:rsidRPr="00C51D17">
        <w:rPr>
          <w:w w:val="100"/>
        </w:rPr>
        <w:t>Apprendre à s</w:t>
      </w:r>
      <w:r w:rsidR="00723345" w:rsidRPr="00C51D17">
        <w:rPr>
          <w:w w:val="100"/>
        </w:rPr>
        <w:t>’</w:t>
      </w:r>
      <w:r w:rsidR="00646413" w:rsidRPr="00C51D17">
        <w:rPr>
          <w:w w:val="100"/>
        </w:rPr>
        <w:t>autogérer</w:t>
      </w:r>
      <w:r w:rsidR="0012596A" w:rsidRPr="00C51D17">
        <w:rPr>
          <w:w w:val="100"/>
        </w:rPr>
        <w:t> ;</w:t>
      </w:r>
    </w:p>
    <w:p w14:paraId="3FE6C1EB" w14:textId="08C6C2FF" w:rsidR="00646413" w:rsidRPr="00C51D17" w:rsidRDefault="001F16E1" w:rsidP="001F16E1">
      <w:pPr>
        <w:pStyle w:val="SingleTxt"/>
        <w:tabs>
          <w:tab w:val="right" w:pos="1685"/>
        </w:tabs>
        <w:ind w:left="1742" w:hanging="475"/>
        <w:rPr>
          <w:w w:val="100"/>
        </w:rPr>
      </w:pPr>
      <w:r w:rsidRPr="00C51D17">
        <w:rPr>
          <w:w w:val="100"/>
        </w:rPr>
        <w:tab/>
        <w:t>•</w:t>
      </w:r>
      <w:r w:rsidRPr="00C51D17">
        <w:rPr>
          <w:w w:val="100"/>
        </w:rPr>
        <w:tab/>
      </w:r>
      <w:r w:rsidR="00646413" w:rsidRPr="00C51D17">
        <w:rPr>
          <w:w w:val="100"/>
        </w:rPr>
        <w:t>Réduire le recours aux travailleuses domestiques.</w:t>
      </w:r>
    </w:p>
    <w:p w14:paraId="12AA3D59" w14:textId="1A5B0365" w:rsidR="00646413" w:rsidRPr="00C51D17" w:rsidRDefault="00646413" w:rsidP="004B7F2E">
      <w:pPr>
        <w:pStyle w:val="SingleTxt"/>
        <w:numPr>
          <w:ilvl w:val="0"/>
          <w:numId w:val="67"/>
        </w:numPr>
        <w:spacing w:line="240" w:lineRule="exact"/>
        <w:ind w:left="1267"/>
        <w:rPr>
          <w:w w:val="100"/>
        </w:rPr>
      </w:pPr>
      <w:r w:rsidRPr="00C51D17">
        <w:rPr>
          <w:w w:val="100"/>
        </w:rPr>
        <w:t>La Fondation du Qatar pour l</w:t>
      </w:r>
      <w:r w:rsidR="00723345" w:rsidRPr="00C51D17">
        <w:rPr>
          <w:w w:val="100"/>
        </w:rPr>
        <w:t>’</w:t>
      </w:r>
      <w:r w:rsidRPr="00C51D17">
        <w:rPr>
          <w:w w:val="100"/>
        </w:rPr>
        <w:t>action sociale a également mené plusieurs initiatives dans le domaine de la lutte contre les stéréotypes affectant les femmes, dont notamment</w:t>
      </w:r>
      <w:r w:rsidR="00206D7B" w:rsidRPr="00C51D17">
        <w:rPr>
          <w:w w:val="100"/>
        </w:rPr>
        <w:t> </w:t>
      </w:r>
      <w:r w:rsidRPr="00C51D17">
        <w:rPr>
          <w:w w:val="100"/>
        </w:rPr>
        <w:t>:</w:t>
      </w:r>
    </w:p>
    <w:p w14:paraId="2800452B" w14:textId="47B92A6D" w:rsidR="00646413" w:rsidRPr="00C51D17" w:rsidRDefault="00206D7B" w:rsidP="00206D7B">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production de six documentaires de sensibilisation sur la sécurité familiale, qui ont été diffusés pendant le mois d</w:t>
      </w:r>
      <w:r w:rsidR="00087204" w:rsidRPr="00C51D17">
        <w:rPr>
          <w:w w:val="100"/>
        </w:rPr>
        <w:t>u r</w:t>
      </w:r>
      <w:r w:rsidR="00646413" w:rsidRPr="00C51D17">
        <w:rPr>
          <w:w w:val="100"/>
        </w:rPr>
        <w:t>amadan sur les chaînes de télévision du Qatar et les réseaux sociaux</w:t>
      </w:r>
      <w:r w:rsidR="0012596A" w:rsidRPr="00C51D17">
        <w:rPr>
          <w:w w:val="100"/>
        </w:rPr>
        <w:t> ;</w:t>
      </w:r>
    </w:p>
    <w:p w14:paraId="2D6A4130" w14:textId="290113A7" w:rsidR="00646413" w:rsidRPr="00C51D17" w:rsidRDefault="00206D7B" w:rsidP="00206D7B">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organisation d</w:t>
      </w:r>
      <w:r w:rsidR="00723345" w:rsidRPr="00C51D17">
        <w:rPr>
          <w:w w:val="100"/>
        </w:rPr>
        <w:t>’</w:t>
      </w:r>
      <w:r w:rsidR="00646413" w:rsidRPr="00C51D17">
        <w:rPr>
          <w:w w:val="100"/>
        </w:rPr>
        <w:t>un séminaire sur « Les femmes dans l</w:t>
      </w:r>
      <w:r w:rsidR="00723345" w:rsidRPr="00C51D17">
        <w:rPr>
          <w:w w:val="100"/>
        </w:rPr>
        <w:t>’</w:t>
      </w:r>
      <w:r w:rsidR="00646413" w:rsidRPr="00C51D17">
        <w:rPr>
          <w:w w:val="100"/>
        </w:rPr>
        <w:t>information », avec la participation de l</w:t>
      </w:r>
      <w:r w:rsidR="00723345" w:rsidRPr="00C51D17">
        <w:rPr>
          <w:w w:val="100"/>
        </w:rPr>
        <w:t>’</w:t>
      </w:r>
      <w:r w:rsidR="00646413" w:rsidRPr="00C51D17">
        <w:rPr>
          <w:w w:val="100"/>
        </w:rPr>
        <w:t>établissement de diffusion des programmes des pays du Golfe, afin d</w:t>
      </w:r>
      <w:r w:rsidR="00087204" w:rsidRPr="00C51D17">
        <w:rPr>
          <w:w w:val="100"/>
        </w:rPr>
        <w:t>e rehausser</w:t>
      </w:r>
      <w:r w:rsidR="00646413" w:rsidRPr="00C51D17">
        <w:rPr>
          <w:w w:val="100"/>
        </w:rPr>
        <w:t xml:space="preserve"> l</w:t>
      </w:r>
      <w:r w:rsidR="00723345" w:rsidRPr="00C51D17">
        <w:rPr>
          <w:w w:val="100"/>
        </w:rPr>
        <w:t>’</w:t>
      </w:r>
      <w:r w:rsidR="00646413" w:rsidRPr="00C51D17">
        <w:rPr>
          <w:w w:val="100"/>
        </w:rPr>
        <w:t>image de la femme dans les</w:t>
      </w:r>
      <w:r w:rsidR="00087204" w:rsidRPr="00C51D17">
        <w:rPr>
          <w:w w:val="100"/>
        </w:rPr>
        <w:t xml:space="preserve"> séries</w:t>
      </w:r>
      <w:r w:rsidR="00646413" w:rsidRPr="00C51D17">
        <w:rPr>
          <w:w w:val="100"/>
        </w:rPr>
        <w:t xml:space="preserve"> dram</w:t>
      </w:r>
      <w:r w:rsidR="00087204" w:rsidRPr="00C51D17">
        <w:rPr>
          <w:w w:val="100"/>
        </w:rPr>
        <w:t>atiques</w:t>
      </w:r>
      <w:r w:rsidR="00646413" w:rsidRPr="00C51D17">
        <w:rPr>
          <w:w w:val="100"/>
        </w:rPr>
        <w:t xml:space="preserve"> du Golfe et de ne pas la réduire à des images stéréotypées</w:t>
      </w:r>
      <w:r w:rsidR="0012596A" w:rsidRPr="00C51D17">
        <w:rPr>
          <w:w w:val="100"/>
        </w:rPr>
        <w:t> ;</w:t>
      </w:r>
    </w:p>
    <w:p w14:paraId="60539B9D" w14:textId="295BC08A" w:rsidR="00646413" w:rsidRPr="00C51D17" w:rsidRDefault="00206D7B" w:rsidP="00206D7B">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organisation d</w:t>
      </w:r>
      <w:r w:rsidR="00723345" w:rsidRPr="00C51D17">
        <w:rPr>
          <w:w w:val="100"/>
        </w:rPr>
        <w:t>’</w:t>
      </w:r>
      <w:r w:rsidR="00646413" w:rsidRPr="00C51D17">
        <w:rPr>
          <w:w w:val="100"/>
        </w:rPr>
        <w:t>une rencontre interactive intitulée « Lutter contre la violence par l</w:t>
      </w:r>
      <w:r w:rsidR="00723345" w:rsidRPr="00C51D17">
        <w:rPr>
          <w:w w:val="100"/>
        </w:rPr>
        <w:t>’</w:t>
      </w:r>
      <w:r w:rsidR="00646413" w:rsidRPr="00C51D17">
        <w:rPr>
          <w:w w:val="100"/>
        </w:rPr>
        <w:t xml:space="preserve">autonomisation » </w:t>
      </w:r>
      <w:r w:rsidR="00087204" w:rsidRPr="00C51D17">
        <w:rPr>
          <w:w w:val="100"/>
        </w:rPr>
        <w:t>afin</w:t>
      </w:r>
      <w:r w:rsidR="00646413" w:rsidRPr="00C51D17">
        <w:rPr>
          <w:w w:val="100"/>
        </w:rPr>
        <w:t xml:space="preserve"> de faire connaître au public l</w:t>
      </w:r>
      <w:r w:rsidR="00723345" w:rsidRPr="00C51D17">
        <w:rPr>
          <w:w w:val="100"/>
        </w:rPr>
        <w:t>’</w:t>
      </w:r>
      <w:r w:rsidR="00646413" w:rsidRPr="00C51D17">
        <w:rPr>
          <w:w w:val="100"/>
        </w:rPr>
        <w:t>ampleur des problèmes que connaissent les femmes dans le monde à cause de la violence, et à l</w:t>
      </w:r>
      <w:r w:rsidR="00723345" w:rsidRPr="00C51D17">
        <w:rPr>
          <w:w w:val="100"/>
        </w:rPr>
        <w:t>’</w:t>
      </w:r>
      <w:r w:rsidR="00646413" w:rsidRPr="00C51D17">
        <w:rPr>
          <w:w w:val="100"/>
        </w:rPr>
        <w:t xml:space="preserve">importance du mécanisme destiné à les éliminer. </w:t>
      </w:r>
    </w:p>
    <w:p w14:paraId="0285B353" w14:textId="721F1376" w:rsidR="00646413" w:rsidRPr="00C51D17" w:rsidRDefault="00646413" w:rsidP="000D4E81">
      <w:pPr>
        <w:pStyle w:val="SingleTxt"/>
        <w:numPr>
          <w:ilvl w:val="0"/>
          <w:numId w:val="67"/>
        </w:numPr>
        <w:spacing w:line="240" w:lineRule="exact"/>
        <w:ind w:left="1267"/>
        <w:rPr>
          <w:w w:val="100"/>
        </w:rPr>
      </w:pPr>
      <w:r w:rsidRPr="00C51D17">
        <w:rPr>
          <w:w w:val="100"/>
        </w:rPr>
        <w:t>En ce qui concerne les effets du programme hebdomadaire conjoint de la télévision du Qatar et de la Commission nationale des droits de l</w:t>
      </w:r>
      <w:r w:rsidR="00723345" w:rsidRPr="00C51D17">
        <w:rPr>
          <w:w w:val="100"/>
        </w:rPr>
        <w:t>’</w:t>
      </w:r>
      <w:r w:rsidRPr="00C51D17">
        <w:rPr>
          <w:w w:val="100"/>
        </w:rPr>
        <w:t>homme, qui a été conçu pour faire connaître la situation des femmes handicapées, on notera que cette émission a continué à être diffusée une fois par semaine en 2016 et 2017 dans le cadre de programmes matinaux coordonnés par la Commission nationale des droits de l</w:t>
      </w:r>
      <w:r w:rsidR="00723345" w:rsidRPr="00C51D17">
        <w:rPr>
          <w:w w:val="100"/>
        </w:rPr>
        <w:t>’</w:t>
      </w:r>
      <w:r w:rsidRPr="00C51D17">
        <w:rPr>
          <w:w w:val="100"/>
        </w:rPr>
        <w:t>homme afin d</w:t>
      </w:r>
      <w:r w:rsidR="00723345" w:rsidRPr="00C51D17">
        <w:rPr>
          <w:w w:val="100"/>
        </w:rPr>
        <w:t>’</w:t>
      </w:r>
      <w:r w:rsidRPr="00C51D17">
        <w:rPr>
          <w:w w:val="100"/>
        </w:rPr>
        <w:t>évaluer le degré de mise en œuvre de la Convention relative aux droits des personnes handicapées. Un des axes de ce programme était « Le rôle de l</w:t>
      </w:r>
      <w:r w:rsidR="00723345" w:rsidRPr="00C51D17">
        <w:rPr>
          <w:w w:val="100"/>
        </w:rPr>
        <w:t>’</w:t>
      </w:r>
      <w:r w:rsidRPr="00C51D17">
        <w:rPr>
          <w:w w:val="100"/>
        </w:rPr>
        <w:t>information dans la modification des images stéréotypées qui sont données des personnes handicapées, notamment les femmes ». Le programme a accueilli des experts, des parents et des personnes handicapées pour discuter de questions importantes sur le plan national telles que le droit à l</w:t>
      </w:r>
      <w:r w:rsidR="00723345" w:rsidRPr="00C51D17">
        <w:rPr>
          <w:w w:val="100"/>
        </w:rPr>
        <w:t>’</w:t>
      </w:r>
      <w:r w:rsidRPr="00C51D17">
        <w:rPr>
          <w:w w:val="100"/>
        </w:rPr>
        <w:t>accessibilité, le recensement national des personnes handicapées et le droit de la femme handicapée à participer à la vie culturelle et aux activités sportives.</w:t>
      </w:r>
    </w:p>
    <w:p w14:paraId="5E3D3019" w14:textId="1C7D04BF" w:rsidR="00646413" w:rsidRPr="00C51D17" w:rsidRDefault="00646413" w:rsidP="000D4E81">
      <w:pPr>
        <w:pStyle w:val="SingleTxt"/>
        <w:numPr>
          <w:ilvl w:val="0"/>
          <w:numId w:val="67"/>
        </w:numPr>
        <w:spacing w:line="240" w:lineRule="exact"/>
        <w:ind w:left="1267"/>
        <w:rPr>
          <w:w w:val="100"/>
        </w:rPr>
      </w:pPr>
      <w:r w:rsidRPr="00C51D17">
        <w:rPr>
          <w:w w:val="100"/>
        </w:rPr>
        <w:t>S</w:t>
      </w:r>
      <w:r w:rsidR="00723345" w:rsidRPr="00C51D17">
        <w:rPr>
          <w:w w:val="100"/>
        </w:rPr>
        <w:t>’</w:t>
      </w:r>
      <w:r w:rsidRPr="00C51D17">
        <w:rPr>
          <w:w w:val="100"/>
        </w:rPr>
        <w:t>agissant de la question posée concernant le port de vêtements suggestifs ou indécents, on notera que cela est laissé à l</w:t>
      </w:r>
      <w:r w:rsidR="00723345" w:rsidRPr="00C51D17">
        <w:rPr>
          <w:w w:val="100"/>
        </w:rPr>
        <w:t>’</w:t>
      </w:r>
      <w:r w:rsidRPr="00C51D17">
        <w:rPr>
          <w:w w:val="100"/>
        </w:rPr>
        <w:t>appréciation et à l</w:t>
      </w:r>
      <w:r w:rsidR="00723345" w:rsidRPr="00C51D17">
        <w:rPr>
          <w:w w:val="100"/>
        </w:rPr>
        <w:t>’</w:t>
      </w:r>
      <w:r w:rsidRPr="00C51D17">
        <w:rPr>
          <w:w w:val="100"/>
        </w:rPr>
        <w:t>approbation de la société qatarienne et des communautés arabes et musulmanes et de ce qu</w:t>
      </w:r>
      <w:r w:rsidR="00723345" w:rsidRPr="00C51D17">
        <w:rPr>
          <w:w w:val="100"/>
        </w:rPr>
        <w:t>’</w:t>
      </w:r>
      <w:r w:rsidRPr="00C51D17">
        <w:rPr>
          <w:w w:val="100"/>
        </w:rPr>
        <w:t>elles considèrent comme acceptable, sachant que cette question n</w:t>
      </w:r>
      <w:r w:rsidR="00723345" w:rsidRPr="00C51D17">
        <w:rPr>
          <w:w w:val="100"/>
        </w:rPr>
        <w:t>’</w:t>
      </w:r>
      <w:r w:rsidRPr="00C51D17">
        <w:rPr>
          <w:w w:val="100"/>
        </w:rPr>
        <w:t>a soulevé aucun problème parmi les communautés résidant au Qatar puisque de 2015 à la fin de 2018, aucune notification relative au port de ce type de vêtements n</w:t>
      </w:r>
      <w:r w:rsidR="00723345" w:rsidRPr="00C51D17">
        <w:rPr>
          <w:w w:val="100"/>
        </w:rPr>
        <w:t>’</w:t>
      </w:r>
      <w:r w:rsidRPr="00C51D17">
        <w:rPr>
          <w:w w:val="100"/>
        </w:rPr>
        <w:t>a été portée sur les registres des services de sécurité.</w:t>
      </w:r>
    </w:p>
    <w:p w14:paraId="6C6B0AB8" w14:textId="5022FDA5" w:rsidR="00646413" w:rsidRPr="00C51D17" w:rsidRDefault="00646413" w:rsidP="000D4E81">
      <w:pPr>
        <w:pStyle w:val="SingleTxt"/>
        <w:numPr>
          <w:ilvl w:val="0"/>
          <w:numId w:val="67"/>
        </w:numPr>
        <w:spacing w:line="240" w:lineRule="exact"/>
        <w:ind w:left="1267"/>
        <w:rPr>
          <w:w w:val="100"/>
        </w:rPr>
      </w:pPr>
      <w:r w:rsidRPr="00C51D17">
        <w:rPr>
          <w:w w:val="100"/>
        </w:rPr>
        <w:t>De même, le port de voiles couvrant le visage et de vêtements, tels que le niqab, la burqa ou le hidjab et la burqa, ne constitue pas une attitude dommageable ni ne renvoie à l</w:t>
      </w:r>
      <w:r w:rsidR="00723345" w:rsidRPr="00C51D17">
        <w:rPr>
          <w:w w:val="100"/>
        </w:rPr>
        <w:t>’</w:t>
      </w:r>
      <w:r w:rsidRPr="00C51D17">
        <w:rPr>
          <w:w w:val="100"/>
        </w:rPr>
        <w:t>existence de stéréotypes contre les femmes. Il s</w:t>
      </w:r>
      <w:r w:rsidR="00723345" w:rsidRPr="00C51D17">
        <w:rPr>
          <w:w w:val="100"/>
        </w:rPr>
        <w:t>’</w:t>
      </w:r>
      <w:r w:rsidRPr="00C51D17">
        <w:rPr>
          <w:w w:val="100"/>
        </w:rPr>
        <w:t>agit de vêtements représentatifs d</w:t>
      </w:r>
      <w:r w:rsidR="00723345" w:rsidRPr="00C51D17">
        <w:rPr>
          <w:w w:val="100"/>
        </w:rPr>
        <w:t>’</w:t>
      </w:r>
      <w:r w:rsidRPr="00C51D17">
        <w:rPr>
          <w:w w:val="100"/>
        </w:rPr>
        <w:t>un élément de l</w:t>
      </w:r>
      <w:r w:rsidR="00723345" w:rsidRPr="00C51D17">
        <w:rPr>
          <w:w w:val="100"/>
        </w:rPr>
        <w:t>’</w:t>
      </w:r>
      <w:r w:rsidRPr="00C51D17">
        <w:rPr>
          <w:w w:val="100"/>
        </w:rPr>
        <w:t>identité nationale et religieuse de la musulmane, d</w:t>
      </w:r>
      <w:r w:rsidR="00723345" w:rsidRPr="00C51D17">
        <w:rPr>
          <w:w w:val="100"/>
        </w:rPr>
        <w:t>’</w:t>
      </w:r>
      <w:r w:rsidRPr="00C51D17">
        <w:rPr>
          <w:w w:val="100"/>
        </w:rPr>
        <w:t>une façon générale, et non pas de la Qatarienne seulement. De même, il n</w:t>
      </w:r>
      <w:r w:rsidR="00723345" w:rsidRPr="00C51D17">
        <w:rPr>
          <w:w w:val="100"/>
        </w:rPr>
        <w:t>’</w:t>
      </w:r>
      <w:r w:rsidRPr="00C51D17">
        <w:rPr>
          <w:w w:val="100"/>
        </w:rPr>
        <w:t>existe aucune discrimination vestimentaire, chaque femme étant libre de porter les vêtements qui lui plaisent, à condition de ne pas heurter la pudeur publique.</w:t>
      </w:r>
    </w:p>
    <w:p w14:paraId="2061C838" w14:textId="624ACA62" w:rsidR="000D4E81" w:rsidRPr="00C51D17" w:rsidRDefault="000D4E81" w:rsidP="000D4E81">
      <w:pPr>
        <w:pStyle w:val="SingleTxt"/>
        <w:spacing w:after="0" w:line="120" w:lineRule="exact"/>
        <w:rPr>
          <w:w w:val="100"/>
          <w:sz w:val="10"/>
        </w:rPr>
      </w:pPr>
    </w:p>
    <w:p w14:paraId="61872B4E" w14:textId="69697E47" w:rsidR="00646413" w:rsidRPr="00C51D17" w:rsidRDefault="000D4E81" w:rsidP="000D4E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Violence fondée sur le genre à l</w:t>
      </w:r>
      <w:r w:rsidR="00723345" w:rsidRPr="00C51D17">
        <w:rPr>
          <w:w w:val="100"/>
        </w:rPr>
        <w:t>’</w:t>
      </w:r>
      <w:r w:rsidR="00646413" w:rsidRPr="00C51D17">
        <w:rPr>
          <w:w w:val="100"/>
        </w:rPr>
        <w:t>égard les femmes</w:t>
      </w:r>
    </w:p>
    <w:p w14:paraId="547C9C3A" w14:textId="4B823988" w:rsidR="000D4E81" w:rsidRPr="00C51D17" w:rsidRDefault="000D4E81" w:rsidP="000D4E81">
      <w:pPr>
        <w:pStyle w:val="SingleTxt"/>
        <w:spacing w:after="0" w:line="120" w:lineRule="exact"/>
        <w:rPr>
          <w:sz w:val="10"/>
        </w:rPr>
      </w:pPr>
    </w:p>
    <w:p w14:paraId="19952FEC" w14:textId="591C44FD" w:rsidR="00646413" w:rsidRPr="00C51D17" w:rsidRDefault="00646413" w:rsidP="000D4E81">
      <w:pPr>
        <w:pStyle w:val="SingleTxt"/>
        <w:numPr>
          <w:ilvl w:val="0"/>
          <w:numId w:val="67"/>
        </w:numPr>
        <w:spacing w:line="240" w:lineRule="exact"/>
        <w:ind w:left="1267"/>
        <w:rPr>
          <w:w w:val="100"/>
        </w:rPr>
      </w:pPr>
      <w:r w:rsidRPr="00C51D17">
        <w:rPr>
          <w:w w:val="100"/>
        </w:rPr>
        <w:t>Il n</w:t>
      </w:r>
      <w:r w:rsidR="00723345" w:rsidRPr="00C51D17">
        <w:rPr>
          <w:w w:val="100"/>
        </w:rPr>
        <w:t>’</w:t>
      </w:r>
      <w:r w:rsidRPr="00C51D17">
        <w:rPr>
          <w:w w:val="100"/>
        </w:rPr>
        <w:t>existe pas au Qatar de crime appelé « viol conjugal ». Cependant, toute agression de l</w:t>
      </w:r>
      <w:r w:rsidR="00723345" w:rsidRPr="00C51D17">
        <w:rPr>
          <w:w w:val="100"/>
        </w:rPr>
        <w:t>’</w:t>
      </w:r>
      <w:r w:rsidRPr="00C51D17">
        <w:rPr>
          <w:w w:val="100"/>
        </w:rPr>
        <w:t>époux contre sa femme est punie par le Code pénal, qui prévoit des sanctions allant de sept ans de prison à la peine capitale contre l</w:t>
      </w:r>
      <w:r w:rsidR="00723345" w:rsidRPr="00C51D17">
        <w:rPr>
          <w:w w:val="100"/>
        </w:rPr>
        <w:t>’</w:t>
      </w:r>
      <w:r w:rsidRPr="00C51D17">
        <w:rPr>
          <w:w w:val="100"/>
        </w:rPr>
        <w:t>auteur d</w:t>
      </w:r>
      <w:r w:rsidR="00723345" w:rsidRPr="00C51D17">
        <w:rPr>
          <w:w w:val="100"/>
        </w:rPr>
        <w:t>’</w:t>
      </w:r>
      <w:r w:rsidRPr="00C51D17">
        <w:rPr>
          <w:w w:val="100"/>
        </w:rPr>
        <w:t>une infraction visant une femme. Pour assurer une plus grande protection de la femme, ces sanctions sont aggravées si l</w:t>
      </w:r>
      <w:r w:rsidR="00723345" w:rsidRPr="00C51D17">
        <w:rPr>
          <w:w w:val="100"/>
        </w:rPr>
        <w:t>’</w:t>
      </w:r>
      <w:r w:rsidRPr="00C51D17">
        <w:rPr>
          <w:w w:val="100"/>
        </w:rPr>
        <w:t>accusé est un ascendant de la victime ou une personne chargée de son éducation. La loi a également érigé en infractions les actes d</w:t>
      </w:r>
      <w:r w:rsidR="00723345" w:rsidRPr="00C51D17">
        <w:rPr>
          <w:w w:val="100"/>
        </w:rPr>
        <w:t>’</w:t>
      </w:r>
      <w:r w:rsidRPr="00C51D17">
        <w:rPr>
          <w:w w:val="100"/>
        </w:rPr>
        <w:t>atteinte à la pudeur et d</w:t>
      </w:r>
      <w:r w:rsidR="00723345" w:rsidRPr="00C51D17">
        <w:rPr>
          <w:w w:val="100"/>
        </w:rPr>
        <w:t>’</w:t>
      </w:r>
      <w:r w:rsidRPr="00C51D17">
        <w:rPr>
          <w:w w:val="100"/>
        </w:rPr>
        <w:t>incitation à la débauche ou à la commission d</w:t>
      </w:r>
      <w:r w:rsidR="00723345" w:rsidRPr="00C51D17">
        <w:rPr>
          <w:w w:val="100"/>
        </w:rPr>
        <w:t>’</w:t>
      </w:r>
      <w:r w:rsidRPr="00C51D17">
        <w:rPr>
          <w:w w:val="100"/>
        </w:rPr>
        <w:t>actes contraires à la morale. Toujours au titre de la protection de la femme, le Code pénal a criminalisé l</w:t>
      </w:r>
      <w:r w:rsidR="00723345" w:rsidRPr="00C51D17">
        <w:rPr>
          <w:w w:val="100"/>
        </w:rPr>
        <w:t>’</w:t>
      </w:r>
      <w:r w:rsidRPr="00C51D17">
        <w:rPr>
          <w:w w:val="100"/>
        </w:rPr>
        <w:t>agression contre une femme enceinte et l</w:t>
      </w:r>
      <w:r w:rsidR="00723345" w:rsidRPr="00C51D17">
        <w:rPr>
          <w:w w:val="100"/>
        </w:rPr>
        <w:t>’</w:t>
      </w:r>
      <w:r w:rsidRPr="00C51D17">
        <w:rPr>
          <w:w w:val="100"/>
        </w:rPr>
        <w:t>avortement volontaire.</w:t>
      </w:r>
    </w:p>
    <w:p w14:paraId="0B5C2962" w14:textId="38067B47" w:rsidR="00646413" w:rsidRPr="00C51D17" w:rsidRDefault="00646413" w:rsidP="00D97DA1">
      <w:pPr>
        <w:pStyle w:val="SingleTxt"/>
        <w:numPr>
          <w:ilvl w:val="0"/>
          <w:numId w:val="67"/>
        </w:numPr>
        <w:spacing w:line="240" w:lineRule="exact"/>
        <w:ind w:left="1267"/>
        <w:rPr>
          <w:w w:val="100"/>
        </w:rPr>
      </w:pPr>
      <w:r w:rsidRPr="00C51D17">
        <w:rPr>
          <w:w w:val="100"/>
        </w:rPr>
        <w:t>La loi punit sévèrement les personnes reconnues coupables de fornication et d</w:t>
      </w:r>
      <w:r w:rsidR="00723345" w:rsidRPr="00C51D17">
        <w:rPr>
          <w:w w:val="100"/>
        </w:rPr>
        <w:t>’</w:t>
      </w:r>
      <w:r w:rsidRPr="00C51D17">
        <w:rPr>
          <w:w w:val="100"/>
        </w:rPr>
        <w:t>atteinte à la pudeur si la victime est un enfant, garçon ou fille. Les articles 318 et 322 du Code pénal punissent également les infractions touchant à la liberté et à la pudeur de la personne, dont l</w:t>
      </w:r>
      <w:r w:rsidR="00723345" w:rsidRPr="00C51D17">
        <w:rPr>
          <w:w w:val="100"/>
        </w:rPr>
        <w:t>’</w:t>
      </w:r>
      <w:r w:rsidRPr="00C51D17">
        <w:rPr>
          <w:w w:val="100"/>
        </w:rPr>
        <w:t>enlèvement, la détention, la séquestration ou la privation de liberté par tout moyen contraire à la loi, ou encore l</w:t>
      </w:r>
      <w:r w:rsidR="00723345" w:rsidRPr="00C51D17">
        <w:rPr>
          <w:w w:val="100"/>
        </w:rPr>
        <w:t>’</w:t>
      </w:r>
      <w:r w:rsidRPr="00C51D17">
        <w:rPr>
          <w:w w:val="100"/>
        </w:rPr>
        <w:t>exploitation au travail ou le travail forcé imposé à une personne, que ce soit de façon rémunérée ou non.</w:t>
      </w:r>
    </w:p>
    <w:p w14:paraId="69AC545D" w14:textId="3FF643ED" w:rsidR="00646413" w:rsidRPr="00C51D17" w:rsidRDefault="00646413" w:rsidP="00D97DA1">
      <w:pPr>
        <w:pStyle w:val="SingleTxt"/>
        <w:numPr>
          <w:ilvl w:val="0"/>
          <w:numId w:val="67"/>
        </w:numPr>
        <w:spacing w:line="240" w:lineRule="exact"/>
        <w:ind w:left="1267"/>
        <w:rPr>
          <w:w w:val="100"/>
        </w:rPr>
      </w:pPr>
      <w:r w:rsidRPr="00C51D17">
        <w:rPr>
          <w:w w:val="100"/>
        </w:rPr>
        <w:t xml:space="preserve">En ce qui concerne les renseignements demandés sur la violence domestique et le harcèlement sexuel, 20 cas de violence contre les travailleuses domestiques </w:t>
      </w:r>
      <w:r w:rsidR="00087204" w:rsidRPr="00C51D17">
        <w:rPr>
          <w:w w:val="100"/>
        </w:rPr>
        <w:t xml:space="preserve">ont été recensés </w:t>
      </w:r>
      <w:r w:rsidRPr="00C51D17">
        <w:rPr>
          <w:w w:val="100"/>
        </w:rPr>
        <w:t>en 2017, dont les auteurs ont tous été déférés devant la justice. Un seul cas de viol contre une travailleuse domestique a été enregistré en 2017. Aucun cas de harcèlement sexuel n</w:t>
      </w:r>
      <w:r w:rsidR="00723345" w:rsidRPr="00C51D17">
        <w:rPr>
          <w:w w:val="100"/>
        </w:rPr>
        <w:t>’</w:t>
      </w:r>
      <w:r w:rsidRPr="00C51D17">
        <w:rPr>
          <w:w w:val="100"/>
        </w:rPr>
        <w:t>a été signalé la même année.</w:t>
      </w:r>
    </w:p>
    <w:p w14:paraId="132D63BB" w14:textId="4A594084" w:rsidR="00646413" w:rsidRPr="00C51D17" w:rsidRDefault="00646413" w:rsidP="00D97DA1">
      <w:pPr>
        <w:pStyle w:val="SingleTxt"/>
        <w:numPr>
          <w:ilvl w:val="0"/>
          <w:numId w:val="67"/>
        </w:numPr>
        <w:spacing w:line="240" w:lineRule="exact"/>
        <w:ind w:left="1267"/>
        <w:rPr>
          <w:color w:val="000000"/>
          <w:w w:val="100"/>
        </w:rPr>
      </w:pPr>
      <w:r w:rsidRPr="00C51D17">
        <w:rPr>
          <w:color w:val="000000"/>
          <w:w w:val="100"/>
        </w:rPr>
        <w:t>Par ailleurs, les centres affiliés à la Fondation du Qatar pour l</w:t>
      </w:r>
      <w:r w:rsidR="00723345" w:rsidRPr="00C51D17">
        <w:rPr>
          <w:color w:val="000000"/>
          <w:w w:val="100"/>
        </w:rPr>
        <w:t>’</w:t>
      </w:r>
      <w:r w:rsidRPr="00C51D17">
        <w:rPr>
          <w:color w:val="000000"/>
          <w:w w:val="100"/>
        </w:rPr>
        <w:t>action sociale ont conduit des consultations juridiques et apporté une assistance juridique aux femmes afin de garantir leur protection, leur épargner des violences et poursuivre les auteurs. Celles-ci sont informées de toutes les actions et procédures à suivre pour faire face à ces infractions, ainsi que des possibilités d</w:t>
      </w:r>
      <w:r w:rsidR="00723345" w:rsidRPr="00C51D17">
        <w:rPr>
          <w:color w:val="000000"/>
          <w:w w:val="100"/>
        </w:rPr>
        <w:t>’</w:t>
      </w:r>
      <w:r w:rsidRPr="00C51D17">
        <w:rPr>
          <w:color w:val="000000"/>
          <w:w w:val="100"/>
        </w:rPr>
        <w:t>assistance et d</w:t>
      </w:r>
      <w:r w:rsidR="00723345" w:rsidRPr="00C51D17">
        <w:rPr>
          <w:color w:val="000000"/>
          <w:w w:val="100"/>
        </w:rPr>
        <w:t>’</w:t>
      </w:r>
      <w:r w:rsidRPr="00C51D17">
        <w:rPr>
          <w:color w:val="000000"/>
          <w:w w:val="100"/>
        </w:rPr>
        <w:t>appui qui s</w:t>
      </w:r>
      <w:r w:rsidR="00723345" w:rsidRPr="00C51D17">
        <w:rPr>
          <w:color w:val="000000"/>
          <w:w w:val="100"/>
        </w:rPr>
        <w:t>’</w:t>
      </w:r>
      <w:r w:rsidRPr="00C51D17">
        <w:rPr>
          <w:color w:val="000000"/>
          <w:w w:val="100"/>
        </w:rPr>
        <w:t>offrent à elles. Elles sont également tenues au courant des résultats des enquêtes et du rôle qu</w:t>
      </w:r>
      <w:r w:rsidR="00723345" w:rsidRPr="00C51D17">
        <w:rPr>
          <w:color w:val="000000"/>
          <w:w w:val="100"/>
        </w:rPr>
        <w:t>’</w:t>
      </w:r>
      <w:r w:rsidRPr="00C51D17">
        <w:rPr>
          <w:color w:val="000000"/>
          <w:w w:val="100"/>
        </w:rPr>
        <w:t>elles peuvent y jouer. De même, le parquet est destinataire d</w:t>
      </w:r>
      <w:r w:rsidR="00723345" w:rsidRPr="00C51D17">
        <w:rPr>
          <w:color w:val="000000"/>
          <w:w w:val="100"/>
        </w:rPr>
        <w:t>’</w:t>
      </w:r>
      <w:r w:rsidRPr="00C51D17">
        <w:rPr>
          <w:color w:val="000000"/>
          <w:w w:val="100"/>
        </w:rPr>
        <w:t>un rapport sur les conséquences de l</w:t>
      </w:r>
      <w:r w:rsidR="00723345" w:rsidRPr="00C51D17">
        <w:rPr>
          <w:color w:val="000000"/>
          <w:w w:val="100"/>
        </w:rPr>
        <w:t>’</w:t>
      </w:r>
      <w:r w:rsidRPr="00C51D17">
        <w:rPr>
          <w:color w:val="000000"/>
          <w:w w:val="100"/>
        </w:rPr>
        <w:t>infraction sur les victimes (sur le plan psychosocial). Celles-ci sont aussi informées de la date et du lieu des procès, de sorte qu</w:t>
      </w:r>
      <w:r w:rsidR="00723345" w:rsidRPr="00C51D17">
        <w:rPr>
          <w:color w:val="000000"/>
          <w:w w:val="100"/>
        </w:rPr>
        <w:t>’</w:t>
      </w:r>
      <w:r w:rsidRPr="00C51D17">
        <w:rPr>
          <w:color w:val="000000"/>
          <w:w w:val="100"/>
        </w:rPr>
        <w:t>elles puissent y assister si elles le souhaitent lorsqu</w:t>
      </w:r>
      <w:r w:rsidR="00723345" w:rsidRPr="00C51D17">
        <w:rPr>
          <w:color w:val="000000"/>
          <w:w w:val="100"/>
        </w:rPr>
        <w:t>’</w:t>
      </w:r>
      <w:r w:rsidRPr="00C51D17">
        <w:rPr>
          <w:color w:val="000000"/>
          <w:w w:val="100"/>
        </w:rPr>
        <w:t>elles sont hébergées dans une structure d</w:t>
      </w:r>
      <w:r w:rsidR="00723345" w:rsidRPr="00C51D17">
        <w:rPr>
          <w:color w:val="000000"/>
          <w:w w:val="100"/>
        </w:rPr>
        <w:t>’</w:t>
      </w:r>
      <w:r w:rsidRPr="00C51D17">
        <w:rPr>
          <w:color w:val="000000"/>
          <w:w w:val="100"/>
        </w:rPr>
        <w:t>accueil provisoire du Centre.</w:t>
      </w:r>
    </w:p>
    <w:p w14:paraId="4F57BEA5" w14:textId="4FE35593" w:rsidR="00646413" w:rsidRPr="00C51D17" w:rsidRDefault="00646413" w:rsidP="00D97DA1">
      <w:pPr>
        <w:pStyle w:val="SingleTxt"/>
        <w:numPr>
          <w:ilvl w:val="0"/>
          <w:numId w:val="67"/>
        </w:numPr>
        <w:spacing w:line="240" w:lineRule="exact"/>
        <w:ind w:left="1267"/>
        <w:rPr>
          <w:color w:val="000000"/>
          <w:w w:val="100"/>
        </w:rPr>
      </w:pPr>
      <w:r w:rsidRPr="00C51D17">
        <w:rPr>
          <w:color w:val="000000"/>
          <w:w w:val="100"/>
        </w:rPr>
        <w:t>Pour garantir que les personnes ayant commis des infractions soient poursuivies en justice, le Centre a créé une branche auprès du bureau du Procureur général, qui accueille les victimes et les oriente vers les instances concernées afin de les aider à surmonter la crainte de devoir être interrogées. Pour s</w:t>
      </w:r>
      <w:r w:rsidR="00723345" w:rsidRPr="00C51D17">
        <w:rPr>
          <w:color w:val="000000"/>
          <w:w w:val="100"/>
        </w:rPr>
        <w:t>’</w:t>
      </w:r>
      <w:r w:rsidRPr="00C51D17">
        <w:rPr>
          <w:color w:val="000000"/>
          <w:w w:val="100"/>
        </w:rPr>
        <w:t>assurer que les victimes soient traitées avec bienveillance et dans le respect de leur dignité, les responsables de cette branche les préparent et veillent à répondre à leurs besoins (médicaux</w:t>
      </w:r>
      <w:r w:rsidR="00087204" w:rsidRPr="00C51D17">
        <w:rPr>
          <w:color w:val="000000"/>
          <w:w w:val="100"/>
        </w:rPr>
        <w:t xml:space="preserve"> et</w:t>
      </w:r>
      <w:r w:rsidRPr="00C51D17">
        <w:rPr>
          <w:color w:val="000000"/>
          <w:w w:val="100"/>
        </w:rPr>
        <w:t xml:space="preserve"> psychosociaux), qui diffèrent selon les victimes et la nature de l</w:t>
      </w:r>
      <w:r w:rsidR="00723345" w:rsidRPr="00C51D17">
        <w:rPr>
          <w:color w:val="000000"/>
          <w:w w:val="100"/>
        </w:rPr>
        <w:t>’</w:t>
      </w:r>
      <w:r w:rsidRPr="00C51D17">
        <w:rPr>
          <w:color w:val="000000"/>
          <w:w w:val="100"/>
        </w:rPr>
        <w:t>infraction, ce qui les met en condition pour</w:t>
      </w:r>
      <w:r w:rsidR="0012596A" w:rsidRPr="00C51D17">
        <w:rPr>
          <w:color w:val="000000"/>
          <w:w w:val="100"/>
        </w:rPr>
        <w:t xml:space="preserve"> </w:t>
      </w:r>
      <w:r w:rsidRPr="00C51D17">
        <w:rPr>
          <w:color w:val="000000"/>
          <w:w w:val="100"/>
        </w:rPr>
        <w:t>assurer leur réadaptation. De même, des avocats bénévoles peuvent être, le cas échéant, commis pour défendre les victimes.</w:t>
      </w:r>
    </w:p>
    <w:p w14:paraId="7439A53E" w14:textId="218B71FC" w:rsidR="00646413" w:rsidRPr="00C51D17" w:rsidRDefault="00646413" w:rsidP="00D97DA1">
      <w:pPr>
        <w:pStyle w:val="SingleTxt"/>
        <w:numPr>
          <w:ilvl w:val="0"/>
          <w:numId w:val="67"/>
        </w:numPr>
        <w:spacing w:line="240" w:lineRule="exact"/>
        <w:ind w:left="1267"/>
        <w:rPr>
          <w:color w:val="000000"/>
          <w:w w:val="100"/>
        </w:rPr>
      </w:pPr>
      <w:r w:rsidRPr="00C51D17">
        <w:rPr>
          <w:color w:val="000000"/>
          <w:w w:val="100"/>
        </w:rPr>
        <w:t>S</w:t>
      </w:r>
      <w:r w:rsidR="00723345" w:rsidRPr="00C51D17">
        <w:rPr>
          <w:color w:val="000000"/>
          <w:w w:val="100"/>
        </w:rPr>
        <w:t>’</w:t>
      </w:r>
      <w:r w:rsidRPr="00C51D17">
        <w:rPr>
          <w:color w:val="000000"/>
          <w:w w:val="100"/>
        </w:rPr>
        <w:t>agissant des services préventifs assurés par la police de proximité dépendant du Ministère de l</w:t>
      </w:r>
      <w:r w:rsidR="00723345" w:rsidRPr="00C51D17">
        <w:rPr>
          <w:color w:val="000000"/>
          <w:w w:val="100"/>
        </w:rPr>
        <w:t>’</w:t>
      </w:r>
      <w:r w:rsidRPr="00C51D17">
        <w:rPr>
          <w:color w:val="000000"/>
          <w:w w:val="100"/>
        </w:rPr>
        <w:t>intérieur, une ligne téléphonique d</w:t>
      </w:r>
      <w:r w:rsidR="00723345" w:rsidRPr="00C51D17">
        <w:rPr>
          <w:color w:val="000000"/>
          <w:w w:val="100"/>
        </w:rPr>
        <w:t>’</w:t>
      </w:r>
      <w:r w:rsidRPr="00C51D17">
        <w:rPr>
          <w:color w:val="000000"/>
          <w:w w:val="100"/>
        </w:rPr>
        <w:t xml:space="preserve">urgence a été </w:t>
      </w:r>
      <w:r w:rsidR="00087204" w:rsidRPr="00C51D17">
        <w:rPr>
          <w:color w:val="000000"/>
          <w:w w:val="100"/>
        </w:rPr>
        <w:t>mise en place</w:t>
      </w:r>
      <w:r w:rsidRPr="00C51D17">
        <w:rPr>
          <w:color w:val="000000"/>
          <w:w w:val="100"/>
        </w:rPr>
        <w:t xml:space="preserve"> au milieu de 2018 et mise en service à titre expérimental. On trouvera ci-après un tableau recensant le nombre et la nature des appels téléphoniques reçus </w:t>
      </w:r>
      <w:r w:rsidR="00087204" w:rsidRPr="00C51D17">
        <w:rPr>
          <w:color w:val="000000"/>
          <w:w w:val="100"/>
        </w:rPr>
        <w:t>au moyen de</w:t>
      </w:r>
      <w:r w:rsidRPr="00C51D17">
        <w:rPr>
          <w:color w:val="000000"/>
          <w:w w:val="100"/>
        </w:rPr>
        <w:t xml:space="preserve"> cette ligne.</w:t>
      </w:r>
    </w:p>
    <w:p w14:paraId="62852B8A" w14:textId="3B2A76CE" w:rsidR="00646413" w:rsidRPr="00C51D17" w:rsidRDefault="00646413" w:rsidP="002611C7">
      <w:pPr>
        <w:pStyle w:val="SingleTxt"/>
        <w:spacing w:after="0" w:line="120" w:lineRule="exact"/>
        <w:rPr>
          <w:w w:val="100"/>
          <w:sz w:val="10"/>
        </w:rPr>
      </w:pPr>
    </w:p>
    <w:p w14:paraId="29E43C41" w14:textId="40260A5E" w:rsidR="00646413" w:rsidRPr="00C51D17" w:rsidRDefault="002611C7" w:rsidP="002611C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Tableau 2</w:t>
      </w:r>
    </w:p>
    <w:p w14:paraId="33E84B67" w14:textId="7DA0A6F0" w:rsidR="00646413" w:rsidRPr="00C51D17" w:rsidRDefault="00F0239F" w:rsidP="00F023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Nombre d</w:t>
      </w:r>
      <w:r w:rsidR="00723345" w:rsidRPr="00C51D17">
        <w:rPr>
          <w:w w:val="100"/>
        </w:rPr>
        <w:t>’</w:t>
      </w:r>
      <w:r w:rsidR="00646413" w:rsidRPr="00C51D17">
        <w:rPr>
          <w:w w:val="100"/>
        </w:rPr>
        <w:t xml:space="preserve">appels téléphoniques reçus </w:t>
      </w:r>
      <w:r w:rsidR="00087204" w:rsidRPr="00C51D17">
        <w:rPr>
          <w:w w:val="100"/>
        </w:rPr>
        <w:t>au moyen de</w:t>
      </w:r>
      <w:r w:rsidR="00646413" w:rsidRPr="00C51D17">
        <w:rPr>
          <w:w w:val="100"/>
        </w:rPr>
        <w:t xml:space="preserve"> la ligne d</w:t>
      </w:r>
      <w:r w:rsidR="00723345" w:rsidRPr="00C51D17">
        <w:rPr>
          <w:w w:val="100"/>
        </w:rPr>
        <w:t>’</w:t>
      </w:r>
      <w:r w:rsidR="00646413" w:rsidRPr="00C51D17">
        <w:rPr>
          <w:w w:val="100"/>
        </w:rPr>
        <w:t xml:space="preserve">urgence de la police </w:t>
      </w:r>
      <w:r w:rsidRPr="00C51D17">
        <w:rPr>
          <w:w w:val="100"/>
        </w:rPr>
        <w:br/>
      </w:r>
      <w:r w:rsidR="00646413" w:rsidRPr="00C51D17">
        <w:rPr>
          <w:w w:val="100"/>
        </w:rPr>
        <w:t>de proximité en 2018</w:t>
      </w:r>
    </w:p>
    <w:p w14:paraId="71A17453" w14:textId="5A8AD2B3" w:rsidR="00646413" w:rsidRPr="00C51D17" w:rsidRDefault="00646413" w:rsidP="00F0239F">
      <w:pPr>
        <w:pStyle w:val="SingleTxt"/>
        <w:spacing w:after="0" w:line="120" w:lineRule="exact"/>
        <w:rPr>
          <w:w w:val="100"/>
          <w:sz w:val="10"/>
        </w:rPr>
      </w:pPr>
    </w:p>
    <w:p w14:paraId="1AC1F90B" w14:textId="1E7BD092" w:rsidR="00F0239F" w:rsidRPr="00C51D17" w:rsidRDefault="00F0239F" w:rsidP="00F0239F">
      <w:pPr>
        <w:pStyle w:val="SingleTxt"/>
        <w:spacing w:after="0" w:line="120" w:lineRule="exact"/>
        <w:rPr>
          <w:w w:val="100"/>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20"/>
        <w:gridCol w:w="1220"/>
        <w:gridCol w:w="1220"/>
        <w:gridCol w:w="1380"/>
        <w:gridCol w:w="1060"/>
        <w:gridCol w:w="1220"/>
      </w:tblGrid>
      <w:tr w:rsidR="00F96C90" w:rsidRPr="00C51D17" w14:paraId="39F30B46" w14:textId="77777777" w:rsidTr="00BB07FC">
        <w:trPr>
          <w:cantSplit/>
        </w:trPr>
        <w:tc>
          <w:tcPr>
            <w:tcW w:w="1220" w:type="dxa"/>
            <w:tcBorders>
              <w:top w:val="single" w:sz="4" w:space="0" w:color="auto"/>
              <w:bottom w:val="single" w:sz="12" w:space="0" w:color="auto"/>
            </w:tcBorders>
            <w:shd w:val="clear" w:color="auto" w:fill="auto"/>
            <w:vAlign w:val="bottom"/>
          </w:tcPr>
          <w:p w14:paraId="59F8800C" w14:textId="77777777" w:rsidR="00646413" w:rsidRPr="00C51D17" w:rsidRDefault="00646413" w:rsidP="00F96C90">
            <w:pPr>
              <w:spacing w:before="81" w:after="81" w:line="160" w:lineRule="exact"/>
              <w:rPr>
                <w:i/>
                <w:sz w:val="14"/>
              </w:rPr>
            </w:pPr>
            <w:r w:rsidRPr="00C51D17">
              <w:rPr>
                <w:i/>
                <w:sz w:val="14"/>
              </w:rPr>
              <w:t>Conflit familial</w:t>
            </w:r>
          </w:p>
        </w:tc>
        <w:tc>
          <w:tcPr>
            <w:tcW w:w="1220" w:type="dxa"/>
            <w:tcBorders>
              <w:top w:val="single" w:sz="4" w:space="0" w:color="auto"/>
              <w:bottom w:val="single" w:sz="12" w:space="0" w:color="auto"/>
            </w:tcBorders>
            <w:shd w:val="clear" w:color="auto" w:fill="auto"/>
            <w:vAlign w:val="bottom"/>
          </w:tcPr>
          <w:p w14:paraId="2D553BC7" w14:textId="77777777" w:rsidR="00646413" w:rsidRPr="00C51D17" w:rsidRDefault="00646413" w:rsidP="00234F89">
            <w:pPr>
              <w:spacing w:before="81" w:after="81" w:line="160" w:lineRule="exact"/>
              <w:jc w:val="right"/>
              <w:rPr>
                <w:i/>
                <w:sz w:val="14"/>
              </w:rPr>
            </w:pPr>
            <w:r w:rsidRPr="00C51D17">
              <w:rPr>
                <w:i/>
                <w:sz w:val="14"/>
              </w:rPr>
              <w:t>Agression</w:t>
            </w:r>
          </w:p>
        </w:tc>
        <w:tc>
          <w:tcPr>
            <w:tcW w:w="1220" w:type="dxa"/>
            <w:tcBorders>
              <w:top w:val="single" w:sz="4" w:space="0" w:color="auto"/>
              <w:bottom w:val="single" w:sz="12" w:space="0" w:color="auto"/>
            </w:tcBorders>
            <w:shd w:val="clear" w:color="auto" w:fill="auto"/>
            <w:vAlign w:val="bottom"/>
          </w:tcPr>
          <w:p w14:paraId="39E31EF4" w14:textId="77777777" w:rsidR="00646413" w:rsidRPr="00C51D17" w:rsidRDefault="00646413" w:rsidP="00234F89">
            <w:pPr>
              <w:spacing w:before="81" w:after="81" w:line="160" w:lineRule="exact"/>
              <w:jc w:val="right"/>
              <w:rPr>
                <w:i/>
                <w:sz w:val="14"/>
              </w:rPr>
            </w:pPr>
            <w:r w:rsidRPr="00C51D17">
              <w:rPr>
                <w:i/>
                <w:sz w:val="14"/>
              </w:rPr>
              <w:t>Adultère</w:t>
            </w:r>
          </w:p>
        </w:tc>
        <w:tc>
          <w:tcPr>
            <w:tcW w:w="1380" w:type="dxa"/>
            <w:tcBorders>
              <w:top w:val="single" w:sz="4" w:space="0" w:color="auto"/>
              <w:bottom w:val="single" w:sz="12" w:space="0" w:color="auto"/>
            </w:tcBorders>
            <w:shd w:val="clear" w:color="auto" w:fill="auto"/>
            <w:vAlign w:val="bottom"/>
          </w:tcPr>
          <w:p w14:paraId="5927526D" w14:textId="77777777" w:rsidR="00646413" w:rsidRPr="00C51D17" w:rsidRDefault="00646413" w:rsidP="00234F89">
            <w:pPr>
              <w:spacing w:before="81" w:after="81" w:line="160" w:lineRule="exact"/>
              <w:jc w:val="right"/>
              <w:rPr>
                <w:i/>
                <w:sz w:val="14"/>
              </w:rPr>
            </w:pPr>
            <w:r w:rsidRPr="00C51D17">
              <w:rPr>
                <w:i/>
                <w:sz w:val="14"/>
              </w:rPr>
              <w:t>Expulsion du domicile</w:t>
            </w:r>
          </w:p>
        </w:tc>
        <w:tc>
          <w:tcPr>
            <w:tcW w:w="1060" w:type="dxa"/>
            <w:tcBorders>
              <w:top w:val="single" w:sz="4" w:space="0" w:color="auto"/>
              <w:bottom w:val="single" w:sz="12" w:space="0" w:color="auto"/>
            </w:tcBorders>
            <w:shd w:val="clear" w:color="auto" w:fill="auto"/>
            <w:vAlign w:val="bottom"/>
          </w:tcPr>
          <w:p w14:paraId="54920CFE" w14:textId="77777777" w:rsidR="00646413" w:rsidRPr="00C51D17" w:rsidRDefault="00646413" w:rsidP="00234F89">
            <w:pPr>
              <w:spacing w:before="81" w:after="81" w:line="160" w:lineRule="exact"/>
              <w:jc w:val="right"/>
              <w:rPr>
                <w:i/>
                <w:sz w:val="14"/>
              </w:rPr>
            </w:pPr>
            <w:r w:rsidRPr="00C51D17">
              <w:rPr>
                <w:i/>
                <w:sz w:val="14"/>
              </w:rPr>
              <w:t xml:space="preserve">Vol </w:t>
            </w:r>
          </w:p>
        </w:tc>
        <w:tc>
          <w:tcPr>
            <w:tcW w:w="1220" w:type="dxa"/>
            <w:tcBorders>
              <w:top w:val="single" w:sz="4" w:space="0" w:color="auto"/>
              <w:bottom w:val="single" w:sz="12" w:space="0" w:color="auto"/>
            </w:tcBorders>
            <w:shd w:val="clear" w:color="auto" w:fill="auto"/>
            <w:vAlign w:val="bottom"/>
          </w:tcPr>
          <w:p w14:paraId="02094D9C" w14:textId="77777777" w:rsidR="00646413" w:rsidRPr="00C51D17" w:rsidRDefault="00646413" w:rsidP="00234F89">
            <w:pPr>
              <w:spacing w:before="81" w:after="81" w:line="160" w:lineRule="exact"/>
              <w:jc w:val="right"/>
              <w:rPr>
                <w:i/>
                <w:sz w:val="14"/>
              </w:rPr>
            </w:pPr>
            <w:r w:rsidRPr="00C51D17">
              <w:rPr>
                <w:i/>
                <w:sz w:val="14"/>
              </w:rPr>
              <w:t>Total</w:t>
            </w:r>
          </w:p>
        </w:tc>
      </w:tr>
      <w:tr w:rsidR="00132EDC" w:rsidRPr="00C51D17" w14:paraId="58D48EDA" w14:textId="77777777" w:rsidTr="00BB07FC">
        <w:trPr>
          <w:cantSplit/>
          <w:trHeight w:hRule="exact" w:val="115"/>
        </w:trPr>
        <w:tc>
          <w:tcPr>
            <w:tcW w:w="1220" w:type="dxa"/>
            <w:tcBorders>
              <w:top w:val="single" w:sz="12" w:space="0" w:color="auto"/>
            </w:tcBorders>
            <w:shd w:val="clear" w:color="auto" w:fill="auto"/>
          </w:tcPr>
          <w:p w14:paraId="3999F6DE" w14:textId="77777777" w:rsidR="00132EDC" w:rsidRPr="00C51D17" w:rsidRDefault="00132EDC" w:rsidP="00F96C90">
            <w:pPr>
              <w:spacing w:before="40" w:after="40" w:line="210" w:lineRule="exact"/>
              <w:rPr>
                <w:sz w:val="17"/>
              </w:rPr>
            </w:pPr>
          </w:p>
        </w:tc>
        <w:tc>
          <w:tcPr>
            <w:tcW w:w="1220" w:type="dxa"/>
            <w:tcBorders>
              <w:top w:val="single" w:sz="12" w:space="0" w:color="auto"/>
            </w:tcBorders>
            <w:shd w:val="clear" w:color="auto" w:fill="auto"/>
          </w:tcPr>
          <w:p w14:paraId="62A08866" w14:textId="77777777" w:rsidR="00132EDC" w:rsidRPr="00C51D17" w:rsidRDefault="00132EDC" w:rsidP="00234F89">
            <w:pPr>
              <w:spacing w:before="40" w:after="40" w:line="210" w:lineRule="exact"/>
              <w:jc w:val="right"/>
              <w:rPr>
                <w:sz w:val="17"/>
              </w:rPr>
            </w:pPr>
          </w:p>
        </w:tc>
        <w:tc>
          <w:tcPr>
            <w:tcW w:w="1220" w:type="dxa"/>
            <w:tcBorders>
              <w:top w:val="single" w:sz="12" w:space="0" w:color="auto"/>
            </w:tcBorders>
            <w:shd w:val="clear" w:color="auto" w:fill="auto"/>
          </w:tcPr>
          <w:p w14:paraId="439DA485" w14:textId="77777777" w:rsidR="00132EDC" w:rsidRPr="00C51D17" w:rsidRDefault="00132EDC" w:rsidP="00234F89">
            <w:pPr>
              <w:spacing w:before="40" w:after="40" w:line="210" w:lineRule="exact"/>
              <w:jc w:val="right"/>
              <w:rPr>
                <w:sz w:val="17"/>
              </w:rPr>
            </w:pPr>
          </w:p>
        </w:tc>
        <w:tc>
          <w:tcPr>
            <w:tcW w:w="1380" w:type="dxa"/>
            <w:tcBorders>
              <w:top w:val="single" w:sz="12" w:space="0" w:color="auto"/>
            </w:tcBorders>
            <w:shd w:val="clear" w:color="auto" w:fill="auto"/>
          </w:tcPr>
          <w:p w14:paraId="11BD58A3" w14:textId="77777777" w:rsidR="00132EDC" w:rsidRPr="00C51D17" w:rsidRDefault="00132EDC" w:rsidP="00234F89">
            <w:pPr>
              <w:spacing w:before="40" w:after="40" w:line="210" w:lineRule="exact"/>
              <w:jc w:val="right"/>
              <w:rPr>
                <w:sz w:val="17"/>
              </w:rPr>
            </w:pPr>
          </w:p>
        </w:tc>
        <w:tc>
          <w:tcPr>
            <w:tcW w:w="1060" w:type="dxa"/>
            <w:tcBorders>
              <w:top w:val="single" w:sz="12" w:space="0" w:color="auto"/>
            </w:tcBorders>
            <w:shd w:val="clear" w:color="auto" w:fill="auto"/>
          </w:tcPr>
          <w:p w14:paraId="27FE2248" w14:textId="77777777" w:rsidR="00132EDC" w:rsidRPr="00C51D17" w:rsidRDefault="00132EDC" w:rsidP="00234F89">
            <w:pPr>
              <w:spacing w:before="40" w:after="40" w:line="210" w:lineRule="exact"/>
              <w:jc w:val="right"/>
              <w:rPr>
                <w:sz w:val="17"/>
              </w:rPr>
            </w:pPr>
          </w:p>
        </w:tc>
        <w:tc>
          <w:tcPr>
            <w:tcW w:w="1220" w:type="dxa"/>
            <w:tcBorders>
              <w:top w:val="single" w:sz="12" w:space="0" w:color="auto"/>
            </w:tcBorders>
            <w:shd w:val="clear" w:color="auto" w:fill="auto"/>
          </w:tcPr>
          <w:p w14:paraId="5B75FF6B" w14:textId="77777777" w:rsidR="00132EDC" w:rsidRPr="00C51D17" w:rsidRDefault="00132EDC" w:rsidP="00234F89">
            <w:pPr>
              <w:spacing w:before="40" w:after="40" w:line="210" w:lineRule="exact"/>
              <w:jc w:val="right"/>
              <w:rPr>
                <w:sz w:val="17"/>
              </w:rPr>
            </w:pPr>
          </w:p>
        </w:tc>
      </w:tr>
      <w:tr w:rsidR="004C5362" w:rsidRPr="00C51D17" w14:paraId="430954CC" w14:textId="77777777" w:rsidTr="00BB07FC">
        <w:trPr>
          <w:cantSplit/>
        </w:trPr>
        <w:tc>
          <w:tcPr>
            <w:tcW w:w="1220" w:type="dxa"/>
            <w:tcBorders>
              <w:bottom w:val="single" w:sz="4" w:space="0" w:color="auto"/>
            </w:tcBorders>
            <w:shd w:val="clear" w:color="auto" w:fill="auto"/>
          </w:tcPr>
          <w:p w14:paraId="3C045FB6" w14:textId="77777777" w:rsidR="00646413" w:rsidRPr="00C51D17" w:rsidRDefault="00646413" w:rsidP="00F96C90">
            <w:pPr>
              <w:spacing w:before="40" w:after="40" w:line="210" w:lineRule="exact"/>
              <w:rPr>
                <w:sz w:val="17"/>
              </w:rPr>
            </w:pPr>
            <w:r w:rsidRPr="00C51D17">
              <w:rPr>
                <w:sz w:val="17"/>
              </w:rPr>
              <w:t>97</w:t>
            </w:r>
          </w:p>
        </w:tc>
        <w:tc>
          <w:tcPr>
            <w:tcW w:w="1220" w:type="dxa"/>
            <w:tcBorders>
              <w:bottom w:val="single" w:sz="4" w:space="0" w:color="auto"/>
            </w:tcBorders>
            <w:shd w:val="clear" w:color="auto" w:fill="auto"/>
          </w:tcPr>
          <w:p w14:paraId="0ED8AD73" w14:textId="77777777" w:rsidR="00646413" w:rsidRPr="00C51D17" w:rsidRDefault="00646413" w:rsidP="00234F89">
            <w:pPr>
              <w:spacing w:before="40" w:after="40" w:line="210" w:lineRule="exact"/>
              <w:jc w:val="right"/>
              <w:rPr>
                <w:sz w:val="17"/>
              </w:rPr>
            </w:pPr>
            <w:r w:rsidRPr="00C51D17">
              <w:rPr>
                <w:sz w:val="17"/>
              </w:rPr>
              <w:t>13</w:t>
            </w:r>
          </w:p>
        </w:tc>
        <w:tc>
          <w:tcPr>
            <w:tcW w:w="1220" w:type="dxa"/>
            <w:tcBorders>
              <w:bottom w:val="single" w:sz="4" w:space="0" w:color="auto"/>
            </w:tcBorders>
            <w:shd w:val="clear" w:color="auto" w:fill="auto"/>
          </w:tcPr>
          <w:p w14:paraId="2982D092" w14:textId="77777777" w:rsidR="00646413" w:rsidRPr="00C51D17" w:rsidRDefault="00646413" w:rsidP="00234F89">
            <w:pPr>
              <w:spacing w:before="40" w:after="40" w:line="210" w:lineRule="exact"/>
              <w:jc w:val="right"/>
              <w:rPr>
                <w:sz w:val="17"/>
              </w:rPr>
            </w:pPr>
            <w:r w:rsidRPr="00C51D17">
              <w:rPr>
                <w:sz w:val="17"/>
              </w:rPr>
              <w:t>7</w:t>
            </w:r>
          </w:p>
        </w:tc>
        <w:tc>
          <w:tcPr>
            <w:tcW w:w="1380" w:type="dxa"/>
            <w:tcBorders>
              <w:bottom w:val="single" w:sz="4" w:space="0" w:color="auto"/>
            </w:tcBorders>
            <w:shd w:val="clear" w:color="auto" w:fill="auto"/>
          </w:tcPr>
          <w:p w14:paraId="1A8848EF" w14:textId="77777777" w:rsidR="00646413" w:rsidRPr="00C51D17" w:rsidRDefault="00646413" w:rsidP="00234F89">
            <w:pPr>
              <w:spacing w:before="40" w:after="40" w:line="210" w:lineRule="exact"/>
              <w:jc w:val="right"/>
              <w:rPr>
                <w:sz w:val="17"/>
              </w:rPr>
            </w:pPr>
            <w:r w:rsidRPr="00C51D17">
              <w:rPr>
                <w:sz w:val="17"/>
              </w:rPr>
              <w:t>3</w:t>
            </w:r>
          </w:p>
        </w:tc>
        <w:tc>
          <w:tcPr>
            <w:tcW w:w="1060" w:type="dxa"/>
            <w:tcBorders>
              <w:bottom w:val="single" w:sz="4" w:space="0" w:color="auto"/>
            </w:tcBorders>
            <w:shd w:val="clear" w:color="auto" w:fill="auto"/>
          </w:tcPr>
          <w:p w14:paraId="7962AEC5" w14:textId="77777777" w:rsidR="00646413" w:rsidRPr="00C51D17" w:rsidRDefault="00646413" w:rsidP="00234F89">
            <w:pPr>
              <w:spacing w:before="40" w:after="40" w:line="210" w:lineRule="exact"/>
              <w:jc w:val="right"/>
              <w:rPr>
                <w:sz w:val="17"/>
              </w:rPr>
            </w:pPr>
            <w:r w:rsidRPr="00C51D17">
              <w:rPr>
                <w:sz w:val="17"/>
              </w:rPr>
              <w:t>12</w:t>
            </w:r>
          </w:p>
        </w:tc>
        <w:tc>
          <w:tcPr>
            <w:tcW w:w="1220" w:type="dxa"/>
            <w:tcBorders>
              <w:bottom w:val="single" w:sz="4" w:space="0" w:color="auto"/>
            </w:tcBorders>
            <w:shd w:val="clear" w:color="auto" w:fill="auto"/>
          </w:tcPr>
          <w:p w14:paraId="59D7B360" w14:textId="77777777" w:rsidR="00646413" w:rsidRPr="00C51D17" w:rsidRDefault="00646413" w:rsidP="00234F89">
            <w:pPr>
              <w:spacing w:before="40" w:after="40" w:line="210" w:lineRule="exact"/>
              <w:jc w:val="right"/>
              <w:rPr>
                <w:sz w:val="17"/>
              </w:rPr>
            </w:pPr>
            <w:r w:rsidRPr="00C51D17">
              <w:rPr>
                <w:sz w:val="17"/>
              </w:rPr>
              <w:t>132</w:t>
            </w:r>
          </w:p>
        </w:tc>
      </w:tr>
    </w:tbl>
    <w:p w14:paraId="5608C1B4" w14:textId="28FC0510" w:rsidR="00625DF6" w:rsidRPr="00C51D17" w:rsidRDefault="00625DF6" w:rsidP="00625DF6">
      <w:pPr>
        <w:pStyle w:val="SingleTxt"/>
        <w:spacing w:after="0" w:line="120" w:lineRule="exact"/>
        <w:rPr>
          <w:w w:val="100"/>
          <w:sz w:val="10"/>
        </w:rPr>
      </w:pPr>
    </w:p>
    <w:p w14:paraId="5806F7AA" w14:textId="76A81578" w:rsidR="00646413" w:rsidRPr="00C51D17" w:rsidRDefault="00646413" w:rsidP="00625DF6">
      <w:pPr>
        <w:pStyle w:val="FootnoteText"/>
        <w:tabs>
          <w:tab w:val="right" w:pos="1476"/>
          <w:tab w:val="left" w:pos="1548"/>
          <w:tab w:val="right" w:pos="1836"/>
          <w:tab w:val="left" w:pos="1908"/>
        </w:tabs>
        <w:ind w:left="1548" w:right="1267" w:hanging="288"/>
        <w:rPr>
          <w:w w:val="100"/>
        </w:rPr>
      </w:pPr>
      <w:r w:rsidRPr="00C51D17">
        <w:rPr>
          <w:i/>
          <w:w w:val="100"/>
        </w:rPr>
        <w:t>Source</w:t>
      </w:r>
      <w:r w:rsidR="0012596A" w:rsidRPr="00C51D17">
        <w:rPr>
          <w:i/>
          <w:w w:val="100"/>
        </w:rPr>
        <w:t> </w:t>
      </w:r>
      <w:r w:rsidR="0012596A" w:rsidRPr="00C51D17">
        <w:rPr>
          <w:w w:val="100"/>
        </w:rPr>
        <w:t>:</w:t>
      </w:r>
      <w:r w:rsidR="0012596A" w:rsidRPr="00C51D17">
        <w:rPr>
          <w:i/>
          <w:w w:val="100"/>
        </w:rPr>
        <w:t xml:space="preserve"> </w:t>
      </w:r>
      <w:r w:rsidRPr="00C51D17">
        <w:rPr>
          <w:w w:val="100"/>
        </w:rPr>
        <w:t>Ministère de l</w:t>
      </w:r>
      <w:r w:rsidR="00723345" w:rsidRPr="00C51D17">
        <w:rPr>
          <w:w w:val="100"/>
        </w:rPr>
        <w:t>’</w:t>
      </w:r>
      <w:r w:rsidRPr="00C51D17">
        <w:rPr>
          <w:w w:val="100"/>
        </w:rPr>
        <w:t>intérieur.</w:t>
      </w:r>
    </w:p>
    <w:p w14:paraId="1E5821A2" w14:textId="78A1CA22" w:rsidR="00646413" w:rsidRPr="00C51D17" w:rsidRDefault="00646413" w:rsidP="003A2DC1">
      <w:pPr>
        <w:pStyle w:val="SingleTxt"/>
        <w:spacing w:after="0" w:line="120" w:lineRule="exact"/>
        <w:rPr>
          <w:w w:val="100"/>
          <w:sz w:val="10"/>
        </w:rPr>
      </w:pPr>
    </w:p>
    <w:p w14:paraId="71D47767" w14:textId="7EF5B0C3" w:rsidR="003A2DC1" w:rsidRPr="00C51D17" w:rsidRDefault="003A2DC1" w:rsidP="003A2DC1">
      <w:pPr>
        <w:pStyle w:val="SingleTxt"/>
        <w:spacing w:after="0" w:line="120" w:lineRule="exact"/>
        <w:rPr>
          <w:w w:val="100"/>
          <w:sz w:val="10"/>
        </w:rPr>
      </w:pPr>
    </w:p>
    <w:p w14:paraId="360EF468" w14:textId="6E4FCF0F" w:rsidR="00646413" w:rsidRPr="00C51D17" w:rsidRDefault="00646413" w:rsidP="003A2DC1">
      <w:pPr>
        <w:pStyle w:val="SingleTxt"/>
        <w:numPr>
          <w:ilvl w:val="0"/>
          <w:numId w:val="67"/>
        </w:numPr>
        <w:spacing w:line="240" w:lineRule="exact"/>
        <w:ind w:left="1267"/>
        <w:rPr>
          <w:w w:val="100"/>
        </w:rPr>
      </w:pPr>
      <w:r w:rsidRPr="00C51D17">
        <w:rPr>
          <w:w w:val="100"/>
        </w:rPr>
        <w:t>Dans le cadre de l</w:t>
      </w:r>
      <w:r w:rsidR="00723345" w:rsidRPr="00C51D17">
        <w:rPr>
          <w:w w:val="100"/>
        </w:rPr>
        <w:t>’</w:t>
      </w:r>
      <w:r w:rsidRPr="00C51D17">
        <w:rPr>
          <w:w w:val="100"/>
        </w:rPr>
        <w:t>application du principe de partenariat de proximité, les services de police de proximité assurent la préservation de la sécurité (qui est la responsabilité de tous) en tissant un réseau de relations de collaboration interactive avec les familles, les organisations de la société civile, les institutions de l</w:t>
      </w:r>
      <w:r w:rsidR="00723345" w:rsidRPr="00C51D17">
        <w:rPr>
          <w:w w:val="100"/>
        </w:rPr>
        <w:t>’</w:t>
      </w:r>
      <w:r w:rsidRPr="00C51D17">
        <w:rPr>
          <w:w w:val="100"/>
        </w:rPr>
        <w:t>État et les communautés locales, à travers les actions suivantes</w:t>
      </w:r>
      <w:r w:rsidR="003A2DC1" w:rsidRPr="00C51D17">
        <w:rPr>
          <w:w w:val="100"/>
        </w:rPr>
        <w:t> </w:t>
      </w:r>
      <w:r w:rsidRPr="00C51D17">
        <w:rPr>
          <w:w w:val="100"/>
        </w:rPr>
        <w:t>:</w:t>
      </w:r>
    </w:p>
    <w:p w14:paraId="76C3083A" w14:textId="218CDF3D" w:rsidR="00646413" w:rsidRPr="00C51D17" w:rsidRDefault="000D5118" w:rsidP="000D5118">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organisation de visites auprès des associations féminines partout dans le pays afin de connaître les problèmes et situations auxquels sont confrontées les populations de chaque région et l</w:t>
      </w:r>
      <w:r w:rsidR="00723345" w:rsidRPr="00C51D17">
        <w:rPr>
          <w:w w:val="100"/>
        </w:rPr>
        <w:t>’</w:t>
      </w:r>
      <w:r w:rsidR="00646413" w:rsidRPr="00C51D17">
        <w:rPr>
          <w:w w:val="100"/>
        </w:rPr>
        <w:t>établissement de rapports sur ces visites à l</w:t>
      </w:r>
      <w:r w:rsidR="00723345" w:rsidRPr="00C51D17">
        <w:rPr>
          <w:w w:val="100"/>
        </w:rPr>
        <w:t>’</w:t>
      </w:r>
      <w:r w:rsidR="00646413" w:rsidRPr="00C51D17">
        <w:rPr>
          <w:w w:val="100"/>
        </w:rPr>
        <w:t>intention des organes compétents pour suite à donner</w:t>
      </w:r>
      <w:r w:rsidR="0012596A" w:rsidRPr="00C51D17">
        <w:rPr>
          <w:w w:val="100"/>
        </w:rPr>
        <w:t> ;</w:t>
      </w:r>
    </w:p>
    <w:p w14:paraId="331FA018" w14:textId="6AA3C0B8" w:rsidR="00646413" w:rsidRPr="00C51D17" w:rsidRDefault="000D5118" w:rsidP="000D5118">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organisation de visites auprès des conseils représentés par des hommes pour les mêmes motifs</w:t>
      </w:r>
      <w:r w:rsidR="0012596A" w:rsidRPr="00C51D17">
        <w:rPr>
          <w:w w:val="100"/>
        </w:rPr>
        <w:t> ;</w:t>
      </w:r>
    </w:p>
    <w:p w14:paraId="5F4D787B" w14:textId="5B690221" w:rsidR="00646413" w:rsidRPr="00C51D17" w:rsidRDefault="000D5118" w:rsidP="000D5118">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exécution des décisions du tribunal de la famille, étant entendu que la police de proximité est dotée d</w:t>
      </w:r>
      <w:r w:rsidR="00723345" w:rsidRPr="00C51D17">
        <w:rPr>
          <w:w w:val="100"/>
        </w:rPr>
        <w:t>’</w:t>
      </w:r>
      <w:r w:rsidR="00646413" w:rsidRPr="00C51D17">
        <w:rPr>
          <w:w w:val="100"/>
        </w:rPr>
        <w:t>un pouvoir exécutif.</w:t>
      </w:r>
    </w:p>
    <w:p w14:paraId="3A13F6A1" w14:textId="4E59A578" w:rsidR="00646413" w:rsidRPr="00C51D17" w:rsidRDefault="00646413" w:rsidP="000D5118">
      <w:pPr>
        <w:pStyle w:val="SingleTxt"/>
        <w:numPr>
          <w:ilvl w:val="0"/>
          <w:numId w:val="67"/>
        </w:numPr>
        <w:spacing w:line="240" w:lineRule="exact"/>
        <w:ind w:left="1267"/>
        <w:rPr>
          <w:w w:val="100"/>
        </w:rPr>
      </w:pPr>
      <w:r w:rsidRPr="00C51D17">
        <w:rPr>
          <w:w w:val="100"/>
        </w:rPr>
        <w:t>S</w:t>
      </w:r>
      <w:r w:rsidR="00723345" w:rsidRPr="00C51D17">
        <w:rPr>
          <w:w w:val="100"/>
        </w:rPr>
        <w:t>’</w:t>
      </w:r>
      <w:r w:rsidRPr="00C51D17">
        <w:rPr>
          <w:w w:val="100"/>
        </w:rPr>
        <w:t>agissant des activités régulières et permanentes de sensibilisation et d</w:t>
      </w:r>
      <w:r w:rsidR="00723345" w:rsidRPr="00C51D17">
        <w:rPr>
          <w:w w:val="100"/>
        </w:rPr>
        <w:t>’</w:t>
      </w:r>
      <w:r w:rsidRPr="00C51D17">
        <w:rPr>
          <w:w w:val="100"/>
        </w:rPr>
        <w:t>information de la population sur le caractère pénal de la violence faite aux femmes et les sanctions qu</w:t>
      </w:r>
      <w:r w:rsidR="00723345" w:rsidRPr="00C51D17">
        <w:rPr>
          <w:w w:val="100"/>
        </w:rPr>
        <w:t>’</w:t>
      </w:r>
      <w:r w:rsidRPr="00C51D17">
        <w:rPr>
          <w:w w:val="100"/>
        </w:rPr>
        <w:t>elle implique, la police de proximité joue un rôle de premier plan, à la faveur notamment</w:t>
      </w:r>
      <w:r w:rsidRPr="00C51D17">
        <w:rPr>
          <w:w w:val="100"/>
          <w:sz w:val="22"/>
        </w:rPr>
        <w:t xml:space="preserve"> </w:t>
      </w:r>
      <w:r w:rsidRPr="00C51D17">
        <w:rPr>
          <w:w w:val="100"/>
        </w:rPr>
        <w:t>des actions ci-après</w:t>
      </w:r>
      <w:r w:rsidR="000D5118" w:rsidRPr="00C51D17">
        <w:rPr>
          <w:w w:val="100"/>
        </w:rPr>
        <w:t> </w:t>
      </w:r>
      <w:r w:rsidRPr="00C51D17">
        <w:rPr>
          <w:w w:val="100"/>
        </w:rPr>
        <w:t>:</w:t>
      </w:r>
    </w:p>
    <w:p w14:paraId="2AE94034" w14:textId="0DD9B5B2" w:rsidR="00646413" w:rsidRPr="00C51D17" w:rsidRDefault="00F83144" w:rsidP="00F83144">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organisation de campagnes de sensibilisation avec la participation d</w:t>
      </w:r>
      <w:r w:rsidR="00723345" w:rsidRPr="00C51D17">
        <w:rPr>
          <w:w w:val="100"/>
        </w:rPr>
        <w:t>’</w:t>
      </w:r>
      <w:r w:rsidR="00646413" w:rsidRPr="00C51D17">
        <w:rPr>
          <w:w w:val="100"/>
        </w:rPr>
        <w:t>organismes chargés de la lutte contre les violences faites aux femmes</w:t>
      </w:r>
      <w:r w:rsidR="0012596A" w:rsidRPr="00C51D17">
        <w:rPr>
          <w:w w:val="100"/>
        </w:rPr>
        <w:t> ;</w:t>
      </w:r>
    </w:p>
    <w:p w14:paraId="5150C9D4" w14:textId="1805DE0D" w:rsidR="00646413" w:rsidRPr="00C51D17" w:rsidRDefault="00F83144" w:rsidP="00F83144">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organisation d</w:t>
      </w:r>
      <w:r w:rsidR="00723345" w:rsidRPr="00C51D17">
        <w:rPr>
          <w:w w:val="100"/>
        </w:rPr>
        <w:t>’</w:t>
      </w:r>
      <w:r w:rsidR="00646413" w:rsidRPr="00C51D17">
        <w:rPr>
          <w:w w:val="100"/>
        </w:rPr>
        <w:t>ateliers de formation au bénéfice de diverses franges de la société sur les mesures légales à prendre en cas de défaut de protection d</w:t>
      </w:r>
      <w:r w:rsidR="00723345" w:rsidRPr="00C51D17">
        <w:rPr>
          <w:w w:val="100"/>
        </w:rPr>
        <w:t>’</w:t>
      </w:r>
      <w:r w:rsidR="00646413" w:rsidRPr="00C51D17">
        <w:rPr>
          <w:w w:val="100"/>
        </w:rPr>
        <w:t>une femme ayant signalé qu</w:t>
      </w:r>
      <w:r w:rsidR="00723345" w:rsidRPr="00C51D17">
        <w:rPr>
          <w:w w:val="100"/>
        </w:rPr>
        <w:t>’</w:t>
      </w:r>
      <w:r w:rsidR="00646413" w:rsidRPr="00C51D17">
        <w:rPr>
          <w:w w:val="100"/>
        </w:rPr>
        <w:t>elle a été victime de violence</w:t>
      </w:r>
      <w:r w:rsidR="0012596A" w:rsidRPr="00C51D17">
        <w:rPr>
          <w:w w:val="100"/>
        </w:rPr>
        <w:t> ;</w:t>
      </w:r>
    </w:p>
    <w:p w14:paraId="235BBA09" w14:textId="34245BC9" w:rsidR="00646413" w:rsidRPr="00C51D17" w:rsidRDefault="00F83144" w:rsidP="00F83144">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sensibilisation à travers des conférences favorisant à encourager la culture de la notification des cas de violence à l</w:t>
      </w:r>
      <w:r w:rsidR="00723345" w:rsidRPr="00C51D17">
        <w:rPr>
          <w:w w:val="100"/>
        </w:rPr>
        <w:t>’</w:t>
      </w:r>
      <w:r w:rsidR="00646413" w:rsidRPr="00C51D17">
        <w:rPr>
          <w:w w:val="100"/>
        </w:rPr>
        <w:t>égard des femmes.</w:t>
      </w:r>
    </w:p>
    <w:p w14:paraId="10FCB3F4" w14:textId="0F64705E" w:rsidR="00646413" w:rsidRPr="00C51D17" w:rsidRDefault="00646413" w:rsidP="00F83144">
      <w:pPr>
        <w:pStyle w:val="SingleTxt"/>
        <w:numPr>
          <w:ilvl w:val="0"/>
          <w:numId w:val="67"/>
        </w:numPr>
        <w:spacing w:line="240" w:lineRule="exact"/>
        <w:ind w:left="1267"/>
        <w:rPr>
          <w:w w:val="100"/>
        </w:rPr>
      </w:pPr>
      <w:r w:rsidRPr="00C51D17">
        <w:rPr>
          <w:w w:val="100"/>
        </w:rPr>
        <w:t>Par ailleurs, le Centre de protection et de réadaptation sociales assure aux catégories</w:t>
      </w:r>
      <w:r w:rsidR="0012596A" w:rsidRPr="00C51D17">
        <w:rPr>
          <w:w w:val="100"/>
        </w:rPr>
        <w:t xml:space="preserve"> </w:t>
      </w:r>
      <w:r w:rsidRPr="00C51D17">
        <w:rPr>
          <w:w w:val="100"/>
        </w:rPr>
        <w:t>victimes de violence la protection et la réadaptation sociale qu</w:t>
      </w:r>
      <w:r w:rsidR="00723345" w:rsidRPr="00C51D17">
        <w:rPr>
          <w:w w:val="100"/>
        </w:rPr>
        <w:t>’</w:t>
      </w:r>
      <w:r w:rsidRPr="00C51D17">
        <w:rPr>
          <w:w w:val="100"/>
        </w:rPr>
        <w:t>elles requièrent. Il accueille les travailleuses domestiques et toutes les personnes victimes de violence, dont les enfants, à travers plusieurs canaux dont le bureau du Procureur général, les centres de la sûreté nationale et les établissements de santé. Les victimes peuvent aussi se rendre directement au Centre.</w:t>
      </w:r>
    </w:p>
    <w:p w14:paraId="49905276" w14:textId="7FEF598D" w:rsidR="00646413" w:rsidRPr="00C51D17" w:rsidRDefault="00646413" w:rsidP="00F83144">
      <w:pPr>
        <w:pStyle w:val="SingleTxt"/>
        <w:numPr>
          <w:ilvl w:val="0"/>
          <w:numId w:val="67"/>
        </w:numPr>
        <w:spacing w:line="240" w:lineRule="exact"/>
        <w:ind w:left="1267"/>
        <w:rPr>
          <w:w w:val="100"/>
        </w:rPr>
      </w:pPr>
      <w:r w:rsidRPr="00C51D17">
        <w:rPr>
          <w:w w:val="100"/>
        </w:rPr>
        <w:t>Le Centre offre tous types de soutien aux femmes et enfants victimes de violence, notamment la protection, la réadaptation sociale et des prestations intégrées, quelle que soit la nationalité de la victime, conformément à l</w:t>
      </w:r>
      <w:r w:rsidR="00723345" w:rsidRPr="00C51D17">
        <w:rPr>
          <w:w w:val="100"/>
        </w:rPr>
        <w:t>’</w:t>
      </w:r>
      <w:r w:rsidRPr="00C51D17">
        <w:rPr>
          <w:w w:val="100"/>
        </w:rPr>
        <w:t>article 4 de son Règlement intérieur amendé. La stratégie d</w:t>
      </w:r>
      <w:r w:rsidR="00723345" w:rsidRPr="00C51D17">
        <w:rPr>
          <w:w w:val="100"/>
        </w:rPr>
        <w:t>’</w:t>
      </w:r>
      <w:r w:rsidRPr="00C51D17">
        <w:rPr>
          <w:w w:val="100"/>
        </w:rPr>
        <w:t>action du Centre tend également à protéger les catégories de la population visées de la violence et de ses conséquences, mais aussi de fournir des services de conseil et des programmes de soins et de réadaptation générale, l</w:t>
      </w:r>
      <w:r w:rsidR="00723345" w:rsidRPr="00C51D17">
        <w:rPr>
          <w:w w:val="100"/>
        </w:rPr>
        <w:t>’</w:t>
      </w:r>
      <w:r w:rsidRPr="00C51D17">
        <w:rPr>
          <w:w w:val="100"/>
        </w:rPr>
        <w:t>objectif étant d</w:t>
      </w:r>
      <w:r w:rsidR="00723345" w:rsidRPr="00C51D17">
        <w:rPr>
          <w:w w:val="100"/>
        </w:rPr>
        <w:t>’</w:t>
      </w:r>
      <w:r w:rsidRPr="00C51D17">
        <w:rPr>
          <w:w w:val="100"/>
        </w:rPr>
        <w:t>offrir une aide globale aux catégories visées. Le Centre offre les prestations médicales, psychologiques et de réadaptation ci-après</w:t>
      </w:r>
      <w:r w:rsidR="00F83144" w:rsidRPr="00C51D17">
        <w:rPr>
          <w:w w:val="100"/>
        </w:rPr>
        <w:t> </w:t>
      </w:r>
      <w:r w:rsidRPr="00C51D17">
        <w:rPr>
          <w:w w:val="100"/>
        </w:rPr>
        <w:t>:</w:t>
      </w:r>
    </w:p>
    <w:p w14:paraId="40B842E6" w14:textId="7A315CD8" w:rsidR="00646413" w:rsidRPr="00C51D17" w:rsidRDefault="002B308F" w:rsidP="002B308F">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diagnostic précoce des troubles psychologiques affectant la victime au moyen d</w:t>
      </w:r>
      <w:r w:rsidR="00723345" w:rsidRPr="00C51D17">
        <w:rPr>
          <w:w w:val="100"/>
        </w:rPr>
        <w:t>’</w:t>
      </w:r>
      <w:r w:rsidR="00646413" w:rsidRPr="00C51D17">
        <w:rPr>
          <w:w w:val="100"/>
        </w:rPr>
        <w:t>un examen clinique et d</w:t>
      </w:r>
      <w:r w:rsidR="00723345" w:rsidRPr="00C51D17">
        <w:rPr>
          <w:w w:val="100"/>
        </w:rPr>
        <w:t>’</w:t>
      </w:r>
      <w:r w:rsidR="00646413" w:rsidRPr="00C51D17">
        <w:rPr>
          <w:w w:val="100"/>
        </w:rPr>
        <w:t>autres investigations et la mise en place d</w:t>
      </w:r>
      <w:r w:rsidR="00723345" w:rsidRPr="00C51D17">
        <w:rPr>
          <w:w w:val="100"/>
        </w:rPr>
        <w:t>’</w:t>
      </w:r>
      <w:r w:rsidR="00646413" w:rsidRPr="00C51D17">
        <w:rPr>
          <w:w w:val="100"/>
        </w:rPr>
        <w:t>un appui et de soins médicaux et psychologiques</w:t>
      </w:r>
      <w:r w:rsidR="0012596A" w:rsidRPr="00C51D17">
        <w:rPr>
          <w:w w:val="100"/>
        </w:rPr>
        <w:t> ;</w:t>
      </w:r>
    </w:p>
    <w:p w14:paraId="77EB36B6" w14:textId="17312F97" w:rsidR="00646413" w:rsidRPr="00C51D17" w:rsidRDefault="002B308F" w:rsidP="002B308F">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création d</w:t>
      </w:r>
      <w:r w:rsidR="00723345" w:rsidRPr="00C51D17">
        <w:rPr>
          <w:w w:val="100"/>
        </w:rPr>
        <w:t>’</w:t>
      </w:r>
      <w:r w:rsidR="00646413" w:rsidRPr="00C51D17">
        <w:rPr>
          <w:w w:val="100"/>
        </w:rPr>
        <w:t>un environnement de soins aidant la victime à réaliser les objectifs thérapeutiques arrêtés</w:t>
      </w:r>
      <w:r w:rsidR="0012596A" w:rsidRPr="00C51D17">
        <w:rPr>
          <w:w w:val="100"/>
        </w:rPr>
        <w:t> ;</w:t>
      </w:r>
    </w:p>
    <w:p w14:paraId="159ED70F" w14:textId="3DDBC13F" w:rsidR="00646413" w:rsidRPr="00C51D17" w:rsidRDefault="002B308F" w:rsidP="002B308F">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Les soins psychologiques et les actions de réadaptation, afin d</w:t>
      </w:r>
      <w:r w:rsidR="00723345" w:rsidRPr="00C51D17">
        <w:rPr>
          <w:w w:val="100"/>
        </w:rPr>
        <w:t>’</w:t>
      </w:r>
      <w:r w:rsidR="00646413" w:rsidRPr="00C51D17">
        <w:rPr>
          <w:w w:val="100"/>
        </w:rPr>
        <w:t>éviter que le trouble ne se transforme en affection chronique et de mettre la victime à l</w:t>
      </w:r>
      <w:r w:rsidR="00723345" w:rsidRPr="00C51D17">
        <w:rPr>
          <w:w w:val="100"/>
        </w:rPr>
        <w:t>’</w:t>
      </w:r>
      <w:r w:rsidR="00646413" w:rsidRPr="00C51D17">
        <w:rPr>
          <w:w w:val="100"/>
        </w:rPr>
        <w:t>abri de toute complication</w:t>
      </w:r>
      <w:r w:rsidR="0012596A" w:rsidRPr="00C51D17">
        <w:rPr>
          <w:w w:val="100"/>
        </w:rPr>
        <w:t> ;</w:t>
      </w:r>
    </w:p>
    <w:p w14:paraId="09AD2681" w14:textId="3C82CC7B" w:rsidR="00646413" w:rsidRPr="00C51D17" w:rsidRDefault="002B308F" w:rsidP="002B308F">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création d</w:t>
      </w:r>
      <w:r w:rsidR="00723345" w:rsidRPr="00C51D17">
        <w:rPr>
          <w:w w:val="100"/>
        </w:rPr>
        <w:t>’</w:t>
      </w:r>
      <w:r w:rsidR="00646413" w:rsidRPr="00C51D17">
        <w:rPr>
          <w:w w:val="100"/>
        </w:rPr>
        <w:t>un environnement favorisant la mise en œuvre d</w:t>
      </w:r>
      <w:r w:rsidR="00723345" w:rsidRPr="00C51D17">
        <w:rPr>
          <w:w w:val="100"/>
        </w:rPr>
        <w:t>’</w:t>
      </w:r>
      <w:r w:rsidR="00646413" w:rsidRPr="00C51D17">
        <w:rPr>
          <w:w w:val="100"/>
        </w:rPr>
        <w:t>un programme de soins intégré à long terme</w:t>
      </w:r>
      <w:r w:rsidR="0012596A" w:rsidRPr="00C51D17">
        <w:rPr>
          <w:w w:val="100"/>
        </w:rPr>
        <w:t> ;</w:t>
      </w:r>
    </w:p>
    <w:p w14:paraId="52AAE45A" w14:textId="54FB64A2" w:rsidR="00646413" w:rsidRPr="00C51D17" w:rsidRDefault="002B308F" w:rsidP="002B308F">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 xml:space="preserve">incitation des victimes à continuer à assumer leurs responsabilités au travail ou </w:t>
      </w:r>
      <w:r w:rsidR="006C1164" w:rsidRPr="00C51D17">
        <w:rPr>
          <w:w w:val="100"/>
        </w:rPr>
        <w:t xml:space="preserve">dans </w:t>
      </w:r>
      <w:r w:rsidR="00646413" w:rsidRPr="00C51D17">
        <w:rPr>
          <w:w w:val="100"/>
        </w:rPr>
        <w:t>la famille après les soins et la réadaptation, pour les soustraire à l</w:t>
      </w:r>
      <w:r w:rsidR="00723345" w:rsidRPr="00C51D17">
        <w:rPr>
          <w:w w:val="100"/>
        </w:rPr>
        <w:t>’</w:t>
      </w:r>
      <w:r w:rsidR="00646413" w:rsidRPr="00C51D17">
        <w:rPr>
          <w:w w:val="100"/>
        </w:rPr>
        <w:t>isolement social et leur permettre de résoudre leurs problèmes par elles-mêmes et les aider à ne plus être victimes de ce type de violences.</w:t>
      </w:r>
    </w:p>
    <w:p w14:paraId="01072119" w14:textId="47B6BDA3" w:rsidR="00646413" w:rsidRPr="00C51D17" w:rsidRDefault="00646413" w:rsidP="002B308F">
      <w:pPr>
        <w:pStyle w:val="SingleTxt"/>
        <w:numPr>
          <w:ilvl w:val="0"/>
          <w:numId w:val="67"/>
        </w:numPr>
        <w:spacing w:line="240" w:lineRule="exact"/>
        <w:ind w:left="1267"/>
        <w:rPr>
          <w:w w:val="100"/>
        </w:rPr>
      </w:pPr>
      <w:r w:rsidRPr="00C51D17">
        <w:rPr>
          <w:w w:val="100"/>
        </w:rPr>
        <w:t>Le Centre de protection et de réadaptation sociales offre un programme global de réadaptation, qui est exécuté grâce à un personnel spécialisé. Des prestations de base sont assurées (hébergement) avec des places d</w:t>
      </w:r>
      <w:r w:rsidR="00723345" w:rsidRPr="00C51D17">
        <w:rPr>
          <w:w w:val="100"/>
        </w:rPr>
        <w:t>’</w:t>
      </w:r>
      <w:r w:rsidRPr="00C51D17">
        <w:rPr>
          <w:w w:val="100"/>
        </w:rPr>
        <w:t>accueil dotées de structures de loisirs, de vie en commun, de pratique sportive et de participation à des manifestations nationales, ainsi que des prestations de réadaptation. Le Centre offre également des services complémentaires et permanents qui permettent de garder un contact social avec la famille, d</w:t>
      </w:r>
      <w:r w:rsidR="00723345" w:rsidRPr="00C51D17">
        <w:rPr>
          <w:w w:val="100"/>
        </w:rPr>
        <w:t>’</w:t>
      </w:r>
      <w:r w:rsidRPr="00C51D17">
        <w:rPr>
          <w:w w:val="100"/>
        </w:rPr>
        <w:t>effectuer des visites de terrain auprès des institutions spécialisées et d</w:t>
      </w:r>
      <w:r w:rsidR="00723345" w:rsidRPr="00C51D17">
        <w:rPr>
          <w:w w:val="100"/>
        </w:rPr>
        <w:t>’</w:t>
      </w:r>
      <w:r w:rsidRPr="00C51D17">
        <w:rPr>
          <w:w w:val="100"/>
        </w:rPr>
        <w:t>assurer le suivi social de la victime. De plus, des services sont assurés par des bureaux extérieurs, qui contribuent à assurer des interventions rapides et à donner des conseils directs aux victimes de violence dans les hôpitaux et les structures de la sûreté nationale.</w:t>
      </w:r>
    </w:p>
    <w:p w14:paraId="098D6BBD" w14:textId="30CEE67C" w:rsidR="00646413" w:rsidRPr="00C51D17" w:rsidRDefault="007B59D7" w:rsidP="007B59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Centre Aman</w:t>
      </w:r>
    </w:p>
    <w:p w14:paraId="0C6CF925" w14:textId="4B9EA89A" w:rsidR="007B59D7" w:rsidRPr="00C51D17" w:rsidRDefault="007B59D7" w:rsidP="007B59D7">
      <w:pPr>
        <w:pStyle w:val="SingleTxt"/>
        <w:spacing w:after="0" w:line="120" w:lineRule="exact"/>
        <w:rPr>
          <w:sz w:val="10"/>
        </w:rPr>
      </w:pPr>
    </w:p>
    <w:p w14:paraId="116AF939" w14:textId="29840893" w:rsidR="00646413" w:rsidRPr="00C51D17" w:rsidRDefault="00646413" w:rsidP="007B59D7">
      <w:pPr>
        <w:pStyle w:val="SingleTxt"/>
        <w:numPr>
          <w:ilvl w:val="0"/>
          <w:numId w:val="67"/>
        </w:numPr>
        <w:spacing w:line="240" w:lineRule="exact"/>
        <w:ind w:left="1267"/>
        <w:rPr>
          <w:w w:val="100"/>
        </w:rPr>
      </w:pPr>
      <w:r w:rsidRPr="00C51D17">
        <w:rPr>
          <w:w w:val="100"/>
        </w:rPr>
        <w:t>Le Centre Aman contribue par diverses activités à donner des conseils et assurer des soins et des services de réadaptation psychologique aux femmes victimes de violence, à travers notamment</w:t>
      </w:r>
      <w:r w:rsidR="007B59D7" w:rsidRPr="00C51D17">
        <w:rPr>
          <w:w w:val="100"/>
        </w:rPr>
        <w:t> </w:t>
      </w:r>
      <w:r w:rsidRPr="00C51D17">
        <w:rPr>
          <w:w w:val="100"/>
        </w:rPr>
        <w:t>:</w:t>
      </w:r>
    </w:p>
    <w:p w14:paraId="4FE7AA3A" w14:textId="4895F8AC" w:rsidR="00646413" w:rsidRPr="00C51D17" w:rsidRDefault="007B59D7" w:rsidP="007B59D7">
      <w:pPr>
        <w:pStyle w:val="SingleTxt"/>
        <w:rPr>
          <w:w w:val="100"/>
        </w:rPr>
      </w:pPr>
      <w:r w:rsidRPr="00C51D17">
        <w:rPr>
          <w:w w:val="100"/>
        </w:rPr>
        <w:tab/>
      </w:r>
      <w:r w:rsidR="00646413" w:rsidRPr="00C51D17">
        <w:rPr>
          <w:w w:val="100"/>
        </w:rPr>
        <w:t>a)</w:t>
      </w:r>
      <w:r w:rsidR="00646413" w:rsidRPr="00C51D17">
        <w:rPr>
          <w:w w:val="100"/>
        </w:rPr>
        <w:tab/>
        <w:t>Des services de consultation et d</w:t>
      </w:r>
      <w:r w:rsidR="00723345" w:rsidRPr="00C51D17">
        <w:rPr>
          <w:w w:val="100"/>
        </w:rPr>
        <w:t>’</w:t>
      </w:r>
      <w:r w:rsidR="00646413" w:rsidRPr="00C51D17">
        <w:rPr>
          <w:w w:val="100"/>
        </w:rPr>
        <w:t>assistance sociale, psychologique et juridique</w:t>
      </w:r>
      <w:r w:rsidR="00856433" w:rsidRPr="00C51D17">
        <w:rPr>
          <w:w w:val="100"/>
        </w:rPr>
        <w:t> </w:t>
      </w:r>
      <w:r w:rsidR="00646413" w:rsidRPr="00C51D17">
        <w:rPr>
          <w:w w:val="100"/>
        </w:rPr>
        <w:t>:</w:t>
      </w:r>
    </w:p>
    <w:p w14:paraId="057A6334" w14:textId="6377E331" w:rsidR="00646413" w:rsidRPr="00C51D17" w:rsidRDefault="007B59D7" w:rsidP="007B59D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w w:val="100"/>
        </w:rPr>
      </w:pPr>
      <w:r w:rsidRPr="00C51D17">
        <w:rPr>
          <w:w w:val="100"/>
        </w:rPr>
        <w:tab/>
        <w:t>•</w:t>
      </w:r>
      <w:r w:rsidRPr="00C51D17">
        <w:rPr>
          <w:w w:val="100"/>
        </w:rPr>
        <w:tab/>
      </w:r>
      <w:r w:rsidR="00646413" w:rsidRPr="00C51D17">
        <w:rPr>
          <w:w w:val="100"/>
        </w:rPr>
        <w:t>À la faveur d</w:t>
      </w:r>
      <w:r w:rsidR="00723345" w:rsidRPr="00C51D17">
        <w:rPr>
          <w:w w:val="100"/>
        </w:rPr>
        <w:t>’</w:t>
      </w:r>
      <w:r w:rsidR="00646413" w:rsidRPr="00C51D17">
        <w:rPr>
          <w:w w:val="100"/>
        </w:rPr>
        <w:t>un suivi téléphonique avec les experts du Centre. Une ligne téléphonique spécialisée et un centre de liaison ont été ouverts pour faciliter les signalements de violence et le dépôt de plainte en cas de violence (psychologique, physique ou sexuelle) et bénéficier des services de soins et d</w:t>
      </w:r>
      <w:r w:rsidR="00723345" w:rsidRPr="00C51D17">
        <w:rPr>
          <w:w w:val="100"/>
        </w:rPr>
        <w:t>’</w:t>
      </w:r>
      <w:r w:rsidR="00646413" w:rsidRPr="00C51D17">
        <w:rPr>
          <w:w w:val="100"/>
        </w:rPr>
        <w:t>appui, quelle que soit la nationalité de la victime</w:t>
      </w:r>
      <w:r w:rsidR="0012596A" w:rsidRPr="00C51D17">
        <w:rPr>
          <w:w w:val="100"/>
        </w:rPr>
        <w:t> ;</w:t>
      </w:r>
    </w:p>
    <w:p w14:paraId="433C81E1" w14:textId="69EC6813" w:rsidR="00646413" w:rsidRPr="00C51D17" w:rsidRDefault="007B59D7" w:rsidP="007B59D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w w:val="100"/>
        </w:rPr>
      </w:pPr>
      <w:r w:rsidRPr="00C51D17">
        <w:rPr>
          <w:w w:val="100"/>
        </w:rPr>
        <w:tab/>
        <w:t>•</w:t>
      </w:r>
      <w:r w:rsidRPr="00C51D17">
        <w:rPr>
          <w:w w:val="100"/>
        </w:rPr>
        <w:tab/>
      </w:r>
      <w:r w:rsidR="00646413" w:rsidRPr="00C51D17">
        <w:rPr>
          <w:w w:val="100"/>
        </w:rPr>
        <w:t>La présence d</w:t>
      </w:r>
      <w:r w:rsidR="00723345" w:rsidRPr="00C51D17">
        <w:rPr>
          <w:w w:val="100"/>
        </w:rPr>
        <w:t>’</w:t>
      </w:r>
      <w:r w:rsidR="00646413" w:rsidRPr="00C51D17">
        <w:rPr>
          <w:w w:val="100"/>
        </w:rPr>
        <w:t>un accompagnateur du Centre ou de ses bureaux extérieurs dans les hôpitaux et structures de la sûreté nationale et au bureau du Procureur général, afin de faciliter les prestations de service du Centre</w:t>
      </w:r>
      <w:r w:rsidR="0012596A" w:rsidRPr="00C51D17">
        <w:rPr>
          <w:w w:val="100"/>
        </w:rPr>
        <w:t> ;</w:t>
      </w:r>
    </w:p>
    <w:p w14:paraId="034F733A" w14:textId="0319F918" w:rsidR="00646413" w:rsidRPr="00C51D17" w:rsidRDefault="007B59D7" w:rsidP="007B59D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offre de services d</w:t>
      </w:r>
      <w:r w:rsidR="00723345" w:rsidRPr="00C51D17">
        <w:rPr>
          <w:w w:val="100"/>
        </w:rPr>
        <w:t>’</w:t>
      </w:r>
      <w:r w:rsidR="00646413" w:rsidRPr="00C51D17">
        <w:rPr>
          <w:w w:val="100"/>
        </w:rPr>
        <w:t>orientation vers les structures compétentes qui aident la victime à faire face aux problèmes et à obtenir les services et l</w:t>
      </w:r>
      <w:r w:rsidR="00723345" w:rsidRPr="00C51D17">
        <w:rPr>
          <w:w w:val="100"/>
        </w:rPr>
        <w:t>’</w:t>
      </w:r>
      <w:r w:rsidR="00646413" w:rsidRPr="00C51D17">
        <w:rPr>
          <w:w w:val="100"/>
        </w:rPr>
        <w:t>appui qu</w:t>
      </w:r>
      <w:r w:rsidR="00723345" w:rsidRPr="00C51D17">
        <w:rPr>
          <w:w w:val="100"/>
        </w:rPr>
        <w:t>’</w:t>
      </w:r>
      <w:r w:rsidR="00646413" w:rsidRPr="00C51D17">
        <w:rPr>
          <w:w w:val="100"/>
        </w:rPr>
        <w:t>elle requiert.</w:t>
      </w:r>
    </w:p>
    <w:p w14:paraId="1A042D6C" w14:textId="21729E24" w:rsidR="00646413" w:rsidRPr="00C51D17" w:rsidRDefault="007B59D7" w:rsidP="007B59D7">
      <w:pPr>
        <w:pStyle w:val="SingleTxt"/>
        <w:rPr>
          <w:w w:val="100"/>
        </w:rPr>
      </w:pPr>
      <w:r w:rsidRPr="00C51D17">
        <w:rPr>
          <w:w w:val="100"/>
        </w:rPr>
        <w:tab/>
      </w:r>
      <w:r w:rsidR="00646413" w:rsidRPr="00C51D17">
        <w:rPr>
          <w:w w:val="100"/>
        </w:rPr>
        <w:t>b)</w:t>
      </w:r>
      <w:r w:rsidR="00646413" w:rsidRPr="00C51D17">
        <w:rPr>
          <w:w w:val="100"/>
        </w:rPr>
        <w:tab/>
        <w:t>Des services de réadaptation</w:t>
      </w:r>
      <w:r w:rsidRPr="00C51D17">
        <w:rPr>
          <w:w w:val="100"/>
        </w:rPr>
        <w:t> </w:t>
      </w:r>
      <w:r w:rsidR="00646413" w:rsidRPr="00C51D17">
        <w:rPr>
          <w:w w:val="100"/>
        </w:rPr>
        <w:t>:</w:t>
      </w:r>
    </w:p>
    <w:p w14:paraId="2D4F484D" w14:textId="2D7A327C" w:rsidR="00646413" w:rsidRPr="00C51D17" w:rsidRDefault="00646413" w:rsidP="007B59D7">
      <w:pPr>
        <w:pStyle w:val="SingleTxt"/>
        <w:numPr>
          <w:ilvl w:val="0"/>
          <w:numId w:val="67"/>
        </w:numPr>
        <w:spacing w:line="240" w:lineRule="exact"/>
        <w:ind w:left="1267"/>
        <w:rPr>
          <w:w w:val="100"/>
        </w:rPr>
      </w:pPr>
      <w:r w:rsidRPr="00C51D17">
        <w:rPr>
          <w:w w:val="100"/>
        </w:rPr>
        <w:t>Le Centre apporte sa contribution aux services de réadaptation (psychologique, sociale, juridique et fonctionnelle) grâce à une équipe pluridisciplinaire. Ces services sont offerts aux femmes, chacune selon ses besoins, qu</w:t>
      </w:r>
      <w:r w:rsidR="00723345" w:rsidRPr="00C51D17">
        <w:rPr>
          <w:w w:val="100"/>
        </w:rPr>
        <w:t>’</w:t>
      </w:r>
      <w:r w:rsidRPr="00C51D17">
        <w:rPr>
          <w:w w:val="100"/>
        </w:rPr>
        <w:t>elles soient résidentes dans les structures d</w:t>
      </w:r>
      <w:r w:rsidR="00723345" w:rsidRPr="00C51D17">
        <w:rPr>
          <w:w w:val="100"/>
        </w:rPr>
        <w:t>’</w:t>
      </w:r>
      <w:r w:rsidRPr="00C51D17">
        <w:rPr>
          <w:w w:val="100"/>
        </w:rPr>
        <w:t>hébergement du Centre ou dans le cadre d</w:t>
      </w:r>
      <w:r w:rsidR="00723345" w:rsidRPr="00C51D17">
        <w:rPr>
          <w:w w:val="100"/>
        </w:rPr>
        <w:t>’</w:t>
      </w:r>
      <w:r w:rsidRPr="00C51D17">
        <w:rPr>
          <w:w w:val="100"/>
        </w:rPr>
        <w:t>activités extérieures.</w:t>
      </w:r>
    </w:p>
    <w:p w14:paraId="55958810" w14:textId="43EF7811" w:rsidR="00646413" w:rsidRPr="00C51D17" w:rsidRDefault="003D2C0C" w:rsidP="003D2C0C">
      <w:pPr>
        <w:pStyle w:val="SingleTxt"/>
        <w:rPr>
          <w:w w:val="100"/>
        </w:rPr>
      </w:pPr>
      <w:r w:rsidRPr="00C51D17">
        <w:rPr>
          <w:w w:val="100"/>
        </w:rPr>
        <w:tab/>
      </w:r>
      <w:r w:rsidR="00646413" w:rsidRPr="00C51D17">
        <w:rPr>
          <w:w w:val="100"/>
        </w:rPr>
        <w:t>c)</w:t>
      </w:r>
      <w:r w:rsidR="00646413" w:rsidRPr="00C51D17">
        <w:rPr>
          <w:w w:val="100"/>
        </w:rPr>
        <w:tab/>
        <w:t>Des services d</w:t>
      </w:r>
      <w:r w:rsidR="00723345" w:rsidRPr="00C51D17">
        <w:rPr>
          <w:w w:val="100"/>
        </w:rPr>
        <w:t>’</w:t>
      </w:r>
      <w:r w:rsidR="00646413" w:rsidRPr="00C51D17">
        <w:rPr>
          <w:w w:val="100"/>
        </w:rPr>
        <w:t>hébergement</w:t>
      </w:r>
      <w:r w:rsidRPr="00C51D17">
        <w:rPr>
          <w:w w:val="100"/>
        </w:rPr>
        <w:t> </w:t>
      </w:r>
      <w:r w:rsidR="00646413" w:rsidRPr="00C51D17">
        <w:rPr>
          <w:w w:val="100"/>
        </w:rPr>
        <w:t>:</w:t>
      </w:r>
    </w:p>
    <w:p w14:paraId="6491C2B3" w14:textId="6A068B8C" w:rsidR="00646413" w:rsidRPr="00C51D17" w:rsidRDefault="00646413" w:rsidP="003D2C0C">
      <w:pPr>
        <w:pStyle w:val="SingleTxt"/>
        <w:numPr>
          <w:ilvl w:val="0"/>
          <w:numId w:val="67"/>
        </w:numPr>
        <w:spacing w:line="240" w:lineRule="exact"/>
        <w:ind w:left="1267"/>
        <w:rPr>
          <w:w w:val="100"/>
        </w:rPr>
      </w:pPr>
      <w:r w:rsidRPr="00C51D17">
        <w:rPr>
          <w:w w:val="100"/>
        </w:rPr>
        <w:t>Dar el-Aman a été ouvert pour accueillir les femmes victimes de violence. Elles y trouvent un hébergement de qualité et des services sociaux et éducatifs, ainsi que les moyens d</w:t>
      </w:r>
      <w:r w:rsidR="00723345" w:rsidRPr="00C51D17">
        <w:rPr>
          <w:w w:val="100"/>
        </w:rPr>
        <w:t>’</w:t>
      </w:r>
      <w:r w:rsidRPr="00C51D17">
        <w:rPr>
          <w:w w:val="100"/>
        </w:rPr>
        <w:t>assurer leur réadaptation et réinsertion dans la société.</w:t>
      </w:r>
    </w:p>
    <w:p w14:paraId="46E734A7" w14:textId="64B701FE" w:rsidR="00646413" w:rsidRPr="00C51D17" w:rsidRDefault="003D2C0C" w:rsidP="003D2C0C">
      <w:pPr>
        <w:pStyle w:val="SingleTxt"/>
        <w:rPr>
          <w:w w:val="100"/>
        </w:rPr>
      </w:pPr>
      <w:r w:rsidRPr="00C51D17">
        <w:rPr>
          <w:w w:val="100"/>
        </w:rPr>
        <w:tab/>
      </w:r>
      <w:r w:rsidR="00646413" w:rsidRPr="00C51D17">
        <w:rPr>
          <w:w w:val="100"/>
        </w:rPr>
        <w:t>d)</w:t>
      </w:r>
      <w:r w:rsidR="00646413" w:rsidRPr="00C51D17">
        <w:rPr>
          <w:w w:val="100"/>
        </w:rPr>
        <w:tab/>
        <w:t>Des services d</w:t>
      </w:r>
      <w:r w:rsidR="00723345" w:rsidRPr="00C51D17">
        <w:rPr>
          <w:w w:val="100"/>
        </w:rPr>
        <w:t>’</w:t>
      </w:r>
      <w:r w:rsidR="00646413" w:rsidRPr="00C51D17">
        <w:rPr>
          <w:w w:val="100"/>
        </w:rPr>
        <w:t>insertion sociale</w:t>
      </w:r>
      <w:r w:rsidRPr="00C51D17">
        <w:rPr>
          <w:w w:val="100"/>
        </w:rPr>
        <w:t> </w:t>
      </w:r>
      <w:r w:rsidR="00646413" w:rsidRPr="00C51D17">
        <w:rPr>
          <w:w w:val="100"/>
        </w:rPr>
        <w:t>:</w:t>
      </w:r>
    </w:p>
    <w:p w14:paraId="2EDBCC87" w14:textId="7C22F966" w:rsidR="00646413" w:rsidRPr="00C51D17" w:rsidRDefault="00646413" w:rsidP="003D2C0C">
      <w:pPr>
        <w:pStyle w:val="SingleTxt"/>
        <w:numPr>
          <w:ilvl w:val="0"/>
          <w:numId w:val="67"/>
        </w:numPr>
        <w:spacing w:line="240" w:lineRule="exact"/>
        <w:ind w:left="1267"/>
        <w:rPr>
          <w:w w:val="100"/>
        </w:rPr>
      </w:pPr>
      <w:r w:rsidRPr="00C51D17">
        <w:rPr>
          <w:w w:val="100"/>
        </w:rPr>
        <w:t>Des services de soins complémentaires sont fournis aux femmes après leur hébergement provisoire afin d</w:t>
      </w:r>
      <w:r w:rsidR="00723345" w:rsidRPr="00C51D17">
        <w:rPr>
          <w:w w:val="100"/>
        </w:rPr>
        <w:t>’</w:t>
      </w:r>
      <w:r w:rsidRPr="00C51D17">
        <w:rPr>
          <w:w w:val="100"/>
        </w:rPr>
        <w:t>assurer leur protection et leur réinsertion sociale et de leur permettre de bénéficier des droits que leur garantit l</w:t>
      </w:r>
      <w:r w:rsidR="00723345" w:rsidRPr="00C51D17">
        <w:rPr>
          <w:w w:val="100"/>
        </w:rPr>
        <w:t>’</w:t>
      </w:r>
      <w:r w:rsidRPr="00C51D17">
        <w:rPr>
          <w:w w:val="100"/>
        </w:rPr>
        <w:t>État, en coordination avec les organes et partenaires concernés, et du suivi permanent de leur situation.</w:t>
      </w:r>
    </w:p>
    <w:p w14:paraId="4CE0AAF7" w14:textId="77777777" w:rsidR="003D2C0C" w:rsidRPr="00C51D17" w:rsidRDefault="003D2C0C" w:rsidP="003D2C0C">
      <w:pPr>
        <w:pStyle w:val="SingleTxt"/>
        <w:spacing w:after="0" w:line="120" w:lineRule="exact"/>
        <w:rPr>
          <w:w w:val="100"/>
          <w:sz w:val="10"/>
        </w:rPr>
      </w:pPr>
    </w:p>
    <w:p w14:paraId="41421310" w14:textId="3BD935D0" w:rsidR="00646413" w:rsidRPr="00C51D17" w:rsidRDefault="003D2C0C" w:rsidP="003D2C0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rPr>
      </w:pPr>
      <w:r w:rsidRPr="00C51D17">
        <w:rPr>
          <w:w w:val="100"/>
        </w:rPr>
        <w:tab/>
      </w:r>
      <w:r w:rsidRPr="00C51D17">
        <w:rPr>
          <w:w w:val="100"/>
        </w:rPr>
        <w:tab/>
      </w:r>
      <w:r w:rsidR="00646413" w:rsidRPr="00C51D17">
        <w:rPr>
          <w:w w:val="100"/>
        </w:rPr>
        <w:t>Centre des consultations familiales « Wifaq »</w:t>
      </w:r>
    </w:p>
    <w:p w14:paraId="16F230FA" w14:textId="644D9413" w:rsidR="003D2C0C" w:rsidRPr="00C51D17" w:rsidRDefault="003D2C0C" w:rsidP="003D2C0C">
      <w:pPr>
        <w:pStyle w:val="SingleTxt"/>
        <w:spacing w:after="0" w:line="120" w:lineRule="exact"/>
        <w:rPr>
          <w:sz w:val="10"/>
        </w:rPr>
      </w:pPr>
    </w:p>
    <w:p w14:paraId="1EE2133F" w14:textId="36DFA2C3" w:rsidR="00646413" w:rsidRPr="00C51D17" w:rsidRDefault="00646413" w:rsidP="003D2C0C">
      <w:pPr>
        <w:pStyle w:val="SingleTxt"/>
        <w:numPr>
          <w:ilvl w:val="0"/>
          <w:numId w:val="67"/>
        </w:numPr>
        <w:spacing w:line="240" w:lineRule="exact"/>
        <w:ind w:left="1267"/>
        <w:rPr>
          <w:w w:val="100"/>
        </w:rPr>
      </w:pPr>
      <w:r w:rsidRPr="00C51D17">
        <w:rPr>
          <w:w w:val="100"/>
        </w:rPr>
        <w:t>Le Centre Wifaq a mené nombre d</w:t>
      </w:r>
      <w:r w:rsidR="00723345" w:rsidRPr="00C51D17">
        <w:rPr>
          <w:w w:val="100"/>
        </w:rPr>
        <w:t>’</w:t>
      </w:r>
      <w:r w:rsidRPr="00C51D17">
        <w:rPr>
          <w:w w:val="100"/>
        </w:rPr>
        <w:t>activités permettant de favoriser le renforcement de la responsabilité familiale et d</w:t>
      </w:r>
      <w:r w:rsidR="00723345" w:rsidRPr="00C51D17">
        <w:rPr>
          <w:w w:val="100"/>
        </w:rPr>
        <w:t>’</w:t>
      </w:r>
      <w:r w:rsidRPr="00C51D17">
        <w:rPr>
          <w:w w:val="100"/>
        </w:rPr>
        <w:t>éviter les conflits familiaux</w:t>
      </w:r>
      <w:r w:rsidR="003D2C0C" w:rsidRPr="00C51D17">
        <w:rPr>
          <w:w w:val="100"/>
        </w:rPr>
        <w:t> </w:t>
      </w:r>
      <w:r w:rsidRPr="00C51D17">
        <w:rPr>
          <w:w w:val="100"/>
        </w:rPr>
        <w:t>:</w:t>
      </w:r>
    </w:p>
    <w:p w14:paraId="620927D5" w14:textId="45B347BD" w:rsidR="00646413" w:rsidRPr="00C51D17" w:rsidRDefault="003D2C0C" w:rsidP="003D2C0C">
      <w:pPr>
        <w:pStyle w:val="SingleTxt"/>
        <w:rPr>
          <w:w w:val="100"/>
        </w:rPr>
      </w:pPr>
      <w:r w:rsidRPr="00C51D17">
        <w:rPr>
          <w:w w:val="100"/>
        </w:rPr>
        <w:tab/>
      </w:r>
      <w:r w:rsidR="00646413" w:rsidRPr="00C51D17">
        <w:rPr>
          <w:w w:val="100"/>
        </w:rPr>
        <w:t>a)</w:t>
      </w:r>
      <w:r w:rsidR="00646413" w:rsidRPr="00C51D17">
        <w:rPr>
          <w:w w:val="100"/>
        </w:rPr>
        <w:tab/>
        <w:t>Le renforcement de la responsabilité familiale</w:t>
      </w:r>
      <w:r w:rsidR="00646413" w:rsidRPr="00C51D17">
        <w:rPr>
          <w:w w:val="100"/>
          <w:vertAlign w:val="superscript"/>
        </w:rPr>
        <w:footnoteReference w:id="7"/>
      </w:r>
      <w:r w:rsidR="0012596A" w:rsidRPr="00C51D17">
        <w:rPr>
          <w:w w:val="100"/>
        </w:rPr>
        <w:t xml:space="preserve">: </w:t>
      </w:r>
    </w:p>
    <w:p w14:paraId="144A0F51" w14:textId="182460F7" w:rsidR="00646413" w:rsidRPr="00C51D17" w:rsidRDefault="00646413" w:rsidP="004945CC">
      <w:pPr>
        <w:pStyle w:val="SingleTxt"/>
        <w:numPr>
          <w:ilvl w:val="0"/>
          <w:numId w:val="67"/>
        </w:numPr>
        <w:spacing w:line="240" w:lineRule="exact"/>
        <w:ind w:left="1267"/>
        <w:rPr>
          <w:color w:val="000000"/>
          <w:w w:val="100"/>
        </w:rPr>
      </w:pPr>
      <w:r w:rsidRPr="00C51D17">
        <w:rPr>
          <w:w w:val="100"/>
        </w:rPr>
        <w:t xml:space="preserve">Le Centre des consultations familiales Wifaq organise des activités de sensibilisation concernant la mise en œuvre de la Convention </w:t>
      </w:r>
      <w:r w:rsidRPr="00C51D17">
        <w:rPr>
          <w:color w:val="000000"/>
          <w:w w:val="100"/>
        </w:rPr>
        <w:t>sur l</w:t>
      </w:r>
      <w:r w:rsidR="00723345" w:rsidRPr="00C51D17">
        <w:rPr>
          <w:color w:val="000000"/>
          <w:w w:val="100"/>
        </w:rPr>
        <w:t>’</w:t>
      </w:r>
      <w:r w:rsidRPr="00C51D17">
        <w:rPr>
          <w:color w:val="000000"/>
          <w:w w:val="100"/>
        </w:rPr>
        <w:t>élimination de toutes les formes de discrimination à l</w:t>
      </w:r>
      <w:r w:rsidR="00723345" w:rsidRPr="00C51D17">
        <w:rPr>
          <w:color w:val="000000"/>
          <w:w w:val="100"/>
        </w:rPr>
        <w:t>’</w:t>
      </w:r>
      <w:r w:rsidRPr="00C51D17">
        <w:rPr>
          <w:color w:val="000000"/>
          <w:w w:val="100"/>
        </w:rPr>
        <w:t>égard des femmes, à travers un programme sur l</w:t>
      </w:r>
      <w:r w:rsidR="00723345" w:rsidRPr="00C51D17">
        <w:rPr>
          <w:color w:val="000000"/>
          <w:w w:val="100"/>
        </w:rPr>
        <w:t>’</w:t>
      </w:r>
      <w:r w:rsidRPr="00C51D17">
        <w:rPr>
          <w:color w:val="000000"/>
          <w:w w:val="100"/>
        </w:rPr>
        <w:t xml:space="preserve">équilibre entre les responsabilités professionnelles et familiales des femmes, qui vise à modifier les représentations stéréotypées sur les rôles respectifs des femmes et des hommes </w:t>
      </w:r>
      <w:r w:rsidR="006C1164" w:rsidRPr="00C51D17">
        <w:rPr>
          <w:color w:val="000000"/>
          <w:w w:val="100"/>
        </w:rPr>
        <w:t>dans</w:t>
      </w:r>
      <w:r w:rsidRPr="00C51D17">
        <w:rPr>
          <w:color w:val="000000"/>
          <w:w w:val="100"/>
        </w:rPr>
        <w:t xml:space="preserve"> la famille. Ce programme s</w:t>
      </w:r>
      <w:r w:rsidR="00723345" w:rsidRPr="00C51D17">
        <w:rPr>
          <w:color w:val="000000"/>
          <w:w w:val="100"/>
        </w:rPr>
        <w:t>’</w:t>
      </w:r>
      <w:r w:rsidRPr="00C51D17">
        <w:rPr>
          <w:color w:val="000000"/>
          <w:w w:val="100"/>
        </w:rPr>
        <w:t>est fixé les objectifs ci-après:</w:t>
      </w:r>
    </w:p>
    <w:p w14:paraId="783A5058" w14:textId="0A0530A5" w:rsidR="00646413" w:rsidRPr="00C51D17" w:rsidRDefault="004945CC" w:rsidP="004945C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connaissance des capacités liées à l</w:t>
      </w:r>
      <w:r w:rsidR="00723345" w:rsidRPr="00C51D17">
        <w:rPr>
          <w:w w:val="100"/>
        </w:rPr>
        <w:t>’</w:t>
      </w:r>
      <w:r w:rsidR="00646413" w:rsidRPr="00C51D17">
        <w:rPr>
          <w:w w:val="100"/>
        </w:rPr>
        <w:t>instauration de l</w:t>
      </w:r>
      <w:r w:rsidR="00723345" w:rsidRPr="00C51D17">
        <w:rPr>
          <w:w w:val="100"/>
        </w:rPr>
        <w:t>’</w:t>
      </w:r>
      <w:r w:rsidR="00646413" w:rsidRPr="00C51D17">
        <w:rPr>
          <w:w w:val="100"/>
        </w:rPr>
        <w:t>équilibre idéal entre l</w:t>
      </w:r>
      <w:r w:rsidR="00723345" w:rsidRPr="00C51D17">
        <w:rPr>
          <w:w w:val="100"/>
        </w:rPr>
        <w:t>’</w:t>
      </w:r>
      <w:r w:rsidR="00646413" w:rsidRPr="00C51D17">
        <w:rPr>
          <w:w w:val="100"/>
        </w:rPr>
        <w:t>activité professionnelle et les obligations familiales</w:t>
      </w:r>
      <w:r w:rsidR="0012596A" w:rsidRPr="00C51D17">
        <w:rPr>
          <w:w w:val="100"/>
        </w:rPr>
        <w:t> ;</w:t>
      </w:r>
    </w:p>
    <w:p w14:paraId="70292977" w14:textId="140CEDAE" w:rsidR="00646413" w:rsidRPr="00C51D17" w:rsidRDefault="004945CC" w:rsidP="004945C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connaissance des méthodes pratiques pour bien communiquer et leur rôle dans l</w:t>
      </w:r>
      <w:r w:rsidR="00723345" w:rsidRPr="00C51D17">
        <w:rPr>
          <w:w w:val="100"/>
        </w:rPr>
        <w:t>’</w:t>
      </w:r>
      <w:r w:rsidR="00646413" w:rsidRPr="00C51D17">
        <w:rPr>
          <w:w w:val="100"/>
        </w:rPr>
        <w:t>établissement de l</w:t>
      </w:r>
      <w:r w:rsidR="00723345" w:rsidRPr="00C51D17">
        <w:rPr>
          <w:w w:val="100"/>
        </w:rPr>
        <w:t>’</w:t>
      </w:r>
      <w:r w:rsidR="00646413" w:rsidRPr="00C51D17">
        <w:rPr>
          <w:w w:val="100"/>
        </w:rPr>
        <w:t>équilibre précité</w:t>
      </w:r>
      <w:r w:rsidR="0012596A" w:rsidRPr="00C51D17">
        <w:rPr>
          <w:w w:val="100"/>
        </w:rPr>
        <w:t> ;</w:t>
      </w:r>
    </w:p>
    <w:p w14:paraId="7628B0D7" w14:textId="1E2DE57B" w:rsidR="00646413" w:rsidRPr="00C51D17" w:rsidRDefault="004945CC" w:rsidP="004945C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connaissance des méthodes positives de prise en compte de la pression liée à l</w:t>
      </w:r>
      <w:r w:rsidR="00723345" w:rsidRPr="00C51D17">
        <w:rPr>
          <w:w w:val="100"/>
        </w:rPr>
        <w:t>’</w:t>
      </w:r>
      <w:r w:rsidR="00646413" w:rsidRPr="00C51D17">
        <w:rPr>
          <w:w w:val="100"/>
        </w:rPr>
        <w:t>activité professionnelle aux fins de l</w:t>
      </w:r>
      <w:r w:rsidR="00723345" w:rsidRPr="00C51D17">
        <w:rPr>
          <w:w w:val="100"/>
        </w:rPr>
        <w:t>’</w:t>
      </w:r>
      <w:r w:rsidR="00646413" w:rsidRPr="00C51D17">
        <w:rPr>
          <w:w w:val="100"/>
        </w:rPr>
        <w:t>établissement de l</w:t>
      </w:r>
      <w:r w:rsidR="00723345" w:rsidRPr="00C51D17">
        <w:rPr>
          <w:w w:val="100"/>
        </w:rPr>
        <w:t>’</w:t>
      </w:r>
      <w:r w:rsidR="00646413" w:rsidRPr="00C51D17">
        <w:rPr>
          <w:w w:val="100"/>
        </w:rPr>
        <w:t>équilibre précité</w:t>
      </w:r>
      <w:r w:rsidR="0012596A" w:rsidRPr="00C51D17">
        <w:rPr>
          <w:w w:val="100"/>
        </w:rPr>
        <w:t> ;</w:t>
      </w:r>
    </w:p>
    <w:p w14:paraId="121516A1" w14:textId="46A894CF" w:rsidR="00646413" w:rsidRPr="00C51D17" w:rsidRDefault="004945CC" w:rsidP="004945CC">
      <w:pPr>
        <w:pStyle w:val="SingleTxt"/>
        <w:tabs>
          <w:tab w:val="right" w:pos="1685"/>
        </w:tabs>
        <w:ind w:left="1742" w:hanging="475"/>
        <w:rPr>
          <w:w w:val="100"/>
        </w:rPr>
      </w:pPr>
      <w:r w:rsidRPr="00C51D17">
        <w:rPr>
          <w:w w:val="100"/>
        </w:rPr>
        <w:tab/>
        <w:t>•</w:t>
      </w:r>
      <w:r w:rsidRPr="00C51D17">
        <w:rPr>
          <w:w w:val="100"/>
        </w:rPr>
        <w:tab/>
      </w:r>
      <w:r w:rsidR="00646413" w:rsidRPr="00C51D17">
        <w:rPr>
          <w:w w:val="100"/>
        </w:rPr>
        <w:t xml:space="preserve">La connaissance du rôle du dialogue </w:t>
      </w:r>
      <w:r w:rsidR="006C1164" w:rsidRPr="00C51D17">
        <w:rPr>
          <w:w w:val="100"/>
        </w:rPr>
        <w:t>dans</w:t>
      </w:r>
      <w:r w:rsidR="00646413" w:rsidRPr="00C51D17">
        <w:rPr>
          <w:w w:val="100"/>
        </w:rPr>
        <w:t xml:space="preserve"> la famille pour établir un équilibre entre le travail et la famille</w:t>
      </w:r>
      <w:r w:rsidR="0012596A" w:rsidRPr="00C51D17">
        <w:rPr>
          <w:w w:val="100"/>
        </w:rPr>
        <w:t> ;</w:t>
      </w:r>
    </w:p>
    <w:p w14:paraId="4E11CEF7" w14:textId="06DDD729" w:rsidR="00646413" w:rsidRPr="00C51D17" w:rsidRDefault="004945CC" w:rsidP="004945C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connaissance des conditions d</w:t>
      </w:r>
      <w:r w:rsidR="00723345" w:rsidRPr="00C51D17">
        <w:rPr>
          <w:w w:val="100"/>
        </w:rPr>
        <w:t>’</w:t>
      </w:r>
      <w:r w:rsidR="00646413" w:rsidRPr="00C51D17">
        <w:rPr>
          <w:w w:val="100"/>
        </w:rPr>
        <w:t>une entente positive entre les époux.</w:t>
      </w:r>
    </w:p>
    <w:p w14:paraId="1C3DC794" w14:textId="78608EC2" w:rsidR="00646413" w:rsidRPr="00C51D17" w:rsidRDefault="00404DFA" w:rsidP="00404DFA">
      <w:pPr>
        <w:pStyle w:val="SingleTxt"/>
        <w:rPr>
          <w:w w:val="100"/>
        </w:rPr>
      </w:pPr>
      <w:r w:rsidRPr="00C51D17">
        <w:rPr>
          <w:w w:val="100"/>
        </w:rPr>
        <w:tab/>
      </w:r>
      <w:r w:rsidR="00646413" w:rsidRPr="00C51D17">
        <w:rPr>
          <w:w w:val="100"/>
        </w:rPr>
        <w:t>b)</w:t>
      </w:r>
      <w:r w:rsidR="00646413" w:rsidRPr="00C51D17">
        <w:rPr>
          <w:w w:val="100"/>
        </w:rPr>
        <w:tab/>
        <w:t>Les moyens d</w:t>
      </w:r>
      <w:r w:rsidR="00723345" w:rsidRPr="00C51D17">
        <w:rPr>
          <w:w w:val="100"/>
        </w:rPr>
        <w:t>’</w:t>
      </w:r>
      <w:r w:rsidR="00646413" w:rsidRPr="00C51D17">
        <w:rPr>
          <w:w w:val="100"/>
        </w:rPr>
        <w:t>éviter les conflits familiaux</w:t>
      </w:r>
      <w:r w:rsidR="001A4B6B" w:rsidRPr="00C51D17">
        <w:rPr>
          <w:w w:val="100"/>
        </w:rPr>
        <w:t xml:space="preserve"> </w:t>
      </w:r>
      <w:r w:rsidR="0012596A" w:rsidRPr="00C51D17">
        <w:rPr>
          <w:w w:val="100"/>
        </w:rPr>
        <w:t xml:space="preserve">: </w:t>
      </w:r>
      <w:r w:rsidR="00646413" w:rsidRPr="00C51D17">
        <w:rPr>
          <w:w w:val="100"/>
        </w:rPr>
        <w:t>la sensibilisation de la famille avant les conflits porte sur</w:t>
      </w:r>
      <w:r w:rsidRPr="00C51D17">
        <w:rPr>
          <w:w w:val="100"/>
        </w:rPr>
        <w:t> </w:t>
      </w:r>
      <w:r w:rsidR="00646413" w:rsidRPr="00C51D17">
        <w:rPr>
          <w:w w:val="100"/>
        </w:rPr>
        <w:t>:</w:t>
      </w:r>
    </w:p>
    <w:p w14:paraId="09701FCB" w14:textId="2D805D21" w:rsidR="007A7F37" w:rsidRPr="00C51D17" w:rsidRDefault="007A7F37" w:rsidP="007A7F37">
      <w:pPr>
        <w:pStyle w:val="SingleTxt"/>
        <w:spacing w:after="0" w:line="120" w:lineRule="exact"/>
        <w:rPr>
          <w:w w:val="100"/>
          <w:sz w:val="10"/>
        </w:rPr>
      </w:pPr>
    </w:p>
    <w:p w14:paraId="30817F2D" w14:textId="72F8A00F" w:rsidR="007A7F37" w:rsidRPr="00C51D17" w:rsidRDefault="007A7F37" w:rsidP="007A7F37">
      <w:pPr>
        <w:pStyle w:val="SingleTxt"/>
        <w:spacing w:after="0" w:line="120" w:lineRule="exact"/>
        <w:rPr>
          <w:w w:val="100"/>
          <w:sz w:val="10"/>
        </w:rPr>
      </w:pPr>
    </w:p>
    <w:p w14:paraId="091E372F" w14:textId="799833BC" w:rsidR="00646413" w:rsidRPr="00C51D17" w:rsidRDefault="007A7F37" w:rsidP="007A7F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00646413" w:rsidRPr="00C51D17">
        <w:rPr>
          <w:w w:val="100"/>
        </w:rPr>
        <w:t>I.</w:t>
      </w:r>
      <w:r w:rsidR="00646413" w:rsidRPr="00C51D17">
        <w:rPr>
          <w:w w:val="100"/>
        </w:rPr>
        <w:tab/>
        <w:t>La prévention</w:t>
      </w:r>
      <w:r w:rsidR="00646413" w:rsidRPr="00C51D17">
        <w:rPr>
          <w:b w:val="0"/>
          <w:w w:val="100"/>
          <w:sz w:val="20"/>
          <w:szCs w:val="20"/>
          <w:vertAlign w:val="superscript"/>
        </w:rPr>
        <w:footnoteReference w:id="8"/>
      </w:r>
      <w:r w:rsidRPr="00C51D17">
        <w:rPr>
          <w:w w:val="100"/>
        </w:rPr>
        <w:t>:</w:t>
      </w:r>
    </w:p>
    <w:p w14:paraId="45ECFA23" w14:textId="2F44E54F" w:rsidR="007A7F37" w:rsidRPr="00C51D17" w:rsidRDefault="007A7F37" w:rsidP="007A7F37">
      <w:pPr>
        <w:pStyle w:val="SingleTxt"/>
        <w:spacing w:after="0" w:line="120" w:lineRule="exact"/>
        <w:rPr>
          <w:sz w:val="10"/>
        </w:rPr>
      </w:pPr>
    </w:p>
    <w:p w14:paraId="011DE451" w14:textId="72CC9804" w:rsidR="007A7F37" w:rsidRPr="00C51D17" w:rsidRDefault="007A7F37" w:rsidP="007A7F37">
      <w:pPr>
        <w:pStyle w:val="SingleTxt"/>
        <w:spacing w:after="0" w:line="120" w:lineRule="exact"/>
        <w:rPr>
          <w:sz w:val="10"/>
        </w:rPr>
      </w:pPr>
    </w:p>
    <w:p w14:paraId="6737C550" w14:textId="776D6532" w:rsidR="00646413" w:rsidRPr="00C51D17" w:rsidRDefault="00646413" w:rsidP="00DA2528">
      <w:pPr>
        <w:pStyle w:val="SingleTxt"/>
        <w:numPr>
          <w:ilvl w:val="0"/>
          <w:numId w:val="67"/>
        </w:numPr>
        <w:spacing w:line="240" w:lineRule="exact"/>
        <w:ind w:left="1267"/>
        <w:rPr>
          <w:w w:val="100"/>
        </w:rPr>
      </w:pPr>
      <w:r w:rsidRPr="00C51D17">
        <w:rPr>
          <w:w w:val="100"/>
        </w:rPr>
        <w:t>Les programmes proposés à titre préventif par le Centre tendent à répondre aux besoins familiaux non satisfaits, à faire connaître aux catégories visées les problèmes qu</w:t>
      </w:r>
      <w:r w:rsidR="00723345" w:rsidRPr="00C51D17">
        <w:rPr>
          <w:w w:val="100"/>
        </w:rPr>
        <w:t>’</w:t>
      </w:r>
      <w:r w:rsidRPr="00C51D17">
        <w:rPr>
          <w:w w:val="100"/>
        </w:rPr>
        <w:t>elles risquent de rencontrer, les règles que la famille doit adopter si elle est confrontée aux phénomènes négatifs que le programme présente à titre préventif, ainsi que les décisions qu</w:t>
      </w:r>
      <w:r w:rsidR="00723345" w:rsidRPr="00C51D17">
        <w:rPr>
          <w:w w:val="100"/>
        </w:rPr>
        <w:t>’</w:t>
      </w:r>
      <w:r w:rsidRPr="00C51D17">
        <w:rPr>
          <w:w w:val="100"/>
        </w:rPr>
        <w:t>elle doit prendre. Dans ce cadre, plusieurs programmes sont proposés</w:t>
      </w:r>
      <w:r w:rsidR="001503D9" w:rsidRPr="00C51D17">
        <w:rPr>
          <w:w w:val="100"/>
        </w:rPr>
        <w:t> </w:t>
      </w:r>
      <w:r w:rsidRPr="00C51D17">
        <w:rPr>
          <w:w w:val="100"/>
        </w:rPr>
        <w:t>:</w:t>
      </w:r>
    </w:p>
    <w:p w14:paraId="61997397" w14:textId="26A190D7" w:rsidR="00646413" w:rsidRPr="00C51D17" w:rsidRDefault="001503D9" w:rsidP="001503D9">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Les activités d</w:t>
      </w:r>
      <w:r w:rsidR="00723345" w:rsidRPr="00C51D17">
        <w:rPr>
          <w:w w:val="100"/>
        </w:rPr>
        <w:t>’</w:t>
      </w:r>
      <w:r w:rsidR="00646413" w:rsidRPr="00C51D17">
        <w:rPr>
          <w:w w:val="100"/>
        </w:rPr>
        <w:t>habilitation</w:t>
      </w:r>
      <w:r w:rsidR="0012596A" w:rsidRPr="00C51D17">
        <w:rPr>
          <w:w w:val="100"/>
        </w:rPr>
        <w:t xml:space="preserve"> : </w:t>
      </w:r>
      <w:r w:rsidR="00646413" w:rsidRPr="00C51D17">
        <w:rPr>
          <w:w w:val="100"/>
        </w:rPr>
        <w:t>elles visent à préparer la catégorie visée à accomplir une mission et sont destinées à la population vivant hors du Centre, telles que l</w:t>
      </w:r>
      <w:r w:rsidR="00723345" w:rsidRPr="00C51D17">
        <w:rPr>
          <w:w w:val="100"/>
        </w:rPr>
        <w:t>’</w:t>
      </w:r>
      <w:r w:rsidR="00646413" w:rsidRPr="00C51D17">
        <w:rPr>
          <w:w w:val="100"/>
        </w:rPr>
        <w:t>habilitation des médiateurs familiaux, des sociologues, des psychologues ou encore la préparation de futurs mariés aux exigences de la vie conjugale</w:t>
      </w:r>
      <w:r w:rsidR="00646413" w:rsidRPr="00C51D17">
        <w:rPr>
          <w:w w:val="100"/>
          <w:vertAlign w:val="superscript"/>
        </w:rPr>
        <w:footnoteReference w:id="9"/>
      </w:r>
      <w:r w:rsidRPr="00C51D17">
        <w:rPr>
          <w:w w:val="100"/>
        </w:rPr>
        <w:t>,</w:t>
      </w:r>
      <w:r w:rsidR="00646413" w:rsidRPr="00C51D17">
        <w:rPr>
          <w:w w:val="100"/>
        </w:rPr>
        <w:t xml:space="preserve"> </w:t>
      </w:r>
    </w:p>
    <w:p w14:paraId="56F4466A" w14:textId="589329FC" w:rsidR="00646413" w:rsidRPr="00C51D17" w:rsidRDefault="001503D9" w:rsidP="001503D9">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Les activités de sensibilisation</w:t>
      </w:r>
      <w:r w:rsidR="0012596A" w:rsidRPr="00C51D17">
        <w:rPr>
          <w:w w:val="100"/>
        </w:rPr>
        <w:t xml:space="preserve"> : </w:t>
      </w:r>
      <w:r w:rsidR="00646413" w:rsidRPr="00C51D17">
        <w:rPr>
          <w:w w:val="100"/>
        </w:rPr>
        <w:t xml:space="preserve">elles sont conduites quasiment tous les jours (sensibilisation à la nature de la relation conjugale, sensibilisation sur les plans psychologique, éducatif, juridique et religieux) et </w:t>
      </w:r>
      <w:r w:rsidR="006C1164" w:rsidRPr="00C51D17">
        <w:rPr>
          <w:w w:val="100"/>
        </w:rPr>
        <w:t xml:space="preserve">visent à </w:t>
      </w:r>
      <w:r w:rsidR="00646413" w:rsidRPr="00C51D17">
        <w:rPr>
          <w:w w:val="100"/>
        </w:rPr>
        <w:t>éveiller le public à l</w:t>
      </w:r>
      <w:r w:rsidR="00723345" w:rsidRPr="00C51D17">
        <w:rPr>
          <w:w w:val="100"/>
        </w:rPr>
        <w:t>’</w:t>
      </w:r>
      <w:r w:rsidR="00646413" w:rsidRPr="00C51D17">
        <w:rPr>
          <w:w w:val="100"/>
        </w:rPr>
        <w:t>importance de certaines questions et de lui en donner une image complète pour se soustraire à leurs conséquences négatives. Elles portent également sur la sensibilisation du public à tout ce qui peut produire des crises ou des problèmes et aux moyens de les éviter, comme les programmes destinés aux familles ou les programmes de sensibilisation aux dangers du divorce</w:t>
      </w:r>
      <w:r w:rsidR="0012596A" w:rsidRPr="00C51D17">
        <w:rPr>
          <w:w w:val="100"/>
        </w:rPr>
        <w:t> ;</w:t>
      </w:r>
    </w:p>
    <w:p w14:paraId="17069FCB" w14:textId="70328BEA" w:rsidR="001503D9" w:rsidRPr="00C51D17" w:rsidRDefault="001503D9" w:rsidP="001503D9">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Les activités à connotation culturelle</w:t>
      </w:r>
      <w:r w:rsidR="0012596A" w:rsidRPr="00C51D17">
        <w:rPr>
          <w:w w:val="100"/>
        </w:rPr>
        <w:t xml:space="preserve"> : </w:t>
      </w:r>
      <w:r w:rsidR="00646413" w:rsidRPr="00C51D17">
        <w:rPr>
          <w:w w:val="100"/>
        </w:rPr>
        <w:t>elles visent à donner au public une culture portant sur des questions précises. Si les programmes de sensibilisation mettent l</w:t>
      </w:r>
      <w:r w:rsidR="00723345" w:rsidRPr="00C51D17">
        <w:rPr>
          <w:w w:val="100"/>
        </w:rPr>
        <w:t>’</w:t>
      </w:r>
      <w:r w:rsidR="00646413" w:rsidRPr="00C51D17">
        <w:rPr>
          <w:w w:val="100"/>
        </w:rPr>
        <w:t>accent sur des maux ou des problèmes suscitant des craintes, dans le but d</w:t>
      </w:r>
      <w:r w:rsidR="00723345" w:rsidRPr="00C51D17">
        <w:rPr>
          <w:w w:val="100"/>
        </w:rPr>
        <w:t>’</w:t>
      </w:r>
      <w:r w:rsidR="00646413" w:rsidRPr="00C51D17">
        <w:rPr>
          <w:w w:val="100"/>
        </w:rPr>
        <w:t>éveiller les citoyens face à des dangers potentiels, les programmes à caractère culturel s</w:t>
      </w:r>
      <w:r w:rsidR="00723345" w:rsidRPr="00C51D17">
        <w:rPr>
          <w:w w:val="100"/>
        </w:rPr>
        <w:t>’</w:t>
      </w:r>
      <w:r w:rsidR="00646413" w:rsidRPr="00C51D17">
        <w:rPr>
          <w:w w:val="100"/>
        </w:rPr>
        <w:t>intéressent surtout aux aspects positifs et profitables aux bénéficiaires et présentent des idées sur les moyens d</w:t>
      </w:r>
      <w:r w:rsidR="00723345" w:rsidRPr="00C51D17">
        <w:rPr>
          <w:w w:val="100"/>
        </w:rPr>
        <w:t>’</w:t>
      </w:r>
      <w:r w:rsidR="00646413" w:rsidRPr="00C51D17">
        <w:rPr>
          <w:w w:val="100"/>
        </w:rPr>
        <w:t>en tirer parti dans le contexte familial</w:t>
      </w:r>
      <w:r w:rsidR="00646413" w:rsidRPr="00C51D17">
        <w:rPr>
          <w:w w:val="100"/>
          <w:vertAlign w:val="superscript"/>
        </w:rPr>
        <w:footnoteReference w:id="10"/>
      </w:r>
      <w:r w:rsidRPr="00C51D17">
        <w:rPr>
          <w:w w:val="100"/>
        </w:rPr>
        <w:t>.</w:t>
      </w:r>
      <w:r w:rsidR="00646413" w:rsidRPr="00C51D17">
        <w:rPr>
          <w:w w:val="100"/>
        </w:rPr>
        <w:t xml:space="preserve"> </w:t>
      </w:r>
    </w:p>
    <w:p w14:paraId="3D1C6F57" w14:textId="06E8225E" w:rsidR="001503D9" w:rsidRPr="00C51D17" w:rsidRDefault="001503D9" w:rsidP="001503D9">
      <w:pPr>
        <w:pStyle w:val="SingleTxt"/>
        <w:tabs>
          <w:tab w:val="right" w:pos="1685"/>
        </w:tabs>
        <w:spacing w:after="0" w:line="120" w:lineRule="exact"/>
        <w:ind w:left="1742" w:hanging="475"/>
        <w:rPr>
          <w:w w:val="100"/>
          <w:sz w:val="10"/>
        </w:rPr>
      </w:pPr>
    </w:p>
    <w:p w14:paraId="2751657D" w14:textId="78AF28E0" w:rsidR="001503D9" w:rsidRPr="00C51D17" w:rsidRDefault="001503D9" w:rsidP="001503D9">
      <w:pPr>
        <w:pStyle w:val="SingleTxt"/>
        <w:tabs>
          <w:tab w:val="right" w:pos="1685"/>
        </w:tabs>
        <w:spacing w:after="0" w:line="120" w:lineRule="exact"/>
        <w:ind w:left="1742" w:hanging="475"/>
        <w:rPr>
          <w:w w:val="100"/>
          <w:sz w:val="10"/>
        </w:rPr>
      </w:pPr>
    </w:p>
    <w:p w14:paraId="113E9ABF" w14:textId="366E07FC" w:rsidR="00646413" w:rsidRPr="00C51D17" w:rsidRDefault="001503D9" w:rsidP="001503D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00646413" w:rsidRPr="00C51D17">
        <w:rPr>
          <w:w w:val="100"/>
        </w:rPr>
        <w:t>II.</w:t>
      </w:r>
      <w:r w:rsidR="00646413" w:rsidRPr="00C51D17">
        <w:rPr>
          <w:w w:val="100"/>
        </w:rPr>
        <w:tab/>
        <w:t>Les soins (interventions)</w:t>
      </w:r>
    </w:p>
    <w:p w14:paraId="3635114F" w14:textId="2CE5D778" w:rsidR="00A845A0" w:rsidRPr="00C51D17" w:rsidRDefault="00A845A0" w:rsidP="00BB07FC">
      <w:pPr>
        <w:pStyle w:val="SingleTxt"/>
        <w:keepNext/>
        <w:spacing w:after="0" w:line="120" w:lineRule="exact"/>
        <w:rPr>
          <w:sz w:val="10"/>
        </w:rPr>
      </w:pPr>
    </w:p>
    <w:p w14:paraId="0887F349" w14:textId="628CDF14" w:rsidR="00A845A0" w:rsidRPr="00C51D17" w:rsidRDefault="00A845A0" w:rsidP="00BB07FC">
      <w:pPr>
        <w:pStyle w:val="SingleTxt"/>
        <w:keepNext/>
        <w:spacing w:after="0" w:line="120" w:lineRule="exact"/>
        <w:rPr>
          <w:sz w:val="10"/>
        </w:rPr>
      </w:pPr>
    </w:p>
    <w:p w14:paraId="29C350DA" w14:textId="5E2E7097" w:rsidR="00646413" w:rsidRPr="00C51D17" w:rsidRDefault="00646413" w:rsidP="00A845A0">
      <w:pPr>
        <w:pStyle w:val="SingleTxt"/>
        <w:numPr>
          <w:ilvl w:val="0"/>
          <w:numId w:val="67"/>
        </w:numPr>
        <w:spacing w:line="240" w:lineRule="exact"/>
        <w:ind w:left="1267"/>
        <w:rPr>
          <w:w w:val="100"/>
        </w:rPr>
      </w:pPr>
      <w:r w:rsidRPr="00C51D17">
        <w:rPr>
          <w:w w:val="100"/>
        </w:rPr>
        <w:t>Les prestations offertes dans ce cadre visent à résoudre les problèmes individuels et familiaux, à traiter les affections psychologiques et les maux sociaux, faire face aux problèmes posés, préparer la catégorie visée et lui faire connaître les divers traitements disponibles, la sensibiliser aux méthodes permettant de résoudre ses problèmes et</w:t>
      </w:r>
      <w:r w:rsidR="0012596A" w:rsidRPr="00C51D17">
        <w:rPr>
          <w:w w:val="100"/>
        </w:rPr>
        <w:t xml:space="preserve"> </w:t>
      </w:r>
      <w:r w:rsidRPr="00C51D17">
        <w:rPr>
          <w:w w:val="100"/>
        </w:rPr>
        <w:t>expérimenter les solutions proposées, proposer des méthodes et des solutions nouvelles pour résoudre les problèmes et adopter des comportements nouveaux susceptibles de donner un nouveau départ dans la vie. Ces prestations portent sur</w:t>
      </w:r>
      <w:r w:rsidR="00A845A0" w:rsidRPr="00C51D17">
        <w:rPr>
          <w:w w:val="100"/>
        </w:rPr>
        <w:t> </w:t>
      </w:r>
      <w:r w:rsidRPr="00C51D17">
        <w:rPr>
          <w:w w:val="100"/>
        </w:rPr>
        <w:t>:</w:t>
      </w:r>
    </w:p>
    <w:p w14:paraId="45018F44" w14:textId="36A22FF1" w:rsidR="00646413" w:rsidRPr="00C51D17" w:rsidRDefault="00A845A0" w:rsidP="00A845A0">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Les conseils sur les plans psychologique, social et éducatif, qui sont destinés à modifier les concepts, idées et orientations psychologiques et comportementaux non désirés chez les personnes et les familles</w:t>
      </w:r>
      <w:r w:rsidR="0012596A" w:rsidRPr="00C51D17">
        <w:rPr>
          <w:w w:val="100"/>
        </w:rPr>
        <w:t> ;</w:t>
      </w:r>
    </w:p>
    <w:p w14:paraId="67E1F5E6" w14:textId="2921AC00" w:rsidR="00646413" w:rsidRPr="00C51D17" w:rsidRDefault="00A845A0" w:rsidP="00A845A0">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réconciliation familiale</w:t>
      </w:r>
      <w:r w:rsidR="0012596A" w:rsidRPr="00C51D17">
        <w:rPr>
          <w:w w:val="100"/>
        </w:rPr>
        <w:t xml:space="preserve"> : </w:t>
      </w:r>
      <w:r w:rsidR="00646413" w:rsidRPr="00C51D17">
        <w:rPr>
          <w:w w:val="100"/>
        </w:rPr>
        <w:t>il s</w:t>
      </w:r>
      <w:r w:rsidR="00723345" w:rsidRPr="00C51D17">
        <w:rPr>
          <w:w w:val="100"/>
        </w:rPr>
        <w:t>’</w:t>
      </w:r>
      <w:r w:rsidR="00646413" w:rsidRPr="00C51D17">
        <w:rPr>
          <w:w w:val="100"/>
        </w:rPr>
        <w:t>agit de rapprocher les points de vue, de réaliser le niveau le plus élevé de concorde et d</w:t>
      </w:r>
      <w:r w:rsidR="00723345" w:rsidRPr="00C51D17">
        <w:rPr>
          <w:w w:val="100"/>
        </w:rPr>
        <w:t>’</w:t>
      </w:r>
      <w:r w:rsidR="00646413" w:rsidRPr="00C51D17">
        <w:rPr>
          <w:w w:val="100"/>
        </w:rPr>
        <w:t>insister sur les règles communes qui peuvent être considérées comme les fondements de la réconciliation</w:t>
      </w:r>
      <w:r w:rsidR="0012596A" w:rsidRPr="00C51D17">
        <w:rPr>
          <w:w w:val="100"/>
        </w:rPr>
        <w:t> ;</w:t>
      </w:r>
    </w:p>
    <w:p w14:paraId="62A35C5B" w14:textId="484C8508" w:rsidR="00646413" w:rsidRPr="00C51D17" w:rsidRDefault="00A845A0" w:rsidP="00A845A0">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Les orientations religieuses</w:t>
      </w:r>
      <w:r w:rsidR="0012596A" w:rsidRPr="00C51D17">
        <w:rPr>
          <w:w w:val="100"/>
        </w:rPr>
        <w:t xml:space="preserve"> : </w:t>
      </w:r>
      <w:r w:rsidR="00646413" w:rsidRPr="00C51D17">
        <w:rPr>
          <w:w w:val="100"/>
        </w:rPr>
        <w:t>les actions menées dans ce cadre visent à sensibiliser les familles aux conséquences négatives des problèmes familiaux sur le plan religieux, mais aussi sur l</w:t>
      </w:r>
      <w:r w:rsidR="00723345" w:rsidRPr="00C51D17">
        <w:rPr>
          <w:w w:val="100"/>
        </w:rPr>
        <w:t>’</w:t>
      </w:r>
      <w:r w:rsidR="00646413" w:rsidRPr="00C51D17">
        <w:rPr>
          <w:w w:val="100"/>
        </w:rPr>
        <w:t>ensemble de la famille</w:t>
      </w:r>
      <w:r w:rsidR="0012596A" w:rsidRPr="00C51D17">
        <w:rPr>
          <w:w w:val="100"/>
        </w:rPr>
        <w:t> ;</w:t>
      </w:r>
    </w:p>
    <w:p w14:paraId="301B0D2A" w14:textId="0957970A" w:rsidR="00646413" w:rsidRPr="00C51D17" w:rsidRDefault="00A845A0" w:rsidP="00A845A0">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Les conseils juridiques</w:t>
      </w:r>
      <w:r w:rsidR="0012596A" w:rsidRPr="00C51D17">
        <w:rPr>
          <w:w w:val="100"/>
        </w:rPr>
        <w:t xml:space="preserve"> : </w:t>
      </w:r>
      <w:r w:rsidR="00646413" w:rsidRPr="00C51D17">
        <w:rPr>
          <w:w w:val="100"/>
        </w:rPr>
        <w:t>par l</w:t>
      </w:r>
      <w:r w:rsidR="00723345" w:rsidRPr="00C51D17">
        <w:rPr>
          <w:w w:val="100"/>
        </w:rPr>
        <w:t>’</w:t>
      </w:r>
      <w:r w:rsidR="00646413" w:rsidRPr="00C51D17">
        <w:rPr>
          <w:w w:val="100"/>
        </w:rPr>
        <w:t>éveil des membres de la famille aux droits et aux devoirs légaux qui s</w:t>
      </w:r>
      <w:r w:rsidR="00723345" w:rsidRPr="00C51D17">
        <w:rPr>
          <w:w w:val="100"/>
        </w:rPr>
        <w:t>’</w:t>
      </w:r>
      <w:r w:rsidR="00646413" w:rsidRPr="00C51D17">
        <w:rPr>
          <w:w w:val="100"/>
        </w:rPr>
        <w:t>attachent à chaque membre de la famille et aux modalités permettant de régler les conflits devant la justice de manière honorable et, par conséquent, de préserver la dignité de chacun et de laisser une bonne image, même si ces conflits conduisent à une rupture. C</w:t>
      </w:r>
      <w:r w:rsidR="00723345" w:rsidRPr="00C51D17">
        <w:rPr>
          <w:w w:val="100"/>
        </w:rPr>
        <w:t>’</w:t>
      </w:r>
      <w:r w:rsidR="00646413" w:rsidRPr="00C51D17">
        <w:rPr>
          <w:w w:val="100"/>
        </w:rPr>
        <w:t>est ce que cette étude appelle « le divorce paisible »</w:t>
      </w:r>
      <w:r w:rsidR="0012596A" w:rsidRPr="00C51D17">
        <w:rPr>
          <w:w w:val="100"/>
        </w:rPr>
        <w:t> ;</w:t>
      </w:r>
    </w:p>
    <w:p w14:paraId="18D4D2A3" w14:textId="57DE3BDE" w:rsidR="00646413" w:rsidRPr="00C51D17" w:rsidRDefault="00A845A0" w:rsidP="00A845A0">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Les orientations en cas de divorce à l</w:t>
      </w:r>
      <w:r w:rsidR="00723345" w:rsidRPr="00C51D17">
        <w:rPr>
          <w:w w:val="100"/>
        </w:rPr>
        <w:t>’</w:t>
      </w:r>
      <w:r w:rsidR="00646413" w:rsidRPr="00C51D17">
        <w:rPr>
          <w:w w:val="100"/>
        </w:rPr>
        <w:t>amiable</w:t>
      </w:r>
      <w:r w:rsidR="0012596A" w:rsidRPr="00C51D17">
        <w:rPr>
          <w:w w:val="100"/>
        </w:rPr>
        <w:t xml:space="preserve"> : </w:t>
      </w:r>
      <w:r w:rsidR="00646413" w:rsidRPr="00C51D17">
        <w:rPr>
          <w:w w:val="100"/>
        </w:rPr>
        <w:t>il s</w:t>
      </w:r>
      <w:r w:rsidR="00723345" w:rsidRPr="00C51D17">
        <w:rPr>
          <w:w w:val="100"/>
        </w:rPr>
        <w:t>’</w:t>
      </w:r>
      <w:r w:rsidR="00646413" w:rsidRPr="00C51D17">
        <w:rPr>
          <w:w w:val="100"/>
        </w:rPr>
        <w:t>agit de veiller à ce que le divorce s</w:t>
      </w:r>
      <w:r w:rsidR="00723345" w:rsidRPr="00C51D17">
        <w:rPr>
          <w:w w:val="100"/>
        </w:rPr>
        <w:t>’</w:t>
      </w:r>
      <w:r w:rsidR="00646413" w:rsidRPr="00C51D17">
        <w:rPr>
          <w:w w:val="100"/>
        </w:rPr>
        <w:t>effectue en bonne intelligence et sans recours aux tribunaux.</w:t>
      </w:r>
    </w:p>
    <w:p w14:paraId="37A16A8B" w14:textId="6AEEFD15" w:rsidR="00646413" w:rsidRPr="00C51D17" w:rsidRDefault="00646413" w:rsidP="00A54B38">
      <w:pPr>
        <w:pStyle w:val="SingleTxt"/>
        <w:numPr>
          <w:ilvl w:val="0"/>
          <w:numId w:val="67"/>
        </w:numPr>
        <w:spacing w:line="240" w:lineRule="exact"/>
        <w:ind w:left="1267"/>
        <w:rPr>
          <w:w w:val="100"/>
        </w:rPr>
      </w:pPr>
      <w:r w:rsidRPr="00C51D17">
        <w:rPr>
          <w:w w:val="100"/>
        </w:rPr>
        <w:t>Ce type d</w:t>
      </w:r>
      <w:r w:rsidR="00723345" w:rsidRPr="00C51D17">
        <w:rPr>
          <w:w w:val="100"/>
        </w:rPr>
        <w:t>’</w:t>
      </w:r>
      <w:r w:rsidRPr="00C51D17">
        <w:rPr>
          <w:w w:val="100"/>
        </w:rPr>
        <w:t>orientation s</w:t>
      </w:r>
      <w:r w:rsidR="00723345" w:rsidRPr="00C51D17">
        <w:rPr>
          <w:w w:val="100"/>
        </w:rPr>
        <w:t>’</w:t>
      </w:r>
      <w:r w:rsidRPr="00C51D17">
        <w:rPr>
          <w:w w:val="100"/>
        </w:rPr>
        <w:t>opère en trois étapes</w:t>
      </w:r>
      <w:r w:rsidR="002011B4" w:rsidRPr="00C51D17">
        <w:rPr>
          <w:w w:val="100"/>
        </w:rPr>
        <w:t> </w:t>
      </w:r>
      <w:r w:rsidRPr="00C51D17">
        <w:rPr>
          <w:w w:val="100"/>
        </w:rPr>
        <w:t>:</w:t>
      </w:r>
    </w:p>
    <w:p w14:paraId="46811A3B" w14:textId="7A510529" w:rsidR="00646413" w:rsidRPr="00C51D17" w:rsidRDefault="00646413" w:rsidP="00EC5520">
      <w:pPr>
        <w:pStyle w:val="SingleTxt"/>
        <w:rPr>
          <w:w w:val="100"/>
        </w:rPr>
      </w:pPr>
      <w:r w:rsidRPr="00C51D17">
        <w:rPr>
          <w:w w:val="100"/>
        </w:rPr>
        <w:t>Première étape</w:t>
      </w:r>
      <w:r w:rsidR="00F475D7" w:rsidRPr="00C51D17">
        <w:rPr>
          <w:w w:val="100"/>
        </w:rPr>
        <w:t> </w:t>
      </w:r>
      <w:r w:rsidRPr="00C51D17">
        <w:rPr>
          <w:w w:val="100"/>
        </w:rPr>
        <w:t>:</w:t>
      </w:r>
    </w:p>
    <w:p w14:paraId="61D82B10" w14:textId="00A08C8A" w:rsidR="00646413" w:rsidRPr="00C51D17" w:rsidRDefault="00EC5520" w:rsidP="00EC5520">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sensibilisation aux facteurs et causes qui peuvent aboutir à l</w:t>
      </w:r>
      <w:r w:rsidR="00723345" w:rsidRPr="00C51D17">
        <w:rPr>
          <w:w w:val="100"/>
        </w:rPr>
        <w:t>’</w:t>
      </w:r>
      <w:r w:rsidR="00646413" w:rsidRPr="00C51D17">
        <w:rPr>
          <w:w w:val="100"/>
        </w:rPr>
        <w:t>effondrement d</w:t>
      </w:r>
      <w:r w:rsidR="00723345" w:rsidRPr="00C51D17">
        <w:rPr>
          <w:w w:val="100"/>
        </w:rPr>
        <w:t>’</w:t>
      </w:r>
      <w:r w:rsidR="00646413" w:rsidRPr="00C51D17">
        <w:rPr>
          <w:w w:val="100"/>
        </w:rPr>
        <w:t>une famille</w:t>
      </w:r>
      <w:r w:rsidR="0012596A" w:rsidRPr="00C51D17">
        <w:rPr>
          <w:w w:val="100"/>
        </w:rPr>
        <w:t> ;</w:t>
      </w:r>
    </w:p>
    <w:p w14:paraId="3CF8F8A7" w14:textId="660E4495" w:rsidR="00646413" w:rsidRPr="00C51D17" w:rsidRDefault="00EC5520" w:rsidP="00EC5520">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aide à la famille, pour lui permettre de régler ses problèmes</w:t>
      </w:r>
      <w:r w:rsidR="0012596A" w:rsidRPr="00C51D17">
        <w:rPr>
          <w:w w:val="100"/>
        </w:rPr>
        <w:t> ;</w:t>
      </w:r>
    </w:p>
    <w:p w14:paraId="3667F177" w14:textId="1740AF86" w:rsidR="00646413" w:rsidRPr="00C51D17" w:rsidRDefault="00EC5520" w:rsidP="00EC5520">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utilisation de techniques permettant d</w:t>
      </w:r>
      <w:r w:rsidR="00723345" w:rsidRPr="00C51D17">
        <w:rPr>
          <w:w w:val="100"/>
        </w:rPr>
        <w:t>’</w:t>
      </w:r>
      <w:r w:rsidR="00646413" w:rsidRPr="00C51D17">
        <w:rPr>
          <w:w w:val="100"/>
        </w:rPr>
        <w:t>éviter le divorce et ses conséquences sur tous les plans.</w:t>
      </w:r>
    </w:p>
    <w:p w14:paraId="4511C339" w14:textId="5227791D" w:rsidR="00646413" w:rsidRPr="00C51D17" w:rsidRDefault="00646413" w:rsidP="00EC5520">
      <w:pPr>
        <w:pStyle w:val="SingleTxt"/>
        <w:rPr>
          <w:w w:val="100"/>
        </w:rPr>
      </w:pPr>
      <w:r w:rsidRPr="00C51D17">
        <w:rPr>
          <w:w w:val="100"/>
        </w:rPr>
        <w:t>Deuxième étape</w:t>
      </w:r>
      <w:r w:rsidR="00EC5520" w:rsidRPr="00C51D17">
        <w:rPr>
          <w:w w:val="100"/>
        </w:rPr>
        <w:t> </w:t>
      </w:r>
      <w:r w:rsidRPr="00C51D17">
        <w:rPr>
          <w:w w:val="100"/>
        </w:rPr>
        <w:t>:</w:t>
      </w:r>
      <w:r w:rsidR="002011B4" w:rsidRPr="00C51D17">
        <w:rPr>
          <w:w w:val="100"/>
        </w:rPr>
        <w:t xml:space="preserve"> </w:t>
      </w:r>
      <w:r w:rsidRPr="00C51D17">
        <w:rPr>
          <w:w w:val="100"/>
        </w:rPr>
        <w:t>Des actions de conciliation sont menées pour empêcher la procédure de divorce d</w:t>
      </w:r>
      <w:r w:rsidR="00723345" w:rsidRPr="00C51D17">
        <w:rPr>
          <w:w w:val="100"/>
        </w:rPr>
        <w:t>’</w:t>
      </w:r>
      <w:r w:rsidRPr="00C51D17">
        <w:rPr>
          <w:w w:val="100"/>
        </w:rPr>
        <w:t xml:space="preserve">aller à son terme. Si cela se révèle impossible et que les deux parties - ou une des deux parties </w:t>
      </w:r>
      <w:r w:rsidR="000538AA" w:rsidRPr="00C51D17">
        <w:rPr>
          <w:w w:val="100"/>
        </w:rPr>
        <w:t>–</w:t>
      </w:r>
      <w:r w:rsidR="0012596A" w:rsidRPr="00C51D17">
        <w:rPr>
          <w:w w:val="100"/>
        </w:rPr>
        <w:t xml:space="preserve"> </w:t>
      </w:r>
      <w:r w:rsidRPr="00C51D17">
        <w:rPr>
          <w:w w:val="100"/>
        </w:rPr>
        <w:t>tiennent au divorce, elles sont invitées à consentir au divorce paisible. Il s</w:t>
      </w:r>
      <w:r w:rsidR="00723345" w:rsidRPr="00C51D17">
        <w:rPr>
          <w:w w:val="100"/>
        </w:rPr>
        <w:t>’</w:t>
      </w:r>
      <w:r w:rsidRPr="00C51D17">
        <w:rPr>
          <w:w w:val="100"/>
        </w:rPr>
        <w:t>agit des actions ci-après:</w:t>
      </w:r>
    </w:p>
    <w:p w14:paraId="557B3314" w14:textId="722E049C" w:rsidR="00646413" w:rsidRPr="00C51D17" w:rsidRDefault="000538AA" w:rsidP="000538AA">
      <w:pPr>
        <w:pStyle w:val="SingleTxt"/>
        <w:tabs>
          <w:tab w:val="right" w:pos="1685"/>
        </w:tabs>
        <w:ind w:left="1742" w:hanging="475"/>
        <w:rPr>
          <w:w w:val="100"/>
        </w:rPr>
      </w:pPr>
      <w:r w:rsidRPr="00C51D17">
        <w:rPr>
          <w:w w:val="100"/>
        </w:rPr>
        <w:tab/>
        <w:t>•</w:t>
      </w:r>
      <w:r w:rsidRPr="00C51D17">
        <w:rPr>
          <w:w w:val="100"/>
        </w:rPr>
        <w:tab/>
      </w:r>
      <w:r w:rsidR="00646413" w:rsidRPr="00C51D17">
        <w:rPr>
          <w:w w:val="100"/>
        </w:rPr>
        <w:t>Des conseils éducatifs aux deux parties, pour s</w:t>
      </w:r>
      <w:r w:rsidR="00723345" w:rsidRPr="00C51D17">
        <w:rPr>
          <w:w w:val="100"/>
        </w:rPr>
        <w:t>’</w:t>
      </w:r>
      <w:r w:rsidR="00646413" w:rsidRPr="00C51D17">
        <w:rPr>
          <w:w w:val="100"/>
        </w:rPr>
        <w:t>assurer que les enfants ne soient pas utilisés par une partie contre l</w:t>
      </w:r>
      <w:r w:rsidR="00723345" w:rsidRPr="00C51D17">
        <w:rPr>
          <w:w w:val="100"/>
        </w:rPr>
        <w:t>’</w:t>
      </w:r>
      <w:r w:rsidR="00646413" w:rsidRPr="00C51D17">
        <w:rPr>
          <w:w w:val="100"/>
        </w:rPr>
        <w:t>autre</w:t>
      </w:r>
      <w:r w:rsidR="0012596A" w:rsidRPr="00C51D17">
        <w:rPr>
          <w:w w:val="100"/>
        </w:rPr>
        <w:t> ;</w:t>
      </w:r>
    </w:p>
    <w:p w14:paraId="72636A24" w14:textId="75AC8A4C" w:rsidR="00646413" w:rsidRPr="00C51D17" w:rsidRDefault="000538AA" w:rsidP="000538AA">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sensibilisation aux droits des enfants et aux devoirs des parents, pour poursuivre l</w:t>
      </w:r>
      <w:r w:rsidR="00723345" w:rsidRPr="00C51D17">
        <w:rPr>
          <w:w w:val="100"/>
        </w:rPr>
        <w:t>’</w:t>
      </w:r>
      <w:r w:rsidR="00646413" w:rsidRPr="00C51D17">
        <w:rPr>
          <w:w w:val="100"/>
        </w:rPr>
        <w:t>exercice de la responsabilité conjointe à leur égard</w:t>
      </w:r>
      <w:r w:rsidR="0012596A" w:rsidRPr="00C51D17">
        <w:rPr>
          <w:w w:val="100"/>
        </w:rPr>
        <w:t> ;</w:t>
      </w:r>
    </w:p>
    <w:p w14:paraId="6AEBEC26" w14:textId="27F8753A" w:rsidR="00646413" w:rsidRPr="00C51D17" w:rsidRDefault="000538AA" w:rsidP="000538AA">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réadaptation psychologique des demandeurs du divorce, pour éviter que ne s</w:t>
      </w:r>
      <w:r w:rsidR="00723345" w:rsidRPr="00C51D17">
        <w:rPr>
          <w:w w:val="100"/>
        </w:rPr>
        <w:t>’</w:t>
      </w:r>
      <w:r w:rsidR="00646413" w:rsidRPr="00C51D17">
        <w:rPr>
          <w:w w:val="100"/>
        </w:rPr>
        <w:t>établisse un fossé psychologique entre eux et veiller à ce qu</w:t>
      </w:r>
      <w:r w:rsidR="00723345" w:rsidRPr="00C51D17">
        <w:rPr>
          <w:w w:val="100"/>
        </w:rPr>
        <w:t>’</w:t>
      </w:r>
      <w:r w:rsidR="00646413" w:rsidRPr="00C51D17">
        <w:rPr>
          <w:w w:val="100"/>
        </w:rPr>
        <w:t>ils puissent vivre en bonne intelligence et bâtir une relation aussi saine que possible après le divorce</w:t>
      </w:r>
      <w:r w:rsidR="0012596A" w:rsidRPr="00C51D17">
        <w:rPr>
          <w:w w:val="100"/>
        </w:rPr>
        <w:t> ;</w:t>
      </w:r>
    </w:p>
    <w:p w14:paraId="77CF5E6B" w14:textId="32D8EB87" w:rsidR="00646413" w:rsidRPr="00C51D17" w:rsidRDefault="000538AA" w:rsidP="000538AA">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connaissance des conditions propres à assurer un divorce paisible, si le divorce est inévitable.</w:t>
      </w:r>
    </w:p>
    <w:p w14:paraId="10343D23" w14:textId="3DB1F550" w:rsidR="00646413" w:rsidRPr="00C51D17" w:rsidRDefault="00646413" w:rsidP="00F9299E">
      <w:pPr>
        <w:pStyle w:val="SingleTxt"/>
        <w:rPr>
          <w:w w:val="100"/>
        </w:rPr>
      </w:pPr>
      <w:r w:rsidRPr="00C51D17">
        <w:rPr>
          <w:w w:val="100"/>
        </w:rPr>
        <w:t>Troisième étape</w:t>
      </w:r>
      <w:r w:rsidR="00F9299E" w:rsidRPr="00C51D17">
        <w:rPr>
          <w:w w:val="100"/>
        </w:rPr>
        <w:t> </w:t>
      </w:r>
      <w:r w:rsidRPr="00C51D17">
        <w:rPr>
          <w:w w:val="100"/>
        </w:rPr>
        <w:t>:</w:t>
      </w:r>
      <w:r w:rsidR="002011B4" w:rsidRPr="00C51D17">
        <w:rPr>
          <w:w w:val="100"/>
        </w:rPr>
        <w:t xml:space="preserve"> </w:t>
      </w:r>
      <w:r w:rsidRPr="00C51D17">
        <w:rPr>
          <w:w w:val="100"/>
        </w:rPr>
        <w:t>Elle commence après que les tribunaux aient prononcé le divorce, à travers notamment:</w:t>
      </w:r>
    </w:p>
    <w:p w14:paraId="3F1A113A" w14:textId="6F1CC7CB" w:rsidR="00646413" w:rsidRPr="00C51D17" w:rsidRDefault="00F9299E" w:rsidP="00F9299E">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préparation psychologique des deux parties, qui pourront, ainsi, accepter la nouvelle situation sociale née du divorce</w:t>
      </w:r>
      <w:r w:rsidR="0012596A" w:rsidRPr="00C51D17">
        <w:rPr>
          <w:w w:val="100"/>
        </w:rPr>
        <w:t> ;</w:t>
      </w:r>
    </w:p>
    <w:p w14:paraId="6613A9AC" w14:textId="3E299D66" w:rsidR="00646413" w:rsidRPr="00C51D17" w:rsidRDefault="00F9299E" w:rsidP="00F9299E">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sensibilisation des deux parties aux modalités régissant la garde et les visites</w:t>
      </w:r>
      <w:r w:rsidR="0012596A" w:rsidRPr="00C51D17">
        <w:rPr>
          <w:w w:val="100"/>
        </w:rPr>
        <w:t> ;</w:t>
      </w:r>
    </w:p>
    <w:p w14:paraId="1B610FE4" w14:textId="4B2E4BB1" w:rsidR="00646413" w:rsidRPr="00C51D17" w:rsidRDefault="00F9299E" w:rsidP="00F9299E">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préparation psychologique de l</w:t>
      </w:r>
      <w:r w:rsidR="00723345" w:rsidRPr="00C51D17">
        <w:rPr>
          <w:w w:val="100"/>
        </w:rPr>
        <w:t>’</w:t>
      </w:r>
      <w:r w:rsidR="00646413" w:rsidRPr="00C51D17">
        <w:rPr>
          <w:w w:val="100"/>
        </w:rPr>
        <w:t>enfant avant la garde et les visites</w:t>
      </w:r>
      <w:r w:rsidR="0012596A" w:rsidRPr="00C51D17">
        <w:rPr>
          <w:w w:val="100"/>
        </w:rPr>
        <w:t> ;</w:t>
      </w:r>
    </w:p>
    <w:p w14:paraId="75AB6096" w14:textId="7B382FA9" w:rsidR="00646413" w:rsidRPr="00C51D17" w:rsidRDefault="00F9299E" w:rsidP="00F9299E">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préparation psychologique en cas de report de l</w:t>
      </w:r>
      <w:r w:rsidR="00723345" w:rsidRPr="00C51D17">
        <w:rPr>
          <w:w w:val="100"/>
        </w:rPr>
        <w:t>’</w:t>
      </w:r>
      <w:r w:rsidR="00646413" w:rsidRPr="00C51D17">
        <w:rPr>
          <w:w w:val="100"/>
        </w:rPr>
        <w:t>exécution des dispositions relatives à la garde et aux visites, en attendant que l</w:t>
      </w:r>
      <w:r w:rsidR="00723345" w:rsidRPr="00C51D17">
        <w:rPr>
          <w:w w:val="100"/>
        </w:rPr>
        <w:t>’</w:t>
      </w:r>
      <w:r w:rsidR="00646413" w:rsidRPr="00C51D17">
        <w:rPr>
          <w:w w:val="100"/>
        </w:rPr>
        <w:t>enfant y soit psychologiquement prêt.</w:t>
      </w:r>
    </w:p>
    <w:p w14:paraId="2D826A31" w14:textId="7F30ABB2" w:rsidR="00F9299E" w:rsidRPr="00C51D17" w:rsidRDefault="00F9299E" w:rsidP="00F9299E">
      <w:pPr>
        <w:pStyle w:val="SingleTxt"/>
        <w:tabs>
          <w:tab w:val="right" w:pos="1685"/>
        </w:tabs>
        <w:spacing w:after="0" w:line="120" w:lineRule="exact"/>
        <w:ind w:left="1742" w:hanging="475"/>
        <w:rPr>
          <w:w w:val="100"/>
          <w:sz w:val="10"/>
        </w:rPr>
      </w:pPr>
    </w:p>
    <w:p w14:paraId="0937B9F6" w14:textId="39E5D43B" w:rsidR="00F9299E" w:rsidRPr="00C51D17" w:rsidRDefault="00F9299E" w:rsidP="00F9299E">
      <w:pPr>
        <w:pStyle w:val="SingleTxt"/>
        <w:tabs>
          <w:tab w:val="right" w:pos="1685"/>
        </w:tabs>
        <w:spacing w:after="0" w:line="120" w:lineRule="exact"/>
        <w:ind w:left="1742" w:hanging="475"/>
        <w:rPr>
          <w:w w:val="100"/>
          <w:sz w:val="10"/>
        </w:rPr>
      </w:pPr>
    </w:p>
    <w:p w14:paraId="43AC5AF6" w14:textId="6B126EC0" w:rsidR="00646413" w:rsidRPr="00C51D17" w:rsidRDefault="00F9299E" w:rsidP="00E423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00646413" w:rsidRPr="00C51D17">
        <w:rPr>
          <w:w w:val="100"/>
        </w:rPr>
        <w:t>III.</w:t>
      </w:r>
      <w:r w:rsidR="00646413" w:rsidRPr="00C51D17">
        <w:rPr>
          <w:w w:val="100"/>
        </w:rPr>
        <w:tab/>
        <w:t>La protection parentale</w:t>
      </w:r>
      <w:r w:rsidR="00E423CB" w:rsidRPr="00C51D17">
        <w:rPr>
          <w:w w:val="100"/>
        </w:rPr>
        <w:t> : d</w:t>
      </w:r>
      <w:r w:rsidR="00646413" w:rsidRPr="00C51D17">
        <w:rPr>
          <w:w w:val="100"/>
        </w:rPr>
        <w:t xml:space="preserve">es orientations sont données </w:t>
      </w:r>
      <w:r w:rsidR="00782E31" w:rsidRPr="00C51D17">
        <w:rPr>
          <w:w w:val="100"/>
        </w:rPr>
        <w:br/>
      </w:r>
      <w:r w:rsidR="00646413" w:rsidRPr="00C51D17">
        <w:rPr>
          <w:w w:val="100"/>
        </w:rPr>
        <w:t xml:space="preserve">à cet égard avant et pendant que les tribunaux sont saisis </w:t>
      </w:r>
      <w:r w:rsidR="00782E31" w:rsidRPr="00C51D17">
        <w:rPr>
          <w:w w:val="100"/>
        </w:rPr>
        <w:br/>
      </w:r>
      <w:r w:rsidR="00646413" w:rsidRPr="00C51D17">
        <w:rPr>
          <w:w w:val="100"/>
        </w:rPr>
        <w:t>du conflit</w:t>
      </w:r>
    </w:p>
    <w:p w14:paraId="4C5DDC37" w14:textId="47D60A90" w:rsidR="00782E31" w:rsidRPr="00C51D17" w:rsidRDefault="00782E31" w:rsidP="00BB07FC">
      <w:pPr>
        <w:pStyle w:val="SingleTxt"/>
        <w:spacing w:after="0" w:line="120" w:lineRule="exact"/>
        <w:rPr>
          <w:sz w:val="10"/>
        </w:rPr>
      </w:pPr>
    </w:p>
    <w:p w14:paraId="79601552" w14:textId="761ED0EA" w:rsidR="00782E31" w:rsidRPr="00C51D17" w:rsidRDefault="00782E31" w:rsidP="00BB07FC">
      <w:pPr>
        <w:pStyle w:val="SingleTxt"/>
        <w:spacing w:after="0" w:line="120" w:lineRule="exact"/>
        <w:rPr>
          <w:sz w:val="10"/>
        </w:rPr>
      </w:pPr>
    </w:p>
    <w:p w14:paraId="462A6B3B" w14:textId="3D2FB283" w:rsidR="00646413" w:rsidRPr="00C51D17" w:rsidRDefault="00646413" w:rsidP="00D8758C">
      <w:pPr>
        <w:pStyle w:val="SingleTxt"/>
        <w:numPr>
          <w:ilvl w:val="0"/>
          <w:numId w:val="67"/>
        </w:numPr>
        <w:spacing w:line="240" w:lineRule="exact"/>
        <w:ind w:left="1267"/>
        <w:rPr>
          <w:w w:val="100"/>
        </w:rPr>
      </w:pPr>
      <w:r w:rsidRPr="00C51D17">
        <w:rPr>
          <w:w w:val="100"/>
        </w:rPr>
        <w:t>Au titre de la protection parentale, des programmes d</w:t>
      </w:r>
      <w:r w:rsidR="00723345" w:rsidRPr="00C51D17">
        <w:rPr>
          <w:w w:val="100"/>
        </w:rPr>
        <w:t>’</w:t>
      </w:r>
      <w:r w:rsidRPr="00C51D17">
        <w:rPr>
          <w:w w:val="100"/>
        </w:rPr>
        <w:t>aide psychologique et pédagogique sont proposés aux enfants des couples divorcés, portant notamment sur les aspects ci-après</w:t>
      </w:r>
      <w:r w:rsidR="00D8758C" w:rsidRPr="00C51D17">
        <w:rPr>
          <w:w w:val="100"/>
        </w:rPr>
        <w:t> </w:t>
      </w:r>
      <w:r w:rsidRPr="00C51D17">
        <w:rPr>
          <w:w w:val="100"/>
        </w:rPr>
        <w:t>:</w:t>
      </w:r>
    </w:p>
    <w:p w14:paraId="6460846F" w14:textId="56790519" w:rsidR="00646413" w:rsidRPr="00C51D17" w:rsidRDefault="00D8758C" w:rsidP="00D8758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préparation psychologique des parents et des enfants, qui permet d</w:t>
      </w:r>
      <w:r w:rsidR="00723345" w:rsidRPr="00C51D17">
        <w:rPr>
          <w:w w:val="100"/>
        </w:rPr>
        <w:t>’</w:t>
      </w:r>
      <w:r w:rsidR="00646413" w:rsidRPr="00C51D17">
        <w:rPr>
          <w:w w:val="100"/>
        </w:rPr>
        <w:t>éviter les conséquences négatives du conflit</w:t>
      </w:r>
      <w:r w:rsidR="0012596A" w:rsidRPr="00C51D17">
        <w:rPr>
          <w:w w:val="100"/>
        </w:rPr>
        <w:t> ;</w:t>
      </w:r>
    </w:p>
    <w:p w14:paraId="65C57388" w14:textId="618E3C9C" w:rsidR="00646413" w:rsidRPr="00C51D17" w:rsidRDefault="00D8758C" w:rsidP="00D8758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nécessité d</w:t>
      </w:r>
      <w:r w:rsidR="00723345" w:rsidRPr="00C51D17">
        <w:rPr>
          <w:w w:val="100"/>
        </w:rPr>
        <w:t>’</w:t>
      </w:r>
      <w:r w:rsidR="00646413" w:rsidRPr="00C51D17">
        <w:rPr>
          <w:w w:val="100"/>
        </w:rPr>
        <w:t>éviter les conséquences du divorce pour les parents et les enfants</w:t>
      </w:r>
      <w:r w:rsidR="0012596A" w:rsidRPr="00C51D17">
        <w:rPr>
          <w:w w:val="100"/>
        </w:rPr>
        <w:t> ;</w:t>
      </w:r>
    </w:p>
    <w:p w14:paraId="62EE271C" w14:textId="0DC55C0D" w:rsidR="00646413" w:rsidRPr="00C51D17" w:rsidRDefault="00D8758C" w:rsidP="00D8758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exposé des droits et devoirs des deux parties au conflit, pendant et après celui-ci, et la définition du moment des visites à l</w:t>
      </w:r>
      <w:r w:rsidR="00723345" w:rsidRPr="00C51D17">
        <w:rPr>
          <w:w w:val="100"/>
        </w:rPr>
        <w:t>’</w:t>
      </w:r>
      <w:r w:rsidR="00646413" w:rsidRPr="00C51D17">
        <w:rPr>
          <w:w w:val="100"/>
        </w:rPr>
        <w:t>enfant en cas de séparation provisoire des parents</w:t>
      </w:r>
      <w:r w:rsidR="0012596A" w:rsidRPr="00C51D17">
        <w:rPr>
          <w:w w:val="100"/>
        </w:rPr>
        <w:t> ;</w:t>
      </w:r>
    </w:p>
    <w:p w14:paraId="655F3CEE" w14:textId="368C2CF5" w:rsidR="00646413" w:rsidRPr="00C51D17" w:rsidRDefault="00D8758C" w:rsidP="00D8758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attention psychologique portée à l</w:t>
      </w:r>
      <w:r w:rsidR="00723345" w:rsidRPr="00C51D17">
        <w:rPr>
          <w:w w:val="100"/>
        </w:rPr>
        <w:t>’</w:t>
      </w:r>
      <w:r w:rsidR="00646413" w:rsidRPr="00C51D17">
        <w:rPr>
          <w:w w:val="100"/>
        </w:rPr>
        <w:t>enfant en vue d</w:t>
      </w:r>
      <w:r w:rsidR="00723345" w:rsidRPr="00C51D17">
        <w:rPr>
          <w:w w:val="100"/>
        </w:rPr>
        <w:t>’</w:t>
      </w:r>
      <w:r w:rsidR="00646413" w:rsidRPr="00C51D17">
        <w:rPr>
          <w:w w:val="100"/>
        </w:rPr>
        <w:t>assurer sa stabilité psychologique pendant la visite ou la rencontre</w:t>
      </w:r>
      <w:r w:rsidR="0012596A" w:rsidRPr="00C51D17">
        <w:rPr>
          <w:w w:val="100"/>
        </w:rPr>
        <w:t> ;</w:t>
      </w:r>
    </w:p>
    <w:p w14:paraId="11B1558C" w14:textId="0458A46F" w:rsidR="00646413" w:rsidRPr="00C51D17" w:rsidRDefault="00D8758C" w:rsidP="00D8758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préparation et l</w:t>
      </w:r>
      <w:r w:rsidR="00723345" w:rsidRPr="00C51D17">
        <w:rPr>
          <w:w w:val="100"/>
        </w:rPr>
        <w:t>’</w:t>
      </w:r>
      <w:r w:rsidR="00646413" w:rsidRPr="00C51D17">
        <w:rPr>
          <w:w w:val="100"/>
        </w:rPr>
        <w:t>équipement du lieu de la rencontre au sein du Centre, qui permet au parent visiteur d</w:t>
      </w:r>
      <w:r w:rsidR="00723345" w:rsidRPr="00C51D17">
        <w:rPr>
          <w:w w:val="100"/>
        </w:rPr>
        <w:t>’</w:t>
      </w:r>
      <w:r w:rsidR="00646413" w:rsidRPr="00C51D17">
        <w:rPr>
          <w:w w:val="100"/>
        </w:rPr>
        <w:t>avoir des échanges positifs avec l</w:t>
      </w:r>
      <w:r w:rsidR="00723345" w:rsidRPr="00C51D17">
        <w:rPr>
          <w:w w:val="100"/>
        </w:rPr>
        <w:t>’</w:t>
      </w:r>
      <w:r w:rsidR="00646413" w:rsidRPr="00C51D17">
        <w:rPr>
          <w:w w:val="100"/>
        </w:rPr>
        <w:t>enfant dans un environnement sûr et propice à la rencontre</w:t>
      </w:r>
      <w:r w:rsidR="0012596A" w:rsidRPr="00C51D17">
        <w:rPr>
          <w:w w:val="100"/>
        </w:rPr>
        <w:t> ;</w:t>
      </w:r>
    </w:p>
    <w:p w14:paraId="5B2BA297" w14:textId="0585D601" w:rsidR="00646413" w:rsidRPr="00C51D17" w:rsidRDefault="00D8758C" w:rsidP="00D8758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supervision totale de l</w:t>
      </w:r>
      <w:r w:rsidR="00723345" w:rsidRPr="00C51D17">
        <w:rPr>
          <w:w w:val="100"/>
        </w:rPr>
        <w:t>’</w:t>
      </w:r>
      <w:r w:rsidR="00646413" w:rsidRPr="00C51D17">
        <w:rPr>
          <w:w w:val="100"/>
        </w:rPr>
        <w:t>enfant pendant la visite ou la rencontre</w:t>
      </w:r>
      <w:r w:rsidR="0012596A" w:rsidRPr="00C51D17">
        <w:rPr>
          <w:w w:val="100"/>
        </w:rPr>
        <w:t> ;</w:t>
      </w:r>
    </w:p>
    <w:p w14:paraId="340966AE" w14:textId="099BF99F" w:rsidR="00646413" w:rsidRPr="00C51D17" w:rsidRDefault="00D8758C" w:rsidP="00D8758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observation du comportement des parents pendant la rencontre et leur orientation, afin d</w:t>
      </w:r>
      <w:r w:rsidR="00723345" w:rsidRPr="00C51D17">
        <w:rPr>
          <w:w w:val="100"/>
        </w:rPr>
        <w:t>’</w:t>
      </w:r>
      <w:r w:rsidR="00646413" w:rsidRPr="00C51D17">
        <w:rPr>
          <w:w w:val="100"/>
        </w:rPr>
        <w:t>éviter de heurter les sentiments ou la psychologie de l</w:t>
      </w:r>
      <w:r w:rsidR="00723345" w:rsidRPr="00C51D17">
        <w:rPr>
          <w:w w:val="100"/>
        </w:rPr>
        <w:t>’</w:t>
      </w:r>
      <w:r w:rsidR="00646413" w:rsidRPr="00C51D17">
        <w:rPr>
          <w:w w:val="100"/>
        </w:rPr>
        <w:t>enfant et de mettre en danger son équilibre émotionnel</w:t>
      </w:r>
      <w:r w:rsidR="0012596A" w:rsidRPr="00C51D17">
        <w:rPr>
          <w:w w:val="100"/>
        </w:rPr>
        <w:t> ;</w:t>
      </w:r>
    </w:p>
    <w:p w14:paraId="67B4E34C" w14:textId="5F7F2180" w:rsidR="00646413" w:rsidRPr="00C51D17" w:rsidRDefault="00D8758C" w:rsidP="00D8758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élaboration de programmes de soins pour les enfants souffrant de troubles psychologiques ou éducatifs du fait du divorce</w:t>
      </w:r>
      <w:r w:rsidR="0012596A" w:rsidRPr="00C51D17">
        <w:rPr>
          <w:w w:val="100"/>
        </w:rPr>
        <w:t> ;</w:t>
      </w:r>
    </w:p>
    <w:p w14:paraId="48144336" w14:textId="610419BF" w:rsidR="00770162" w:rsidRPr="00C51D17" w:rsidRDefault="00D8758C" w:rsidP="00D8758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exécution des programmes de soins au sein du service de soins de jour sous l</w:t>
      </w:r>
      <w:r w:rsidR="00723345" w:rsidRPr="00C51D17">
        <w:rPr>
          <w:w w:val="100"/>
        </w:rPr>
        <w:t>’</w:t>
      </w:r>
      <w:r w:rsidR="00646413" w:rsidRPr="00C51D17">
        <w:rPr>
          <w:w w:val="100"/>
        </w:rPr>
        <w:t>autorité directe d</w:t>
      </w:r>
      <w:r w:rsidR="00723345" w:rsidRPr="00C51D17">
        <w:rPr>
          <w:w w:val="100"/>
        </w:rPr>
        <w:t>’</w:t>
      </w:r>
      <w:r w:rsidR="00646413" w:rsidRPr="00C51D17">
        <w:rPr>
          <w:w w:val="100"/>
        </w:rPr>
        <w:t>un spécialiste.</w:t>
      </w:r>
    </w:p>
    <w:p w14:paraId="574FC623" w14:textId="2A710F79" w:rsidR="00770162" w:rsidRPr="00C51D17" w:rsidRDefault="00770162" w:rsidP="00770162">
      <w:pPr>
        <w:pStyle w:val="SingleTxt"/>
        <w:tabs>
          <w:tab w:val="right" w:pos="1685"/>
        </w:tabs>
        <w:spacing w:after="0" w:line="120" w:lineRule="exact"/>
        <w:ind w:left="1742" w:hanging="475"/>
        <w:rPr>
          <w:w w:val="100"/>
          <w:sz w:val="10"/>
        </w:rPr>
      </w:pPr>
    </w:p>
    <w:p w14:paraId="52DC6855" w14:textId="6C9B5E7E" w:rsidR="00770162" w:rsidRPr="00C51D17" w:rsidRDefault="00770162" w:rsidP="00770162">
      <w:pPr>
        <w:pStyle w:val="SingleTxt"/>
        <w:tabs>
          <w:tab w:val="right" w:pos="1685"/>
        </w:tabs>
        <w:spacing w:after="0" w:line="120" w:lineRule="exact"/>
        <w:ind w:left="1742" w:hanging="475"/>
        <w:rPr>
          <w:w w:val="100"/>
          <w:sz w:val="10"/>
        </w:rPr>
      </w:pPr>
    </w:p>
    <w:p w14:paraId="62C823BD" w14:textId="7EFBC474" w:rsidR="00646413" w:rsidRPr="00C51D17" w:rsidRDefault="00770162" w:rsidP="0077016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rPr>
      </w:pPr>
      <w:r w:rsidRPr="00C51D17">
        <w:rPr>
          <w:w w:val="100"/>
        </w:rPr>
        <w:tab/>
      </w:r>
      <w:r w:rsidR="00646413" w:rsidRPr="00C51D17">
        <w:rPr>
          <w:w w:val="100"/>
        </w:rPr>
        <w:t>IV.</w:t>
      </w:r>
      <w:r w:rsidR="00646413" w:rsidRPr="00C51D17">
        <w:rPr>
          <w:w w:val="100"/>
        </w:rPr>
        <w:tab/>
        <w:t>Le suivi</w:t>
      </w:r>
    </w:p>
    <w:p w14:paraId="3EEEF52F" w14:textId="3B9FD4E7" w:rsidR="00770162" w:rsidRPr="00C51D17" w:rsidRDefault="00770162" w:rsidP="00770162">
      <w:pPr>
        <w:pStyle w:val="SingleTxt"/>
        <w:spacing w:after="0" w:line="120" w:lineRule="exact"/>
        <w:rPr>
          <w:sz w:val="10"/>
        </w:rPr>
      </w:pPr>
    </w:p>
    <w:p w14:paraId="3C9C5B95" w14:textId="55724941" w:rsidR="00770162" w:rsidRPr="00C51D17" w:rsidRDefault="00770162" w:rsidP="00770162">
      <w:pPr>
        <w:pStyle w:val="SingleTxt"/>
        <w:spacing w:after="0" w:line="120" w:lineRule="exact"/>
        <w:rPr>
          <w:sz w:val="10"/>
        </w:rPr>
      </w:pPr>
    </w:p>
    <w:p w14:paraId="330FFA94" w14:textId="44102831" w:rsidR="00646413" w:rsidRPr="00C51D17" w:rsidRDefault="00646413" w:rsidP="00770162">
      <w:pPr>
        <w:pStyle w:val="SingleTxt"/>
        <w:numPr>
          <w:ilvl w:val="0"/>
          <w:numId w:val="67"/>
        </w:numPr>
        <w:spacing w:line="240" w:lineRule="exact"/>
        <w:ind w:left="1267"/>
        <w:rPr>
          <w:w w:val="100"/>
        </w:rPr>
      </w:pPr>
      <w:r w:rsidRPr="00C51D17">
        <w:rPr>
          <w:color w:val="000000"/>
          <w:w w:val="100"/>
        </w:rPr>
        <w:t xml:space="preserve">Le processus de suivi permet de </w:t>
      </w:r>
      <w:r w:rsidRPr="00C51D17">
        <w:rPr>
          <w:w w:val="100"/>
        </w:rPr>
        <w:t>stabiliser les changements et d</w:t>
      </w:r>
      <w:r w:rsidR="00723345" w:rsidRPr="00C51D17">
        <w:rPr>
          <w:w w:val="100"/>
        </w:rPr>
        <w:t>’</w:t>
      </w:r>
      <w:r w:rsidRPr="00C51D17">
        <w:rPr>
          <w:w w:val="100"/>
        </w:rPr>
        <w:t>éviter les rechutes éventuelles ou la résurgence des anciens problèmes, mais aussi de prévenir l</w:t>
      </w:r>
      <w:r w:rsidR="00723345" w:rsidRPr="00C51D17">
        <w:rPr>
          <w:w w:val="100"/>
        </w:rPr>
        <w:t>’</w:t>
      </w:r>
      <w:r w:rsidRPr="00C51D17">
        <w:rPr>
          <w:w w:val="100"/>
        </w:rPr>
        <w:t>apparition de nouveaux problèmes et d</w:t>
      </w:r>
      <w:r w:rsidR="00723345" w:rsidRPr="00C51D17">
        <w:rPr>
          <w:w w:val="100"/>
        </w:rPr>
        <w:t>’</w:t>
      </w:r>
      <w:r w:rsidRPr="00C51D17">
        <w:rPr>
          <w:w w:val="100"/>
        </w:rPr>
        <w:t>élargir le cercle des relations entre les familles et les individus au sein du Centre. À l</w:t>
      </w:r>
      <w:r w:rsidR="00723345" w:rsidRPr="00C51D17">
        <w:rPr>
          <w:w w:val="100"/>
        </w:rPr>
        <w:t>’</w:t>
      </w:r>
      <w:r w:rsidRPr="00C51D17">
        <w:rPr>
          <w:w w:val="100"/>
        </w:rPr>
        <w:t>occasion du suivi, il est recommandé aux personnes de visiter le Centre. Le suivi porte notamment sur</w:t>
      </w:r>
      <w:r w:rsidR="00770162" w:rsidRPr="00C51D17">
        <w:rPr>
          <w:w w:val="100"/>
        </w:rPr>
        <w:t> </w:t>
      </w:r>
      <w:r w:rsidRPr="00C51D17">
        <w:rPr>
          <w:w w:val="100"/>
        </w:rPr>
        <w:t>:</w:t>
      </w:r>
    </w:p>
    <w:p w14:paraId="070CCF58" w14:textId="3AE2AF13" w:rsidR="00646413" w:rsidRPr="00C51D17" w:rsidRDefault="00770162" w:rsidP="00E61153">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suivi des cas individuels dont le traitement au Centre est achevé</w:t>
      </w:r>
      <w:r w:rsidR="0012596A" w:rsidRPr="00C51D17">
        <w:rPr>
          <w:w w:val="100"/>
        </w:rPr>
        <w:t> ;</w:t>
      </w:r>
    </w:p>
    <w:p w14:paraId="117B12B4" w14:textId="6D7A100E" w:rsidR="00646413" w:rsidRPr="00C51D17" w:rsidRDefault="00E61153" w:rsidP="00E61153">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suivi des familles qui ont suivi le programme d</w:t>
      </w:r>
      <w:r w:rsidR="00723345" w:rsidRPr="00C51D17">
        <w:rPr>
          <w:w w:val="100"/>
        </w:rPr>
        <w:t>’</w:t>
      </w:r>
      <w:r w:rsidR="00646413" w:rsidRPr="00C51D17">
        <w:rPr>
          <w:w w:val="100"/>
        </w:rPr>
        <w:t>orientation conçu à leur intention</w:t>
      </w:r>
      <w:r w:rsidR="0012596A" w:rsidRPr="00C51D17">
        <w:rPr>
          <w:w w:val="100"/>
        </w:rPr>
        <w:t> ;</w:t>
      </w:r>
    </w:p>
    <w:p w14:paraId="39892B8E" w14:textId="7EC6CF36" w:rsidR="00646413" w:rsidRPr="00C51D17" w:rsidRDefault="00E61153" w:rsidP="00E61153">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suivi des familles qui sont convenues d</w:t>
      </w:r>
      <w:r w:rsidR="00723345" w:rsidRPr="00C51D17">
        <w:rPr>
          <w:w w:val="100"/>
        </w:rPr>
        <w:t>’</w:t>
      </w:r>
      <w:r w:rsidR="00646413" w:rsidRPr="00C51D17">
        <w:rPr>
          <w:w w:val="100"/>
        </w:rPr>
        <w:t>effectuer les visites aux enfants sous leur garde en dehors du Centre.</w:t>
      </w:r>
    </w:p>
    <w:p w14:paraId="581826E6" w14:textId="31993BAE" w:rsidR="00554591" w:rsidRPr="00C51D17" w:rsidRDefault="00554591" w:rsidP="00554591">
      <w:pPr>
        <w:pStyle w:val="SingleTxt"/>
        <w:tabs>
          <w:tab w:val="right" w:pos="1685"/>
        </w:tabs>
        <w:spacing w:after="0" w:line="120" w:lineRule="exact"/>
        <w:ind w:left="1742" w:hanging="475"/>
        <w:rPr>
          <w:w w:val="100"/>
          <w:sz w:val="10"/>
        </w:rPr>
      </w:pPr>
    </w:p>
    <w:p w14:paraId="5E935694" w14:textId="556D59D6" w:rsidR="00554591" w:rsidRPr="00C51D17" w:rsidRDefault="00554591" w:rsidP="00554591">
      <w:pPr>
        <w:pStyle w:val="SingleTxt"/>
        <w:tabs>
          <w:tab w:val="right" w:pos="1685"/>
        </w:tabs>
        <w:spacing w:after="0" w:line="120" w:lineRule="exact"/>
        <w:ind w:left="1742" w:hanging="475"/>
        <w:rPr>
          <w:w w:val="100"/>
          <w:sz w:val="10"/>
        </w:rPr>
      </w:pPr>
    </w:p>
    <w:p w14:paraId="5E58A7D9" w14:textId="7CEE465F" w:rsidR="00646413" w:rsidRPr="00C51D17" w:rsidRDefault="00554591" w:rsidP="00554591">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w w:val="100"/>
        </w:rPr>
      </w:pPr>
      <w:r w:rsidRPr="00C51D17">
        <w:rPr>
          <w:w w:val="100"/>
        </w:rPr>
        <w:tab/>
      </w:r>
      <w:r w:rsidRPr="00C51D17">
        <w:rPr>
          <w:w w:val="100"/>
        </w:rPr>
        <w:tab/>
      </w:r>
      <w:r w:rsidR="00646413" w:rsidRPr="00C51D17">
        <w:rPr>
          <w:w w:val="100"/>
        </w:rPr>
        <w:t>Tableau 3</w:t>
      </w:r>
    </w:p>
    <w:p w14:paraId="0A2C11B1" w14:textId="2C083AA3" w:rsidR="00646413" w:rsidRPr="00C51D17" w:rsidRDefault="00FC202D" w:rsidP="00FC20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 xml:space="preserve">Nombre de consultations offertes au Centre, par type de consultation, </w:t>
      </w:r>
      <w:r w:rsidR="006B0F1C" w:rsidRPr="00C51D17">
        <w:rPr>
          <w:w w:val="100"/>
        </w:rPr>
        <w:br/>
      </w:r>
      <w:r w:rsidR="00646413" w:rsidRPr="00C51D17">
        <w:rPr>
          <w:w w:val="100"/>
        </w:rPr>
        <w:t>année et selon le résultat final, pendant les années 2017 et 2018</w:t>
      </w:r>
    </w:p>
    <w:p w14:paraId="781A82AD" w14:textId="2C141751" w:rsidR="00FC202D" w:rsidRPr="00C51D17" w:rsidRDefault="00FC202D" w:rsidP="00FC202D">
      <w:pPr>
        <w:pStyle w:val="SingleTxt"/>
        <w:spacing w:after="0" w:line="120" w:lineRule="exact"/>
        <w:rPr>
          <w:sz w:val="10"/>
        </w:rPr>
      </w:pPr>
    </w:p>
    <w:p w14:paraId="19CF4AA1" w14:textId="35ED09C6" w:rsidR="00FC202D" w:rsidRPr="00C51D17" w:rsidRDefault="00FC202D" w:rsidP="00FC202D">
      <w:pPr>
        <w:pStyle w:val="SingleTxt"/>
        <w:spacing w:after="0" w:line="120" w:lineRule="exact"/>
        <w:rPr>
          <w:sz w:val="10"/>
        </w:rPr>
      </w:pPr>
    </w:p>
    <w:tbl>
      <w:tblPr>
        <w:tblStyle w:val="TableGrid1"/>
        <w:tblW w:w="854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3"/>
        <w:gridCol w:w="3247"/>
        <w:gridCol w:w="668"/>
        <w:gridCol w:w="989"/>
        <w:gridCol w:w="87"/>
        <w:gridCol w:w="974"/>
        <w:gridCol w:w="989"/>
        <w:gridCol w:w="886"/>
      </w:tblGrid>
      <w:tr w:rsidR="003B0D0C" w:rsidRPr="00C51D17" w14:paraId="3CDF43FF" w14:textId="77777777" w:rsidTr="00BB07FC">
        <w:trPr>
          <w:tblHeader/>
        </w:trPr>
        <w:tc>
          <w:tcPr>
            <w:tcW w:w="713" w:type="dxa"/>
            <w:vMerge w:val="restart"/>
            <w:tcBorders>
              <w:top w:val="single" w:sz="4" w:space="0" w:color="auto"/>
            </w:tcBorders>
            <w:shd w:val="clear" w:color="auto" w:fill="auto"/>
            <w:vAlign w:val="bottom"/>
          </w:tcPr>
          <w:p w14:paraId="352D3E93" w14:textId="20BE9126" w:rsidR="003B0D0C" w:rsidRPr="00C51D17" w:rsidRDefault="00E2652C" w:rsidP="00BB07FC">
            <w:pPr>
              <w:pStyle w:val="SingleTxt"/>
              <w:keepNext/>
              <w:keepLines/>
              <w:spacing w:before="81" w:after="81" w:line="160" w:lineRule="exact"/>
              <w:ind w:left="0" w:right="40"/>
              <w:jc w:val="left"/>
              <w:rPr>
                <w:i/>
                <w:sz w:val="14"/>
              </w:rPr>
            </w:pPr>
            <w:bookmarkStart w:id="2" w:name="_Hlk9935241"/>
            <w:r w:rsidRPr="00C51D17">
              <w:rPr>
                <w:i/>
                <w:sz w:val="14"/>
              </w:rPr>
              <w:t>Année</w:t>
            </w:r>
          </w:p>
        </w:tc>
        <w:tc>
          <w:tcPr>
            <w:tcW w:w="3330" w:type="dxa"/>
            <w:vMerge w:val="restart"/>
            <w:tcBorders>
              <w:top w:val="single" w:sz="4" w:space="0" w:color="auto"/>
            </w:tcBorders>
            <w:shd w:val="clear" w:color="auto" w:fill="auto"/>
            <w:vAlign w:val="bottom"/>
          </w:tcPr>
          <w:p w14:paraId="23C65124" w14:textId="5BA4D611" w:rsidR="003B0D0C" w:rsidRPr="00C51D17" w:rsidRDefault="00E2652C" w:rsidP="00BB07FC">
            <w:pPr>
              <w:pStyle w:val="SingleTxt"/>
              <w:keepNext/>
              <w:keepLines/>
              <w:spacing w:before="81" w:after="81" w:line="160" w:lineRule="exact"/>
              <w:ind w:left="144" w:right="40"/>
              <w:jc w:val="left"/>
              <w:rPr>
                <w:i/>
                <w:sz w:val="14"/>
              </w:rPr>
            </w:pPr>
            <w:r w:rsidRPr="00C51D17">
              <w:rPr>
                <w:i/>
                <w:sz w:val="14"/>
              </w:rPr>
              <w:t>Type de consultation</w:t>
            </w:r>
          </w:p>
        </w:tc>
        <w:tc>
          <w:tcPr>
            <w:tcW w:w="3600" w:type="dxa"/>
            <w:gridSpan w:val="5"/>
            <w:tcBorders>
              <w:top w:val="single" w:sz="4" w:space="0" w:color="auto"/>
              <w:bottom w:val="single" w:sz="4" w:space="0" w:color="auto"/>
            </w:tcBorders>
            <w:shd w:val="clear" w:color="auto" w:fill="auto"/>
            <w:vAlign w:val="center"/>
          </w:tcPr>
          <w:p w14:paraId="0A238D5A" w14:textId="27E85965" w:rsidR="003B0D0C" w:rsidRPr="00C51D17" w:rsidRDefault="00E2652C" w:rsidP="00BB07F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C51D17">
              <w:rPr>
                <w:i/>
                <w:sz w:val="14"/>
                <w:szCs w:val="14"/>
              </w:rPr>
              <w:t>Fin des consultations</w:t>
            </w:r>
          </w:p>
        </w:tc>
        <w:tc>
          <w:tcPr>
            <w:tcW w:w="900" w:type="dxa"/>
            <w:vMerge w:val="restart"/>
            <w:tcBorders>
              <w:top w:val="single" w:sz="4" w:space="0" w:color="auto"/>
            </w:tcBorders>
            <w:shd w:val="clear" w:color="auto" w:fill="auto"/>
            <w:vAlign w:val="bottom"/>
          </w:tcPr>
          <w:p w14:paraId="10F25CD0" w14:textId="77777777" w:rsidR="003B0D0C" w:rsidRPr="00C51D17" w:rsidRDefault="003B0D0C" w:rsidP="00BB07FC">
            <w:pPr>
              <w:pStyle w:val="SingleTxt"/>
              <w:keepNext/>
              <w:keepLines/>
              <w:spacing w:before="81" w:after="81" w:line="160" w:lineRule="exact"/>
              <w:ind w:left="144" w:right="40"/>
              <w:jc w:val="right"/>
              <w:rPr>
                <w:i/>
                <w:sz w:val="14"/>
              </w:rPr>
            </w:pPr>
            <w:r w:rsidRPr="00C51D17">
              <w:rPr>
                <w:i/>
                <w:sz w:val="14"/>
              </w:rPr>
              <w:t>Total</w:t>
            </w:r>
          </w:p>
        </w:tc>
      </w:tr>
      <w:tr w:rsidR="003B0D0C" w:rsidRPr="00C51D17" w14:paraId="4D2CEDB4" w14:textId="77777777" w:rsidTr="00BB07FC">
        <w:trPr>
          <w:tblHeader/>
        </w:trPr>
        <w:tc>
          <w:tcPr>
            <w:tcW w:w="713" w:type="dxa"/>
            <w:vMerge/>
            <w:shd w:val="clear" w:color="auto" w:fill="auto"/>
            <w:vAlign w:val="bottom"/>
          </w:tcPr>
          <w:p w14:paraId="5C405C76" w14:textId="77777777" w:rsidR="003B0D0C" w:rsidRPr="00C51D17" w:rsidRDefault="003B0D0C" w:rsidP="00BB07F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3330" w:type="dxa"/>
            <w:vMerge/>
            <w:shd w:val="clear" w:color="auto" w:fill="auto"/>
            <w:vAlign w:val="bottom"/>
          </w:tcPr>
          <w:p w14:paraId="2C27F801" w14:textId="77777777" w:rsidR="003B0D0C" w:rsidRPr="00C51D17" w:rsidRDefault="003B0D0C" w:rsidP="00BB07F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p>
        </w:tc>
        <w:tc>
          <w:tcPr>
            <w:tcW w:w="1530" w:type="dxa"/>
            <w:gridSpan w:val="2"/>
            <w:tcBorders>
              <w:top w:val="single" w:sz="4" w:space="0" w:color="auto"/>
              <w:bottom w:val="single" w:sz="4" w:space="0" w:color="auto"/>
            </w:tcBorders>
            <w:shd w:val="clear" w:color="auto" w:fill="auto"/>
            <w:vAlign w:val="bottom"/>
          </w:tcPr>
          <w:p w14:paraId="14620FBD" w14:textId="7F036D1D" w:rsidR="003B0D0C" w:rsidRPr="00C51D17" w:rsidRDefault="00E2652C" w:rsidP="00BB07F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C51D17">
              <w:rPr>
                <w:i/>
                <w:sz w:val="14"/>
                <w:szCs w:val="14"/>
              </w:rPr>
              <w:t>Avec succès</w:t>
            </w:r>
          </w:p>
        </w:tc>
        <w:tc>
          <w:tcPr>
            <w:tcW w:w="2070" w:type="dxa"/>
            <w:gridSpan w:val="3"/>
            <w:tcBorders>
              <w:top w:val="single" w:sz="4" w:space="0" w:color="auto"/>
            </w:tcBorders>
            <w:shd w:val="clear" w:color="auto" w:fill="auto"/>
            <w:vAlign w:val="bottom"/>
          </w:tcPr>
          <w:p w14:paraId="1102832E" w14:textId="1CD7A518" w:rsidR="003B0D0C" w:rsidRPr="00C51D17" w:rsidRDefault="00E2652C" w:rsidP="00BB07F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C51D17">
              <w:rPr>
                <w:i/>
                <w:sz w:val="14"/>
                <w:szCs w:val="14"/>
              </w:rPr>
              <w:t>Sans résultat</w:t>
            </w:r>
          </w:p>
        </w:tc>
        <w:tc>
          <w:tcPr>
            <w:tcW w:w="900" w:type="dxa"/>
            <w:vMerge/>
            <w:shd w:val="clear" w:color="auto" w:fill="auto"/>
            <w:vAlign w:val="bottom"/>
          </w:tcPr>
          <w:p w14:paraId="286F340F" w14:textId="77777777" w:rsidR="003B0D0C" w:rsidRPr="00C51D17" w:rsidRDefault="003B0D0C" w:rsidP="00BB07F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r>
      <w:tr w:rsidR="003B0D0C" w:rsidRPr="00C51D17" w14:paraId="32D838D1" w14:textId="77777777" w:rsidTr="00BB07FC">
        <w:trPr>
          <w:tblHeader/>
        </w:trPr>
        <w:tc>
          <w:tcPr>
            <w:tcW w:w="713" w:type="dxa"/>
            <w:vMerge/>
            <w:tcBorders>
              <w:bottom w:val="single" w:sz="12" w:space="0" w:color="auto"/>
            </w:tcBorders>
            <w:shd w:val="clear" w:color="auto" w:fill="auto"/>
            <w:vAlign w:val="bottom"/>
          </w:tcPr>
          <w:p w14:paraId="4FA7EC74" w14:textId="77777777" w:rsidR="003B0D0C" w:rsidRPr="00C51D17" w:rsidRDefault="003B0D0C" w:rsidP="00BB07F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3330" w:type="dxa"/>
            <w:vMerge/>
            <w:tcBorders>
              <w:bottom w:val="single" w:sz="12" w:space="0" w:color="auto"/>
            </w:tcBorders>
            <w:shd w:val="clear" w:color="auto" w:fill="auto"/>
            <w:vAlign w:val="bottom"/>
          </w:tcPr>
          <w:p w14:paraId="782704B7" w14:textId="77777777" w:rsidR="003B0D0C" w:rsidRPr="00C51D17" w:rsidRDefault="003B0D0C" w:rsidP="00BB07F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p>
        </w:tc>
        <w:tc>
          <w:tcPr>
            <w:tcW w:w="540" w:type="dxa"/>
            <w:tcBorders>
              <w:top w:val="single" w:sz="4" w:space="0" w:color="auto"/>
              <w:bottom w:val="single" w:sz="12" w:space="0" w:color="auto"/>
            </w:tcBorders>
            <w:shd w:val="clear" w:color="auto" w:fill="auto"/>
            <w:vAlign w:val="bottom"/>
          </w:tcPr>
          <w:p w14:paraId="0BECD3E0" w14:textId="6DFE908D" w:rsidR="003B0D0C" w:rsidRPr="00C51D17" w:rsidRDefault="003B0D0C" w:rsidP="00BB07F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51D17">
              <w:rPr>
                <w:i/>
                <w:sz w:val="14"/>
              </w:rPr>
              <w:t>N</w:t>
            </w:r>
            <w:r w:rsidR="00E2652C" w:rsidRPr="00C51D17">
              <w:rPr>
                <w:i/>
                <w:sz w:val="14"/>
              </w:rPr>
              <w:t>ombre</w:t>
            </w:r>
          </w:p>
        </w:tc>
        <w:tc>
          <w:tcPr>
            <w:tcW w:w="990" w:type="dxa"/>
            <w:tcBorders>
              <w:top w:val="single" w:sz="4" w:space="0" w:color="auto"/>
              <w:bottom w:val="single" w:sz="12" w:space="0" w:color="auto"/>
            </w:tcBorders>
            <w:shd w:val="clear" w:color="auto" w:fill="auto"/>
            <w:vAlign w:val="bottom"/>
          </w:tcPr>
          <w:p w14:paraId="1788E15D" w14:textId="7EDF3479" w:rsidR="003B0D0C" w:rsidRPr="00C51D17" w:rsidRDefault="00E2652C" w:rsidP="00BB07F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51D17">
              <w:rPr>
                <w:i/>
                <w:sz w:val="14"/>
              </w:rPr>
              <w:t>Pourcentage</w:t>
            </w:r>
          </w:p>
        </w:tc>
        <w:tc>
          <w:tcPr>
            <w:tcW w:w="90" w:type="dxa"/>
            <w:tcBorders>
              <w:bottom w:val="single" w:sz="12" w:space="0" w:color="auto"/>
            </w:tcBorders>
            <w:shd w:val="clear" w:color="auto" w:fill="auto"/>
            <w:vAlign w:val="bottom"/>
          </w:tcPr>
          <w:p w14:paraId="793A6DF8" w14:textId="77777777" w:rsidR="003B0D0C" w:rsidRPr="00C51D17" w:rsidRDefault="003B0D0C" w:rsidP="00BB07F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990" w:type="dxa"/>
            <w:tcBorders>
              <w:top w:val="single" w:sz="4" w:space="0" w:color="auto"/>
              <w:bottom w:val="single" w:sz="12" w:space="0" w:color="auto"/>
            </w:tcBorders>
            <w:shd w:val="clear" w:color="auto" w:fill="auto"/>
            <w:vAlign w:val="bottom"/>
          </w:tcPr>
          <w:p w14:paraId="5199C458" w14:textId="732621E1" w:rsidR="003B0D0C" w:rsidRPr="00C51D17" w:rsidRDefault="003B0D0C" w:rsidP="00BB07F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C51D17">
              <w:rPr>
                <w:i/>
                <w:sz w:val="14"/>
              </w:rPr>
              <w:t>N</w:t>
            </w:r>
            <w:r w:rsidR="00E2652C" w:rsidRPr="00C51D17">
              <w:rPr>
                <w:i/>
                <w:sz w:val="14"/>
              </w:rPr>
              <w:t>ombre</w:t>
            </w:r>
          </w:p>
        </w:tc>
        <w:tc>
          <w:tcPr>
            <w:tcW w:w="990" w:type="dxa"/>
            <w:tcBorders>
              <w:top w:val="single" w:sz="4" w:space="0" w:color="auto"/>
              <w:bottom w:val="single" w:sz="12" w:space="0" w:color="auto"/>
            </w:tcBorders>
            <w:shd w:val="clear" w:color="auto" w:fill="auto"/>
            <w:vAlign w:val="bottom"/>
          </w:tcPr>
          <w:p w14:paraId="130E4A8C" w14:textId="284C5079" w:rsidR="003B0D0C" w:rsidRPr="00C51D17" w:rsidRDefault="00E2652C" w:rsidP="00BB07F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51D17">
              <w:rPr>
                <w:i/>
                <w:sz w:val="14"/>
              </w:rPr>
              <w:t>Pourcentage</w:t>
            </w:r>
          </w:p>
        </w:tc>
        <w:tc>
          <w:tcPr>
            <w:tcW w:w="900" w:type="dxa"/>
            <w:vMerge/>
            <w:tcBorders>
              <w:bottom w:val="single" w:sz="12" w:space="0" w:color="auto"/>
            </w:tcBorders>
            <w:shd w:val="clear" w:color="auto" w:fill="auto"/>
            <w:vAlign w:val="bottom"/>
          </w:tcPr>
          <w:p w14:paraId="264EA9E3" w14:textId="77777777" w:rsidR="003B0D0C" w:rsidRPr="00C51D17" w:rsidRDefault="003B0D0C" w:rsidP="00BB07F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r>
      <w:bookmarkEnd w:id="2"/>
      <w:tr w:rsidR="003B0D0C" w:rsidRPr="00C51D17" w14:paraId="66273CC8" w14:textId="77777777" w:rsidTr="00BB07FC">
        <w:trPr>
          <w:trHeight w:hRule="exact" w:val="115"/>
          <w:tblHeader/>
        </w:trPr>
        <w:tc>
          <w:tcPr>
            <w:tcW w:w="713" w:type="dxa"/>
            <w:tcBorders>
              <w:top w:val="single" w:sz="12" w:space="0" w:color="auto"/>
            </w:tcBorders>
            <w:shd w:val="clear" w:color="auto" w:fill="auto"/>
            <w:vAlign w:val="bottom"/>
          </w:tcPr>
          <w:p w14:paraId="2C086B1D" w14:textId="77777777" w:rsidR="003B0D0C" w:rsidRPr="00C51D17" w:rsidRDefault="003B0D0C" w:rsidP="00BB07F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330" w:type="dxa"/>
            <w:tcBorders>
              <w:top w:val="single" w:sz="12" w:space="0" w:color="auto"/>
            </w:tcBorders>
            <w:shd w:val="clear" w:color="auto" w:fill="auto"/>
            <w:vAlign w:val="bottom"/>
          </w:tcPr>
          <w:p w14:paraId="5A02126C" w14:textId="77777777" w:rsidR="003B0D0C" w:rsidRPr="00C51D17" w:rsidRDefault="003B0D0C" w:rsidP="00BB07F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c>
          <w:tcPr>
            <w:tcW w:w="540" w:type="dxa"/>
            <w:tcBorders>
              <w:top w:val="single" w:sz="12" w:space="0" w:color="auto"/>
            </w:tcBorders>
            <w:shd w:val="clear" w:color="auto" w:fill="auto"/>
            <w:vAlign w:val="bottom"/>
          </w:tcPr>
          <w:p w14:paraId="1C899FBD" w14:textId="77777777" w:rsidR="003B0D0C" w:rsidRPr="00C51D17" w:rsidRDefault="003B0D0C" w:rsidP="00BB07F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0" w:type="dxa"/>
            <w:tcBorders>
              <w:top w:val="single" w:sz="12" w:space="0" w:color="auto"/>
            </w:tcBorders>
            <w:shd w:val="clear" w:color="auto" w:fill="auto"/>
            <w:vAlign w:val="bottom"/>
          </w:tcPr>
          <w:p w14:paraId="66C1DBB7" w14:textId="77777777" w:rsidR="003B0D0C" w:rsidRPr="00C51D17" w:rsidRDefault="003B0D0C" w:rsidP="00BB07F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80" w:type="dxa"/>
            <w:gridSpan w:val="2"/>
            <w:tcBorders>
              <w:top w:val="single" w:sz="12" w:space="0" w:color="auto"/>
            </w:tcBorders>
            <w:shd w:val="clear" w:color="auto" w:fill="auto"/>
            <w:vAlign w:val="bottom"/>
          </w:tcPr>
          <w:p w14:paraId="3616F551" w14:textId="77777777" w:rsidR="003B0D0C" w:rsidRPr="00C51D17" w:rsidRDefault="003B0D0C" w:rsidP="00BB07F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0" w:type="dxa"/>
            <w:tcBorders>
              <w:top w:val="single" w:sz="12" w:space="0" w:color="auto"/>
            </w:tcBorders>
            <w:shd w:val="clear" w:color="auto" w:fill="auto"/>
            <w:vAlign w:val="bottom"/>
          </w:tcPr>
          <w:p w14:paraId="29CDE53E" w14:textId="77777777" w:rsidR="003B0D0C" w:rsidRPr="00C51D17" w:rsidRDefault="003B0D0C" w:rsidP="00BB07F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00" w:type="dxa"/>
            <w:tcBorders>
              <w:top w:val="single" w:sz="12" w:space="0" w:color="auto"/>
            </w:tcBorders>
            <w:shd w:val="clear" w:color="auto" w:fill="auto"/>
            <w:vAlign w:val="bottom"/>
          </w:tcPr>
          <w:p w14:paraId="5AE03392" w14:textId="77777777" w:rsidR="003B0D0C" w:rsidRPr="00C51D17" w:rsidRDefault="003B0D0C" w:rsidP="00BB07F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bl>
    <w:tbl>
      <w:tblPr>
        <w:tblStyle w:val="TableGrid"/>
        <w:tblW w:w="8550" w:type="dxa"/>
        <w:tblInd w:w="1255" w:type="dxa"/>
        <w:tblLayout w:type="fixed"/>
        <w:tblLook w:val="04A0" w:firstRow="1" w:lastRow="0" w:firstColumn="1" w:lastColumn="0" w:noHBand="0" w:noVBand="1"/>
      </w:tblPr>
      <w:tblGrid>
        <w:gridCol w:w="720"/>
        <w:gridCol w:w="3240"/>
        <w:gridCol w:w="657"/>
        <w:gridCol w:w="999"/>
        <w:gridCol w:w="1062"/>
        <w:gridCol w:w="990"/>
        <w:gridCol w:w="882"/>
      </w:tblGrid>
      <w:tr w:rsidR="00A551EB" w:rsidRPr="00C51D17" w14:paraId="6A4E8FD4" w14:textId="77777777" w:rsidTr="00BB07FC">
        <w:tc>
          <w:tcPr>
            <w:tcW w:w="720" w:type="dxa"/>
            <w:vMerge w:val="restart"/>
            <w:tcBorders>
              <w:top w:val="nil"/>
              <w:left w:val="nil"/>
              <w:bottom w:val="single" w:sz="4" w:space="0" w:color="auto"/>
              <w:right w:val="nil"/>
            </w:tcBorders>
            <w:vAlign w:val="center"/>
          </w:tcPr>
          <w:p w14:paraId="25B5A215" w14:textId="41098D9B" w:rsidR="004C2126" w:rsidRPr="00C51D17" w:rsidRDefault="007064AB" w:rsidP="00C76619">
            <w:pPr>
              <w:spacing w:line="360" w:lineRule="auto"/>
              <w:rPr>
                <w:sz w:val="17"/>
                <w:szCs w:val="17"/>
              </w:rPr>
            </w:pPr>
            <w:r w:rsidRPr="00C51D17">
              <w:rPr>
                <w:sz w:val="17"/>
                <w:szCs w:val="17"/>
              </w:rPr>
              <w:t>2017</w:t>
            </w:r>
          </w:p>
        </w:tc>
        <w:tc>
          <w:tcPr>
            <w:tcW w:w="3240" w:type="dxa"/>
            <w:tcBorders>
              <w:top w:val="nil"/>
              <w:left w:val="nil"/>
              <w:bottom w:val="nil"/>
              <w:right w:val="nil"/>
            </w:tcBorders>
          </w:tcPr>
          <w:p w14:paraId="4417BFB1" w14:textId="77777777" w:rsidR="004C2126" w:rsidRPr="00C51D17" w:rsidRDefault="004C2126" w:rsidP="005D5FDA">
            <w:pPr>
              <w:spacing w:line="360" w:lineRule="auto"/>
              <w:rPr>
                <w:sz w:val="17"/>
                <w:szCs w:val="17"/>
              </w:rPr>
            </w:pPr>
            <w:r w:rsidRPr="00C51D17">
              <w:rPr>
                <w:sz w:val="17"/>
                <w:szCs w:val="17"/>
              </w:rPr>
              <w:t xml:space="preserve">Différends conjugaux </w:t>
            </w:r>
          </w:p>
        </w:tc>
        <w:tc>
          <w:tcPr>
            <w:tcW w:w="657" w:type="dxa"/>
            <w:tcBorders>
              <w:top w:val="nil"/>
              <w:left w:val="nil"/>
              <w:bottom w:val="nil"/>
              <w:right w:val="nil"/>
            </w:tcBorders>
          </w:tcPr>
          <w:p w14:paraId="5E21CEC1" w14:textId="77777777" w:rsidR="004C2126" w:rsidRPr="00C51D17" w:rsidRDefault="004C2126" w:rsidP="002D5472">
            <w:pPr>
              <w:spacing w:line="360" w:lineRule="auto"/>
              <w:jc w:val="right"/>
              <w:rPr>
                <w:sz w:val="17"/>
                <w:szCs w:val="17"/>
              </w:rPr>
            </w:pPr>
            <w:r w:rsidRPr="00C51D17">
              <w:rPr>
                <w:sz w:val="17"/>
                <w:szCs w:val="17"/>
              </w:rPr>
              <w:t>467</w:t>
            </w:r>
          </w:p>
        </w:tc>
        <w:tc>
          <w:tcPr>
            <w:tcW w:w="999" w:type="dxa"/>
            <w:tcBorders>
              <w:top w:val="nil"/>
              <w:left w:val="nil"/>
              <w:bottom w:val="nil"/>
              <w:right w:val="nil"/>
            </w:tcBorders>
          </w:tcPr>
          <w:p w14:paraId="520599B4" w14:textId="77777777" w:rsidR="004C2126" w:rsidRPr="00C51D17" w:rsidRDefault="004C2126" w:rsidP="002D5472">
            <w:pPr>
              <w:spacing w:line="360" w:lineRule="auto"/>
              <w:jc w:val="right"/>
              <w:rPr>
                <w:sz w:val="17"/>
                <w:szCs w:val="17"/>
              </w:rPr>
            </w:pPr>
            <w:r w:rsidRPr="00C51D17">
              <w:rPr>
                <w:sz w:val="17"/>
                <w:szCs w:val="17"/>
              </w:rPr>
              <w:t>81,5</w:t>
            </w:r>
          </w:p>
        </w:tc>
        <w:tc>
          <w:tcPr>
            <w:tcW w:w="1062" w:type="dxa"/>
            <w:tcBorders>
              <w:top w:val="nil"/>
              <w:left w:val="nil"/>
              <w:bottom w:val="nil"/>
              <w:right w:val="nil"/>
            </w:tcBorders>
          </w:tcPr>
          <w:p w14:paraId="3BE67531" w14:textId="77777777" w:rsidR="004C2126" w:rsidRPr="00C51D17" w:rsidRDefault="004C2126" w:rsidP="002D5472">
            <w:pPr>
              <w:spacing w:line="360" w:lineRule="auto"/>
              <w:jc w:val="right"/>
              <w:rPr>
                <w:sz w:val="17"/>
                <w:szCs w:val="17"/>
              </w:rPr>
            </w:pPr>
            <w:r w:rsidRPr="00C51D17">
              <w:rPr>
                <w:sz w:val="17"/>
                <w:szCs w:val="17"/>
              </w:rPr>
              <w:t>106</w:t>
            </w:r>
          </w:p>
        </w:tc>
        <w:tc>
          <w:tcPr>
            <w:tcW w:w="990" w:type="dxa"/>
            <w:tcBorders>
              <w:top w:val="nil"/>
              <w:left w:val="nil"/>
              <w:bottom w:val="nil"/>
              <w:right w:val="nil"/>
            </w:tcBorders>
          </w:tcPr>
          <w:p w14:paraId="132ABABC" w14:textId="77777777" w:rsidR="004C2126" w:rsidRPr="00C51D17" w:rsidRDefault="004C2126" w:rsidP="002D5472">
            <w:pPr>
              <w:spacing w:line="360" w:lineRule="auto"/>
              <w:jc w:val="right"/>
              <w:rPr>
                <w:sz w:val="17"/>
                <w:szCs w:val="17"/>
              </w:rPr>
            </w:pPr>
            <w:r w:rsidRPr="00C51D17">
              <w:rPr>
                <w:sz w:val="17"/>
                <w:szCs w:val="17"/>
              </w:rPr>
              <w:t>18,5</w:t>
            </w:r>
          </w:p>
        </w:tc>
        <w:tc>
          <w:tcPr>
            <w:tcW w:w="882" w:type="dxa"/>
            <w:tcBorders>
              <w:top w:val="nil"/>
              <w:left w:val="nil"/>
              <w:bottom w:val="nil"/>
              <w:right w:val="nil"/>
            </w:tcBorders>
          </w:tcPr>
          <w:p w14:paraId="694A8148" w14:textId="77777777" w:rsidR="004C2126" w:rsidRPr="00C51D17" w:rsidRDefault="004C2126" w:rsidP="002D5472">
            <w:pPr>
              <w:spacing w:line="360" w:lineRule="auto"/>
              <w:jc w:val="right"/>
              <w:rPr>
                <w:sz w:val="17"/>
                <w:szCs w:val="17"/>
              </w:rPr>
            </w:pPr>
            <w:r w:rsidRPr="00C51D17">
              <w:rPr>
                <w:sz w:val="17"/>
                <w:szCs w:val="17"/>
              </w:rPr>
              <w:t>573</w:t>
            </w:r>
          </w:p>
        </w:tc>
      </w:tr>
      <w:tr w:rsidR="00A551EB" w:rsidRPr="00C51D17" w14:paraId="17C1C8C5" w14:textId="77777777" w:rsidTr="00BB07FC">
        <w:tc>
          <w:tcPr>
            <w:tcW w:w="720" w:type="dxa"/>
            <w:vMerge/>
            <w:tcBorders>
              <w:top w:val="single" w:sz="12" w:space="0" w:color="auto"/>
              <w:left w:val="nil"/>
              <w:bottom w:val="single" w:sz="4" w:space="0" w:color="auto"/>
              <w:right w:val="nil"/>
            </w:tcBorders>
            <w:vAlign w:val="center"/>
          </w:tcPr>
          <w:p w14:paraId="62F0AEB3" w14:textId="77777777" w:rsidR="004C2126" w:rsidRPr="00C51D17" w:rsidRDefault="004C2126" w:rsidP="00C76619">
            <w:pPr>
              <w:spacing w:line="360" w:lineRule="auto"/>
              <w:rPr>
                <w:sz w:val="17"/>
                <w:szCs w:val="17"/>
              </w:rPr>
            </w:pPr>
          </w:p>
        </w:tc>
        <w:tc>
          <w:tcPr>
            <w:tcW w:w="3240" w:type="dxa"/>
            <w:tcBorders>
              <w:top w:val="nil"/>
              <w:left w:val="nil"/>
              <w:bottom w:val="nil"/>
              <w:right w:val="nil"/>
            </w:tcBorders>
          </w:tcPr>
          <w:p w14:paraId="466AFE71" w14:textId="443CE055" w:rsidR="004C2126" w:rsidRPr="00C51D17" w:rsidRDefault="004C2126" w:rsidP="005D5FDA">
            <w:pPr>
              <w:spacing w:line="360" w:lineRule="auto"/>
              <w:rPr>
                <w:sz w:val="17"/>
                <w:szCs w:val="17"/>
              </w:rPr>
            </w:pPr>
            <w:r w:rsidRPr="00C51D17">
              <w:rPr>
                <w:sz w:val="17"/>
                <w:szCs w:val="17"/>
              </w:rPr>
              <w:t>Consultations en vue d</w:t>
            </w:r>
            <w:r w:rsidR="00723345" w:rsidRPr="00C51D17">
              <w:rPr>
                <w:sz w:val="17"/>
                <w:szCs w:val="17"/>
              </w:rPr>
              <w:t>’</w:t>
            </w:r>
            <w:r w:rsidRPr="00C51D17">
              <w:rPr>
                <w:sz w:val="17"/>
                <w:szCs w:val="17"/>
              </w:rPr>
              <w:t>un divorce</w:t>
            </w:r>
          </w:p>
        </w:tc>
        <w:tc>
          <w:tcPr>
            <w:tcW w:w="657" w:type="dxa"/>
            <w:tcBorders>
              <w:top w:val="nil"/>
              <w:left w:val="nil"/>
              <w:bottom w:val="nil"/>
              <w:right w:val="nil"/>
            </w:tcBorders>
          </w:tcPr>
          <w:p w14:paraId="11B000BB" w14:textId="77777777" w:rsidR="004C2126" w:rsidRPr="00C51D17" w:rsidRDefault="004C2126" w:rsidP="002D5472">
            <w:pPr>
              <w:spacing w:line="360" w:lineRule="auto"/>
              <w:jc w:val="right"/>
              <w:rPr>
                <w:sz w:val="17"/>
                <w:szCs w:val="17"/>
              </w:rPr>
            </w:pPr>
            <w:r w:rsidRPr="00C51D17">
              <w:rPr>
                <w:sz w:val="17"/>
                <w:szCs w:val="17"/>
              </w:rPr>
              <w:t>0</w:t>
            </w:r>
          </w:p>
        </w:tc>
        <w:tc>
          <w:tcPr>
            <w:tcW w:w="999" w:type="dxa"/>
            <w:tcBorders>
              <w:top w:val="nil"/>
              <w:left w:val="nil"/>
              <w:bottom w:val="nil"/>
              <w:right w:val="nil"/>
            </w:tcBorders>
          </w:tcPr>
          <w:p w14:paraId="2818CAF2" w14:textId="5C6C0AA7" w:rsidR="004C2126" w:rsidRPr="00C51D17" w:rsidRDefault="00A551EB" w:rsidP="002D5472">
            <w:pPr>
              <w:spacing w:line="360" w:lineRule="auto"/>
              <w:jc w:val="right"/>
              <w:rPr>
                <w:sz w:val="17"/>
                <w:szCs w:val="17"/>
              </w:rPr>
            </w:pPr>
            <w:r w:rsidRPr="00C51D17">
              <w:rPr>
                <w:sz w:val="17"/>
                <w:szCs w:val="17"/>
              </w:rPr>
              <w:t xml:space="preserve">     </w:t>
            </w:r>
            <w:r w:rsidR="004C2126" w:rsidRPr="00C51D17">
              <w:rPr>
                <w:sz w:val="17"/>
                <w:szCs w:val="17"/>
              </w:rPr>
              <w:t>0</w:t>
            </w:r>
          </w:p>
        </w:tc>
        <w:tc>
          <w:tcPr>
            <w:tcW w:w="1062" w:type="dxa"/>
            <w:tcBorders>
              <w:top w:val="nil"/>
              <w:left w:val="nil"/>
              <w:bottom w:val="nil"/>
              <w:right w:val="nil"/>
            </w:tcBorders>
          </w:tcPr>
          <w:p w14:paraId="5A2E648E" w14:textId="77777777" w:rsidR="004C2126" w:rsidRPr="00C51D17" w:rsidRDefault="004C2126" w:rsidP="002D5472">
            <w:pPr>
              <w:spacing w:line="360" w:lineRule="auto"/>
              <w:jc w:val="right"/>
              <w:rPr>
                <w:sz w:val="17"/>
                <w:szCs w:val="17"/>
              </w:rPr>
            </w:pPr>
            <w:r w:rsidRPr="00C51D17">
              <w:rPr>
                <w:sz w:val="17"/>
                <w:szCs w:val="17"/>
              </w:rPr>
              <w:t>0</w:t>
            </w:r>
          </w:p>
        </w:tc>
        <w:tc>
          <w:tcPr>
            <w:tcW w:w="990" w:type="dxa"/>
            <w:tcBorders>
              <w:top w:val="nil"/>
              <w:left w:val="nil"/>
              <w:bottom w:val="nil"/>
              <w:right w:val="nil"/>
            </w:tcBorders>
          </w:tcPr>
          <w:p w14:paraId="40D46FBB" w14:textId="77777777" w:rsidR="004C2126" w:rsidRPr="00C51D17" w:rsidRDefault="004C2126" w:rsidP="002D5472">
            <w:pPr>
              <w:spacing w:line="360" w:lineRule="auto"/>
              <w:jc w:val="right"/>
              <w:rPr>
                <w:sz w:val="17"/>
                <w:szCs w:val="17"/>
              </w:rPr>
            </w:pPr>
            <w:r w:rsidRPr="00C51D17">
              <w:rPr>
                <w:sz w:val="17"/>
                <w:szCs w:val="17"/>
              </w:rPr>
              <w:t>0</w:t>
            </w:r>
          </w:p>
        </w:tc>
        <w:tc>
          <w:tcPr>
            <w:tcW w:w="882" w:type="dxa"/>
            <w:tcBorders>
              <w:top w:val="nil"/>
              <w:left w:val="nil"/>
              <w:bottom w:val="nil"/>
              <w:right w:val="nil"/>
            </w:tcBorders>
          </w:tcPr>
          <w:p w14:paraId="30CF3219" w14:textId="77777777" w:rsidR="004C2126" w:rsidRPr="00C51D17" w:rsidRDefault="004C2126" w:rsidP="002D5472">
            <w:pPr>
              <w:spacing w:line="360" w:lineRule="auto"/>
              <w:jc w:val="right"/>
              <w:rPr>
                <w:sz w:val="17"/>
                <w:szCs w:val="17"/>
              </w:rPr>
            </w:pPr>
            <w:r w:rsidRPr="00C51D17">
              <w:rPr>
                <w:sz w:val="17"/>
                <w:szCs w:val="17"/>
              </w:rPr>
              <w:t>0</w:t>
            </w:r>
          </w:p>
        </w:tc>
      </w:tr>
      <w:tr w:rsidR="00A551EB" w:rsidRPr="00C51D17" w14:paraId="18590614" w14:textId="77777777" w:rsidTr="00BB07FC">
        <w:tc>
          <w:tcPr>
            <w:tcW w:w="720" w:type="dxa"/>
            <w:vMerge/>
            <w:tcBorders>
              <w:top w:val="single" w:sz="12" w:space="0" w:color="auto"/>
              <w:left w:val="nil"/>
              <w:bottom w:val="single" w:sz="4" w:space="0" w:color="auto"/>
              <w:right w:val="nil"/>
            </w:tcBorders>
            <w:vAlign w:val="center"/>
          </w:tcPr>
          <w:p w14:paraId="003FDF53" w14:textId="77777777" w:rsidR="004C2126" w:rsidRPr="00C51D17" w:rsidRDefault="004C2126" w:rsidP="00C76619">
            <w:pPr>
              <w:spacing w:line="360" w:lineRule="auto"/>
              <w:rPr>
                <w:sz w:val="17"/>
                <w:szCs w:val="17"/>
              </w:rPr>
            </w:pPr>
          </w:p>
        </w:tc>
        <w:tc>
          <w:tcPr>
            <w:tcW w:w="3240" w:type="dxa"/>
            <w:tcBorders>
              <w:top w:val="nil"/>
              <w:left w:val="nil"/>
              <w:bottom w:val="nil"/>
              <w:right w:val="nil"/>
            </w:tcBorders>
          </w:tcPr>
          <w:p w14:paraId="2D6717A5" w14:textId="77777777" w:rsidR="004C2126" w:rsidRPr="00C51D17" w:rsidRDefault="004C2126" w:rsidP="005D5FDA">
            <w:pPr>
              <w:spacing w:line="360" w:lineRule="auto"/>
              <w:rPr>
                <w:sz w:val="17"/>
                <w:szCs w:val="17"/>
              </w:rPr>
            </w:pPr>
            <w:r w:rsidRPr="00C51D17">
              <w:rPr>
                <w:sz w:val="17"/>
                <w:szCs w:val="17"/>
              </w:rPr>
              <w:t>Différends familiaux</w:t>
            </w:r>
          </w:p>
        </w:tc>
        <w:tc>
          <w:tcPr>
            <w:tcW w:w="657" w:type="dxa"/>
            <w:tcBorders>
              <w:top w:val="nil"/>
              <w:left w:val="nil"/>
              <w:bottom w:val="nil"/>
              <w:right w:val="nil"/>
            </w:tcBorders>
          </w:tcPr>
          <w:p w14:paraId="6702DA06" w14:textId="77777777" w:rsidR="004C2126" w:rsidRPr="00C51D17" w:rsidRDefault="004C2126" w:rsidP="002D5472">
            <w:pPr>
              <w:spacing w:line="360" w:lineRule="auto"/>
              <w:jc w:val="right"/>
              <w:rPr>
                <w:sz w:val="17"/>
                <w:szCs w:val="17"/>
              </w:rPr>
            </w:pPr>
            <w:r w:rsidRPr="00C51D17">
              <w:rPr>
                <w:sz w:val="17"/>
                <w:szCs w:val="17"/>
              </w:rPr>
              <w:t>69</w:t>
            </w:r>
          </w:p>
        </w:tc>
        <w:tc>
          <w:tcPr>
            <w:tcW w:w="999" w:type="dxa"/>
            <w:tcBorders>
              <w:top w:val="nil"/>
              <w:left w:val="nil"/>
              <w:bottom w:val="nil"/>
              <w:right w:val="nil"/>
            </w:tcBorders>
          </w:tcPr>
          <w:p w14:paraId="73731289" w14:textId="77777777" w:rsidR="004C2126" w:rsidRPr="00C51D17" w:rsidRDefault="004C2126" w:rsidP="002D5472">
            <w:pPr>
              <w:spacing w:line="360" w:lineRule="auto"/>
              <w:jc w:val="right"/>
              <w:rPr>
                <w:sz w:val="17"/>
                <w:szCs w:val="17"/>
              </w:rPr>
            </w:pPr>
            <w:r w:rsidRPr="00C51D17">
              <w:rPr>
                <w:sz w:val="17"/>
                <w:szCs w:val="17"/>
              </w:rPr>
              <w:t>87,3</w:t>
            </w:r>
          </w:p>
        </w:tc>
        <w:tc>
          <w:tcPr>
            <w:tcW w:w="1062" w:type="dxa"/>
            <w:tcBorders>
              <w:top w:val="nil"/>
              <w:left w:val="nil"/>
              <w:bottom w:val="nil"/>
              <w:right w:val="nil"/>
            </w:tcBorders>
          </w:tcPr>
          <w:p w14:paraId="209B035D" w14:textId="77777777" w:rsidR="004C2126" w:rsidRPr="00C51D17" w:rsidRDefault="004C2126" w:rsidP="002D5472">
            <w:pPr>
              <w:spacing w:line="360" w:lineRule="auto"/>
              <w:jc w:val="right"/>
              <w:rPr>
                <w:sz w:val="17"/>
                <w:szCs w:val="17"/>
              </w:rPr>
            </w:pPr>
            <w:r w:rsidRPr="00C51D17">
              <w:rPr>
                <w:sz w:val="17"/>
                <w:szCs w:val="17"/>
              </w:rPr>
              <w:t>10</w:t>
            </w:r>
          </w:p>
        </w:tc>
        <w:tc>
          <w:tcPr>
            <w:tcW w:w="990" w:type="dxa"/>
            <w:tcBorders>
              <w:top w:val="nil"/>
              <w:left w:val="nil"/>
              <w:bottom w:val="nil"/>
              <w:right w:val="nil"/>
            </w:tcBorders>
          </w:tcPr>
          <w:p w14:paraId="75DCC858" w14:textId="77777777" w:rsidR="004C2126" w:rsidRPr="00C51D17" w:rsidRDefault="004C2126" w:rsidP="002D5472">
            <w:pPr>
              <w:spacing w:line="360" w:lineRule="auto"/>
              <w:jc w:val="right"/>
              <w:rPr>
                <w:sz w:val="17"/>
                <w:szCs w:val="17"/>
              </w:rPr>
            </w:pPr>
            <w:r w:rsidRPr="00C51D17">
              <w:rPr>
                <w:sz w:val="17"/>
                <w:szCs w:val="17"/>
              </w:rPr>
              <w:t>12,7</w:t>
            </w:r>
          </w:p>
        </w:tc>
        <w:tc>
          <w:tcPr>
            <w:tcW w:w="882" w:type="dxa"/>
            <w:tcBorders>
              <w:top w:val="nil"/>
              <w:left w:val="nil"/>
              <w:bottom w:val="nil"/>
              <w:right w:val="nil"/>
            </w:tcBorders>
          </w:tcPr>
          <w:p w14:paraId="31FED5B3" w14:textId="77777777" w:rsidR="004C2126" w:rsidRPr="00C51D17" w:rsidRDefault="004C2126" w:rsidP="002D5472">
            <w:pPr>
              <w:spacing w:line="360" w:lineRule="auto"/>
              <w:jc w:val="right"/>
              <w:rPr>
                <w:sz w:val="17"/>
                <w:szCs w:val="17"/>
              </w:rPr>
            </w:pPr>
            <w:r w:rsidRPr="00C51D17">
              <w:rPr>
                <w:sz w:val="17"/>
                <w:szCs w:val="17"/>
              </w:rPr>
              <w:t>79</w:t>
            </w:r>
          </w:p>
        </w:tc>
      </w:tr>
      <w:tr w:rsidR="00A551EB" w:rsidRPr="00C51D17" w14:paraId="30307212" w14:textId="77777777" w:rsidTr="00BB07FC">
        <w:tc>
          <w:tcPr>
            <w:tcW w:w="720" w:type="dxa"/>
            <w:vMerge/>
            <w:tcBorders>
              <w:top w:val="single" w:sz="12" w:space="0" w:color="auto"/>
              <w:left w:val="nil"/>
              <w:bottom w:val="single" w:sz="4" w:space="0" w:color="auto"/>
              <w:right w:val="nil"/>
            </w:tcBorders>
            <w:vAlign w:val="center"/>
          </w:tcPr>
          <w:p w14:paraId="2A4ADCC6" w14:textId="77777777" w:rsidR="004C2126" w:rsidRPr="00C51D17" w:rsidRDefault="004C2126" w:rsidP="00C76619">
            <w:pPr>
              <w:spacing w:line="360" w:lineRule="auto"/>
              <w:rPr>
                <w:sz w:val="17"/>
                <w:szCs w:val="17"/>
              </w:rPr>
            </w:pPr>
          </w:p>
        </w:tc>
        <w:tc>
          <w:tcPr>
            <w:tcW w:w="3240" w:type="dxa"/>
            <w:tcBorders>
              <w:top w:val="nil"/>
              <w:left w:val="nil"/>
              <w:bottom w:val="nil"/>
              <w:right w:val="nil"/>
            </w:tcBorders>
          </w:tcPr>
          <w:p w14:paraId="1504518D" w14:textId="77777777" w:rsidR="004C2126" w:rsidRPr="00C51D17" w:rsidRDefault="004C2126" w:rsidP="005D5FDA">
            <w:pPr>
              <w:spacing w:line="360" w:lineRule="auto"/>
              <w:rPr>
                <w:sz w:val="17"/>
                <w:szCs w:val="17"/>
              </w:rPr>
            </w:pPr>
            <w:r w:rsidRPr="00C51D17">
              <w:rPr>
                <w:sz w:val="17"/>
                <w:szCs w:val="17"/>
              </w:rPr>
              <w:t>Différends entre membres de la société</w:t>
            </w:r>
          </w:p>
        </w:tc>
        <w:tc>
          <w:tcPr>
            <w:tcW w:w="657" w:type="dxa"/>
            <w:tcBorders>
              <w:top w:val="nil"/>
              <w:left w:val="nil"/>
              <w:bottom w:val="nil"/>
              <w:right w:val="nil"/>
            </w:tcBorders>
          </w:tcPr>
          <w:p w14:paraId="61B95BD9" w14:textId="77777777" w:rsidR="004C2126" w:rsidRPr="00C51D17" w:rsidRDefault="004C2126" w:rsidP="002D5472">
            <w:pPr>
              <w:spacing w:line="360" w:lineRule="auto"/>
              <w:jc w:val="right"/>
              <w:rPr>
                <w:sz w:val="17"/>
                <w:szCs w:val="17"/>
              </w:rPr>
            </w:pPr>
            <w:r w:rsidRPr="00C51D17">
              <w:rPr>
                <w:sz w:val="17"/>
                <w:szCs w:val="17"/>
              </w:rPr>
              <w:t>0</w:t>
            </w:r>
          </w:p>
        </w:tc>
        <w:tc>
          <w:tcPr>
            <w:tcW w:w="999" w:type="dxa"/>
            <w:tcBorders>
              <w:top w:val="nil"/>
              <w:left w:val="nil"/>
              <w:bottom w:val="nil"/>
              <w:right w:val="nil"/>
            </w:tcBorders>
          </w:tcPr>
          <w:p w14:paraId="1F057491" w14:textId="77777777" w:rsidR="004C2126" w:rsidRPr="00C51D17" w:rsidRDefault="004C2126" w:rsidP="002D5472">
            <w:pPr>
              <w:spacing w:line="360" w:lineRule="auto"/>
              <w:jc w:val="right"/>
              <w:rPr>
                <w:sz w:val="17"/>
                <w:szCs w:val="17"/>
              </w:rPr>
            </w:pPr>
            <w:r w:rsidRPr="00C51D17">
              <w:rPr>
                <w:sz w:val="17"/>
                <w:szCs w:val="17"/>
              </w:rPr>
              <w:t>0</w:t>
            </w:r>
          </w:p>
        </w:tc>
        <w:tc>
          <w:tcPr>
            <w:tcW w:w="1062" w:type="dxa"/>
            <w:tcBorders>
              <w:top w:val="nil"/>
              <w:left w:val="nil"/>
              <w:bottom w:val="nil"/>
              <w:right w:val="nil"/>
            </w:tcBorders>
          </w:tcPr>
          <w:p w14:paraId="2F55A542" w14:textId="77777777" w:rsidR="004C2126" w:rsidRPr="00C51D17" w:rsidRDefault="004C2126" w:rsidP="002D5472">
            <w:pPr>
              <w:spacing w:line="360" w:lineRule="auto"/>
              <w:jc w:val="right"/>
              <w:rPr>
                <w:sz w:val="17"/>
                <w:szCs w:val="17"/>
              </w:rPr>
            </w:pPr>
            <w:r w:rsidRPr="00C51D17">
              <w:rPr>
                <w:sz w:val="17"/>
                <w:szCs w:val="17"/>
              </w:rPr>
              <w:t>0</w:t>
            </w:r>
          </w:p>
        </w:tc>
        <w:tc>
          <w:tcPr>
            <w:tcW w:w="990" w:type="dxa"/>
            <w:tcBorders>
              <w:top w:val="nil"/>
              <w:left w:val="nil"/>
              <w:bottom w:val="nil"/>
              <w:right w:val="nil"/>
            </w:tcBorders>
          </w:tcPr>
          <w:p w14:paraId="03B1B2DE" w14:textId="77777777" w:rsidR="004C2126" w:rsidRPr="00C51D17" w:rsidRDefault="004C2126" w:rsidP="002D5472">
            <w:pPr>
              <w:spacing w:line="360" w:lineRule="auto"/>
              <w:jc w:val="right"/>
              <w:rPr>
                <w:sz w:val="17"/>
                <w:szCs w:val="17"/>
              </w:rPr>
            </w:pPr>
            <w:r w:rsidRPr="00C51D17">
              <w:rPr>
                <w:sz w:val="17"/>
                <w:szCs w:val="17"/>
              </w:rPr>
              <w:t>0</w:t>
            </w:r>
          </w:p>
        </w:tc>
        <w:tc>
          <w:tcPr>
            <w:tcW w:w="882" w:type="dxa"/>
            <w:tcBorders>
              <w:top w:val="nil"/>
              <w:left w:val="nil"/>
              <w:bottom w:val="nil"/>
              <w:right w:val="nil"/>
            </w:tcBorders>
          </w:tcPr>
          <w:p w14:paraId="5327929D" w14:textId="77777777" w:rsidR="004C2126" w:rsidRPr="00C51D17" w:rsidRDefault="004C2126" w:rsidP="002D5472">
            <w:pPr>
              <w:spacing w:line="360" w:lineRule="auto"/>
              <w:jc w:val="right"/>
              <w:rPr>
                <w:sz w:val="17"/>
                <w:szCs w:val="17"/>
              </w:rPr>
            </w:pPr>
            <w:r w:rsidRPr="00C51D17">
              <w:rPr>
                <w:sz w:val="17"/>
                <w:szCs w:val="17"/>
              </w:rPr>
              <w:t>0</w:t>
            </w:r>
          </w:p>
        </w:tc>
      </w:tr>
      <w:tr w:rsidR="00342A22" w:rsidRPr="00C51D17" w14:paraId="04AD7819" w14:textId="77777777" w:rsidTr="00BB07FC">
        <w:tc>
          <w:tcPr>
            <w:tcW w:w="720" w:type="dxa"/>
            <w:vMerge/>
            <w:tcBorders>
              <w:top w:val="single" w:sz="12" w:space="0" w:color="auto"/>
              <w:left w:val="nil"/>
              <w:bottom w:val="single" w:sz="4" w:space="0" w:color="auto"/>
              <w:right w:val="nil"/>
            </w:tcBorders>
            <w:vAlign w:val="center"/>
          </w:tcPr>
          <w:p w14:paraId="4D94D8A2" w14:textId="77777777" w:rsidR="004C2126" w:rsidRPr="00C51D17" w:rsidRDefault="004C2126" w:rsidP="00C76619">
            <w:pPr>
              <w:spacing w:line="360" w:lineRule="auto"/>
              <w:rPr>
                <w:sz w:val="17"/>
                <w:szCs w:val="17"/>
              </w:rPr>
            </w:pPr>
          </w:p>
        </w:tc>
        <w:tc>
          <w:tcPr>
            <w:tcW w:w="3240" w:type="dxa"/>
            <w:tcBorders>
              <w:top w:val="nil"/>
              <w:left w:val="nil"/>
              <w:bottom w:val="single" w:sz="4" w:space="0" w:color="auto"/>
              <w:right w:val="nil"/>
            </w:tcBorders>
          </w:tcPr>
          <w:p w14:paraId="62478C40" w14:textId="6E76F870" w:rsidR="004C2126" w:rsidRPr="00C51D17" w:rsidRDefault="004C2126" w:rsidP="005D5FDA">
            <w:pPr>
              <w:spacing w:line="360" w:lineRule="auto"/>
              <w:rPr>
                <w:sz w:val="17"/>
                <w:szCs w:val="17"/>
              </w:rPr>
            </w:pPr>
            <w:r w:rsidRPr="00C51D17">
              <w:rPr>
                <w:sz w:val="17"/>
                <w:szCs w:val="17"/>
              </w:rPr>
              <w:t>Différends sur l</w:t>
            </w:r>
            <w:r w:rsidR="00723345" w:rsidRPr="00C51D17">
              <w:rPr>
                <w:sz w:val="17"/>
                <w:szCs w:val="17"/>
              </w:rPr>
              <w:t>’</w:t>
            </w:r>
            <w:r w:rsidRPr="00C51D17">
              <w:rPr>
                <w:sz w:val="17"/>
                <w:szCs w:val="17"/>
              </w:rPr>
              <w:t>éducation des enfants</w:t>
            </w:r>
          </w:p>
        </w:tc>
        <w:tc>
          <w:tcPr>
            <w:tcW w:w="657" w:type="dxa"/>
            <w:tcBorders>
              <w:top w:val="nil"/>
              <w:left w:val="nil"/>
              <w:bottom w:val="single" w:sz="4" w:space="0" w:color="auto"/>
              <w:right w:val="nil"/>
            </w:tcBorders>
          </w:tcPr>
          <w:p w14:paraId="6DDC6570" w14:textId="77777777" w:rsidR="004C2126" w:rsidRPr="00C51D17" w:rsidRDefault="004C2126" w:rsidP="002D5472">
            <w:pPr>
              <w:spacing w:line="360" w:lineRule="auto"/>
              <w:jc w:val="right"/>
              <w:rPr>
                <w:sz w:val="17"/>
                <w:szCs w:val="17"/>
              </w:rPr>
            </w:pPr>
            <w:r w:rsidRPr="00C51D17">
              <w:rPr>
                <w:sz w:val="17"/>
                <w:szCs w:val="17"/>
              </w:rPr>
              <w:t>0</w:t>
            </w:r>
          </w:p>
        </w:tc>
        <w:tc>
          <w:tcPr>
            <w:tcW w:w="999" w:type="dxa"/>
            <w:tcBorders>
              <w:top w:val="nil"/>
              <w:left w:val="nil"/>
              <w:bottom w:val="single" w:sz="4" w:space="0" w:color="auto"/>
              <w:right w:val="nil"/>
            </w:tcBorders>
          </w:tcPr>
          <w:p w14:paraId="3B2C72FF" w14:textId="77777777" w:rsidR="004C2126" w:rsidRPr="00C51D17" w:rsidRDefault="004C2126" w:rsidP="002D5472">
            <w:pPr>
              <w:spacing w:line="360" w:lineRule="auto"/>
              <w:jc w:val="right"/>
              <w:rPr>
                <w:sz w:val="17"/>
                <w:szCs w:val="17"/>
              </w:rPr>
            </w:pPr>
            <w:r w:rsidRPr="00C51D17">
              <w:rPr>
                <w:sz w:val="17"/>
                <w:szCs w:val="17"/>
              </w:rPr>
              <w:t>0</w:t>
            </w:r>
          </w:p>
        </w:tc>
        <w:tc>
          <w:tcPr>
            <w:tcW w:w="1062" w:type="dxa"/>
            <w:tcBorders>
              <w:top w:val="nil"/>
              <w:left w:val="nil"/>
              <w:bottom w:val="single" w:sz="4" w:space="0" w:color="auto"/>
              <w:right w:val="nil"/>
            </w:tcBorders>
          </w:tcPr>
          <w:p w14:paraId="33447D79" w14:textId="77777777" w:rsidR="004C2126" w:rsidRPr="00C51D17" w:rsidRDefault="004C2126" w:rsidP="002D5472">
            <w:pPr>
              <w:spacing w:line="360" w:lineRule="auto"/>
              <w:jc w:val="right"/>
              <w:rPr>
                <w:sz w:val="17"/>
                <w:szCs w:val="17"/>
              </w:rPr>
            </w:pPr>
            <w:r w:rsidRPr="00C51D17">
              <w:rPr>
                <w:sz w:val="17"/>
                <w:szCs w:val="17"/>
              </w:rPr>
              <w:t>0</w:t>
            </w:r>
          </w:p>
        </w:tc>
        <w:tc>
          <w:tcPr>
            <w:tcW w:w="990" w:type="dxa"/>
            <w:tcBorders>
              <w:top w:val="nil"/>
              <w:left w:val="nil"/>
              <w:bottom w:val="single" w:sz="4" w:space="0" w:color="auto"/>
              <w:right w:val="nil"/>
            </w:tcBorders>
          </w:tcPr>
          <w:p w14:paraId="658E66D1" w14:textId="77777777" w:rsidR="004C2126" w:rsidRPr="00C51D17" w:rsidRDefault="004C2126" w:rsidP="002D5472">
            <w:pPr>
              <w:spacing w:line="360" w:lineRule="auto"/>
              <w:jc w:val="right"/>
              <w:rPr>
                <w:sz w:val="17"/>
                <w:szCs w:val="17"/>
              </w:rPr>
            </w:pPr>
            <w:r w:rsidRPr="00C51D17">
              <w:rPr>
                <w:sz w:val="17"/>
                <w:szCs w:val="17"/>
              </w:rPr>
              <w:t>0</w:t>
            </w:r>
          </w:p>
        </w:tc>
        <w:tc>
          <w:tcPr>
            <w:tcW w:w="882" w:type="dxa"/>
            <w:tcBorders>
              <w:top w:val="nil"/>
              <w:left w:val="nil"/>
              <w:bottom w:val="single" w:sz="4" w:space="0" w:color="auto"/>
              <w:right w:val="nil"/>
            </w:tcBorders>
          </w:tcPr>
          <w:p w14:paraId="230B544B" w14:textId="77777777" w:rsidR="004C2126" w:rsidRPr="00C51D17" w:rsidRDefault="004C2126" w:rsidP="002D5472">
            <w:pPr>
              <w:spacing w:line="360" w:lineRule="auto"/>
              <w:jc w:val="right"/>
              <w:rPr>
                <w:sz w:val="17"/>
                <w:szCs w:val="17"/>
              </w:rPr>
            </w:pPr>
            <w:r w:rsidRPr="00C51D17">
              <w:rPr>
                <w:sz w:val="17"/>
                <w:szCs w:val="17"/>
              </w:rPr>
              <w:t>0</w:t>
            </w:r>
          </w:p>
        </w:tc>
      </w:tr>
      <w:tr w:rsidR="004C5362" w:rsidRPr="00C51D17" w14:paraId="7D42A9AC" w14:textId="77777777" w:rsidTr="00BB07FC">
        <w:tc>
          <w:tcPr>
            <w:tcW w:w="720" w:type="dxa"/>
            <w:vMerge/>
            <w:tcBorders>
              <w:top w:val="single" w:sz="12" w:space="0" w:color="auto"/>
              <w:left w:val="nil"/>
              <w:bottom w:val="single" w:sz="4" w:space="0" w:color="auto"/>
              <w:right w:val="nil"/>
            </w:tcBorders>
            <w:vAlign w:val="center"/>
          </w:tcPr>
          <w:p w14:paraId="0DE50910" w14:textId="77777777" w:rsidR="004C2126" w:rsidRPr="00C51D17" w:rsidRDefault="004C2126" w:rsidP="00C76619">
            <w:pPr>
              <w:spacing w:line="360" w:lineRule="auto"/>
              <w:rPr>
                <w:sz w:val="17"/>
                <w:szCs w:val="17"/>
              </w:rPr>
            </w:pPr>
          </w:p>
        </w:tc>
        <w:tc>
          <w:tcPr>
            <w:tcW w:w="3240" w:type="dxa"/>
            <w:tcBorders>
              <w:top w:val="single" w:sz="4" w:space="0" w:color="auto"/>
              <w:left w:val="nil"/>
              <w:bottom w:val="single" w:sz="4" w:space="0" w:color="auto"/>
              <w:right w:val="nil"/>
            </w:tcBorders>
          </w:tcPr>
          <w:p w14:paraId="26996436" w14:textId="3D85B7AD" w:rsidR="004C2126" w:rsidRPr="00C51D17" w:rsidRDefault="00DA378B" w:rsidP="00DA378B">
            <w:pPr>
              <w:spacing w:before="81" w:after="81" w:line="210" w:lineRule="exact"/>
              <w:rPr>
                <w:b/>
                <w:sz w:val="17"/>
                <w:szCs w:val="17"/>
              </w:rPr>
            </w:pPr>
            <w:r w:rsidRPr="00C51D17">
              <w:rPr>
                <w:b/>
                <w:sz w:val="17"/>
                <w:szCs w:val="17"/>
              </w:rPr>
              <w:tab/>
            </w:r>
            <w:r w:rsidR="004C2126" w:rsidRPr="00C51D17">
              <w:rPr>
                <w:b/>
                <w:sz w:val="17"/>
                <w:szCs w:val="17"/>
              </w:rPr>
              <w:t xml:space="preserve">Total </w:t>
            </w:r>
          </w:p>
        </w:tc>
        <w:tc>
          <w:tcPr>
            <w:tcW w:w="657" w:type="dxa"/>
            <w:tcBorders>
              <w:top w:val="single" w:sz="4" w:space="0" w:color="auto"/>
              <w:left w:val="nil"/>
              <w:bottom w:val="single" w:sz="4" w:space="0" w:color="auto"/>
              <w:right w:val="nil"/>
            </w:tcBorders>
          </w:tcPr>
          <w:p w14:paraId="65A62456" w14:textId="77777777" w:rsidR="004C2126" w:rsidRPr="00C51D17" w:rsidRDefault="004C2126" w:rsidP="002D5472">
            <w:pPr>
              <w:spacing w:before="81" w:after="81" w:line="210" w:lineRule="exact"/>
              <w:jc w:val="right"/>
              <w:rPr>
                <w:b/>
                <w:sz w:val="17"/>
                <w:szCs w:val="17"/>
              </w:rPr>
            </w:pPr>
            <w:r w:rsidRPr="00C51D17">
              <w:rPr>
                <w:b/>
                <w:sz w:val="17"/>
                <w:szCs w:val="17"/>
              </w:rPr>
              <w:t>536</w:t>
            </w:r>
          </w:p>
        </w:tc>
        <w:tc>
          <w:tcPr>
            <w:tcW w:w="999" w:type="dxa"/>
            <w:tcBorders>
              <w:top w:val="single" w:sz="4" w:space="0" w:color="auto"/>
              <w:left w:val="nil"/>
              <w:bottom w:val="single" w:sz="4" w:space="0" w:color="auto"/>
              <w:right w:val="nil"/>
            </w:tcBorders>
          </w:tcPr>
          <w:p w14:paraId="31CCE457" w14:textId="77777777" w:rsidR="004C2126" w:rsidRPr="00C51D17" w:rsidRDefault="004C2126" w:rsidP="002D5472">
            <w:pPr>
              <w:spacing w:before="81" w:after="81" w:line="210" w:lineRule="exact"/>
              <w:jc w:val="right"/>
              <w:rPr>
                <w:b/>
                <w:sz w:val="17"/>
                <w:szCs w:val="17"/>
              </w:rPr>
            </w:pPr>
            <w:r w:rsidRPr="00C51D17">
              <w:rPr>
                <w:b/>
                <w:sz w:val="17"/>
                <w:szCs w:val="17"/>
              </w:rPr>
              <w:t>82,2</w:t>
            </w:r>
          </w:p>
        </w:tc>
        <w:tc>
          <w:tcPr>
            <w:tcW w:w="1062" w:type="dxa"/>
            <w:tcBorders>
              <w:top w:val="single" w:sz="4" w:space="0" w:color="auto"/>
              <w:left w:val="nil"/>
              <w:bottom w:val="single" w:sz="4" w:space="0" w:color="auto"/>
              <w:right w:val="nil"/>
            </w:tcBorders>
          </w:tcPr>
          <w:p w14:paraId="1C60A311" w14:textId="77777777" w:rsidR="004C2126" w:rsidRPr="00C51D17" w:rsidRDefault="004C2126" w:rsidP="002D5472">
            <w:pPr>
              <w:spacing w:before="81" w:after="81" w:line="210" w:lineRule="exact"/>
              <w:jc w:val="right"/>
              <w:rPr>
                <w:b/>
                <w:sz w:val="17"/>
                <w:szCs w:val="17"/>
              </w:rPr>
            </w:pPr>
            <w:r w:rsidRPr="00C51D17">
              <w:rPr>
                <w:b/>
                <w:sz w:val="17"/>
                <w:szCs w:val="17"/>
              </w:rPr>
              <w:t>116</w:t>
            </w:r>
          </w:p>
        </w:tc>
        <w:tc>
          <w:tcPr>
            <w:tcW w:w="990" w:type="dxa"/>
            <w:tcBorders>
              <w:top w:val="single" w:sz="4" w:space="0" w:color="auto"/>
              <w:left w:val="nil"/>
              <w:bottom w:val="single" w:sz="4" w:space="0" w:color="auto"/>
              <w:right w:val="nil"/>
            </w:tcBorders>
          </w:tcPr>
          <w:p w14:paraId="425C8543" w14:textId="77777777" w:rsidR="004C2126" w:rsidRPr="00C51D17" w:rsidRDefault="004C2126" w:rsidP="002D5472">
            <w:pPr>
              <w:spacing w:before="81" w:after="81" w:line="210" w:lineRule="exact"/>
              <w:jc w:val="right"/>
              <w:rPr>
                <w:b/>
                <w:sz w:val="17"/>
                <w:szCs w:val="17"/>
              </w:rPr>
            </w:pPr>
            <w:r w:rsidRPr="00C51D17">
              <w:rPr>
                <w:b/>
                <w:sz w:val="17"/>
                <w:szCs w:val="17"/>
              </w:rPr>
              <w:t>17,8</w:t>
            </w:r>
          </w:p>
        </w:tc>
        <w:tc>
          <w:tcPr>
            <w:tcW w:w="882" w:type="dxa"/>
            <w:tcBorders>
              <w:top w:val="single" w:sz="4" w:space="0" w:color="auto"/>
              <w:left w:val="nil"/>
              <w:bottom w:val="single" w:sz="4" w:space="0" w:color="auto"/>
            </w:tcBorders>
          </w:tcPr>
          <w:p w14:paraId="72713D1E" w14:textId="77777777" w:rsidR="004C2126" w:rsidRPr="00C51D17" w:rsidRDefault="004C2126" w:rsidP="002D5472">
            <w:pPr>
              <w:spacing w:before="81" w:after="81" w:line="210" w:lineRule="exact"/>
              <w:jc w:val="right"/>
              <w:rPr>
                <w:b/>
                <w:sz w:val="17"/>
                <w:szCs w:val="17"/>
              </w:rPr>
            </w:pPr>
            <w:r w:rsidRPr="00C51D17">
              <w:rPr>
                <w:b/>
                <w:sz w:val="17"/>
                <w:szCs w:val="17"/>
              </w:rPr>
              <w:t>652</w:t>
            </w:r>
          </w:p>
        </w:tc>
      </w:tr>
      <w:tr w:rsidR="00A551EB" w:rsidRPr="00C51D17" w14:paraId="7AAABE23" w14:textId="77777777" w:rsidTr="00BB07FC">
        <w:tc>
          <w:tcPr>
            <w:tcW w:w="720" w:type="dxa"/>
            <w:vMerge w:val="restart"/>
            <w:tcBorders>
              <w:top w:val="single" w:sz="4" w:space="0" w:color="auto"/>
              <w:left w:val="nil"/>
              <w:bottom w:val="single" w:sz="12" w:space="0" w:color="auto"/>
              <w:right w:val="nil"/>
            </w:tcBorders>
            <w:vAlign w:val="center"/>
          </w:tcPr>
          <w:p w14:paraId="01741C68" w14:textId="77777777" w:rsidR="004C2126" w:rsidRPr="00C51D17" w:rsidRDefault="004C2126" w:rsidP="00C76619">
            <w:pPr>
              <w:spacing w:line="360" w:lineRule="auto"/>
              <w:rPr>
                <w:sz w:val="17"/>
                <w:szCs w:val="17"/>
              </w:rPr>
            </w:pPr>
            <w:r w:rsidRPr="00C51D17">
              <w:rPr>
                <w:sz w:val="17"/>
                <w:szCs w:val="17"/>
              </w:rPr>
              <w:t>2018</w:t>
            </w:r>
          </w:p>
        </w:tc>
        <w:tc>
          <w:tcPr>
            <w:tcW w:w="3240" w:type="dxa"/>
            <w:tcBorders>
              <w:top w:val="single" w:sz="4" w:space="0" w:color="auto"/>
              <w:left w:val="nil"/>
              <w:bottom w:val="nil"/>
              <w:right w:val="nil"/>
            </w:tcBorders>
          </w:tcPr>
          <w:p w14:paraId="5E726B11" w14:textId="77777777" w:rsidR="004C2126" w:rsidRPr="00C51D17" w:rsidRDefault="004C2126" w:rsidP="005D5FDA">
            <w:pPr>
              <w:spacing w:line="360" w:lineRule="auto"/>
              <w:rPr>
                <w:sz w:val="17"/>
                <w:szCs w:val="17"/>
              </w:rPr>
            </w:pPr>
            <w:r w:rsidRPr="00C51D17">
              <w:rPr>
                <w:sz w:val="17"/>
                <w:szCs w:val="17"/>
              </w:rPr>
              <w:t>Différends conjugaux</w:t>
            </w:r>
          </w:p>
        </w:tc>
        <w:tc>
          <w:tcPr>
            <w:tcW w:w="657" w:type="dxa"/>
            <w:tcBorders>
              <w:top w:val="single" w:sz="4" w:space="0" w:color="auto"/>
              <w:left w:val="nil"/>
              <w:bottom w:val="nil"/>
              <w:right w:val="nil"/>
            </w:tcBorders>
          </w:tcPr>
          <w:p w14:paraId="6682483C" w14:textId="77777777" w:rsidR="004C2126" w:rsidRPr="00C51D17" w:rsidRDefault="004C2126" w:rsidP="002D5472">
            <w:pPr>
              <w:spacing w:line="360" w:lineRule="auto"/>
              <w:jc w:val="right"/>
              <w:rPr>
                <w:sz w:val="17"/>
                <w:szCs w:val="17"/>
              </w:rPr>
            </w:pPr>
            <w:r w:rsidRPr="00C51D17">
              <w:rPr>
                <w:sz w:val="17"/>
                <w:szCs w:val="17"/>
              </w:rPr>
              <w:t>710</w:t>
            </w:r>
          </w:p>
        </w:tc>
        <w:tc>
          <w:tcPr>
            <w:tcW w:w="999" w:type="dxa"/>
            <w:tcBorders>
              <w:top w:val="single" w:sz="4" w:space="0" w:color="auto"/>
              <w:left w:val="nil"/>
              <w:bottom w:val="nil"/>
              <w:right w:val="nil"/>
            </w:tcBorders>
          </w:tcPr>
          <w:p w14:paraId="2F1A2208" w14:textId="77777777" w:rsidR="004C2126" w:rsidRPr="00C51D17" w:rsidRDefault="004C2126" w:rsidP="002D5472">
            <w:pPr>
              <w:spacing w:line="360" w:lineRule="auto"/>
              <w:jc w:val="right"/>
              <w:rPr>
                <w:sz w:val="17"/>
                <w:szCs w:val="17"/>
              </w:rPr>
            </w:pPr>
            <w:r w:rsidRPr="00C51D17">
              <w:rPr>
                <w:sz w:val="17"/>
                <w:szCs w:val="17"/>
              </w:rPr>
              <w:t>88,3</w:t>
            </w:r>
          </w:p>
        </w:tc>
        <w:tc>
          <w:tcPr>
            <w:tcW w:w="1062" w:type="dxa"/>
            <w:tcBorders>
              <w:top w:val="single" w:sz="4" w:space="0" w:color="auto"/>
              <w:left w:val="nil"/>
              <w:bottom w:val="nil"/>
              <w:right w:val="nil"/>
            </w:tcBorders>
          </w:tcPr>
          <w:p w14:paraId="18984687" w14:textId="77777777" w:rsidR="004C2126" w:rsidRPr="00C51D17" w:rsidRDefault="004C2126" w:rsidP="002D5472">
            <w:pPr>
              <w:spacing w:line="360" w:lineRule="auto"/>
              <w:jc w:val="right"/>
              <w:rPr>
                <w:sz w:val="17"/>
                <w:szCs w:val="17"/>
              </w:rPr>
            </w:pPr>
            <w:r w:rsidRPr="00C51D17">
              <w:rPr>
                <w:sz w:val="17"/>
                <w:szCs w:val="17"/>
              </w:rPr>
              <w:t>94</w:t>
            </w:r>
          </w:p>
        </w:tc>
        <w:tc>
          <w:tcPr>
            <w:tcW w:w="990" w:type="dxa"/>
            <w:tcBorders>
              <w:top w:val="single" w:sz="4" w:space="0" w:color="auto"/>
              <w:left w:val="nil"/>
              <w:bottom w:val="nil"/>
              <w:right w:val="nil"/>
            </w:tcBorders>
          </w:tcPr>
          <w:p w14:paraId="24D676AC" w14:textId="77777777" w:rsidR="004C2126" w:rsidRPr="00C51D17" w:rsidRDefault="004C2126" w:rsidP="002D5472">
            <w:pPr>
              <w:spacing w:line="360" w:lineRule="auto"/>
              <w:jc w:val="right"/>
              <w:rPr>
                <w:sz w:val="17"/>
                <w:szCs w:val="17"/>
              </w:rPr>
            </w:pPr>
            <w:r w:rsidRPr="00C51D17">
              <w:rPr>
                <w:sz w:val="17"/>
                <w:szCs w:val="17"/>
              </w:rPr>
              <w:t>11,7</w:t>
            </w:r>
          </w:p>
        </w:tc>
        <w:tc>
          <w:tcPr>
            <w:tcW w:w="882" w:type="dxa"/>
            <w:tcBorders>
              <w:top w:val="single" w:sz="4" w:space="0" w:color="auto"/>
              <w:left w:val="nil"/>
              <w:bottom w:val="nil"/>
              <w:right w:val="nil"/>
            </w:tcBorders>
          </w:tcPr>
          <w:p w14:paraId="52935EDA" w14:textId="77777777" w:rsidR="004C2126" w:rsidRPr="00C51D17" w:rsidRDefault="004C2126" w:rsidP="002D5472">
            <w:pPr>
              <w:spacing w:line="360" w:lineRule="auto"/>
              <w:jc w:val="right"/>
              <w:rPr>
                <w:sz w:val="17"/>
                <w:szCs w:val="17"/>
              </w:rPr>
            </w:pPr>
            <w:r w:rsidRPr="00C51D17">
              <w:rPr>
                <w:sz w:val="17"/>
                <w:szCs w:val="17"/>
              </w:rPr>
              <w:t>804</w:t>
            </w:r>
          </w:p>
        </w:tc>
      </w:tr>
      <w:tr w:rsidR="00B2132C" w:rsidRPr="00C51D17" w14:paraId="5350D9F7" w14:textId="77777777" w:rsidTr="00BB07FC">
        <w:tc>
          <w:tcPr>
            <w:tcW w:w="720" w:type="dxa"/>
            <w:vMerge/>
            <w:tcBorders>
              <w:top w:val="single" w:sz="12" w:space="0" w:color="auto"/>
              <w:left w:val="nil"/>
              <w:bottom w:val="single" w:sz="12" w:space="0" w:color="auto"/>
              <w:right w:val="nil"/>
            </w:tcBorders>
          </w:tcPr>
          <w:p w14:paraId="034D48F8" w14:textId="77777777" w:rsidR="004C2126" w:rsidRPr="00C51D17" w:rsidRDefault="004C2126" w:rsidP="00BB07FC">
            <w:pPr>
              <w:spacing w:line="360" w:lineRule="auto"/>
              <w:jc w:val="center"/>
              <w:rPr>
                <w:sz w:val="17"/>
                <w:szCs w:val="17"/>
              </w:rPr>
            </w:pPr>
          </w:p>
        </w:tc>
        <w:tc>
          <w:tcPr>
            <w:tcW w:w="3240" w:type="dxa"/>
            <w:tcBorders>
              <w:top w:val="nil"/>
              <w:left w:val="nil"/>
              <w:bottom w:val="nil"/>
              <w:right w:val="nil"/>
            </w:tcBorders>
          </w:tcPr>
          <w:p w14:paraId="46F4F622" w14:textId="6525DF8A" w:rsidR="004C2126" w:rsidRPr="00C51D17" w:rsidRDefault="004C2126" w:rsidP="005D5FDA">
            <w:pPr>
              <w:spacing w:line="360" w:lineRule="auto"/>
              <w:rPr>
                <w:sz w:val="17"/>
                <w:szCs w:val="17"/>
              </w:rPr>
            </w:pPr>
            <w:r w:rsidRPr="00C51D17">
              <w:rPr>
                <w:sz w:val="17"/>
                <w:szCs w:val="17"/>
              </w:rPr>
              <w:t>Consultations en vue d</w:t>
            </w:r>
            <w:r w:rsidR="00723345" w:rsidRPr="00C51D17">
              <w:rPr>
                <w:sz w:val="17"/>
                <w:szCs w:val="17"/>
              </w:rPr>
              <w:t>’</w:t>
            </w:r>
            <w:r w:rsidRPr="00C51D17">
              <w:rPr>
                <w:sz w:val="17"/>
                <w:szCs w:val="17"/>
              </w:rPr>
              <w:t>un divorce</w:t>
            </w:r>
          </w:p>
        </w:tc>
        <w:tc>
          <w:tcPr>
            <w:tcW w:w="657" w:type="dxa"/>
            <w:tcBorders>
              <w:top w:val="nil"/>
              <w:left w:val="nil"/>
              <w:bottom w:val="nil"/>
              <w:right w:val="nil"/>
            </w:tcBorders>
          </w:tcPr>
          <w:p w14:paraId="3E935E5B" w14:textId="77777777" w:rsidR="004C2126" w:rsidRPr="00C51D17" w:rsidRDefault="004C2126" w:rsidP="002D5472">
            <w:pPr>
              <w:spacing w:line="360" w:lineRule="auto"/>
              <w:jc w:val="right"/>
              <w:rPr>
                <w:sz w:val="17"/>
                <w:szCs w:val="17"/>
              </w:rPr>
            </w:pPr>
            <w:r w:rsidRPr="00C51D17">
              <w:rPr>
                <w:sz w:val="17"/>
                <w:szCs w:val="17"/>
              </w:rPr>
              <w:t>0</w:t>
            </w:r>
          </w:p>
        </w:tc>
        <w:tc>
          <w:tcPr>
            <w:tcW w:w="999" w:type="dxa"/>
            <w:tcBorders>
              <w:top w:val="nil"/>
              <w:left w:val="nil"/>
              <w:bottom w:val="nil"/>
              <w:right w:val="nil"/>
            </w:tcBorders>
          </w:tcPr>
          <w:p w14:paraId="36979809" w14:textId="77777777" w:rsidR="004C2126" w:rsidRPr="00C51D17" w:rsidRDefault="004C2126" w:rsidP="002D5472">
            <w:pPr>
              <w:spacing w:line="360" w:lineRule="auto"/>
              <w:jc w:val="right"/>
              <w:rPr>
                <w:sz w:val="17"/>
                <w:szCs w:val="17"/>
              </w:rPr>
            </w:pPr>
            <w:r w:rsidRPr="00C51D17">
              <w:rPr>
                <w:sz w:val="17"/>
                <w:szCs w:val="17"/>
              </w:rPr>
              <w:t>0</w:t>
            </w:r>
          </w:p>
        </w:tc>
        <w:tc>
          <w:tcPr>
            <w:tcW w:w="1062" w:type="dxa"/>
            <w:tcBorders>
              <w:top w:val="nil"/>
              <w:left w:val="nil"/>
              <w:bottom w:val="nil"/>
              <w:right w:val="nil"/>
            </w:tcBorders>
          </w:tcPr>
          <w:p w14:paraId="70B055FA" w14:textId="77777777" w:rsidR="004C2126" w:rsidRPr="00C51D17" w:rsidRDefault="004C2126" w:rsidP="002D5472">
            <w:pPr>
              <w:spacing w:line="360" w:lineRule="auto"/>
              <w:jc w:val="right"/>
              <w:rPr>
                <w:sz w:val="17"/>
                <w:szCs w:val="17"/>
              </w:rPr>
            </w:pPr>
            <w:r w:rsidRPr="00C51D17">
              <w:rPr>
                <w:sz w:val="17"/>
                <w:szCs w:val="17"/>
              </w:rPr>
              <w:t>0</w:t>
            </w:r>
          </w:p>
        </w:tc>
        <w:tc>
          <w:tcPr>
            <w:tcW w:w="990" w:type="dxa"/>
            <w:tcBorders>
              <w:top w:val="nil"/>
              <w:left w:val="nil"/>
              <w:bottom w:val="nil"/>
              <w:right w:val="nil"/>
            </w:tcBorders>
          </w:tcPr>
          <w:p w14:paraId="37DF4750" w14:textId="77777777" w:rsidR="004C2126" w:rsidRPr="00C51D17" w:rsidRDefault="004C2126" w:rsidP="002D5472">
            <w:pPr>
              <w:spacing w:line="360" w:lineRule="auto"/>
              <w:jc w:val="right"/>
              <w:rPr>
                <w:sz w:val="17"/>
                <w:szCs w:val="17"/>
              </w:rPr>
            </w:pPr>
            <w:r w:rsidRPr="00C51D17">
              <w:rPr>
                <w:sz w:val="17"/>
                <w:szCs w:val="17"/>
              </w:rPr>
              <w:t>0</w:t>
            </w:r>
          </w:p>
        </w:tc>
        <w:tc>
          <w:tcPr>
            <w:tcW w:w="882" w:type="dxa"/>
            <w:tcBorders>
              <w:top w:val="nil"/>
              <w:left w:val="nil"/>
              <w:bottom w:val="nil"/>
              <w:right w:val="nil"/>
            </w:tcBorders>
          </w:tcPr>
          <w:p w14:paraId="0BBFACB2" w14:textId="77777777" w:rsidR="004C2126" w:rsidRPr="00C51D17" w:rsidRDefault="004C2126" w:rsidP="002D5472">
            <w:pPr>
              <w:spacing w:line="360" w:lineRule="auto"/>
              <w:jc w:val="right"/>
              <w:rPr>
                <w:sz w:val="17"/>
                <w:szCs w:val="17"/>
              </w:rPr>
            </w:pPr>
            <w:r w:rsidRPr="00C51D17">
              <w:rPr>
                <w:sz w:val="17"/>
                <w:szCs w:val="17"/>
              </w:rPr>
              <w:t>0</w:t>
            </w:r>
          </w:p>
        </w:tc>
      </w:tr>
      <w:tr w:rsidR="00B2132C" w:rsidRPr="00C51D17" w14:paraId="2FA18EEE" w14:textId="77777777" w:rsidTr="00BB07FC">
        <w:tc>
          <w:tcPr>
            <w:tcW w:w="720" w:type="dxa"/>
            <w:vMerge/>
            <w:tcBorders>
              <w:top w:val="single" w:sz="12" w:space="0" w:color="auto"/>
              <w:left w:val="nil"/>
              <w:bottom w:val="single" w:sz="12" w:space="0" w:color="auto"/>
              <w:right w:val="nil"/>
            </w:tcBorders>
          </w:tcPr>
          <w:p w14:paraId="5FC6C680" w14:textId="77777777" w:rsidR="004C2126" w:rsidRPr="00C51D17" w:rsidRDefault="004C2126" w:rsidP="00BB07FC">
            <w:pPr>
              <w:spacing w:line="360" w:lineRule="auto"/>
              <w:jc w:val="center"/>
              <w:rPr>
                <w:sz w:val="17"/>
                <w:szCs w:val="17"/>
              </w:rPr>
            </w:pPr>
          </w:p>
        </w:tc>
        <w:tc>
          <w:tcPr>
            <w:tcW w:w="3240" w:type="dxa"/>
            <w:tcBorders>
              <w:top w:val="nil"/>
              <w:left w:val="nil"/>
              <w:bottom w:val="nil"/>
              <w:right w:val="nil"/>
            </w:tcBorders>
          </w:tcPr>
          <w:p w14:paraId="67B9FA4F" w14:textId="77777777" w:rsidR="004C2126" w:rsidRPr="00C51D17" w:rsidRDefault="004C2126" w:rsidP="005D5FDA">
            <w:pPr>
              <w:spacing w:line="360" w:lineRule="auto"/>
              <w:rPr>
                <w:sz w:val="17"/>
                <w:szCs w:val="17"/>
              </w:rPr>
            </w:pPr>
            <w:r w:rsidRPr="00C51D17">
              <w:rPr>
                <w:sz w:val="17"/>
                <w:szCs w:val="17"/>
              </w:rPr>
              <w:t>Différends familiaux</w:t>
            </w:r>
          </w:p>
        </w:tc>
        <w:tc>
          <w:tcPr>
            <w:tcW w:w="657" w:type="dxa"/>
            <w:tcBorders>
              <w:top w:val="nil"/>
              <w:left w:val="nil"/>
              <w:bottom w:val="nil"/>
              <w:right w:val="nil"/>
            </w:tcBorders>
          </w:tcPr>
          <w:p w14:paraId="64C4926C" w14:textId="77777777" w:rsidR="004C2126" w:rsidRPr="00C51D17" w:rsidRDefault="004C2126" w:rsidP="002D5472">
            <w:pPr>
              <w:spacing w:line="360" w:lineRule="auto"/>
              <w:jc w:val="right"/>
              <w:rPr>
                <w:sz w:val="17"/>
                <w:szCs w:val="17"/>
              </w:rPr>
            </w:pPr>
            <w:r w:rsidRPr="00C51D17">
              <w:rPr>
                <w:sz w:val="17"/>
                <w:szCs w:val="17"/>
              </w:rPr>
              <w:t>118</w:t>
            </w:r>
          </w:p>
        </w:tc>
        <w:tc>
          <w:tcPr>
            <w:tcW w:w="999" w:type="dxa"/>
            <w:tcBorders>
              <w:top w:val="nil"/>
              <w:left w:val="nil"/>
              <w:bottom w:val="nil"/>
              <w:right w:val="nil"/>
            </w:tcBorders>
          </w:tcPr>
          <w:p w14:paraId="64321E63" w14:textId="77777777" w:rsidR="004C2126" w:rsidRPr="00C51D17" w:rsidRDefault="004C2126" w:rsidP="002D5472">
            <w:pPr>
              <w:spacing w:line="360" w:lineRule="auto"/>
              <w:jc w:val="right"/>
              <w:rPr>
                <w:sz w:val="17"/>
                <w:szCs w:val="17"/>
              </w:rPr>
            </w:pPr>
            <w:r w:rsidRPr="00C51D17">
              <w:rPr>
                <w:sz w:val="17"/>
                <w:szCs w:val="17"/>
              </w:rPr>
              <w:t>90,1</w:t>
            </w:r>
          </w:p>
        </w:tc>
        <w:tc>
          <w:tcPr>
            <w:tcW w:w="1062" w:type="dxa"/>
            <w:tcBorders>
              <w:top w:val="nil"/>
              <w:left w:val="nil"/>
              <w:bottom w:val="nil"/>
              <w:right w:val="nil"/>
            </w:tcBorders>
          </w:tcPr>
          <w:p w14:paraId="71C49E0B" w14:textId="77777777" w:rsidR="004C2126" w:rsidRPr="00C51D17" w:rsidRDefault="004C2126" w:rsidP="002D5472">
            <w:pPr>
              <w:spacing w:line="360" w:lineRule="auto"/>
              <w:jc w:val="right"/>
              <w:rPr>
                <w:sz w:val="17"/>
                <w:szCs w:val="17"/>
              </w:rPr>
            </w:pPr>
            <w:r w:rsidRPr="00C51D17">
              <w:rPr>
                <w:sz w:val="17"/>
                <w:szCs w:val="17"/>
              </w:rPr>
              <w:t>13</w:t>
            </w:r>
          </w:p>
        </w:tc>
        <w:tc>
          <w:tcPr>
            <w:tcW w:w="990" w:type="dxa"/>
            <w:tcBorders>
              <w:top w:val="nil"/>
              <w:left w:val="nil"/>
              <w:bottom w:val="nil"/>
              <w:right w:val="nil"/>
            </w:tcBorders>
          </w:tcPr>
          <w:p w14:paraId="1EF00349" w14:textId="77777777" w:rsidR="004C2126" w:rsidRPr="00C51D17" w:rsidRDefault="004C2126" w:rsidP="002D5472">
            <w:pPr>
              <w:spacing w:line="360" w:lineRule="auto"/>
              <w:jc w:val="right"/>
              <w:rPr>
                <w:sz w:val="17"/>
                <w:szCs w:val="17"/>
              </w:rPr>
            </w:pPr>
            <w:r w:rsidRPr="00C51D17">
              <w:rPr>
                <w:sz w:val="17"/>
                <w:szCs w:val="17"/>
              </w:rPr>
              <w:t>9,9</w:t>
            </w:r>
          </w:p>
        </w:tc>
        <w:tc>
          <w:tcPr>
            <w:tcW w:w="882" w:type="dxa"/>
            <w:tcBorders>
              <w:top w:val="nil"/>
              <w:left w:val="nil"/>
              <w:bottom w:val="nil"/>
              <w:right w:val="nil"/>
            </w:tcBorders>
          </w:tcPr>
          <w:p w14:paraId="78BAC196" w14:textId="77777777" w:rsidR="004C2126" w:rsidRPr="00C51D17" w:rsidRDefault="004C2126" w:rsidP="002D5472">
            <w:pPr>
              <w:spacing w:line="360" w:lineRule="auto"/>
              <w:jc w:val="right"/>
              <w:rPr>
                <w:sz w:val="17"/>
                <w:szCs w:val="17"/>
              </w:rPr>
            </w:pPr>
            <w:r w:rsidRPr="00C51D17">
              <w:rPr>
                <w:sz w:val="17"/>
                <w:szCs w:val="17"/>
              </w:rPr>
              <w:t>131</w:t>
            </w:r>
          </w:p>
        </w:tc>
      </w:tr>
      <w:tr w:rsidR="00B2132C" w:rsidRPr="00C51D17" w14:paraId="7935AEDE" w14:textId="77777777" w:rsidTr="00BB07FC">
        <w:tc>
          <w:tcPr>
            <w:tcW w:w="720" w:type="dxa"/>
            <w:vMerge/>
            <w:tcBorders>
              <w:top w:val="single" w:sz="12" w:space="0" w:color="auto"/>
              <w:left w:val="nil"/>
              <w:bottom w:val="single" w:sz="12" w:space="0" w:color="auto"/>
              <w:right w:val="nil"/>
            </w:tcBorders>
          </w:tcPr>
          <w:p w14:paraId="63F5089D" w14:textId="77777777" w:rsidR="004C2126" w:rsidRPr="00C51D17" w:rsidRDefault="004C2126" w:rsidP="00BB07FC">
            <w:pPr>
              <w:spacing w:line="360" w:lineRule="auto"/>
              <w:jc w:val="center"/>
              <w:rPr>
                <w:sz w:val="17"/>
                <w:szCs w:val="17"/>
              </w:rPr>
            </w:pPr>
          </w:p>
        </w:tc>
        <w:tc>
          <w:tcPr>
            <w:tcW w:w="3240" w:type="dxa"/>
            <w:tcBorders>
              <w:top w:val="nil"/>
              <w:left w:val="nil"/>
              <w:bottom w:val="nil"/>
              <w:right w:val="nil"/>
            </w:tcBorders>
          </w:tcPr>
          <w:p w14:paraId="4A586C2A" w14:textId="77777777" w:rsidR="004C2126" w:rsidRPr="00C51D17" w:rsidRDefault="004C2126" w:rsidP="005D5FDA">
            <w:pPr>
              <w:spacing w:line="360" w:lineRule="auto"/>
              <w:rPr>
                <w:sz w:val="17"/>
                <w:szCs w:val="17"/>
              </w:rPr>
            </w:pPr>
            <w:r w:rsidRPr="00C51D17">
              <w:rPr>
                <w:sz w:val="17"/>
                <w:szCs w:val="17"/>
              </w:rPr>
              <w:t>Différends entre membres de la société</w:t>
            </w:r>
          </w:p>
        </w:tc>
        <w:tc>
          <w:tcPr>
            <w:tcW w:w="657" w:type="dxa"/>
            <w:tcBorders>
              <w:top w:val="nil"/>
              <w:left w:val="nil"/>
              <w:bottom w:val="nil"/>
              <w:right w:val="nil"/>
            </w:tcBorders>
          </w:tcPr>
          <w:p w14:paraId="3D3A6E23" w14:textId="77777777" w:rsidR="004C2126" w:rsidRPr="00C51D17" w:rsidRDefault="004C2126" w:rsidP="002D5472">
            <w:pPr>
              <w:spacing w:line="360" w:lineRule="auto"/>
              <w:jc w:val="right"/>
              <w:rPr>
                <w:sz w:val="17"/>
                <w:szCs w:val="17"/>
              </w:rPr>
            </w:pPr>
            <w:r w:rsidRPr="00C51D17">
              <w:rPr>
                <w:sz w:val="17"/>
                <w:szCs w:val="17"/>
              </w:rPr>
              <w:t>0</w:t>
            </w:r>
          </w:p>
        </w:tc>
        <w:tc>
          <w:tcPr>
            <w:tcW w:w="999" w:type="dxa"/>
            <w:tcBorders>
              <w:top w:val="nil"/>
              <w:left w:val="nil"/>
              <w:bottom w:val="nil"/>
              <w:right w:val="nil"/>
            </w:tcBorders>
          </w:tcPr>
          <w:p w14:paraId="059FF741" w14:textId="77777777" w:rsidR="004C2126" w:rsidRPr="00C51D17" w:rsidRDefault="004C2126" w:rsidP="002D5472">
            <w:pPr>
              <w:spacing w:line="360" w:lineRule="auto"/>
              <w:jc w:val="right"/>
              <w:rPr>
                <w:sz w:val="17"/>
                <w:szCs w:val="17"/>
              </w:rPr>
            </w:pPr>
            <w:r w:rsidRPr="00C51D17">
              <w:rPr>
                <w:sz w:val="17"/>
                <w:szCs w:val="17"/>
              </w:rPr>
              <w:t>0</w:t>
            </w:r>
          </w:p>
        </w:tc>
        <w:tc>
          <w:tcPr>
            <w:tcW w:w="1062" w:type="dxa"/>
            <w:tcBorders>
              <w:top w:val="nil"/>
              <w:left w:val="nil"/>
              <w:bottom w:val="nil"/>
              <w:right w:val="nil"/>
            </w:tcBorders>
          </w:tcPr>
          <w:p w14:paraId="64DD377A" w14:textId="77777777" w:rsidR="004C2126" w:rsidRPr="00C51D17" w:rsidRDefault="004C2126" w:rsidP="002D5472">
            <w:pPr>
              <w:spacing w:line="360" w:lineRule="auto"/>
              <w:jc w:val="right"/>
              <w:rPr>
                <w:sz w:val="17"/>
                <w:szCs w:val="17"/>
              </w:rPr>
            </w:pPr>
            <w:r w:rsidRPr="00C51D17">
              <w:rPr>
                <w:sz w:val="17"/>
                <w:szCs w:val="17"/>
              </w:rPr>
              <w:t>0</w:t>
            </w:r>
          </w:p>
        </w:tc>
        <w:tc>
          <w:tcPr>
            <w:tcW w:w="990" w:type="dxa"/>
            <w:tcBorders>
              <w:top w:val="nil"/>
              <w:left w:val="nil"/>
              <w:bottom w:val="nil"/>
              <w:right w:val="nil"/>
            </w:tcBorders>
          </w:tcPr>
          <w:p w14:paraId="15A62C5F" w14:textId="77777777" w:rsidR="004C2126" w:rsidRPr="00C51D17" w:rsidRDefault="004C2126" w:rsidP="002D5472">
            <w:pPr>
              <w:spacing w:line="360" w:lineRule="auto"/>
              <w:jc w:val="right"/>
              <w:rPr>
                <w:sz w:val="17"/>
                <w:szCs w:val="17"/>
              </w:rPr>
            </w:pPr>
            <w:r w:rsidRPr="00C51D17">
              <w:rPr>
                <w:sz w:val="17"/>
                <w:szCs w:val="17"/>
              </w:rPr>
              <w:t>0</w:t>
            </w:r>
          </w:p>
        </w:tc>
        <w:tc>
          <w:tcPr>
            <w:tcW w:w="882" w:type="dxa"/>
            <w:tcBorders>
              <w:top w:val="nil"/>
              <w:left w:val="nil"/>
              <w:bottom w:val="nil"/>
              <w:right w:val="nil"/>
            </w:tcBorders>
          </w:tcPr>
          <w:p w14:paraId="23010551" w14:textId="77777777" w:rsidR="004C2126" w:rsidRPr="00C51D17" w:rsidRDefault="004C2126" w:rsidP="002D5472">
            <w:pPr>
              <w:spacing w:line="360" w:lineRule="auto"/>
              <w:jc w:val="right"/>
              <w:rPr>
                <w:sz w:val="17"/>
                <w:szCs w:val="17"/>
              </w:rPr>
            </w:pPr>
            <w:r w:rsidRPr="00C51D17">
              <w:rPr>
                <w:sz w:val="17"/>
                <w:szCs w:val="17"/>
              </w:rPr>
              <w:t>0</w:t>
            </w:r>
          </w:p>
        </w:tc>
      </w:tr>
      <w:tr w:rsidR="00A551EB" w:rsidRPr="00C51D17" w14:paraId="28D92ECC" w14:textId="77777777" w:rsidTr="00BB07FC">
        <w:tc>
          <w:tcPr>
            <w:tcW w:w="720" w:type="dxa"/>
            <w:vMerge/>
            <w:tcBorders>
              <w:top w:val="single" w:sz="12" w:space="0" w:color="auto"/>
              <w:left w:val="nil"/>
              <w:bottom w:val="single" w:sz="12" w:space="0" w:color="auto"/>
              <w:right w:val="nil"/>
            </w:tcBorders>
          </w:tcPr>
          <w:p w14:paraId="1B826E91" w14:textId="77777777" w:rsidR="004C2126" w:rsidRPr="00C51D17" w:rsidRDefault="004C2126" w:rsidP="00BB07FC">
            <w:pPr>
              <w:spacing w:line="360" w:lineRule="auto"/>
              <w:jc w:val="center"/>
              <w:rPr>
                <w:sz w:val="17"/>
                <w:szCs w:val="17"/>
              </w:rPr>
            </w:pPr>
          </w:p>
        </w:tc>
        <w:tc>
          <w:tcPr>
            <w:tcW w:w="3240" w:type="dxa"/>
            <w:tcBorders>
              <w:top w:val="nil"/>
              <w:left w:val="nil"/>
              <w:bottom w:val="single" w:sz="4" w:space="0" w:color="auto"/>
              <w:right w:val="nil"/>
            </w:tcBorders>
          </w:tcPr>
          <w:p w14:paraId="75D86426" w14:textId="78FD9EE6" w:rsidR="004C2126" w:rsidRPr="00C51D17" w:rsidRDefault="004C2126" w:rsidP="005D5FDA">
            <w:pPr>
              <w:spacing w:line="360" w:lineRule="auto"/>
              <w:rPr>
                <w:sz w:val="17"/>
                <w:szCs w:val="17"/>
              </w:rPr>
            </w:pPr>
            <w:r w:rsidRPr="00C51D17">
              <w:rPr>
                <w:sz w:val="17"/>
                <w:szCs w:val="17"/>
              </w:rPr>
              <w:t>Différends sur l</w:t>
            </w:r>
            <w:r w:rsidR="00723345" w:rsidRPr="00C51D17">
              <w:rPr>
                <w:sz w:val="17"/>
                <w:szCs w:val="17"/>
              </w:rPr>
              <w:t>’</w:t>
            </w:r>
            <w:r w:rsidRPr="00C51D17">
              <w:rPr>
                <w:sz w:val="17"/>
                <w:szCs w:val="17"/>
              </w:rPr>
              <w:t>éducation des enfants</w:t>
            </w:r>
          </w:p>
        </w:tc>
        <w:tc>
          <w:tcPr>
            <w:tcW w:w="657" w:type="dxa"/>
            <w:tcBorders>
              <w:top w:val="nil"/>
              <w:left w:val="nil"/>
              <w:bottom w:val="single" w:sz="4" w:space="0" w:color="auto"/>
              <w:right w:val="nil"/>
            </w:tcBorders>
          </w:tcPr>
          <w:p w14:paraId="0986FDD8" w14:textId="77777777" w:rsidR="004C2126" w:rsidRPr="00C51D17" w:rsidRDefault="004C2126" w:rsidP="002D5472">
            <w:pPr>
              <w:spacing w:line="360" w:lineRule="auto"/>
              <w:jc w:val="right"/>
              <w:rPr>
                <w:sz w:val="17"/>
                <w:szCs w:val="17"/>
              </w:rPr>
            </w:pPr>
            <w:r w:rsidRPr="00C51D17">
              <w:rPr>
                <w:sz w:val="17"/>
                <w:szCs w:val="17"/>
              </w:rPr>
              <w:t>0</w:t>
            </w:r>
          </w:p>
        </w:tc>
        <w:tc>
          <w:tcPr>
            <w:tcW w:w="999" w:type="dxa"/>
            <w:tcBorders>
              <w:top w:val="nil"/>
              <w:left w:val="nil"/>
              <w:bottom w:val="single" w:sz="4" w:space="0" w:color="auto"/>
              <w:right w:val="nil"/>
            </w:tcBorders>
          </w:tcPr>
          <w:p w14:paraId="1AC4FAA6" w14:textId="77777777" w:rsidR="004C2126" w:rsidRPr="00C51D17" w:rsidRDefault="004C2126" w:rsidP="002D5472">
            <w:pPr>
              <w:spacing w:line="360" w:lineRule="auto"/>
              <w:jc w:val="right"/>
              <w:rPr>
                <w:sz w:val="17"/>
                <w:szCs w:val="17"/>
              </w:rPr>
            </w:pPr>
            <w:r w:rsidRPr="00C51D17">
              <w:rPr>
                <w:sz w:val="17"/>
                <w:szCs w:val="17"/>
              </w:rPr>
              <w:t>0</w:t>
            </w:r>
          </w:p>
        </w:tc>
        <w:tc>
          <w:tcPr>
            <w:tcW w:w="1062" w:type="dxa"/>
            <w:tcBorders>
              <w:top w:val="nil"/>
              <w:left w:val="nil"/>
              <w:bottom w:val="single" w:sz="4" w:space="0" w:color="auto"/>
              <w:right w:val="nil"/>
            </w:tcBorders>
          </w:tcPr>
          <w:p w14:paraId="11D0681B" w14:textId="77777777" w:rsidR="004C2126" w:rsidRPr="00C51D17" w:rsidRDefault="004C2126" w:rsidP="002D5472">
            <w:pPr>
              <w:spacing w:line="360" w:lineRule="auto"/>
              <w:jc w:val="right"/>
              <w:rPr>
                <w:sz w:val="17"/>
                <w:szCs w:val="17"/>
              </w:rPr>
            </w:pPr>
            <w:r w:rsidRPr="00C51D17">
              <w:rPr>
                <w:sz w:val="17"/>
                <w:szCs w:val="17"/>
              </w:rPr>
              <w:t>0</w:t>
            </w:r>
          </w:p>
        </w:tc>
        <w:tc>
          <w:tcPr>
            <w:tcW w:w="990" w:type="dxa"/>
            <w:tcBorders>
              <w:top w:val="nil"/>
              <w:left w:val="nil"/>
              <w:bottom w:val="single" w:sz="4" w:space="0" w:color="auto"/>
              <w:right w:val="nil"/>
            </w:tcBorders>
          </w:tcPr>
          <w:p w14:paraId="03369753" w14:textId="77777777" w:rsidR="004C2126" w:rsidRPr="00C51D17" w:rsidRDefault="004C2126" w:rsidP="002D5472">
            <w:pPr>
              <w:spacing w:line="360" w:lineRule="auto"/>
              <w:jc w:val="right"/>
              <w:rPr>
                <w:sz w:val="17"/>
                <w:szCs w:val="17"/>
              </w:rPr>
            </w:pPr>
            <w:r w:rsidRPr="00C51D17">
              <w:rPr>
                <w:sz w:val="17"/>
                <w:szCs w:val="17"/>
              </w:rPr>
              <w:t>0</w:t>
            </w:r>
          </w:p>
        </w:tc>
        <w:tc>
          <w:tcPr>
            <w:tcW w:w="882" w:type="dxa"/>
            <w:tcBorders>
              <w:top w:val="nil"/>
              <w:left w:val="nil"/>
              <w:bottom w:val="single" w:sz="4" w:space="0" w:color="auto"/>
              <w:right w:val="nil"/>
            </w:tcBorders>
          </w:tcPr>
          <w:p w14:paraId="6057F184" w14:textId="77777777" w:rsidR="004C2126" w:rsidRPr="00C51D17" w:rsidRDefault="004C2126" w:rsidP="002D5472">
            <w:pPr>
              <w:spacing w:line="360" w:lineRule="auto"/>
              <w:jc w:val="right"/>
              <w:rPr>
                <w:sz w:val="17"/>
                <w:szCs w:val="17"/>
              </w:rPr>
            </w:pPr>
            <w:r w:rsidRPr="00C51D17">
              <w:rPr>
                <w:sz w:val="17"/>
                <w:szCs w:val="17"/>
              </w:rPr>
              <w:t>0</w:t>
            </w:r>
          </w:p>
        </w:tc>
      </w:tr>
      <w:tr w:rsidR="00A551EB" w:rsidRPr="00C51D17" w14:paraId="3B7BD97C" w14:textId="77777777" w:rsidTr="00BB07FC">
        <w:tc>
          <w:tcPr>
            <w:tcW w:w="720" w:type="dxa"/>
            <w:vMerge/>
            <w:tcBorders>
              <w:top w:val="single" w:sz="12" w:space="0" w:color="auto"/>
              <w:left w:val="nil"/>
              <w:bottom w:val="single" w:sz="12" w:space="0" w:color="auto"/>
              <w:right w:val="nil"/>
            </w:tcBorders>
          </w:tcPr>
          <w:p w14:paraId="2EE50A6C" w14:textId="77777777" w:rsidR="004C2126" w:rsidRPr="00C51D17" w:rsidRDefault="004C2126" w:rsidP="00BB07FC">
            <w:pPr>
              <w:spacing w:line="360" w:lineRule="auto"/>
              <w:jc w:val="center"/>
              <w:rPr>
                <w:sz w:val="17"/>
                <w:szCs w:val="17"/>
              </w:rPr>
            </w:pPr>
          </w:p>
        </w:tc>
        <w:tc>
          <w:tcPr>
            <w:tcW w:w="3240" w:type="dxa"/>
            <w:tcBorders>
              <w:top w:val="single" w:sz="4" w:space="0" w:color="auto"/>
              <w:left w:val="nil"/>
              <w:bottom w:val="single" w:sz="12" w:space="0" w:color="auto"/>
              <w:right w:val="nil"/>
            </w:tcBorders>
          </w:tcPr>
          <w:p w14:paraId="23CDA18F" w14:textId="657E9409" w:rsidR="004C2126" w:rsidRPr="00C51D17" w:rsidRDefault="005D5FDA" w:rsidP="005D5FDA">
            <w:pPr>
              <w:spacing w:before="81" w:after="81" w:line="210" w:lineRule="exact"/>
              <w:rPr>
                <w:b/>
                <w:sz w:val="17"/>
                <w:szCs w:val="17"/>
              </w:rPr>
            </w:pPr>
            <w:r w:rsidRPr="00C51D17">
              <w:rPr>
                <w:b/>
                <w:sz w:val="17"/>
                <w:szCs w:val="17"/>
              </w:rPr>
              <w:tab/>
            </w:r>
            <w:r w:rsidR="004C2126" w:rsidRPr="00C51D17">
              <w:rPr>
                <w:b/>
                <w:sz w:val="17"/>
                <w:szCs w:val="17"/>
              </w:rPr>
              <w:t>Total</w:t>
            </w:r>
          </w:p>
        </w:tc>
        <w:tc>
          <w:tcPr>
            <w:tcW w:w="657" w:type="dxa"/>
            <w:tcBorders>
              <w:top w:val="single" w:sz="4" w:space="0" w:color="auto"/>
              <w:left w:val="nil"/>
              <w:bottom w:val="single" w:sz="12" w:space="0" w:color="auto"/>
              <w:right w:val="nil"/>
            </w:tcBorders>
          </w:tcPr>
          <w:p w14:paraId="22BBBA00" w14:textId="77777777" w:rsidR="004C2126" w:rsidRPr="00C51D17" w:rsidRDefault="004C2126" w:rsidP="002D5472">
            <w:pPr>
              <w:spacing w:before="81" w:after="81" w:line="210" w:lineRule="exact"/>
              <w:jc w:val="right"/>
              <w:rPr>
                <w:b/>
                <w:sz w:val="17"/>
                <w:szCs w:val="17"/>
              </w:rPr>
            </w:pPr>
            <w:r w:rsidRPr="00C51D17">
              <w:rPr>
                <w:b/>
                <w:sz w:val="17"/>
                <w:szCs w:val="17"/>
              </w:rPr>
              <w:t>828</w:t>
            </w:r>
          </w:p>
        </w:tc>
        <w:tc>
          <w:tcPr>
            <w:tcW w:w="999" w:type="dxa"/>
            <w:tcBorders>
              <w:top w:val="single" w:sz="4" w:space="0" w:color="auto"/>
              <w:left w:val="nil"/>
              <w:bottom w:val="single" w:sz="12" w:space="0" w:color="auto"/>
              <w:right w:val="nil"/>
            </w:tcBorders>
          </w:tcPr>
          <w:p w14:paraId="16DB5DAE" w14:textId="77777777" w:rsidR="004C2126" w:rsidRPr="00C51D17" w:rsidRDefault="004C2126" w:rsidP="002D5472">
            <w:pPr>
              <w:spacing w:before="81" w:after="81" w:line="210" w:lineRule="exact"/>
              <w:jc w:val="right"/>
              <w:rPr>
                <w:b/>
                <w:sz w:val="17"/>
                <w:szCs w:val="17"/>
              </w:rPr>
            </w:pPr>
            <w:r w:rsidRPr="00C51D17">
              <w:rPr>
                <w:b/>
                <w:sz w:val="17"/>
                <w:szCs w:val="17"/>
              </w:rPr>
              <w:t>88,6</w:t>
            </w:r>
          </w:p>
        </w:tc>
        <w:tc>
          <w:tcPr>
            <w:tcW w:w="1062" w:type="dxa"/>
            <w:tcBorders>
              <w:top w:val="single" w:sz="4" w:space="0" w:color="auto"/>
              <w:left w:val="nil"/>
              <w:bottom w:val="single" w:sz="12" w:space="0" w:color="auto"/>
              <w:right w:val="nil"/>
            </w:tcBorders>
          </w:tcPr>
          <w:p w14:paraId="78A5A137" w14:textId="77777777" w:rsidR="004C2126" w:rsidRPr="00C51D17" w:rsidRDefault="004C2126" w:rsidP="002D5472">
            <w:pPr>
              <w:spacing w:before="81" w:after="81" w:line="210" w:lineRule="exact"/>
              <w:jc w:val="right"/>
              <w:rPr>
                <w:b/>
                <w:sz w:val="17"/>
                <w:szCs w:val="17"/>
              </w:rPr>
            </w:pPr>
            <w:r w:rsidRPr="00C51D17">
              <w:rPr>
                <w:b/>
                <w:sz w:val="17"/>
                <w:szCs w:val="17"/>
              </w:rPr>
              <w:t>107</w:t>
            </w:r>
          </w:p>
        </w:tc>
        <w:tc>
          <w:tcPr>
            <w:tcW w:w="990" w:type="dxa"/>
            <w:tcBorders>
              <w:top w:val="single" w:sz="4" w:space="0" w:color="auto"/>
              <w:left w:val="nil"/>
              <w:bottom w:val="single" w:sz="12" w:space="0" w:color="auto"/>
              <w:right w:val="nil"/>
            </w:tcBorders>
          </w:tcPr>
          <w:p w14:paraId="0526C65A" w14:textId="77777777" w:rsidR="004C2126" w:rsidRPr="00C51D17" w:rsidRDefault="004C2126" w:rsidP="002D5472">
            <w:pPr>
              <w:spacing w:before="81" w:after="81" w:line="210" w:lineRule="exact"/>
              <w:jc w:val="right"/>
              <w:rPr>
                <w:b/>
                <w:sz w:val="17"/>
                <w:szCs w:val="17"/>
              </w:rPr>
            </w:pPr>
            <w:r w:rsidRPr="00C51D17">
              <w:rPr>
                <w:b/>
                <w:sz w:val="17"/>
                <w:szCs w:val="17"/>
              </w:rPr>
              <w:t>11,4</w:t>
            </w:r>
          </w:p>
        </w:tc>
        <w:tc>
          <w:tcPr>
            <w:tcW w:w="882" w:type="dxa"/>
            <w:tcBorders>
              <w:top w:val="single" w:sz="4" w:space="0" w:color="auto"/>
              <w:left w:val="nil"/>
              <w:bottom w:val="single" w:sz="12" w:space="0" w:color="auto"/>
              <w:right w:val="nil"/>
            </w:tcBorders>
          </w:tcPr>
          <w:p w14:paraId="3B94187A" w14:textId="77777777" w:rsidR="004C2126" w:rsidRPr="00C51D17" w:rsidRDefault="004C2126" w:rsidP="002D5472">
            <w:pPr>
              <w:spacing w:before="81" w:after="81" w:line="210" w:lineRule="exact"/>
              <w:jc w:val="right"/>
              <w:rPr>
                <w:b/>
                <w:sz w:val="17"/>
                <w:szCs w:val="17"/>
              </w:rPr>
            </w:pPr>
            <w:r w:rsidRPr="00C51D17">
              <w:rPr>
                <w:b/>
                <w:sz w:val="17"/>
                <w:szCs w:val="17"/>
              </w:rPr>
              <w:t>935</w:t>
            </w:r>
          </w:p>
        </w:tc>
      </w:tr>
    </w:tbl>
    <w:p w14:paraId="619CB8A2" w14:textId="54641889" w:rsidR="004C2126" w:rsidRPr="00C51D17" w:rsidRDefault="004C2126" w:rsidP="00FC202D">
      <w:pPr>
        <w:pStyle w:val="SingleTxt"/>
        <w:spacing w:after="0" w:line="120" w:lineRule="exact"/>
        <w:rPr>
          <w:sz w:val="10"/>
        </w:rPr>
      </w:pPr>
    </w:p>
    <w:p w14:paraId="288BDEC2" w14:textId="6C39D066" w:rsidR="00646413" w:rsidRPr="00C51D17" w:rsidRDefault="00646413" w:rsidP="004C636D">
      <w:pPr>
        <w:pStyle w:val="FootnoteText"/>
        <w:tabs>
          <w:tab w:val="right" w:pos="1476"/>
          <w:tab w:val="left" w:pos="1548"/>
          <w:tab w:val="right" w:pos="1836"/>
          <w:tab w:val="left" w:pos="1908"/>
        </w:tabs>
        <w:ind w:left="1548" w:hanging="288"/>
        <w:rPr>
          <w:w w:val="100"/>
        </w:rPr>
      </w:pPr>
      <w:r w:rsidRPr="00C51D17">
        <w:rPr>
          <w:i/>
          <w:w w:val="100"/>
        </w:rPr>
        <w:t>Source</w:t>
      </w:r>
      <w:r w:rsidR="007F316F" w:rsidRPr="00C51D17">
        <w:rPr>
          <w:i/>
          <w:w w:val="100"/>
        </w:rPr>
        <w:t> </w:t>
      </w:r>
      <w:r w:rsidR="0012596A" w:rsidRPr="00C51D17">
        <w:rPr>
          <w:w w:val="100"/>
        </w:rPr>
        <w:t>:</w:t>
      </w:r>
      <w:r w:rsidR="0012596A" w:rsidRPr="00C51D17">
        <w:rPr>
          <w:i/>
          <w:w w:val="100"/>
        </w:rPr>
        <w:t xml:space="preserve"> </w:t>
      </w:r>
      <w:r w:rsidRPr="00C51D17">
        <w:rPr>
          <w:w w:val="100"/>
        </w:rPr>
        <w:t>Fondation du Qatar pour l</w:t>
      </w:r>
      <w:r w:rsidR="00723345" w:rsidRPr="00C51D17">
        <w:rPr>
          <w:w w:val="100"/>
        </w:rPr>
        <w:t>’</w:t>
      </w:r>
      <w:r w:rsidRPr="00C51D17">
        <w:rPr>
          <w:w w:val="100"/>
        </w:rPr>
        <w:t>action sociale.</w:t>
      </w:r>
    </w:p>
    <w:p w14:paraId="402A5D86" w14:textId="7AA3FEB6" w:rsidR="007F316F" w:rsidRPr="00C51D17" w:rsidRDefault="00646413" w:rsidP="004C636D">
      <w:pPr>
        <w:pStyle w:val="FootnoteText"/>
        <w:tabs>
          <w:tab w:val="right" w:pos="1476"/>
          <w:tab w:val="left" w:pos="1548"/>
          <w:tab w:val="right" w:pos="1836"/>
          <w:tab w:val="left" w:pos="1908"/>
        </w:tabs>
        <w:ind w:left="1548" w:hanging="288"/>
      </w:pPr>
      <w:r w:rsidRPr="00C51D17">
        <w:t>Note</w:t>
      </w:r>
      <w:r w:rsidR="007F316F" w:rsidRPr="00C51D17">
        <w:t> </w:t>
      </w:r>
      <w:r w:rsidR="0012596A" w:rsidRPr="00C51D17">
        <w:t xml:space="preserve">: </w:t>
      </w:r>
      <w:r w:rsidRPr="00C51D17">
        <w:t xml:space="preserve">le tableau tient compte du pourcentage de cas qui ont mené à bonne fin toutes les séances de soins. </w:t>
      </w:r>
    </w:p>
    <w:p w14:paraId="18ED7A57" w14:textId="006F7386" w:rsidR="00646413" w:rsidRPr="00C51D17" w:rsidRDefault="0063485C" w:rsidP="00BB07FC">
      <w:pPr>
        <w:keepNext/>
        <w:keepLines/>
        <w:widowControl w:val="0"/>
        <w:tabs>
          <w:tab w:val="right" w:pos="1476"/>
          <w:tab w:val="left" w:pos="1548"/>
          <w:tab w:val="right" w:pos="1836"/>
          <w:tab w:val="left" w:pos="1908"/>
        </w:tabs>
        <w:suppressAutoHyphens/>
        <w:spacing w:line="210" w:lineRule="exact"/>
        <w:ind w:left="1548" w:right="1267" w:hanging="288"/>
        <w:rPr>
          <w:spacing w:val="5"/>
        </w:rPr>
      </w:pPr>
      <w:r w:rsidRPr="00C51D17">
        <w:rPr>
          <w:spacing w:val="5"/>
          <w:sz w:val="17"/>
          <w:szCs w:val="20"/>
        </w:rPr>
        <w:tab/>
      </w:r>
      <w:r w:rsidR="0036354D" w:rsidRPr="00C51D17">
        <w:rPr>
          <w:spacing w:val="5"/>
          <w:sz w:val="17"/>
          <w:szCs w:val="20"/>
        </w:rPr>
        <w:tab/>
      </w:r>
      <w:r w:rsidR="00646413" w:rsidRPr="00C51D17">
        <w:rPr>
          <w:spacing w:val="5"/>
          <w:sz w:val="17"/>
          <w:szCs w:val="20"/>
        </w:rPr>
        <w:t>Ne sont pas comptabilisé</w:t>
      </w:r>
      <w:r w:rsidR="008119E1" w:rsidRPr="00C51D17">
        <w:rPr>
          <w:spacing w:val="5"/>
          <w:sz w:val="17"/>
          <w:szCs w:val="20"/>
        </w:rPr>
        <w:t>e</w:t>
      </w:r>
      <w:r w:rsidR="00646413" w:rsidRPr="00C51D17">
        <w:rPr>
          <w:spacing w:val="5"/>
          <w:sz w:val="17"/>
          <w:szCs w:val="20"/>
        </w:rPr>
        <w:t>s les personnes qui n</w:t>
      </w:r>
      <w:r w:rsidR="00723345" w:rsidRPr="00C51D17">
        <w:rPr>
          <w:spacing w:val="5"/>
          <w:sz w:val="17"/>
          <w:szCs w:val="20"/>
        </w:rPr>
        <w:t>’</w:t>
      </w:r>
      <w:r w:rsidR="00646413" w:rsidRPr="00C51D17">
        <w:rPr>
          <w:spacing w:val="5"/>
          <w:sz w:val="17"/>
          <w:szCs w:val="20"/>
        </w:rPr>
        <w:t>y ont pas pris part ou qui sont en cours de traitement.</w:t>
      </w:r>
    </w:p>
    <w:p w14:paraId="11FAE8F1" w14:textId="61C7223E" w:rsidR="00310E03" w:rsidRPr="00C51D17" w:rsidRDefault="00310E03" w:rsidP="00310E03">
      <w:pPr>
        <w:pStyle w:val="FootnoteText"/>
        <w:tabs>
          <w:tab w:val="right" w:pos="1476"/>
          <w:tab w:val="left" w:pos="1548"/>
          <w:tab w:val="right" w:pos="1836"/>
          <w:tab w:val="left" w:pos="1908"/>
        </w:tabs>
        <w:spacing w:line="120" w:lineRule="exact"/>
        <w:ind w:left="1548" w:hanging="288"/>
        <w:rPr>
          <w:sz w:val="10"/>
        </w:rPr>
      </w:pPr>
    </w:p>
    <w:p w14:paraId="2F79834F" w14:textId="63AF3EEB" w:rsidR="00310E03" w:rsidRPr="00C51D17" w:rsidRDefault="00310E03" w:rsidP="00310E03">
      <w:pPr>
        <w:pStyle w:val="FootnoteText"/>
        <w:tabs>
          <w:tab w:val="right" w:pos="1476"/>
          <w:tab w:val="left" w:pos="1548"/>
          <w:tab w:val="right" w:pos="1836"/>
          <w:tab w:val="left" w:pos="1908"/>
        </w:tabs>
        <w:spacing w:line="120" w:lineRule="exact"/>
        <w:ind w:left="1548" w:hanging="288"/>
        <w:rPr>
          <w:sz w:val="10"/>
        </w:rPr>
      </w:pPr>
    </w:p>
    <w:p w14:paraId="697B287B" w14:textId="5D970AC8" w:rsidR="00646413" w:rsidRPr="00C51D17" w:rsidRDefault="00392FF5" w:rsidP="00392F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 xml:space="preserve">Orphelinat  </w:t>
      </w:r>
    </w:p>
    <w:p w14:paraId="4C97A574" w14:textId="70B343C1" w:rsidR="00392FF5" w:rsidRPr="00C51D17" w:rsidRDefault="00392FF5" w:rsidP="00392FF5">
      <w:pPr>
        <w:pStyle w:val="SingleTxt"/>
        <w:spacing w:after="0" w:line="120" w:lineRule="exact"/>
        <w:rPr>
          <w:sz w:val="10"/>
        </w:rPr>
      </w:pPr>
    </w:p>
    <w:p w14:paraId="3F831072" w14:textId="06858BCD" w:rsidR="00392FF5" w:rsidRPr="00C51D17" w:rsidRDefault="00646413" w:rsidP="00392FF5">
      <w:pPr>
        <w:pStyle w:val="SingleTxt"/>
        <w:numPr>
          <w:ilvl w:val="0"/>
          <w:numId w:val="67"/>
        </w:numPr>
        <w:tabs>
          <w:tab w:val="num" w:pos="2804"/>
        </w:tabs>
        <w:spacing w:line="240" w:lineRule="exact"/>
        <w:ind w:left="1267"/>
        <w:rPr>
          <w:rFonts w:eastAsia="Calibri"/>
          <w:spacing w:val="0"/>
          <w:w w:val="100"/>
          <w:kern w:val="0"/>
          <w:sz w:val="24"/>
          <w:szCs w:val="24"/>
        </w:rPr>
      </w:pPr>
      <w:r w:rsidRPr="00C51D17">
        <w:rPr>
          <w:w w:val="100"/>
        </w:rPr>
        <w:t>Soucieux de contribuer au développement humain et social dans le pays, le Qatar a créé, en 2002, le Centre de protection des orphelins, qui est chargé d</w:t>
      </w:r>
      <w:r w:rsidR="00723345" w:rsidRPr="00C51D17">
        <w:rPr>
          <w:w w:val="100"/>
        </w:rPr>
        <w:t>’</w:t>
      </w:r>
      <w:r w:rsidRPr="00C51D17">
        <w:rPr>
          <w:w w:val="100"/>
        </w:rPr>
        <w:t>apporter toute l</w:t>
      </w:r>
      <w:r w:rsidR="00723345" w:rsidRPr="00C51D17">
        <w:rPr>
          <w:w w:val="100"/>
        </w:rPr>
        <w:t>’</w:t>
      </w:r>
      <w:r w:rsidRPr="00C51D17">
        <w:rPr>
          <w:w w:val="100"/>
        </w:rPr>
        <w:t>aide nécessaire aux orphelins ou aux enfants de parents inconnus et privés temporairement ou durablement d</w:t>
      </w:r>
      <w:r w:rsidR="00723345" w:rsidRPr="00C51D17">
        <w:rPr>
          <w:w w:val="100"/>
        </w:rPr>
        <w:t>’</w:t>
      </w:r>
      <w:r w:rsidRPr="00C51D17">
        <w:rPr>
          <w:w w:val="100"/>
        </w:rPr>
        <w:t>un environnement familial naturel, et d</w:t>
      </w:r>
      <w:r w:rsidR="00723345" w:rsidRPr="00C51D17">
        <w:rPr>
          <w:w w:val="100"/>
        </w:rPr>
        <w:t>’</w:t>
      </w:r>
      <w:r w:rsidRPr="00C51D17">
        <w:rPr>
          <w:w w:val="100"/>
        </w:rPr>
        <w:t xml:space="preserve">assurer leur stabilité </w:t>
      </w:r>
      <w:r w:rsidR="006C1164" w:rsidRPr="00C51D17">
        <w:rPr>
          <w:w w:val="100"/>
        </w:rPr>
        <w:t>dans les</w:t>
      </w:r>
      <w:r w:rsidRPr="00C51D17">
        <w:rPr>
          <w:w w:val="100"/>
        </w:rPr>
        <w:t xml:space="preserve"> familles d</w:t>
      </w:r>
      <w:r w:rsidR="00723345" w:rsidRPr="00C51D17">
        <w:rPr>
          <w:w w:val="100"/>
        </w:rPr>
        <w:t>’</w:t>
      </w:r>
      <w:r w:rsidRPr="00C51D17">
        <w:rPr>
          <w:w w:val="100"/>
        </w:rPr>
        <w:t>accueil et leur insertion sociale. Depuis 2013, le Centre agit sous l</w:t>
      </w:r>
      <w:r w:rsidR="00723345" w:rsidRPr="00C51D17">
        <w:rPr>
          <w:w w:val="100"/>
        </w:rPr>
        <w:t>’</w:t>
      </w:r>
      <w:r w:rsidRPr="00C51D17">
        <w:rPr>
          <w:w w:val="100"/>
        </w:rPr>
        <w:t>égide de la Fondation du Qatar pour l</w:t>
      </w:r>
      <w:r w:rsidR="00723345" w:rsidRPr="00C51D17">
        <w:rPr>
          <w:w w:val="100"/>
        </w:rPr>
        <w:t>’</w:t>
      </w:r>
      <w:r w:rsidRPr="00C51D17">
        <w:rPr>
          <w:w w:val="100"/>
        </w:rPr>
        <w:t>action sociale.</w:t>
      </w:r>
      <w:r w:rsidR="00392FF5" w:rsidRPr="00C51D17">
        <w:rPr>
          <w:rFonts w:eastAsia="Calibri"/>
          <w:spacing w:val="0"/>
          <w:w w:val="100"/>
          <w:kern w:val="0"/>
          <w:sz w:val="24"/>
          <w:szCs w:val="24"/>
        </w:rPr>
        <w:t xml:space="preserve"> </w:t>
      </w:r>
    </w:p>
    <w:p w14:paraId="327F1E4C" w14:textId="4C50F596" w:rsidR="00646413" w:rsidRPr="00C51D17" w:rsidRDefault="00646413" w:rsidP="00BB07FC">
      <w:pPr>
        <w:pStyle w:val="SingleTxt"/>
        <w:numPr>
          <w:ilvl w:val="0"/>
          <w:numId w:val="67"/>
        </w:numPr>
        <w:tabs>
          <w:tab w:val="num" w:pos="2804"/>
        </w:tabs>
        <w:spacing w:line="240" w:lineRule="exact"/>
        <w:ind w:left="1267"/>
        <w:rPr>
          <w:w w:val="100"/>
        </w:rPr>
      </w:pPr>
      <w:r w:rsidRPr="00C51D17">
        <w:rPr>
          <w:w w:val="100"/>
        </w:rPr>
        <w:t>Le Centre s</w:t>
      </w:r>
      <w:r w:rsidR="00723345" w:rsidRPr="00C51D17">
        <w:rPr>
          <w:w w:val="100"/>
        </w:rPr>
        <w:t>’</w:t>
      </w:r>
      <w:r w:rsidRPr="00C51D17">
        <w:rPr>
          <w:w w:val="100"/>
        </w:rPr>
        <w:t>emploie, en collaboration et coordination avec les ministères, organes et institutions publics concernés et d</w:t>
      </w:r>
      <w:r w:rsidR="00723345" w:rsidRPr="00C51D17">
        <w:rPr>
          <w:w w:val="100"/>
        </w:rPr>
        <w:t>’</w:t>
      </w:r>
      <w:r w:rsidRPr="00C51D17">
        <w:rPr>
          <w:w w:val="100"/>
        </w:rPr>
        <w:t xml:space="preserve">autres organes gouvernementaux et organisations de la société civile, </w:t>
      </w:r>
      <w:r w:rsidR="006772E7" w:rsidRPr="00C51D17">
        <w:rPr>
          <w:w w:val="100"/>
        </w:rPr>
        <w:t>à</w:t>
      </w:r>
      <w:r w:rsidRPr="00C51D17">
        <w:rPr>
          <w:w w:val="100"/>
        </w:rPr>
        <w:t xml:space="preserve"> réaliser les objectifs qui lui sont fixés, organiser des conférences et des cycles de formation sur des thèmes liés à ses objectifs et spécialités et publier des bulletins et opuscules de sensibilisation et autres périodiques portant sur ses domaines de compétence. Pour cela, il obtient, auprès des organes compétents, les autorisations nécessaires à l</w:t>
      </w:r>
      <w:r w:rsidR="00723345" w:rsidRPr="00C51D17">
        <w:rPr>
          <w:w w:val="100"/>
        </w:rPr>
        <w:t>’</w:t>
      </w:r>
      <w:r w:rsidRPr="00C51D17">
        <w:rPr>
          <w:w w:val="100"/>
        </w:rPr>
        <w:t>exercice de ses activités et l</w:t>
      </w:r>
      <w:r w:rsidR="00723345" w:rsidRPr="00C51D17">
        <w:rPr>
          <w:w w:val="100"/>
        </w:rPr>
        <w:t>’</w:t>
      </w:r>
      <w:r w:rsidRPr="00C51D17">
        <w:rPr>
          <w:w w:val="100"/>
        </w:rPr>
        <w:t>accomplissement de ses missions.</w:t>
      </w:r>
    </w:p>
    <w:p w14:paraId="51BA23BF" w14:textId="6E301898" w:rsidR="00646413" w:rsidRPr="00C51D17" w:rsidRDefault="00646413" w:rsidP="00BA37DC">
      <w:pPr>
        <w:pStyle w:val="SingleTxt"/>
        <w:rPr>
          <w:w w:val="100"/>
        </w:rPr>
      </w:pPr>
      <w:r w:rsidRPr="00C51D17">
        <w:rPr>
          <w:w w:val="100"/>
        </w:rPr>
        <w:t>52.</w:t>
      </w:r>
      <w:r w:rsidRPr="00C51D17">
        <w:rPr>
          <w:w w:val="100"/>
        </w:rPr>
        <w:tab/>
        <w:t>Le Centre constitue un des mécanismes les plus importants créés dans le pays. C</w:t>
      </w:r>
      <w:r w:rsidR="00723345" w:rsidRPr="00C51D17">
        <w:rPr>
          <w:w w:val="100"/>
        </w:rPr>
        <w:t>’</w:t>
      </w:r>
      <w:r w:rsidRPr="00C51D17">
        <w:rPr>
          <w:w w:val="100"/>
        </w:rPr>
        <w:t>est un établissement privé d</w:t>
      </w:r>
      <w:r w:rsidR="00723345" w:rsidRPr="00C51D17">
        <w:rPr>
          <w:w w:val="100"/>
        </w:rPr>
        <w:t>’</w:t>
      </w:r>
      <w:r w:rsidRPr="00C51D17">
        <w:rPr>
          <w:w w:val="100"/>
        </w:rPr>
        <w:t>intérêt public s</w:t>
      </w:r>
      <w:r w:rsidR="00723345" w:rsidRPr="00C51D17">
        <w:rPr>
          <w:w w:val="100"/>
        </w:rPr>
        <w:t>’</w:t>
      </w:r>
      <w:r w:rsidRPr="00C51D17">
        <w:rPr>
          <w:w w:val="100"/>
        </w:rPr>
        <w:t>occupant des enfants privés d</w:t>
      </w:r>
      <w:r w:rsidR="00723345" w:rsidRPr="00C51D17">
        <w:rPr>
          <w:w w:val="100"/>
        </w:rPr>
        <w:t>’</w:t>
      </w:r>
      <w:r w:rsidRPr="00C51D17">
        <w:rPr>
          <w:w w:val="100"/>
        </w:rPr>
        <w:t>un environnement familial naturel et offrant soins, protection et services divers aux catégories bénéficiaires des deux sexes. Il s</w:t>
      </w:r>
      <w:r w:rsidR="00723345" w:rsidRPr="00C51D17">
        <w:rPr>
          <w:w w:val="100"/>
        </w:rPr>
        <w:t>’</w:t>
      </w:r>
      <w:r w:rsidRPr="00C51D17">
        <w:rPr>
          <w:w w:val="100"/>
        </w:rPr>
        <w:t>efforce de créer un environnement favorable et d</w:t>
      </w:r>
      <w:r w:rsidR="00723345" w:rsidRPr="00C51D17">
        <w:rPr>
          <w:w w:val="100"/>
        </w:rPr>
        <w:t>’</w:t>
      </w:r>
      <w:r w:rsidRPr="00C51D17">
        <w:rPr>
          <w:w w:val="100"/>
        </w:rPr>
        <w:t>offrir des services aux catégories d</w:t>
      </w:r>
      <w:r w:rsidR="00723345" w:rsidRPr="00C51D17">
        <w:rPr>
          <w:w w:val="100"/>
        </w:rPr>
        <w:t>’</w:t>
      </w:r>
      <w:r w:rsidRPr="00C51D17">
        <w:rPr>
          <w:w w:val="100"/>
        </w:rPr>
        <w:t>enfants qui n</w:t>
      </w:r>
      <w:r w:rsidR="00723345" w:rsidRPr="00C51D17">
        <w:rPr>
          <w:w w:val="100"/>
        </w:rPr>
        <w:t>’</w:t>
      </w:r>
      <w:r w:rsidRPr="00C51D17">
        <w:rPr>
          <w:w w:val="100"/>
        </w:rPr>
        <w:t>ont pas la chance de vivre dans un environnement familial, sans aucune discrimination liée au sexe, à l</w:t>
      </w:r>
      <w:r w:rsidR="00723345" w:rsidRPr="00C51D17">
        <w:rPr>
          <w:w w:val="100"/>
        </w:rPr>
        <w:t>’</w:t>
      </w:r>
      <w:r w:rsidRPr="00C51D17">
        <w:rPr>
          <w:w w:val="100"/>
        </w:rPr>
        <w:t>origine, à la couleur, à la langue, à la religion, etc., en tenant compte uniquement des intérêts supérieurs de l</w:t>
      </w:r>
      <w:r w:rsidR="00723345" w:rsidRPr="00C51D17">
        <w:rPr>
          <w:w w:val="100"/>
        </w:rPr>
        <w:t>’</w:t>
      </w:r>
      <w:r w:rsidRPr="00C51D17">
        <w:rPr>
          <w:w w:val="100"/>
        </w:rPr>
        <w:t>enfant.</w:t>
      </w:r>
    </w:p>
    <w:p w14:paraId="6CFA43EE" w14:textId="5F7986CC" w:rsidR="00646413" w:rsidRPr="00C51D17" w:rsidRDefault="00646413" w:rsidP="00BA37DC">
      <w:pPr>
        <w:pStyle w:val="SingleTxt"/>
        <w:rPr>
          <w:w w:val="100"/>
        </w:rPr>
      </w:pPr>
      <w:r w:rsidRPr="00C51D17">
        <w:rPr>
          <w:w w:val="100"/>
        </w:rPr>
        <w:t>53.</w:t>
      </w:r>
      <w:r w:rsidRPr="00C51D17">
        <w:rPr>
          <w:w w:val="100"/>
        </w:rPr>
        <w:tab/>
        <w:t>Le Centre a établi plusieurs partenariats avec diverses parties liées ou non à l</w:t>
      </w:r>
      <w:r w:rsidR="00723345" w:rsidRPr="00C51D17">
        <w:rPr>
          <w:w w:val="100"/>
        </w:rPr>
        <w:t>’</w:t>
      </w:r>
      <w:r w:rsidRPr="00C51D17">
        <w:rPr>
          <w:w w:val="100"/>
        </w:rPr>
        <w:t>État,</w:t>
      </w:r>
      <w:r w:rsidR="0012596A" w:rsidRPr="00C51D17">
        <w:rPr>
          <w:w w:val="100"/>
        </w:rPr>
        <w:t xml:space="preserve"> </w:t>
      </w:r>
      <w:r w:rsidRPr="00C51D17">
        <w:rPr>
          <w:w w:val="100"/>
        </w:rPr>
        <w:t>afin de renforcer ses capacités, développer les compétences de ses employés et les former dans le but d</w:t>
      </w:r>
      <w:r w:rsidR="00723345" w:rsidRPr="00C51D17">
        <w:rPr>
          <w:w w:val="100"/>
        </w:rPr>
        <w:t>’</w:t>
      </w:r>
      <w:r w:rsidRPr="00C51D17">
        <w:rPr>
          <w:w w:val="100"/>
        </w:rPr>
        <w:t>éliminer toute forme de discrimination entre les sexes.</w:t>
      </w:r>
    </w:p>
    <w:p w14:paraId="580CF0BA" w14:textId="14D80974" w:rsidR="00646413" w:rsidRPr="00C51D17" w:rsidRDefault="00646413" w:rsidP="00BA37DC">
      <w:pPr>
        <w:pStyle w:val="SingleTxt"/>
        <w:rPr>
          <w:w w:val="100"/>
        </w:rPr>
      </w:pPr>
      <w:r w:rsidRPr="00C51D17">
        <w:rPr>
          <w:w w:val="100"/>
        </w:rPr>
        <w:t>54.</w:t>
      </w:r>
      <w:r w:rsidRPr="00C51D17">
        <w:rPr>
          <w:w w:val="100"/>
        </w:rPr>
        <w:tab/>
        <w:t>Le Centre a aussi établi une ligne téléphonique spécialisée pour accueillir les notifications et plaintes provenant des catégories visées et de toute personne souhaitant bénéficier de ses services, mais aussi pour donner suite aux demandes d</w:t>
      </w:r>
      <w:r w:rsidR="00723345" w:rsidRPr="00C51D17">
        <w:rPr>
          <w:w w:val="100"/>
        </w:rPr>
        <w:t>’</w:t>
      </w:r>
      <w:r w:rsidRPr="00C51D17">
        <w:rPr>
          <w:w w:val="100"/>
        </w:rPr>
        <w:t>hébergement. Les demandes d</w:t>
      </w:r>
      <w:r w:rsidR="00723345" w:rsidRPr="00C51D17">
        <w:rPr>
          <w:w w:val="100"/>
        </w:rPr>
        <w:t>’</w:t>
      </w:r>
      <w:r w:rsidRPr="00C51D17">
        <w:rPr>
          <w:w w:val="100"/>
        </w:rPr>
        <w:t>accueil, provenant des familles, et les services juridiques, psychologiques, sociaux et sanitaires offerts par le Centre sont ouverts à tous sans distinction de sexe.</w:t>
      </w:r>
    </w:p>
    <w:p w14:paraId="037C05BC" w14:textId="7E0FC11A" w:rsidR="00646413" w:rsidRPr="00C51D17" w:rsidRDefault="00646413" w:rsidP="00BA37DC">
      <w:pPr>
        <w:pStyle w:val="SingleTxt"/>
        <w:rPr>
          <w:w w:val="100"/>
        </w:rPr>
      </w:pPr>
      <w:r w:rsidRPr="00C51D17">
        <w:rPr>
          <w:w w:val="100"/>
        </w:rPr>
        <w:t>55.</w:t>
      </w:r>
      <w:r w:rsidRPr="00C51D17">
        <w:rPr>
          <w:w w:val="100"/>
        </w:rPr>
        <w:tab/>
        <w:t>Par ailleurs, le Centre s</w:t>
      </w:r>
      <w:r w:rsidR="00723345" w:rsidRPr="00C51D17">
        <w:rPr>
          <w:w w:val="100"/>
        </w:rPr>
        <w:t>’</w:t>
      </w:r>
      <w:r w:rsidRPr="00C51D17">
        <w:rPr>
          <w:w w:val="100"/>
        </w:rPr>
        <w:t>emploie depuis deux ans à mettre en place le projet de stabilité familiale, qui est un des projets fondamentaux auxquels travaille la direction des services sociaux du Centre avec les familles d</w:t>
      </w:r>
      <w:r w:rsidR="00723345" w:rsidRPr="00C51D17">
        <w:rPr>
          <w:w w:val="100"/>
        </w:rPr>
        <w:t>’</w:t>
      </w:r>
      <w:r w:rsidRPr="00C51D17">
        <w:rPr>
          <w:w w:val="100"/>
        </w:rPr>
        <w:t>accueil des enfants orphelins, en offrant des prestations directes de soins et de suivi aux enfants comme aux familles. Le projet porte sur</w:t>
      </w:r>
      <w:r w:rsidR="00BA37DC" w:rsidRPr="00C51D17">
        <w:rPr>
          <w:w w:val="100"/>
        </w:rPr>
        <w:t> </w:t>
      </w:r>
      <w:r w:rsidRPr="00C51D17">
        <w:rPr>
          <w:w w:val="100"/>
        </w:rPr>
        <w:t>:</w:t>
      </w:r>
    </w:p>
    <w:p w14:paraId="47F4C1EE" w14:textId="2C287EBA" w:rsidR="00646413" w:rsidRPr="00C51D17" w:rsidRDefault="00BA37DC" w:rsidP="00BA37D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appui aux familles d</w:t>
      </w:r>
      <w:r w:rsidR="00723345" w:rsidRPr="00C51D17">
        <w:rPr>
          <w:w w:val="100"/>
        </w:rPr>
        <w:t>’</w:t>
      </w:r>
      <w:r w:rsidR="00646413" w:rsidRPr="00C51D17">
        <w:rPr>
          <w:w w:val="100"/>
        </w:rPr>
        <w:t>accueil, aux mères adoptives notamment, afin de leur faire connaître les aspects positifs de l</w:t>
      </w:r>
      <w:r w:rsidR="00723345" w:rsidRPr="00C51D17">
        <w:rPr>
          <w:w w:val="100"/>
        </w:rPr>
        <w:t>’</w:t>
      </w:r>
      <w:r w:rsidR="00646413" w:rsidRPr="00C51D17">
        <w:rPr>
          <w:w w:val="100"/>
        </w:rPr>
        <w:t>adoption, que ce soit pour l</w:t>
      </w:r>
      <w:r w:rsidR="00723345" w:rsidRPr="00C51D17">
        <w:rPr>
          <w:w w:val="100"/>
        </w:rPr>
        <w:t>’</w:t>
      </w:r>
      <w:r w:rsidR="00646413" w:rsidRPr="00C51D17">
        <w:rPr>
          <w:w w:val="100"/>
        </w:rPr>
        <w:t>enfant ou pour elles-mêmes</w:t>
      </w:r>
      <w:r w:rsidR="0012596A" w:rsidRPr="00C51D17">
        <w:rPr>
          <w:w w:val="100"/>
        </w:rPr>
        <w:t> ;</w:t>
      </w:r>
    </w:p>
    <w:p w14:paraId="13C0AFFD" w14:textId="05013443" w:rsidR="00646413" w:rsidRPr="00C51D17" w:rsidRDefault="00BA37DC" w:rsidP="00BA37DC">
      <w:pPr>
        <w:pStyle w:val="SingleTxt"/>
        <w:tabs>
          <w:tab w:val="right" w:pos="1685"/>
        </w:tabs>
        <w:ind w:left="1742" w:hanging="475"/>
        <w:rPr>
          <w:w w:val="100"/>
        </w:rPr>
      </w:pPr>
      <w:r w:rsidRPr="00C51D17">
        <w:rPr>
          <w:w w:val="100"/>
        </w:rPr>
        <w:tab/>
        <w:t>•</w:t>
      </w:r>
      <w:r w:rsidRPr="00C51D17">
        <w:rPr>
          <w:w w:val="100"/>
        </w:rPr>
        <w:tab/>
      </w:r>
      <w:r w:rsidR="00646413" w:rsidRPr="00C51D17">
        <w:rPr>
          <w:w w:val="100"/>
        </w:rPr>
        <w:t>S</w:t>
      </w:r>
      <w:r w:rsidR="00723345" w:rsidRPr="00C51D17">
        <w:rPr>
          <w:w w:val="100"/>
        </w:rPr>
        <w:t>’</w:t>
      </w:r>
      <w:r w:rsidR="00646413" w:rsidRPr="00C51D17">
        <w:rPr>
          <w:w w:val="100"/>
        </w:rPr>
        <w:t>assurer de la capacité des mères et des pères d</w:t>
      </w:r>
      <w:r w:rsidR="00723345" w:rsidRPr="00C51D17">
        <w:rPr>
          <w:w w:val="100"/>
        </w:rPr>
        <w:t>’</w:t>
      </w:r>
      <w:r w:rsidR="00646413" w:rsidRPr="00C51D17">
        <w:rPr>
          <w:w w:val="100"/>
        </w:rPr>
        <w:t>accueillir l</w:t>
      </w:r>
      <w:r w:rsidR="00723345" w:rsidRPr="00C51D17">
        <w:rPr>
          <w:w w:val="100"/>
        </w:rPr>
        <w:t>’</w:t>
      </w:r>
      <w:r w:rsidR="00646413" w:rsidRPr="00C51D17">
        <w:rPr>
          <w:w w:val="100"/>
        </w:rPr>
        <w:t>enfant en les soumettant à des exercices psychologiques identiques. Ces exercices sont un élément déterminant pour s</w:t>
      </w:r>
      <w:r w:rsidR="00723345" w:rsidRPr="00C51D17">
        <w:rPr>
          <w:w w:val="100"/>
        </w:rPr>
        <w:t>’</w:t>
      </w:r>
      <w:r w:rsidR="00646413" w:rsidRPr="00C51D17">
        <w:rPr>
          <w:w w:val="100"/>
        </w:rPr>
        <w:t>assurer que l</w:t>
      </w:r>
      <w:r w:rsidR="00723345" w:rsidRPr="00C51D17">
        <w:rPr>
          <w:w w:val="100"/>
        </w:rPr>
        <w:t>’</w:t>
      </w:r>
      <w:r w:rsidR="00646413" w:rsidRPr="00C51D17">
        <w:rPr>
          <w:w w:val="100"/>
        </w:rPr>
        <w:t>enfant sera élevé dans un environnement familial sain et aura toutes les chances de devenir un membre actif de la société</w:t>
      </w:r>
      <w:r w:rsidR="0012596A" w:rsidRPr="00C51D17">
        <w:rPr>
          <w:w w:val="100"/>
        </w:rPr>
        <w:t> ;</w:t>
      </w:r>
    </w:p>
    <w:p w14:paraId="622C3F4B" w14:textId="7FD0EE3F" w:rsidR="00646413" w:rsidRPr="00C51D17" w:rsidRDefault="00BA37DC" w:rsidP="00BA37DC">
      <w:pPr>
        <w:pStyle w:val="SingleTxt"/>
        <w:tabs>
          <w:tab w:val="right" w:pos="1685"/>
        </w:tabs>
        <w:ind w:left="1742" w:hanging="475"/>
        <w:rPr>
          <w:w w:val="100"/>
        </w:rPr>
      </w:pPr>
      <w:r w:rsidRPr="00C51D17">
        <w:rPr>
          <w:w w:val="100"/>
        </w:rPr>
        <w:tab/>
        <w:t>•</w:t>
      </w:r>
      <w:r w:rsidRPr="00C51D17">
        <w:rPr>
          <w:w w:val="100"/>
        </w:rPr>
        <w:tab/>
      </w:r>
      <w:r w:rsidR="00646413" w:rsidRPr="00C51D17">
        <w:rPr>
          <w:w w:val="100"/>
        </w:rPr>
        <w:t>Faire participer les pères et les mères sans distinction, qui souhaitent adopter un enfant à des cycles de sensibilisation et leur faire connaître leurs rôles et les étapes du développement naturel de l</w:t>
      </w:r>
      <w:r w:rsidR="00723345" w:rsidRPr="00C51D17">
        <w:rPr>
          <w:w w:val="100"/>
        </w:rPr>
        <w:t>’</w:t>
      </w:r>
      <w:r w:rsidR="00646413" w:rsidRPr="00C51D17">
        <w:rPr>
          <w:w w:val="100"/>
        </w:rPr>
        <w:t>enfant et ses besoins psychologiques et leur enseigner les modalités de satisfaction des besoins essentiels de l</w:t>
      </w:r>
      <w:r w:rsidR="00723345" w:rsidRPr="00C51D17">
        <w:rPr>
          <w:w w:val="100"/>
        </w:rPr>
        <w:t>’</w:t>
      </w:r>
      <w:r w:rsidR="00646413" w:rsidRPr="00C51D17">
        <w:rPr>
          <w:w w:val="100"/>
        </w:rPr>
        <w:t>enfant pendant toute la durée de l</w:t>
      </w:r>
      <w:r w:rsidR="00723345" w:rsidRPr="00C51D17">
        <w:rPr>
          <w:w w:val="100"/>
        </w:rPr>
        <w:t>’</w:t>
      </w:r>
      <w:r w:rsidR="00646413" w:rsidRPr="00C51D17">
        <w:rPr>
          <w:w w:val="100"/>
        </w:rPr>
        <w:t>adoption</w:t>
      </w:r>
      <w:r w:rsidR="0012596A" w:rsidRPr="00C51D17">
        <w:rPr>
          <w:w w:val="100"/>
        </w:rPr>
        <w:t> ;</w:t>
      </w:r>
    </w:p>
    <w:p w14:paraId="56851DE6" w14:textId="06301FBE" w:rsidR="00646413" w:rsidRPr="00C51D17" w:rsidRDefault="00BA37DC" w:rsidP="00BA37D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projet porte également sur l</w:t>
      </w:r>
      <w:r w:rsidR="00723345" w:rsidRPr="00C51D17">
        <w:rPr>
          <w:w w:val="100"/>
        </w:rPr>
        <w:t>’</w:t>
      </w:r>
      <w:r w:rsidR="00646413" w:rsidRPr="00C51D17">
        <w:rPr>
          <w:w w:val="100"/>
        </w:rPr>
        <w:t>évaluation des familles d</w:t>
      </w:r>
      <w:r w:rsidR="00723345" w:rsidRPr="00C51D17">
        <w:rPr>
          <w:w w:val="100"/>
        </w:rPr>
        <w:t>’</w:t>
      </w:r>
      <w:r w:rsidR="00646413" w:rsidRPr="00C51D17">
        <w:rPr>
          <w:w w:val="100"/>
        </w:rPr>
        <w:t>accueil (le père et la mère), qui est la base de la réalisation des objectifs stratégiques du Centre et permet de réduire au maximum le taux de retour des enfants adoptés au Centre ou les différends avec les familles d</w:t>
      </w:r>
      <w:r w:rsidR="00723345" w:rsidRPr="00C51D17">
        <w:rPr>
          <w:w w:val="100"/>
        </w:rPr>
        <w:t>’</w:t>
      </w:r>
      <w:r w:rsidR="00646413" w:rsidRPr="00C51D17">
        <w:rPr>
          <w:w w:val="100"/>
        </w:rPr>
        <w:t>accueil, ainsi que sur la mise en place d</w:t>
      </w:r>
      <w:r w:rsidR="00723345" w:rsidRPr="00C51D17">
        <w:rPr>
          <w:w w:val="100"/>
        </w:rPr>
        <w:t>’</w:t>
      </w:r>
      <w:r w:rsidR="00646413" w:rsidRPr="00C51D17">
        <w:rPr>
          <w:w w:val="100"/>
        </w:rPr>
        <w:t>un mécanisme pour informer l</w:t>
      </w:r>
      <w:r w:rsidR="00723345" w:rsidRPr="00C51D17">
        <w:rPr>
          <w:w w:val="100"/>
        </w:rPr>
        <w:t>’</w:t>
      </w:r>
      <w:r w:rsidR="00646413" w:rsidRPr="00C51D17">
        <w:rPr>
          <w:w w:val="100"/>
        </w:rPr>
        <w:t>enfant qu</w:t>
      </w:r>
      <w:r w:rsidR="00723345" w:rsidRPr="00C51D17">
        <w:rPr>
          <w:w w:val="100"/>
        </w:rPr>
        <w:t>’</w:t>
      </w:r>
      <w:r w:rsidR="00646413" w:rsidRPr="00C51D17">
        <w:rPr>
          <w:w w:val="100"/>
        </w:rPr>
        <w:t>il est adopté et apprendre aux familles les méthodes d</w:t>
      </w:r>
      <w:r w:rsidR="00723345" w:rsidRPr="00C51D17">
        <w:rPr>
          <w:w w:val="100"/>
        </w:rPr>
        <w:t>’</w:t>
      </w:r>
      <w:r w:rsidR="00646413" w:rsidRPr="00C51D17">
        <w:rPr>
          <w:w w:val="100"/>
        </w:rPr>
        <w:t>information de l</w:t>
      </w:r>
      <w:r w:rsidR="00723345" w:rsidRPr="00C51D17">
        <w:rPr>
          <w:w w:val="100"/>
        </w:rPr>
        <w:t>’</w:t>
      </w:r>
      <w:r w:rsidR="00646413" w:rsidRPr="00C51D17">
        <w:rPr>
          <w:w w:val="100"/>
        </w:rPr>
        <w:t>enfant les plus indiquées et le moment de le faire</w:t>
      </w:r>
      <w:r w:rsidR="0012596A" w:rsidRPr="00C51D17">
        <w:rPr>
          <w:w w:val="100"/>
        </w:rPr>
        <w:t> ;</w:t>
      </w:r>
    </w:p>
    <w:p w14:paraId="4BD8F1D9" w14:textId="687A3D45" w:rsidR="00646413" w:rsidRPr="00C51D17" w:rsidRDefault="00BA37DC" w:rsidP="00BA37DC">
      <w:pPr>
        <w:pStyle w:val="SingleTxt"/>
        <w:tabs>
          <w:tab w:val="right" w:pos="1685"/>
        </w:tabs>
        <w:ind w:left="1742" w:hanging="475"/>
        <w:rPr>
          <w:w w:val="100"/>
        </w:rPr>
      </w:pPr>
      <w:r w:rsidRPr="00C51D17">
        <w:rPr>
          <w:w w:val="100"/>
        </w:rPr>
        <w:tab/>
        <w:t>•</w:t>
      </w:r>
      <w:r w:rsidRPr="00C51D17">
        <w:rPr>
          <w:w w:val="100"/>
        </w:rPr>
        <w:tab/>
      </w:r>
      <w:r w:rsidR="00646413" w:rsidRPr="00C51D17">
        <w:rPr>
          <w:w w:val="100"/>
        </w:rPr>
        <w:t>Habiliter et sensibiliser les parents et les familles d</w:t>
      </w:r>
      <w:r w:rsidR="00723345" w:rsidRPr="00C51D17">
        <w:rPr>
          <w:w w:val="100"/>
        </w:rPr>
        <w:t>’</w:t>
      </w:r>
      <w:r w:rsidR="00646413" w:rsidRPr="00C51D17">
        <w:rPr>
          <w:w w:val="100"/>
        </w:rPr>
        <w:t>accueil à la nature de l</w:t>
      </w:r>
      <w:r w:rsidR="00723345" w:rsidRPr="00C51D17">
        <w:rPr>
          <w:w w:val="100"/>
        </w:rPr>
        <w:t>’</w:t>
      </w:r>
      <w:r w:rsidR="00646413" w:rsidRPr="00C51D17">
        <w:rPr>
          <w:w w:val="100"/>
        </w:rPr>
        <w:t>adoption aux fins de protéger au mieux l</w:t>
      </w:r>
      <w:r w:rsidR="00723345" w:rsidRPr="00C51D17">
        <w:rPr>
          <w:w w:val="100"/>
        </w:rPr>
        <w:t>’</w:t>
      </w:r>
      <w:r w:rsidR="00646413" w:rsidRPr="00C51D17">
        <w:rPr>
          <w:w w:val="100"/>
        </w:rPr>
        <w:t>enfant, de lui éviter des crises psychologiques et de l</w:t>
      </w:r>
      <w:r w:rsidR="00723345" w:rsidRPr="00C51D17">
        <w:rPr>
          <w:w w:val="100"/>
        </w:rPr>
        <w:t>’</w:t>
      </w:r>
      <w:r w:rsidR="00646413" w:rsidRPr="00C51D17">
        <w:rPr>
          <w:w w:val="100"/>
        </w:rPr>
        <w:t>élever dans un environnement familial sain et stable en réduisant au maximum les troubles psychologiques graves qui peuvent l</w:t>
      </w:r>
      <w:r w:rsidR="00723345" w:rsidRPr="00C51D17">
        <w:rPr>
          <w:w w:val="100"/>
        </w:rPr>
        <w:t>’</w:t>
      </w:r>
      <w:r w:rsidR="00646413" w:rsidRPr="00C51D17">
        <w:rPr>
          <w:w w:val="100"/>
        </w:rPr>
        <w:t>atteindre du fait de sa situation, ce qui peut conduire à multiplier les conflits familiaux</w:t>
      </w:r>
      <w:r w:rsidR="0012596A" w:rsidRPr="00C51D17">
        <w:rPr>
          <w:w w:val="100"/>
        </w:rPr>
        <w:t> ;</w:t>
      </w:r>
    </w:p>
    <w:p w14:paraId="5CC2DDE2" w14:textId="6F9CC4CE" w:rsidR="00646413" w:rsidRPr="00C51D17" w:rsidRDefault="00BA37DC" w:rsidP="00BA37DC">
      <w:pPr>
        <w:pStyle w:val="SingleTxt"/>
        <w:tabs>
          <w:tab w:val="right" w:pos="1685"/>
        </w:tabs>
        <w:ind w:left="1742" w:hanging="475"/>
        <w:rPr>
          <w:w w:val="100"/>
        </w:rPr>
      </w:pPr>
      <w:r w:rsidRPr="00C51D17">
        <w:rPr>
          <w:w w:val="100"/>
        </w:rPr>
        <w:tab/>
        <w:t>•</w:t>
      </w:r>
      <w:r w:rsidRPr="00C51D17">
        <w:rPr>
          <w:w w:val="100"/>
        </w:rPr>
        <w:tab/>
      </w:r>
      <w:r w:rsidR="00646413" w:rsidRPr="00C51D17">
        <w:rPr>
          <w:w w:val="100"/>
        </w:rPr>
        <w:t>Aider, soutenir et habiliter la mère adoptive afin de lui donner une plus grande confiance en elle en l</w:t>
      </w:r>
      <w:r w:rsidR="00723345" w:rsidRPr="00C51D17">
        <w:rPr>
          <w:w w:val="100"/>
        </w:rPr>
        <w:t>’</w:t>
      </w:r>
      <w:r w:rsidR="00646413" w:rsidRPr="00C51D17">
        <w:rPr>
          <w:w w:val="100"/>
        </w:rPr>
        <w:t>aidant à se considérer différemment, ce qui lui donnera encore plus de force et une plus grande capacité d</w:t>
      </w:r>
      <w:r w:rsidR="00723345" w:rsidRPr="00C51D17">
        <w:rPr>
          <w:w w:val="100"/>
        </w:rPr>
        <w:t>’</w:t>
      </w:r>
      <w:r w:rsidR="00646413" w:rsidRPr="00C51D17">
        <w:rPr>
          <w:w w:val="100"/>
        </w:rPr>
        <w:t>établir des liens étroits et une forte collaboration avec l</w:t>
      </w:r>
      <w:r w:rsidR="00723345" w:rsidRPr="00C51D17">
        <w:rPr>
          <w:w w:val="100"/>
        </w:rPr>
        <w:t>’</w:t>
      </w:r>
      <w:r w:rsidR="00646413" w:rsidRPr="00C51D17">
        <w:rPr>
          <w:w w:val="100"/>
        </w:rPr>
        <w:t>enfant, ou par le biais de l</w:t>
      </w:r>
      <w:r w:rsidR="00723345" w:rsidRPr="00C51D17">
        <w:rPr>
          <w:w w:val="100"/>
        </w:rPr>
        <w:t>’</w:t>
      </w:r>
      <w:r w:rsidR="00646413" w:rsidRPr="00C51D17">
        <w:rPr>
          <w:w w:val="100"/>
        </w:rPr>
        <w:t>acquisition de capacités nouvelles</w:t>
      </w:r>
      <w:r w:rsidR="0012596A" w:rsidRPr="00C51D17">
        <w:rPr>
          <w:w w:val="100"/>
        </w:rPr>
        <w:t> ;</w:t>
      </w:r>
    </w:p>
    <w:p w14:paraId="3AC70EF4" w14:textId="0365A751" w:rsidR="00646413" w:rsidRPr="00C51D17" w:rsidRDefault="00BA37DC" w:rsidP="00BA37DC">
      <w:pPr>
        <w:pStyle w:val="SingleTxt"/>
        <w:tabs>
          <w:tab w:val="right" w:pos="1685"/>
        </w:tabs>
        <w:ind w:left="1742" w:hanging="475"/>
        <w:rPr>
          <w:w w:val="100"/>
        </w:rPr>
      </w:pPr>
      <w:r w:rsidRPr="00C51D17">
        <w:rPr>
          <w:w w:val="100"/>
        </w:rPr>
        <w:tab/>
        <w:t>•</w:t>
      </w:r>
      <w:r w:rsidRPr="00C51D17">
        <w:rPr>
          <w:w w:val="100"/>
        </w:rPr>
        <w:tab/>
      </w:r>
      <w:r w:rsidR="00646413" w:rsidRPr="00C51D17">
        <w:rPr>
          <w:w w:val="100"/>
        </w:rPr>
        <w:t>Apporter un soutien moral à la mère adoptive pour qu</w:t>
      </w:r>
      <w:r w:rsidR="00723345" w:rsidRPr="00C51D17">
        <w:rPr>
          <w:w w:val="100"/>
        </w:rPr>
        <w:t>’</w:t>
      </w:r>
      <w:r w:rsidR="00646413" w:rsidRPr="00C51D17">
        <w:rPr>
          <w:w w:val="100"/>
        </w:rPr>
        <w:t>elle puisse accomplir au mieux son rôle à l</w:t>
      </w:r>
      <w:r w:rsidR="00723345" w:rsidRPr="00C51D17">
        <w:rPr>
          <w:w w:val="100"/>
        </w:rPr>
        <w:t>’</w:t>
      </w:r>
      <w:r w:rsidR="00646413" w:rsidRPr="00C51D17">
        <w:rPr>
          <w:w w:val="100"/>
        </w:rPr>
        <w:t>égard de l</w:t>
      </w:r>
      <w:r w:rsidR="00723345" w:rsidRPr="00C51D17">
        <w:rPr>
          <w:w w:val="100"/>
        </w:rPr>
        <w:t>’</w:t>
      </w:r>
      <w:r w:rsidR="00646413" w:rsidRPr="00C51D17">
        <w:rPr>
          <w:w w:val="100"/>
        </w:rPr>
        <w:t>enfant et de la famille</w:t>
      </w:r>
      <w:r w:rsidR="0012596A" w:rsidRPr="00C51D17">
        <w:rPr>
          <w:w w:val="100"/>
        </w:rPr>
        <w:t> ;</w:t>
      </w:r>
    </w:p>
    <w:p w14:paraId="0195770B" w14:textId="74957B42" w:rsidR="00646413" w:rsidRPr="00C51D17" w:rsidRDefault="00BA37DC" w:rsidP="00BA37D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projet s</w:t>
      </w:r>
      <w:r w:rsidR="00723345" w:rsidRPr="00C51D17">
        <w:rPr>
          <w:w w:val="100"/>
        </w:rPr>
        <w:t>’</w:t>
      </w:r>
      <w:r w:rsidR="00646413" w:rsidRPr="00C51D17">
        <w:rPr>
          <w:w w:val="100"/>
        </w:rPr>
        <w:t>appuie sur le postulat « mieux vaut prévenir que guérir » pour habiliter la mère adoptive psychologiquement et la mettre dans les meilleures conditions pour affronter les tensions de la vie sans que ses performances habituelles en soient affectées</w:t>
      </w:r>
      <w:r w:rsidR="0012596A" w:rsidRPr="00C51D17">
        <w:rPr>
          <w:w w:val="100"/>
        </w:rPr>
        <w:t> ;</w:t>
      </w:r>
    </w:p>
    <w:p w14:paraId="5E0490A6" w14:textId="4FE75A6A" w:rsidR="00646413" w:rsidRPr="00C51D17" w:rsidRDefault="00BA37DC" w:rsidP="00BA37D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renforcement des capacités de la mère adoptive pour répondre aux besoins de l</w:t>
      </w:r>
      <w:r w:rsidR="00723345" w:rsidRPr="00C51D17">
        <w:rPr>
          <w:w w:val="100"/>
        </w:rPr>
        <w:t>’</w:t>
      </w:r>
      <w:r w:rsidR="00646413" w:rsidRPr="00C51D17">
        <w:rPr>
          <w:w w:val="100"/>
        </w:rPr>
        <w:t>enfant dans les domaines de l</w:t>
      </w:r>
      <w:r w:rsidR="00723345" w:rsidRPr="00C51D17">
        <w:rPr>
          <w:w w:val="100"/>
        </w:rPr>
        <w:t>’</w:t>
      </w:r>
      <w:r w:rsidR="00646413" w:rsidRPr="00C51D17">
        <w:rPr>
          <w:w w:val="100"/>
        </w:rPr>
        <w:t>éducation, de la santé et de l</w:t>
      </w:r>
      <w:r w:rsidR="00723345" w:rsidRPr="00C51D17">
        <w:rPr>
          <w:w w:val="100"/>
        </w:rPr>
        <w:t>’</w:t>
      </w:r>
      <w:r w:rsidR="00646413" w:rsidRPr="00C51D17">
        <w:rPr>
          <w:w w:val="100"/>
        </w:rPr>
        <w:t>enseignement, ainsi qu</w:t>
      </w:r>
      <w:r w:rsidR="00723345" w:rsidRPr="00C51D17">
        <w:rPr>
          <w:w w:val="100"/>
        </w:rPr>
        <w:t>’</w:t>
      </w:r>
      <w:r w:rsidR="00646413" w:rsidRPr="00C51D17">
        <w:rPr>
          <w:w w:val="100"/>
        </w:rPr>
        <w:t>à ses besoins économiques</w:t>
      </w:r>
      <w:r w:rsidR="0012596A" w:rsidRPr="00C51D17">
        <w:rPr>
          <w:w w:val="100"/>
        </w:rPr>
        <w:t> ;</w:t>
      </w:r>
    </w:p>
    <w:p w14:paraId="702E1E39" w14:textId="3438775F" w:rsidR="00646413" w:rsidRPr="00C51D17" w:rsidRDefault="00BA37DC" w:rsidP="00BA37DC">
      <w:pPr>
        <w:pStyle w:val="SingleTxt"/>
        <w:tabs>
          <w:tab w:val="right" w:pos="1685"/>
        </w:tabs>
        <w:ind w:left="1742" w:hanging="475"/>
        <w:rPr>
          <w:w w:val="100"/>
        </w:rPr>
      </w:pPr>
      <w:r w:rsidRPr="00C51D17">
        <w:rPr>
          <w:w w:val="100"/>
        </w:rPr>
        <w:tab/>
        <w:t>•</w:t>
      </w:r>
      <w:r w:rsidRPr="00C51D17">
        <w:rPr>
          <w:w w:val="100"/>
        </w:rPr>
        <w:tab/>
      </w:r>
      <w:r w:rsidR="00646413" w:rsidRPr="00C51D17">
        <w:rPr>
          <w:w w:val="100"/>
        </w:rPr>
        <w:t>Aider la mère adoptive à surmonter les obstacles entravant la reconnaissance de ses droits naturels, de façon à ce qu</w:t>
      </w:r>
      <w:r w:rsidR="00723345" w:rsidRPr="00C51D17">
        <w:rPr>
          <w:w w:val="100"/>
        </w:rPr>
        <w:t>’</w:t>
      </w:r>
      <w:r w:rsidR="00646413" w:rsidRPr="00C51D17">
        <w:rPr>
          <w:w w:val="100"/>
        </w:rPr>
        <w:t>elle ait confiance en elle, qu</w:t>
      </w:r>
      <w:r w:rsidR="00723345" w:rsidRPr="00C51D17">
        <w:rPr>
          <w:w w:val="100"/>
        </w:rPr>
        <w:t>’</w:t>
      </w:r>
      <w:r w:rsidR="00646413" w:rsidRPr="00C51D17">
        <w:rPr>
          <w:w w:val="100"/>
        </w:rPr>
        <w:t>elle prenne les bonnes décisions et qu</w:t>
      </w:r>
      <w:r w:rsidR="00723345" w:rsidRPr="00C51D17">
        <w:rPr>
          <w:w w:val="100"/>
        </w:rPr>
        <w:t>’</w:t>
      </w:r>
      <w:r w:rsidR="00646413" w:rsidRPr="00C51D17">
        <w:rPr>
          <w:w w:val="100"/>
        </w:rPr>
        <w:t>elle gère convenablement les ressources qui lui permettront d</w:t>
      </w:r>
      <w:r w:rsidR="00723345" w:rsidRPr="00C51D17">
        <w:rPr>
          <w:w w:val="100"/>
        </w:rPr>
        <w:t>’</w:t>
      </w:r>
      <w:r w:rsidR="00646413" w:rsidRPr="00C51D17">
        <w:rPr>
          <w:w w:val="100"/>
        </w:rPr>
        <w:t>assumer son rôle dans l</w:t>
      </w:r>
      <w:r w:rsidR="00723345" w:rsidRPr="00C51D17">
        <w:rPr>
          <w:w w:val="100"/>
        </w:rPr>
        <w:t>’</w:t>
      </w:r>
      <w:r w:rsidR="00646413" w:rsidRPr="00C51D17">
        <w:rPr>
          <w:w w:val="100"/>
        </w:rPr>
        <w:t>épanouissement de sa famille et de sa société</w:t>
      </w:r>
      <w:r w:rsidR="0012596A" w:rsidRPr="00C51D17">
        <w:rPr>
          <w:w w:val="100"/>
        </w:rPr>
        <w:t> ;</w:t>
      </w:r>
    </w:p>
    <w:p w14:paraId="344A67EB" w14:textId="38496920" w:rsidR="00646413" w:rsidRPr="00C51D17" w:rsidRDefault="00BA37DC" w:rsidP="00BA37D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aide aux deux parents pour leur permettre de partager les responsabilités dans l</w:t>
      </w:r>
      <w:r w:rsidR="00723345" w:rsidRPr="00C51D17">
        <w:rPr>
          <w:w w:val="100"/>
        </w:rPr>
        <w:t>’</w:t>
      </w:r>
      <w:r w:rsidR="00646413" w:rsidRPr="00C51D17">
        <w:rPr>
          <w:w w:val="100"/>
        </w:rPr>
        <w:t>éducation et la prise en charge des enfants adoptés</w:t>
      </w:r>
      <w:r w:rsidR="0012596A" w:rsidRPr="00C51D17">
        <w:rPr>
          <w:w w:val="100"/>
        </w:rPr>
        <w:t> ;</w:t>
      </w:r>
    </w:p>
    <w:p w14:paraId="25817BEA" w14:textId="7352B3AF" w:rsidR="00646413" w:rsidRPr="00C51D17" w:rsidRDefault="00BA37DC" w:rsidP="00BA37D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participation des familles adoptives aux activités de sensibilisation des hommes et des femmes, compte tenu des effets positifs qui en découlent</w:t>
      </w:r>
      <w:r w:rsidR="0012596A" w:rsidRPr="00C51D17">
        <w:rPr>
          <w:w w:val="100"/>
        </w:rPr>
        <w:t> ;</w:t>
      </w:r>
    </w:p>
    <w:p w14:paraId="737B75CE" w14:textId="6F7AA0B1" w:rsidR="00646413" w:rsidRPr="00C51D17" w:rsidRDefault="00BA37DC" w:rsidP="00BA37D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aide à la création de méthodologies claires de collaboration des familles adoptives avec les institutions actives dans la société, dans le but de bénéficier de leurs compétences en matière d</w:t>
      </w:r>
      <w:r w:rsidR="00723345" w:rsidRPr="00C51D17">
        <w:rPr>
          <w:w w:val="100"/>
        </w:rPr>
        <w:t>’</w:t>
      </w:r>
      <w:r w:rsidR="00646413" w:rsidRPr="00C51D17">
        <w:rPr>
          <w:w w:val="100"/>
        </w:rPr>
        <w:t>habilitation des mères adoptives.</w:t>
      </w:r>
    </w:p>
    <w:p w14:paraId="3A0A62EE" w14:textId="3B8223FF" w:rsidR="001A2007" w:rsidRPr="00C51D17" w:rsidRDefault="001A2007" w:rsidP="001A2007">
      <w:pPr>
        <w:pStyle w:val="SingleTxt"/>
        <w:tabs>
          <w:tab w:val="right" w:pos="1685"/>
        </w:tabs>
        <w:spacing w:after="0" w:line="120" w:lineRule="exact"/>
        <w:ind w:left="1742" w:hanging="475"/>
        <w:rPr>
          <w:w w:val="100"/>
          <w:sz w:val="10"/>
        </w:rPr>
      </w:pPr>
    </w:p>
    <w:p w14:paraId="626349B5" w14:textId="2F9FF69B" w:rsidR="00646413" w:rsidRPr="00C51D17" w:rsidRDefault="001A2007" w:rsidP="001A2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Traite des femmes et exploitation de la prostitution</w:t>
      </w:r>
    </w:p>
    <w:p w14:paraId="26C46B2E" w14:textId="58509981" w:rsidR="001A2007" w:rsidRPr="00C51D17" w:rsidRDefault="001A2007" w:rsidP="001A2007">
      <w:pPr>
        <w:pStyle w:val="SingleTxt"/>
        <w:spacing w:after="0" w:line="120" w:lineRule="exact"/>
        <w:rPr>
          <w:sz w:val="10"/>
        </w:rPr>
      </w:pPr>
    </w:p>
    <w:p w14:paraId="160F97EC" w14:textId="6A49DDE5" w:rsidR="00646413" w:rsidRPr="00C51D17" w:rsidRDefault="00646413" w:rsidP="001A2007">
      <w:pPr>
        <w:pStyle w:val="SingleTxt"/>
        <w:numPr>
          <w:ilvl w:val="0"/>
          <w:numId w:val="71"/>
        </w:numPr>
        <w:tabs>
          <w:tab w:val="num" w:pos="2804"/>
        </w:tabs>
        <w:spacing w:line="240" w:lineRule="exact"/>
        <w:ind w:left="1267"/>
        <w:rPr>
          <w:bCs/>
          <w:w w:val="100"/>
        </w:rPr>
      </w:pPr>
      <w:r w:rsidRPr="00C51D17">
        <w:rPr>
          <w:w w:val="100"/>
        </w:rPr>
        <w:t>Le Qatar a adopté la Convention des Nations Unies contre la criminalité transnationale organisée en vertu du décret n</w:t>
      </w:r>
      <w:r w:rsidRPr="00C51D17">
        <w:rPr>
          <w:w w:val="100"/>
          <w:vertAlign w:val="superscript"/>
        </w:rPr>
        <w:t>o</w:t>
      </w:r>
      <w:r w:rsidR="004E4347" w:rsidRPr="00C51D17">
        <w:rPr>
          <w:w w:val="100"/>
        </w:rPr>
        <w:t> </w:t>
      </w:r>
      <w:r w:rsidRPr="00C51D17">
        <w:rPr>
          <w:w w:val="100"/>
        </w:rPr>
        <w:t xml:space="preserve">15 de 2009 et le Protocole </w:t>
      </w:r>
      <w:r w:rsidRPr="00C51D17">
        <w:rPr>
          <w:bCs/>
          <w:w w:val="100"/>
        </w:rPr>
        <w:t>additionnel à la Convention visant à prévenir, réprimer et punir la traite des personnes, en particulier des femmes et des enfants. La loi n</w:t>
      </w:r>
      <w:r w:rsidR="004E4347" w:rsidRPr="00C51D17">
        <w:rPr>
          <w:w w:val="100"/>
          <w:vertAlign w:val="superscript"/>
        </w:rPr>
        <w:t>o</w:t>
      </w:r>
      <w:r w:rsidR="004E4347" w:rsidRPr="00C51D17">
        <w:rPr>
          <w:w w:val="100"/>
        </w:rPr>
        <w:t> </w:t>
      </w:r>
      <w:r w:rsidRPr="00C51D17">
        <w:rPr>
          <w:bCs/>
          <w:w w:val="100"/>
        </w:rPr>
        <w:t>15 de 2011 relative à la traite des personnes a ensuite été adoptée. C</w:t>
      </w:r>
      <w:r w:rsidR="00723345" w:rsidRPr="00C51D17">
        <w:rPr>
          <w:bCs/>
          <w:w w:val="100"/>
        </w:rPr>
        <w:t>’</w:t>
      </w:r>
      <w:r w:rsidRPr="00C51D17">
        <w:rPr>
          <w:bCs/>
          <w:w w:val="100"/>
        </w:rPr>
        <w:t>est dans ce cadre que le décret n</w:t>
      </w:r>
      <w:r w:rsidR="004E4347" w:rsidRPr="00C51D17">
        <w:rPr>
          <w:w w:val="100"/>
          <w:vertAlign w:val="superscript"/>
        </w:rPr>
        <w:t>o</w:t>
      </w:r>
      <w:r w:rsidR="004E4347" w:rsidRPr="00C51D17">
        <w:rPr>
          <w:w w:val="100"/>
        </w:rPr>
        <w:t> </w:t>
      </w:r>
      <w:r w:rsidRPr="00C51D17">
        <w:rPr>
          <w:bCs/>
          <w:w w:val="100"/>
        </w:rPr>
        <w:t>15 de 2017 a créé la Commission nationale de lutte contre la traite des personnes. La Commission, qui est présidée par le Ministre du développement administratif, du travail et des affaires sociales, est composée du représentant du Ministère des affaires étrangères, Vice-Président, et de représentants des institutions ci-après</w:t>
      </w:r>
      <w:r w:rsidR="0012596A" w:rsidRPr="00C51D17">
        <w:rPr>
          <w:bCs/>
          <w:w w:val="100"/>
        </w:rPr>
        <w:t xml:space="preserve"> : </w:t>
      </w:r>
      <w:r w:rsidRPr="00C51D17">
        <w:rPr>
          <w:bCs/>
          <w:w w:val="100"/>
        </w:rPr>
        <w:t>Ministère de l</w:t>
      </w:r>
      <w:r w:rsidR="00723345" w:rsidRPr="00C51D17">
        <w:rPr>
          <w:bCs/>
          <w:w w:val="100"/>
        </w:rPr>
        <w:t>’</w:t>
      </w:r>
      <w:r w:rsidRPr="00C51D17">
        <w:rPr>
          <w:bCs/>
          <w:w w:val="100"/>
        </w:rPr>
        <w:t>intérieur, Ministère de la justice, Ministère de la santé publique, bureau du Procureur général, Bureau de la communication gouvernementale, Commission nationale des droits de l</w:t>
      </w:r>
      <w:r w:rsidR="00723345" w:rsidRPr="00C51D17">
        <w:rPr>
          <w:bCs/>
          <w:w w:val="100"/>
        </w:rPr>
        <w:t>’</w:t>
      </w:r>
      <w:r w:rsidRPr="00C51D17">
        <w:rPr>
          <w:bCs/>
          <w:w w:val="100"/>
        </w:rPr>
        <w:t>homme et Centre de protection et de réadaptation sociales. La Commission joue le rôle de coordonnateur national</w:t>
      </w:r>
      <w:r w:rsidR="0012596A" w:rsidRPr="00C51D17">
        <w:rPr>
          <w:bCs/>
          <w:w w:val="100"/>
        </w:rPr>
        <w:t xml:space="preserve"> </w:t>
      </w:r>
      <w:r w:rsidRPr="00C51D17">
        <w:rPr>
          <w:bCs/>
          <w:w w:val="100"/>
        </w:rPr>
        <w:t>en matière d</w:t>
      </w:r>
      <w:r w:rsidR="00723345" w:rsidRPr="00C51D17">
        <w:rPr>
          <w:bCs/>
          <w:w w:val="100"/>
        </w:rPr>
        <w:t>’</w:t>
      </w:r>
      <w:r w:rsidRPr="00C51D17">
        <w:rPr>
          <w:bCs/>
          <w:w w:val="100"/>
        </w:rPr>
        <w:t>observation et de lutte contre la traite des personnes, en relation avec les parties concernées. Pour cela, elle est chargée des missions suivantes</w:t>
      </w:r>
      <w:r w:rsidR="001A2007" w:rsidRPr="00C51D17">
        <w:rPr>
          <w:bCs/>
          <w:w w:val="100"/>
        </w:rPr>
        <w:t> </w:t>
      </w:r>
      <w:r w:rsidRPr="00C51D17">
        <w:rPr>
          <w:bCs/>
          <w:w w:val="100"/>
        </w:rPr>
        <w:t>:</w:t>
      </w:r>
    </w:p>
    <w:p w14:paraId="6F43F32D" w14:textId="6B3B0A5F" w:rsidR="00646413" w:rsidRPr="00C51D17" w:rsidRDefault="001304C7" w:rsidP="001304C7">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élaboration de la stratégie nationale de lutte contre la traite des personnes et des programmes et mécanismes d</w:t>
      </w:r>
      <w:r w:rsidR="00723345" w:rsidRPr="00C51D17">
        <w:rPr>
          <w:w w:val="100"/>
        </w:rPr>
        <w:t>’</w:t>
      </w:r>
      <w:r w:rsidR="00646413" w:rsidRPr="00C51D17">
        <w:rPr>
          <w:w w:val="100"/>
        </w:rPr>
        <w:t>exécution en coordination avec les organes concernés de l</w:t>
      </w:r>
      <w:r w:rsidR="00723345" w:rsidRPr="00C51D17">
        <w:rPr>
          <w:w w:val="100"/>
        </w:rPr>
        <w:t>’</w:t>
      </w:r>
      <w:r w:rsidR="00646413" w:rsidRPr="00C51D17">
        <w:rPr>
          <w:w w:val="100"/>
        </w:rPr>
        <w:t>État</w:t>
      </w:r>
      <w:r w:rsidR="0012596A" w:rsidRPr="00C51D17">
        <w:rPr>
          <w:w w:val="100"/>
        </w:rPr>
        <w:t> ;</w:t>
      </w:r>
    </w:p>
    <w:p w14:paraId="1CD4F944" w14:textId="52A5F5BD" w:rsidR="00646413" w:rsidRPr="00C51D17" w:rsidRDefault="001304C7" w:rsidP="001304C7">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élaboration d</w:t>
      </w:r>
      <w:r w:rsidR="00723345" w:rsidRPr="00C51D17">
        <w:rPr>
          <w:w w:val="100"/>
        </w:rPr>
        <w:t>’</w:t>
      </w:r>
      <w:r w:rsidR="00646413" w:rsidRPr="00C51D17">
        <w:rPr>
          <w:w w:val="100"/>
        </w:rPr>
        <w:t>une base de données sur les instruments internationaux relatifs à la traite des personnes, les méthodes de traite et les études qui lui ont été consacrées</w:t>
      </w:r>
      <w:r w:rsidR="0012596A" w:rsidRPr="00C51D17">
        <w:rPr>
          <w:w w:val="100"/>
        </w:rPr>
        <w:t> ;</w:t>
      </w:r>
    </w:p>
    <w:p w14:paraId="316B592E" w14:textId="49EB2342" w:rsidR="00646413" w:rsidRPr="00C51D17" w:rsidRDefault="001304C7" w:rsidP="001304C7">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révision des législations nationales concernant la traite des personnes et leur adaptation aux dispositions des conventions et instruments adoptés par l</w:t>
      </w:r>
      <w:r w:rsidR="00723345" w:rsidRPr="00C51D17">
        <w:rPr>
          <w:w w:val="100"/>
        </w:rPr>
        <w:t>’</w:t>
      </w:r>
      <w:r w:rsidR="00646413" w:rsidRPr="00C51D17">
        <w:rPr>
          <w:w w:val="100"/>
        </w:rPr>
        <w:t>État</w:t>
      </w:r>
      <w:r w:rsidR="0012596A" w:rsidRPr="00C51D17">
        <w:rPr>
          <w:w w:val="100"/>
        </w:rPr>
        <w:t> ;</w:t>
      </w:r>
      <w:r w:rsidR="00646413" w:rsidRPr="00C51D17">
        <w:rPr>
          <w:w w:val="100"/>
        </w:rPr>
        <w:t xml:space="preserve"> </w:t>
      </w:r>
    </w:p>
    <w:p w14:paraId="7E490B61" w14:textId="2144B1CE" w:rsidR="00646413" w:rsidRPr="00C51D17" w:rsidRDefault="001304C7" w:rsidP="001304C7">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élaboration et la diffusion d</w:t>
      </w:r>
      <w:r w:rsidR="00723345" w:rsidRPr="00C51D17">
        <w:rPr>
          <w:w w:val="100"/>
        </w:rPr>
        <w:t>’</w:t>
      </w:r>
      <w:r w:rsidR="00646413" w:rsidRPr="00C51D17">
        <w:rPr>
          <w:w w:val="100"/>
        </w:rPr>
        <w:t>un rapport</w:t>
      </w:r>
      <w:r w:rsidR="00646413" w:rsidRPr="00C51D17">
        <w:rPr>
          <w:b/>
          <w:w w:val="100"/>
          <w:sz w:val="28"/>
          <w:szCs w:val="28"/>
        </w:rPr>
        <w:t xml:space="preserve"> </w:t>
      </w:r>
      <w:r w:rsidR="00646413" w:rsidRPr="00C51D17">
        <w:rPr>
          <w:w w:val="100"/>
        </w:rPr>
        <w:t>annuel sur les efforts déployés par l</w:t>
      </w:r>
      <w:r w:rsidR="00723345" w:rsidRPr="00C51D17">
        <w:rPr>
          <w:w w:val="100"/>
        </w:rPr>
        <w:t>’</w:t>
      </w:r>
      <w:r w:rsidR="00646413" w:rsidRPr="00C51D17">
        <w:rPr>
          <w:w w:val="100"/>
        </w:rPr>
        <w:t>État pour interdire, observer et lutter contre la traite des personnes</w:t>
      </w:r>
      <w:r w:rsidR="0012596A" w:rsidRPr="00C51D17">
        <w:rPr>
          <w:w w:val="100"/>
        </w:rPr>
        <w:t> ;</w:t>
      </w:r>
    </w:p>
    <w:p w14:paraId="534687FD" w14:textId="4DFA55DB" w:rsidR="00646413" w:rsidRPr="00C51D17" w:rsidRDefault="001304C7" w:rsidP="001304C7">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examen des rapports internationaux et régionaux relatifs à l</w:t>
      </w:r>
      <w:r w:rsidR="00723345" w:rsidRPr="00C51D17">
        <w:rPr>
          <w:w w:val="100"/>
        </w:rPr>
        <w:t>’</w:t>
      </w:r>
      <w:r w:rsidR="00646413" w:rsidRPr="00C51D17">
        <w:rPr>
          <w:w w:val="100"/>
        </w:rPr>
        <w:t>interdiction, l</w:t>
      </w:r>
      <w:r w:rsidR="00723345" w:rsidRPr="00C51D17">
        <w:rPr>
          <w:w w:val="100"/>
        </w:rPr>
        <w:t>’</w:t>
      </w:r>
      <w:r w:rsidR="00646413" w:rsidRPr="00C51D17">
        <w:rPr>
          <w:w w:val="100"/>
        </w:rPr>
        <w:t>observation et la lutte contre la traite des personnes et la prise des décisions qui s</w:t>
      </w:r>
      <w:r w:rsidR="00723345" w:rsidRPr="00C51D17">
        <w:rPr>
          <w:w w:val="100"/>
        </w:rPr>
        <w:t>’</w:t>
      </w:r>
      <w:r w:rsidR="00646413" w:rsidRPr="00C51D17">
        <w:rPr>
          <w:w w:val="100"/>
        </w:rPr>
        <w:t>imposent à cet égard</w:t>
      </w:r>
      <w:r w:rsidR="0012596A" w:rsidRPr="00C51D17">
        <w:rPr>
          <w:w w:val="100"/>
        </w:rPr>
        <w:t> ;</w:t>
      </w:r>
    </w:p>
    <w:p w14:paraId="53DBE993" w14:textId="34F6E035" w:rsidR="00646413" w:rsidRPr="00C51D17" w:rsidRDefault="001304C7" w:rsidP="001304C7">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coordination avec les autorités compétentes et les parties concernées afin de garantir protection et soutien aux victimes de traite des personnes, notamment la mise en œuvre du programme de protection et d</w:t>
      </w:r>
      <w:r w:rsidR="00723345" w:rsidRPr="00C51D17">
        <w:rPr>
          <w:w w:val="100"/>
        </w:rPr>
        <w:t>’</w:t>
      </w:r>
      <w:r w:rsidR="00646413" w:rsidRPr="00C51D17">
        <w:rPr>
          <w:w w:val="100"/>
        </w:rPr>
        <w:t>habilitation des victimes afin d</w:t>
      </w:r>
      <w:r w:rsidR="00723345" w:rsidRPr="00C51D17">
        <w:rPr>
          <w:w w:val="100"/>
        </w:rPr>
        <w:t>’</w:t>
      </w:r>
      <w:r w:rsidR="00646413" w:rsidRPr="00C51D17">
        <w:rPr>
          <w:w w:val="100"/>
        </w:rPr>
        <w:t>aider à leur réinsertion sociale</w:t>
      </w:r>
      <w:r w:rsidR="0012596A" w:rsidRPr="00C51D17">
        <w:rPr>
          <w:w w:val="100"/>
        </w:rPr>
        <w:t> ;</w:t>
      </w:r>
    </w:p>
    <w:p w14:paraId="369C7F20" w14:textId="7CBD3A04" w:rsidR="00646413" w:rsidRPr="00C51D17" w:rsidRDefault="001304C7" w:rsidP="001304C7">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sensibilisation aux méthodes utilisées dans la traite des personnes par la tenue de conférences et la publication de bulletins et l</w:t>
      </w:r>
      <w:r w:rsidR="00723345" w:rsidRPr="00C51D17">
        <w:rPr>
          <w:w w:val="100"/>
        </w:rPr>
        <w:t>’</w:t>
      </w:r>
      <w:r w:rsidR="00646413" w:rsidRPr="00C51D17">
        <w:rPr>
          <w:w w:val="100"/>
        </w:rPr>
        <w:t>organisation de formations</w:t>
      </w:r>
      <w:r w:rsidR="0012596A" w:rsidRPr="00C51D17">
        <w:rPr>
          <w:w w:val="100"/>
        </w:rPr>
        <w:t> ;</w:t>
      </w:r>
    </w:p>
    <w:p w14:paraId="2CC5B67C" w14:textId="17DA56B4" w:rsidR="00646413" w:rsidRPr="00C51D17" w:rsidRDefault="001304C7" w:rsidP="001304C7">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échange d</w:t>
      </w:r>
      <w:r w:rsidR="00723345" w:rsidRPr="00C51D17">
        <w:rPr>
          <w:w w:val="100"/>
        </w:rPr>
        <w:t>’</w:t>
      </w:r>
      <w:r w:rsidR="00646413" w:rsidRPr="00C51D17">
        <w:rPr>
          <w:w w:val="100"/>
        </w:rPr>
        <w:t>informations et de données d</w:t>
      </w:r>
      <w:r w:rsidR="00723345" w:rsidRPr="00C51D17">
        <w:rPr>
          <w:w w:val="100"/>
        </w:rPr>
        <w:t>’</w:t>
      </w:r>
      <w:r w:rsidR="00646413" w:rsidRPr="00C51D17">
        <w:rPr>
          <w:w w:val="100"/>
        </w:rPr>
        <w:t>expérience avec les organisations et commissions nationales arabes, régionales et internationales chargées de la lutte contre la traite des personnes et le renforcement des relations avec celles-ci</w:t>
      </w:r>
      <w:r w:rsidR="0012596A" w:rsidRPr="00C51D17">
        <w:rPr>
          <w:w w:val="100"/>
        </w:rPr>
        <w:t> ;</w:t>
      </w:r>
    </w:p>
    <w:p w14:paraId="37F66DF1" w14:textId="2E3CFAC1" w:rsidR="00646413" w:rsidRPr="00C51D17" w:rsidRDefault="001304C7" w:rsidP="001304C7">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participation avec les parties concernées dans l</w:t>
      </w:r>
      <w:r w:rsidR="00723345" w:rsidRPr="00C51D17">
        <w:rPr>
          <w:w w:val="100"/>
        </w:rPr>
        <w:t>’</w:t>
      </w:r>
      <w:r w:rsidR="00646413" w:rsidRPr="00C51D17">
        <w:rPr>
          <w:w w:val="100"/>
        </w:rPr>
        <w:t xml:space="preserve">État aux conférences et colloques internationaux consacrés à la lutte contre la traite des personnes. </w:t>
      </w:r>
    </w:p>
    <w:p w14:paraId="03E4878D" w14:textId="01008C01" w:rsidR="00646413" w:rsidRPr="00C51D17" w:rsidRDefault="00646413" w:rsidP="00ED10EC">
      <w:pPr>
        <w:pStyle w:val="SingleTxt"/>
        <w:numPr>
          <w:ilvl w:val="0"/>
          <w:numId w:val="71"/>
        </w:numPr>
        <w:spacing w:line="240" w:lineRule="exact"/>
        <w:ind w:left="1267"/>
        <w:rPr>
          <w:w w:val="100"/>
        </w:rPr>
      </w:pPr>
      <w:r w:rsidRPr="00C51D17">
        <w:rPr>
          <w:w w:val="100"/>
        </w:rPr>
        <w:t>C</w:t>
      </w:r>
      <w:r w:rsidR="00723345" w:rsidRPr="00C51D17">
        <w:rPr>
          <w:w w:val="100"/>
        </w:rPr>
        <w:t>’</w:t>
      </w:r>
      <w:r w:rsidRPr="00C51D17">
        <w:rPr>
          <w:w w:val="100"/>
        </w:rPr>
        <w:t>est en juin 2017 qu</w:t>
      </w:r>
      <w:r w:rsidR="00723345" w:rsidRPr="00C51D17">
        <w:rPr>
          <w:w w:val="100"/>
        </w:rPr>
        <w:t>’</w:t>
      </w:r>
      <w:r w:rsidRPr="00C51D17">
        <w:rPr>
          <w:w w:val="100"/>
        </w:rPr>
        <w:t>a été élaborée le Plan national de lutte contre la traite des personnes pour la période 2017-2022, qui constitue le modèle et la référence que se sont données la Commission et les autres parties concernées dans leur action de lutte contre toutes les formes de traite des personnes. Le Plan porte sur la prévention, la protection, les poursuites judiciaires et la coopération régionale et internationale.</w:t>
      </w:r>
    </w:p>
    <w:p w14:paraId="673CCBCC" w14:textId="22632F72" w:rsidR="00ED10EC" w:rsidRPr="00C51D17" w:rsidRDefault="00ED10EC" w:rsidP="00ED10EC">
      <w:pPr>
        <w:pStyle w:val="SingleTxt"/>
        <w:spacing w:after="0" w:line="120" w:lineRule="exact"/>
        <w:rPr>
          <w:w w:val="100"/>
          <w:sz w:val="10"/>
        </w:rPr>
      </w:pPr>
    </w:p>
    <w:p w14:paraId="7130ED42" w14:textId="47249E39" w:rsidR="00646413" w:rsidRPr="00C51D17" w:rsidRDefault="00ED10EC" w:rsidP="00ED10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Poursuites judiciaires</w:t>
      </w:r>
    </w:p>
    <w:p w14:paraId="62D6DA5B" w14:textId="6783B33E" w:rsidR="00ED10EC" w:rsidRPr="00C51D17" w:rsidRDefault="00ED10EC" w:rsidP="00ED10EC">
      <w:pPr>
        <w:pStyle w:val="SingleTxt"/>
        <w:spacing w:after="0" w:line="120" w:lineRule="exact"/>
        <w:rPr>
          <w:sz w:val="10"/>
        </w:rPr>
      </w:pPr>
    </w:p>
    <w:p w14:paraId="7D0AF04A" w14:textId="69ED2723" w:rsidR="00646413" w:rsidRPr="00C51D17" w:rsidRDefault="00646413" w:rsidP="00ED10EC">
      <w:pPr>
        <w:pStyle w:val="SingleTxt"/>
        <w:numPr>
          <w:ilvl w:val="0"/>
          <w:numId w:val="71"/>
        </w:numPr>
        <w:spacing w:line="240" w:lineRule="exact"/>
        <w:ind w:left="1267"/>
        <w:rPr>
          <w:w w:val="100"/>
          <w:sz w:val="22"/>
        </w:rPr>
      </w:pPr>
      <w:r w:rsidRPr="00C51D17">
        <w:rPr>
          <w:w w:val="100"/>
        </w:rPr>
        <w:t>Le parquet a lancé une enquête touchant 109 cas de travail forcé et 28 cas de traite des personnes, dont des cas d</w:t>
      </w:r>
      <w:r w:rsidR="00723345" w:rsidRPr="00C51D17">
        <w:rPr>
          <w:w w:val="100"/>
        </w:rPr>
        <w:t>’</w:t>
      </w:r>
      <w:r w:rsidRPr="00C51D17">
        <w:rPr>
          <w:w w:val="100"/>
        </w:rPr>
        <w:t>incitation à la prostitution et autres pratiques liées à l</w:t>
      </w:r>
      <w:r w:rsidR="00723345" w:rsidRPr="00C51D17">
        <w:rPr>
          <w:w w:val="100"/>
        </w:rPr>
        <w:t>’</w:t>
      </w:r>
      <w:r w:rsidRPr="00C51D17">
        <w:rPr>
          <w:w w:val="100"/>
        </w:rPr>
        <w:t>emploi abusif. Il est à noter qu</w:t>
      </w:r>
      <w:r w:rsidR="00723345" w:rsidRPr="00C51D17">
        <w:rPr>
          <w:w w:val="100"/>
        </w:rPr>
        <w:t>’</w:t>
      </w:r>
      <w:r w:rsidRPr="00C51D17">
        <w:rPr>
          <w:w w:val="100"/>
        </w:rPr>
        <w:t>un grand nombre de femmes et de filles victimes de traite, dont Mme N.A., qui a affirmé avoir été exploitée sexuellement, ont été hébergées et ont bénéficié d</w:t>
      </w:r>
      <w:r w:rsidR="00723345" w:rsidRPr="00C51D17">
        <w:rPr>
          <w:w w:val="100"/>
        </w:rPr>
        <w:t>’</w:t>
      </w:r>
      <w:r w:rsidRPr="00C51D17">
        <w:rPr>
          <w:w w:val="100"/>
        </w:rPr>
        <w:t>une assistance juridique, jusqu</w:t>
      </w:r>
      <w:r w:rsidR="00723345" w:rsidRPr="00C51D17">
        <w:rPr>
          <w:w w:val="100"/>
        </w:rPr>
        <w:t>’</w:t>
      </w:r>
      <w:r w:rsidRPr="00C51D17">
        <w:rPr>
          <w:w w:val="100"/>
        </w:rPr>
        <w:t>au moment de leur retour dans leur pays après avoir été dûment indemnisées. Conformément aux dispositions du Code du travail, le bureau du Procureur général a poursuivi 19 sociétés pour infraction à la législation du travail, y compris le non</w:t>
      </w:r>
      <w:r w:rsidR="006772E7" w:rsidRPr="00C51D17">
        <w:rPr>
          <w:w w:val="100"/>
        </w:rPr>
        <w:t>-</w:t>
      </w:r>
      <w:r w:rsidRPr="00C51D17">
        <w:rPr>
          <w:w w:val="100"/>
        </w:rPr>
        <w:t>respect des horaires légaux de travail, le non</w:t>
      </w:r>
      <w:r w:rsidR="006772E7" w:rsidRPr="00C51D17">
        <w:rPr>
          <w:w w:val="100"/>
        </w:rPr>
        <w:t>-</w:t>
      </w:r>
      <w:r w:rsidRPr="00C51D17">
        <w:rPr>
          <w:w w:val="100"/>
        </w:rPr>
        <w:t>respect du repos hebdomadaire ou le non</w:t>
      </w:r>
      <w:r w:rsidR="006772E7" w:rsidRPr="00C51D17">
        <w:rPr>
          <w:w w:val="100"/>
        </w:rPr>
        <w:t>-</w:t>
      </w:r>
      <w:r w:rsidRPr="00C51D17">
        <w:rPr>
          <w:w w:val="100"/>
        </w:rPr>
        <w:t>paiement des salaires dus.</w:t>
      </w:r>
    </w:p>
    <w:p w14:paraId="27B135B4" w14:textId="01381D50" w:rsidR="00646413" w:rsidRPr="00C51D17" w:rsidRDefault="00646413" w:rsidP="00ED10EC">
      <w:pPr>
        <w:pStyle w:val="SingleTxt"/>
        <w:numPr>
          <w:ilvl w:val="0"/>
          <w:numId w:val="71"/>
        </w:numPr>
        <w:spacing w:line="240" w:lineRule="exact"/>
        <w:ind w:left="1267"/>
        <w:rPr>
          <w:w w:val="100"/>
        </w:rPr>
      </w:pPr>
      <w:r w:rsidRPr="00C51D17">
        <w:rPr>
          <w:w w:val="100"/>
        </w:rPr>
        <w:t>En 2017, le Gouvernement a poursuivi son action de renforcement de l</w:t>
      </w:r>
      <w:r w:rsidR="00723345" w:rsidRPr="00C51D17">
        <w:rPr>
          <w:w w:val="100"/>
        </w:rPr>
        <w:t>’</w:t>
      </w:r>
      <w:r w:rsidRPr="00C51D17">
        <w:rPr>
          <w:w w:val="100"/>
        </w:rPr>
        <w:t>application de la loi interdisant</w:t>
      </w:r>
      <w:r w:rsidRPr="00C51D17">
        <w:rPr>
          <w:b/>
          <w:w w:val="100"/>
        </w:rPr>
        <w:t xml:space="preserve"> </w:t>
      </w:r>
      <w:r w:rsidRPr="00C51D17">
        <w:rPr>
          <w:w w:val="100"/>
        </w:rPr>
        <w:t>la confiscation des passeports, à la suite d</w:t>
      </w:r>
      <w:r w:rsidR="00723345" w:rsidRPr="00C51D17">
        <w:rPr>
          <w:w w:val="100"/>
        </w:rPr>
        <w:t>’</w:t>
      </w:r>
      <w:r w:rsidRPr="00C51D17">
        <w:rPr>
          <w:w w:val="100"/>
        </w:rPr>
        <w:t>enquêtes sur 361 cas dont 53 ont été déférés devant le Procureur général. Le tribunal a jugé 48 cas et prononcé autant de peines d</w:t>
      </w:r>
      <w:r w:rsidR="00723345" w:rsidRPr="00C51D17">
        <w:rPr>
          <w:w w:val="100"/>
        </w:rPr>
        <w:t>’</w:t>
      </w:r>
      <w:r w:rsidRPr="00C51D17">
        <w:rPr>
          <w:w w:val="100"/>
        </w:rPr>
        <w:t>amendes.</w:t>
      </w:r>
    </w:p>
    <w:p w14:paraId="1434F096" w14:textId="4DFE659C" w:rsidR="00ED10EC" w:rsidRPr="00C51D17" w:rsidRDefault="00ED10EC" w:rsidP="00ED10EC">
      <w:pPr>
        <w:pStyle w:val="SingleTxt"/>
        <w:spacing w:after="0" w:line="120" w:lineRule="exact"/>
        <w:rPr>
          <w:w w:val="100"/>
          <w:sz w:val="10"/>
        </w:rPr>
      </w:pPr>
    </w:p>
    <w:p w14:paraId="546606BE" w14:textId="43E39DCE" w:rsidR="00646413" w:rsidRPr="00C51D17" w:rsidRDefault="00ED10EC" w:rsidP="00ED10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Assistance juridique</w:t>
      </w:r>
    </w:p>
    <w:p w14:paraId="0E29BC22" w14:textId="72232516" w:rsidR="00ED10EC" w:rsidRPr="00C51D17" w:rsidRDefault="00ED10EC" w:rsidP="00ED10EC">
      <w:pPr>
        <w:pStyle w:val="SingleTxt"/>
        <w:spacing w:after="0" w:line="120" w:lineRule="exact"/>
        <w:rPr>
          <w:sz w:val="10"/>
        </w:rPr>
      </w:pPr>
    </w:p>
    <w:p w14:paraId="691D8462" w14:textId="228BD67D" w:rsidR="00646413" w:rsidRPr="00C51D17" w:rsidRDefault="00646413" w:rsidP="00ED10EC">
      <w:pPr>
        <w:pStyle w:val="SingleTxt"/>
        <w:numPr>
          <w:ilvl w:val="0"/>
          <w:numId w:val="71"/>
        </w:numPr>
        <w:spacing w:line="240" w:lineRule="exact"/>
        <w:ind w:left="1267"/>
        <w:rPr>
          <w:w w:val="100"/>
        </w:rPr>
      </w:pPr>
      <w:r w:rsidRPr="00C51D17">
        <w:rPr>
          <w:w w:val="100"/>
        </w:rPr>
        <w:t>Le Gouvernement a fourni, auprès des instances chargées de l</w:t>
      </w:r>
      <w:r w:rsidR="00723345" w:rsidRPr="00C51D17">
        <w:rPr>
          <w:w w:val="100"/>
        </w:rPr>
        <w:t>’</w:t>
      </w:r>
      <w:r w:rsidRPr="00C51D17">
        <w:rPr>
          <w:w w:val="100"/>
        </w:rPr>
        <w:t>application de la loi, une assistance juridique aux victimes de traite des personnes, conformément à la loi n</w:t>
      </w:r>
      <w:r w:rsidRPr="00C51D17">
        <w:rPr>
          <w:w w:val="100"/>
          <w:vertAlign w:val="superscript"/>
        </w:rPr>
        <w:t>o</w:t>
      </w:r>
      <w:r w:rsidR="00C72FFB" w:rsidRPr="00C51D17">
        <w:rPr>
          <w:w w:val="100"/>
        </w:rPr>
        <w:t> </w:t>
      </w:r>
      <w:r w:rsidRPr="00C51D17">
        <w:rPr>
          <w:w w:val="100"/>
        </w:rPr>
        <w:t>15 de 2011 relative à la lutte contre la traite des personnes. Les autorités ont également aidé certaines victimes à obtenir réparation des dommages qui leur ont été causés.</w:t>
      </w:r>
    </w:p>
    <w:p w14:paraId="555555E7" w14:textId="77777777" w:rsidR="00FB3B84" w:rsidRPr="00C51D17" w:rsidRDefault="00FB3B84" w:rsidP="00FB3B84">
      <w:pPr>
        <w:pStyle w:val="SingleTxt"/>
        <w:spacing w:after="0" w:line="120" w:lineRule="exact"/>
        <w:rPr>
          <w:w w:val="100"/>
          <w:sz w:val="10"/>
        </w:rPr>
      </w:pPr>
    </w:p>
    <w:p w14:paraId="2C6C89E1" w14:textId="40AA6C01" w:rsidR="00646413" w:rsidRPr="00C51D17" w:rsidRDefault="00FB3B84" w:rsidP="00FB3B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Protection</w:t>
      </w:r>
    </w:p>
    <w:p w14:paraId="64FE2CC4" w14:textId="06084335" w:rsidR="00FB3B84" w:rsidRPr="00C51D17" w:rsidRDefault="00FB3B84" w:rsidP="00FB3B84">
      <w:pPr>
        <w:pStyle w:val="SingleTxt"/>
        <w:spacing w:after="0" w:line="120" w:lineRule="exact"/>
        <w:rPr>
          <w:sz w:val="10"/>
        </w:rPr>
      </w:pPr>
    </w:p>
    <w:p w14:paraId="5AF25441" w14:textId="55A07ED8" w:rsidR="00646413" w:rsidRPr="00C51D17" w:rsidRDefault="00FB3B84" w:rsidP="00FB3B84">
      <w:pPr>
        <w:pStyle w:val="SingleTxt"/>
        <w:rPr>
          <w:w w:val="100"/>
        </w:rPr>
      </w:pPr>
      <w:r w:rsidRPr="00C51D17">
        <w:rPr>
          <w:w w:val="100"/>
        </w:rPr>
        <w:tab/>
      </w:r>
      <w:r w:rsidR="00646413" w:rsidRPr="00C51D17">
        <w:rPr>
          <w:w w:val="100"/>
        </w:rPr>
        <w:t>a)</w:t>
      </w:r>
      <w:r w:rsidR="00646413" w:rsidRPr="00C51D17">
        <w:rPr>
          <w:w w:val="100"/>
        </w:rPr>
        <w:tab/>
        <w:t>Hébergement et réadaptation des victimes</w:t>
      </w:r>
    </w:p>
    <w:p w14:paraId="1D972173" w14:textId="12ED27D7" w:rsidR="00646413" w:rsidRPr="00C51D17" w:rsidRDefault="00646413" w:rsidP="00FB3B84">
      <w:pPr>
        <w:pStyle w:val="SingleTxt"/>
        <w:numPr>
          <w:ilvl w:val="0"/>
          <w:numId w:val="71"/>
        </w:numPr>
        <w:spacing w:line="240" w:lineRule="exact"/>
        <w:ind w:left="1267"/>
        <w:rPr>
          <w:w w:val="100"/>
        </w:rPr>
      </w:pPr>
      <w:r w:rsidRPr="00C51D17">
        <w:rPr>
          <w:w w:val="100"/>
        </w:rPr>
        <w:t>Le Gouvernement a continué d</w:t>
      </w:r>
      <w:r w:rsidR="00723345" w:rsidRPr="00C51D17">
        <w:rPr>
          <w:w w:val="100"/>
        </w:rPr>
        <w:t>’</w:t>
      </w:r>
      <w:r w:rsidRPr="00C51D17">
        <w:rPr>
          <w:w w:val="100"/>
        </w:rPr>
        <w:t>utiliser le système national d</w:t>
      </w:r>
      <w:r w:rsidR="00723345" w:rsidRPr="00C51D17">
        <w:rPr>
          <w:w w:val="100"/>
        </w:rPr>
        <w:t>’</w:t>
      </w:r>
      <w:r w:rsidRPr="00C51D17">
        <w:rPr>
          <w:w w:val="100"/>
        </w:rPr>
        <w:t>orientation, qui permet de coordonner les efforts en matière de recherche des identités des victimes entre les autorités gouvernementales et les organisations non gouvernementales. Grâce à ce système, les victimes de traite peuvent être hébergées, soignées et bénéficier d</w:t>
      </w:r>
      <w:r w:rsidR="00723345" w:rsidRPr="00C51D17">
        <w:rPr>
          <w:w w:val="100"/>
        </w:rPr>
        <w:t>’</w:t>
      </w:r>
      <w:r w:rsidRPr="00C51D17">
        <w:rPr>
          <w:w w:val="100"/>
        </w:rPr>
        <w:t>une assistance juridique.</w:t>
      </w:r>
    </w:p>
    <w:p w14:paraId="49EAF877" w14:textId="4A035A7B" w:rsidR="00646413" w:rsidRPr="00C51D17" w:rsidRDefault="00646413" w:rsidP="00FB3B84">
      <w:pPr>
        <w:pStyle w:val="SingleTxt"/>
        <w:numPr>
          <w:ilvl w:val="0"/>
          <w:numId w:val="71"/>
        </w:numPr>
        <w:spacing w:line="240" w:lineRule="exact"/>
        <w:ind w:left="1267"/>
        <w:rPr>
          <w:w w:val="100"/>
        </w:rPr>
      </w:pPr>
      <w:r w:rsidRPr="00C51D17">
        <w:rPr>
          <w:w w:val="100"/>
        </w:rPr>
        <w:t>En outre, la Fondation du Qatar pour l</w:t>
      </w:r>
      <w:r w:rsidR="00723345" w:rsidRPr="00C51D17">
        <w:rPr>
          <w:w w:val="100"/>
        </w:rPr>
        <w:t>’</w:t>
      </w:r>
      <w:r w:rsidRPr="00C51D17">
        <w:rPr>
          <w:w w:val="100"/>
        </w:rPr>
        <w:t>action sociale a inauguré « Dar al-Aman », dépendant du Centre de protection et de réadaptation sociales Aman, un des centres affiliés à la Fondation, qui assure un hébergement complet et un environnement social et sanitaire global dans lequel sont proposés des services de protection et d</w:t>
      </w:r>
      <w:r w:rsidR="00723345" w:rsidRPr="00C51D17">
        <w:rPr>
          <w:w w:val="100"/>
        </w:rPr>
        <w:t>’</w:t>
      </w:r>
      <w:r w:rsidRPr="00C51D17">
        <w:rPr>
          <w:w w:val="100"/>
        </w:rPr>
        <w:t>habilitation aux bénéficiaires, dont les victimes de traite des personnes. Cette structure se présente comme un bloc intégré composé de plus de 30 unités ou bâtiments spécialisés et équipés pour assurer un hébergement complet et donner aux victimes un foyer « provisoire » et un programme étudié de réadaptation. Six villas intégrées dans ce bloc sont consacrées à l</w:t>
      </w:r>
      <w:r w:rsidR="00723345" w:rsidRPr="00C51D17">
        <w:rPr>
          <w:w w:val="100"/>
        </w:rPr>
        <w:t>’</w:t>
      </w:r>
      <w:r w:rsidRPr="00C51D17">
        <w:rPr>
          <w:w w:val="100"/>
        </w:rPr>
        <w:t>hébergement des victimes des deux sexes, chacune pouvant accueillir 20 personnes.</w:t>
      </w:r>
    </w:p>
    <w:p w14:paraId="564AD634" w14:textId="2BED3D94" w:rsidR="00646413" w:rsidRPr="00C51D17" w:rsidRDefault="00646413" w:rsidP="00FB3B84">
      <w:pPr>
        <w:pStyle w:val="SingleTxt"/>
        <w:numPr>
          <w:ilvl w:val="0"/>
          <w:numId w:val="71"/>
        </w:numPr>
        <w:spacing w:line="240" w:lineRule="exact"/>
        <w:ind w:left="1267"/>
        <w:rPr>
          <w:w w:val="100"/>
        </w:rPr>
      </w:pPr>
      <w:r w:rsidRPr="00C51D17">
        <w:rPr>
          <w:w w:val="100"/>
        </w:rPr>
        <w:t>L</w:t>
      </w:r>
      <w:r w:rsidR="00723345" w:rsidRPr="00C51D17">
        <w:rPr>
          <w:w w:val="100"/>
        </w:rPr>
        <w:t>’</w:t>
      </w:r>
      <w:r w:rsidRPr="00C51D17">
        <w:rPr>
          <w:w w:val="100"/>
        </w:rPr>
        <w:t>hébergement s</w:t>
      </w:r>
      <w:r w:rsidR="00723345" w:rsidRPr="00C51D17">
        <w:rPr>
          <w:w w:val="100"/>
        </w:rPr>
        <w:t>’</w:t>
      </w:r>
      <w:r w:rsidRPr="00C51D17">
        <w:rPr>
          <w:w w:val="100"/>
        </w:rPr>
        <w:t>effectue en quatre étapes essentielles, avec tout d</w:t>
      </w:r>
      <w:r w:rsidR="00723345" w:rsidRPr="00C51D17">
        <w:rPr>
          <w:w w:val="100"/>
        </w:rPr>
        <w:t>’</w:t>
      </w:r>
      <w:r w:rsidRPr="00C51D17">
        <w:rPr>
          <w:w w:val="100"/>
        </w:rPr>
        <w:t>abord l</w:t>
      </w:r>
      <w:r w:rsidR="00723345" w:rsidRPr="00C51D17">
        <w:rPr>
          <w:w w:val="100"/>
        </w:rPr>
        <w:t>’</w:t>
      </w:r>
      <w:r w:rsidRPr="00C51D17">
        <w:rPr>
          <w:w w:val="100"/>
        </w:rPr>
        <w:t>accueil, qui implique une évaluation de principe de chaque cas et des besoins qui lui sont propres en matière d</w:t>
      </w:r>
      <w:r w:rsidR="00723345" w:rsidRPr="00C51D17">
        <w:rPr>
          <w:w w:val="100"/>
        </w:rPr>
        <w:t>’</w:t>
      </w:r>
      <w:r w:rsidRPr="00C51D17">
        <w:rPr>
          <w:w w:val="100"/>
        </w:rPr>
        <w:t>hébergement. Vient ensuite l</w:t>
      </w:r>
      <w:r w:rsidR="00723345" w:rsidRPr="00C51D17">
        <w:rPr>
          <w:w w:val="100"/>
        </w:rPr>
        <w:t>’</w:t>
      </w:r>
      <w:r w:rsidRPr="00C51D17">
        <w:rPr>
          <w:w w:val="100"/>
        </w:rPr>
        <w:t>installation, au cours de laquelle sont définis les droits et obligations liés à l</w:t>
      </w:r>
      <w:r w:rsidR="00723345" w:rsidRPr="00C51D17">
        <w:rPr>
          <w:w w:val="100"/>
        </w:rPr>
        <w:t>’</w:t>
      </w:r>
      <w:r w:rsidRPr="00C51D17">
        <w:rPr>
          <w:w w:val="100"/>
        </w:rPr>
        <w:t>hébergement, puis le passage au programme détaillé de réadaptation et enfin l</w:t>
      </w:r>
      <w:r w:rsidR="00723345" w:rsidRPr="00C51D17">
        <w:rPr>
          <w:w w:val="100"/>
        </w:rPr>
        <w:t>’</w:t>
      </w:r>
      <w:r w:rsidRPr="00C51D17">
        <w:rPr>
          <w:w w:val="100"/>
        </w:rPr>
        <w:t>étape de l</w:t>
      </w:r>
      <w:r w:rsidR="00723345" w:rsidRPr="00C51D17">
        <w:rPr>
          <w:w w:val="100"/>
        </w:rPr>
        <w:t>’</w:t>
      </w:r>
      <w:r w:rsidRPr="00C51D17">
        <w:rPr>
          <w:w w:val="100"/>
        </w:rPr>
        <w:t>intégration dans la famille, c</w:t>
      </w:r>
      <w:r w:rsidR="00723345" w:rsidRPr="00C51D17">
        <w:rPr>
          <w:w w:val="100"/>
        </w:rPr>
        <w:t>’</w:t>
      </w:r>
      <w:r w:rsidRPr="00C51D17">
        <w:rPr>
          <w:w w:val="100"/>
        </w:rPr>
        <w:t>est-à-dire le retour de la victime dans son environnement naturel au sein de sa famille et de sa société. Les victimes peuvent toujours venir au Centre, même si des accusations sont portées contre elles par les employeurs. Elles gardent le droit de quitter le Centre sans aucune contrainte.</w:t>
      </w:r>
    </w:p>
    <w:p w14:paraId="10087517" w14:textId="1EC20397" w:rsidR="00646413" w:rsidRPr="00C51D17" w:rsidRDefault="00FB3B84" w:rsidP="00FB3B84">
      <w:pPr>
        <w:pStyle w:val="SingleTxt"/>
        <w:rPr>
          <w:w w:val="100"/>
        </w:rPr>
      </w:pPr>
      <w:r w:rsidRPr="00C51D17">
        <w:rPr>
          <w:w w:val="100"/>
        </w:rPr>
        <w:tab/>
      </w:r>
      <w:r w:rsidR="00646413" w:rsidRPr="00C51D17">
        <w:rPr>
          <w:w w:val="100"/>
        </w:rPr>
        <w:t>b)</w:t>
      </w:r>
      <w:r w:rsidR="00646413" w:rsidRPr="00C51D17">
        <w:rPr>
          <w:w w:val="100"/>
        </w:rPr>
        <w:tab/>
        <w:t>Formation et réadaptation</w:t>
      </w:r>
    </w:p>
    <w:p w14:paraId="2F80B1EC" w14:textId="73457DE5" w:rsidR="00646413" w:rsidRPr="00C51D17" w:rsidRDefault="00646413" w:rsidP="00FB3B84">
      <w:pPr>
        <w:pStyle w:val="SingleTxt"/>
        <w:numPr>
          <w:ilvl w:val="0"/>
          <w:numId w:val="71"/>
        </w:numPr>
        <w:spacing w:line="240" w:lineRule="exact"/>
        <w:ind w:left="1267"/>
        <w:rPr>
          <w:w w:val="100"/>
        </w:rPr>
      </w:pPr>
      <w:r w:rsidRPr="00C51D17">
        <w:rPr>
          <w:w w:val="100"/>
        </w:rPr>
        <w:t>La Commission nationale de lutte contre la traite des personnes a signé un mémorandum d</w:t>
      </w:r>
      <w:r w:rsidR="00723345" w:rsidRPr="00C51D17">
        <w:rPr>
          <w:w w:val="100"/>
        </w:rPr>
        <w:t>’</w:t>
      </w:r>
      <w:r w:rsidRPr="00C51D17">
        <w:rPr>
          <w:w w:val="100"/>
        </w:rPr>
        <w:t>entente avec le Bureau régional de l</w:t>
      </w:r>
      <w:r w:rsidR="00723345" w:rsidRPr="00C51D17">
        <w:rPr>
          <w:w w:val="100"/>
        </w:rPr>
        <w:t>’</w:t>
      </w:r>
      <w:r w:rsidRPr="00C51D17">
        <w:rPr>
          <w:w w:val="100"/>
        </w:rPr>
        <w:t>Office des Nations Unies contre la drogue et le crime afin d</w:t>
      </w:r>
      <w:r w:rsidR="00723345" w:rsidRPr="00C51D17">
        <w:rPr>
          <w:w w:val="100"/>
        </w:rPr>
        <w:t>’</w:t>
      </w:r>
      <w:r w:rsidRPr="00C51D17">
        <w:rPr>
          <w:w w:val="100"/>
        </w:rPr>
        <w:t>organiser des cycles et ateliers de formation sur plusieurs thèmes liés à la traite des personnes et au système national d</w:t>
      </w:r>
      <w:r w:rsidR="00723345" w:rsidRPr="00C51D17">
        <w:rPr>
          <w:w w:val="100"/>
        </w:rPr>
        <w:t>’</w:t>
      </w:r>
      <w:r w:rsidRPr="00C51D17">
        <w:rPr>
          <w:w w:val="100"/>
        </w:rPr>
        <w:t>orientation, au bénéfice des fonctionnaires chargés de l</w:t>
      </w:r>
      <w:r w:rsidR="00723345" w:rsidRPr="00C51D17">
        <w:rPr>
          <w:w w:val="100"/>
        </w:rPr>
        <w:t>’</w:t>
      </w:r>
      <w:r w:rsidRPr="00C51D17">
        <w:rPr>
          <w:w w:val="100"/>
        </w:rPr>
        <w:t>application des lois, des magistrats et des fonctionnaires de police. Les cycles de formation suivants ont été organisés:</w:t>
      </w:r>
    </w:p>
    <w:p w14:paraId="773677E8" w14:textId="0F45133E" w:rsidR="00646413" w:rsidRPr="00C51D17" w:rsidRDefault="000743A6" w:rsidP="000743A6">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atelier de formation des journalistes, personnels du secteur de la communication et étudiants à la lutte contre la traite des personnes, qui a eu lieu du 26 au 28 février 2018, et a bénéficié à 25 journalistes, membres de médias et étudiants en communication</w:t>
      </w:r>
      <w:r w:rsidR="0012596A" w:rsidRPr="00C51D17">
        <w:rPr>
          <w:w w:val="100"/>
        </w:rPr>
        <w:t> ;</w:t>
      </w:r>
    </w:p>
    <w:p w14:paraId="7FA302ED" w14:textId="60851136" w:rsidR="00646413" w:rsidRPr="00C51D17" w:rsidRDefault="000743A6" w:rsidP="000743A6">
      <w:pPr>
        <w:pStyle w:val="SingleTxt"/>
        <w:tabs>
          <w:tab w:val="right" w:pos="1685"/>
        </w:tabs>
        <w:ind w:left="1742" w:hanging="475"/>
        <w:rPr>
          <w:w w:val="100"/>
        </w:rPr>
      </w:pPr>
      <w:r w:rsidRPr="00C51D17">
        <w:rPr>
          <w:w w:val="100"/>
        </w:rPr>
        <w:tab/>
        <w:t>•</w:t>
      </w:r>
      <w:r w:rsidRPr="00C51D17">
        <w:rPr>
          <w:w w:val="100"/>
        </w:rPr>
        <w:tab/>
      </w:r>
      <w:r w:rsidR="00646413" w:rsidRPr="00C51D17">
        <w:rPr>
          <w:w w:val="100"/>
        </w:rPr>
        <w:t>Une session sur le renforcement des capacités et connaissances des personnes travaillant dans le secteur de la main-d</w:t>
      </w:r>
      <w:r w:rsidR="00723345" w:rsidRPr="00C51D17">
        <w:rPr>
          <w:w w:val="100"/>
        </w:rPr>
        <w:t>’</w:t>
      </w:r>
      <w:r w:rsidR="00646413" w:rsidRPr="00C51D17">
        <w:rPr>
          <w:w w:val="100"/>
        </w:rPr>
        <w:t>œuvre dans le domaine de la lutte contre la traite des personnes, qui a profité à 25 personnes</w:t>
      </w:r>
      <w:r w:rsidR="0012596A" w:rsidRPr="00C51D17">
        <w:rPr>
          <w:w w:val="100"/>
        </w:rPr>
        <w:t> ;</w:t>
      </w:r>
    </w:p>
    <w:p w14:paraId="2BB443D9" w14:textId="6BF2311C" w:rsidR="00646413" w:rsidRPr="00C51D17" w:rsidRDefault="000743A6" w:rsidP="000743A6">
      <w:pPr>
        <w:pStyle w:val="SingleTxt"/>
        <w:tabs>
          <w:tab w:val="right" w:pos="1685"/>
        </w:tabs>
        <w:ind w:left="1742" w:hanging="475"/>
        <w:rPr>
          <w:w w:val="100"/>
        </w:rPr>
      </w:pPr>
      <w:r w:rsidRPr="00C51D17">
        <w:rPr>
          <w:w w:val="100"/>
        </w:rPr>
        <w:tab/>
        <w:t>•</w:t>
      </w:r>
      <w:r w:rsidRPr="00C51D17">
        <w:rPr>
          <w:w w:val="100"/>
        </w:rPr>
        <w:tab/>
      </w:r>
      <w:r w:rsidR="00646413" w:rsidRPr="00C51D17">
        <w:rPr>
          <w:w w:val="100"/>
        </w:rPr>
        <w:t>Une session sur le renforcement des capacités des parties concernées par ce type de lutte pour leur permettre de mieux connaître le système national de mécanismes de soutien aux victimes de traite des personnes, qui a aussi bénéficié à 25</w:t>
      </w:r>
      <w:r w:rsidR="007E523E" w:rsidRPr="00C51D17">
        <w:rPr>
          <w:w w:val="100"/>
        </w:rPr>
        <w:t> </w:t>
      </w:r>
      <w:r w:rsidR="00646413" w:rsidRPr="00C51D17">
        <w:rPr>
          <w:w w:val="100"/>
        </w:rPr>
        <w:t xml:space="preserve">personnes. </w:t>
      </w:r>
    </w:p>
    <w:p w14:paraId="3D9B9826" w14:textId="655F1E3E" w:rsidR="00646413" w:rsidRPr="00C51D17" w:rsidRDefault="00646413" w:rsidP="000743A6">
      <w:pPr>
        <w:pStyle w:val="SingleTxt"/>
        <w:numPr>
          <w:ilvl w:val="0"/>
          <w:numId w:val="71"/>
        </w:numPr>
        <w:spacing w:line="240" w:lineRule="exact"/>
        <w:ind w:left="1267"/>
        <w:rPr>
          <w:w w:val="100"/>
        </w:rPr>
      </w:pPr>
      <w:r w:rsidRPr="00C51D17">
        <w:rPr>
          <w:w w:val="100"/>
        </w:rPr>
        <w:t>Le Ministère de l</w:t>
      </w:r>
      <w:r w:rsidR="00723345" w:rsidRPr="00C51D17">
        <w:rPr>
          <w:w w:val="100"/>
        </w:rPr>
        <w:t>’</w:t>
      </w:r>
      <w:r w:rsidRPr="00C51D17">
        <w:rPr>
          <w:w w:val="100"/>
        </w:rPr>
        <w:t>intérieur a pour sa part organisé, entre 2016 et la fin de 2018, plusieurs cycles de formation au bénéfice des fonctionnaires chargés de l</w:t>
      </w:r>
      <w:r w:rsidR="00723345" w:rsidRPr="00C51D17">
        <w:rPr>
          <w:w w:val="100"/>
        </w:rPr>
        <w:t>’</w:t>
      </w:r>
      <w:r w:rsidRPr="00C51D17">
        <w:rPr>
          <w:w w:val="100"/>
        </w:rPr>
        <w:t>application des lois, notamment de la lutte contre la traite des personnes. On trouvera ci-dessous un tableau détaillé établi par l</w:t>
      </w:r>
      <w:r w:rsidR="00723345" w:rsidRPr="00C51D17">
        <w:rPr>
          <w:w w:val="100"/>
        </w:rPr>
        <w:t>’</w:t>
      </w:r>
      <w:r w:rsidRPr="00C51D17">
        <w:rPr>
          <w:w w:val="100"/>
        </w:rPr>
        <w:t>Institut de formation de la police.</w:t>
      </w:r>
      <w:r w:rsidRPr="00C51D17">
        <w:rPr>
          <w:b/>
          <w:w w:val="100"/>
        </w:rPr>
        <w:t xml:space="preserve"> </w:t>
      </w:r>
      <w:r w:rsidRPr="00C51D17">
        <w:rPr>
          <w:w w:val="100"/>
        </w:rPr>
        <w:t>Il est à noter que ces formations se poursuivront selon les besoins des services de sécurité</w:t>
      </w:r>
      <w:r w:rsidRPr="00C51D17">
        <w:rPr>
          <w:w w:val="100"/>
          <w:vertAlign w:val="superscript"/>
        </w:rPr>
        <w:footnoteReference w:id="11"/>
      </w:r>
      <w:r w:rsidR="002F46F0" w:rsidRPr="00C51D17">
        <w:rPr>
          <w:w w:val="100"/>
        </w:rPr>
        <w:t>.</w:t>
      </w:r>
      <w:r w:rsidRPr="00C51D17">
        <w:rPr>
          <w:w w:val="100"/>
        </w:rPr>
        <w:t xml:space="preserve"> </w:t>
      </w:r>
    </w:p>
    <w:p w14:paraId="54A7D288" w14:textId="45449102" w:rsidR="002F46F0" w:rsidRPr="00C51D17" w:rsidRDefault="002F46F0" w:rsidP="002F46F0">
      <w:pPr>
        <w:pStyle w:val="SingleTxt"/>
        <w:spacing w:after="0" w:line="120" w:lineRule="exact"/>
        <w:rPr>
          <w:w w:val="100"/>
          <w:sz w:val="10"/>
        </w:rPr>
      </w:pPr>
    </w:p>
    <w:p w14:paraId="1528CC1D" w14:textId="32829702" w:rsidR="00646413" w:rsidRPr="00C51D17" w:rsidRDefault="002F46F0" w:rsidP="002F46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Participation à la vie politique et à la vie publique</w:t>
      </w:r>
    </w:p>
    <w:p w14:paraId="6B0869A8" w14:textId="3CCA511C" w:rsidR="002F46F0" w:rsidRPr="00C51D17" w:rsidRDefault="002F46F0" w:rsidP="002F46F0">
      <w:pPr>
        <w:pStyle w:val="SingleTxt"/>
        <w:spacing w:after="0" w:line="120" w:lineRule="exact"/>
        <w:rPr>
          <w:sz w:val="10"/>
        </w:rPr>
      </w:pPr>
    </w:p>
    <w:p w14:paraId="592B3400" w14:textId="0A22C7B2" w:rsidR="00646413" w:rsidRPr="00C51D17" w:rsidRDefault="00646413" w:rsidP="002F46F0">
      <w:pPr>
        <w:pStyle w:val="SingleTxt"/>
        <w:numPr>
          <w:ilvl w:val="0"/>
          <w:numId w:val="71"/>
        </w:numPr>
        <w:spacing w:line="240" w:lineRule="exact"/>
        <w:ind w:left="1267"/>
        <w:rPr>
          <w:color w:val="000000"/>
          <w:w w:val="100"/>
        </w:rPr>
      </w:pPr>
      <w:r w:rsidRPr="00C51D17">
        <w:rPr>
          <w:w w:val="100"/>
        </w:rPr>
        <w:t>Le Qatar appuie l</w:t>
      </w:r>
      <w:r w:rsidR="00723345" w:rsidRPr="00C51D17">
        <w:rPr>
          <w:w w:val="100"/>
        </w:rPr>
        <w:t>’</w:t>
      </w:r>
      <w:r w:rsidRPr="00C51D17">
        <w:rPr>
          <w:w w:val="100"/>
        </w:rPr>
        <w:t>accès de la femme à des postes de direction et sa participation à l</w:t>
      </w:r>
      <w:r w:rsidR="00723345" w:rsidRPr="00C51D17">
        <w:rPr>
          <w:w w:val="100"/>
        </w:rPr>
        <w:t>’</w:t>
      </w:r>
      <w:r w:rsidRPr="00C51D17">
        <w:rPr>
          <w:w w:val="100"/>
        </w:rPr>
        <w:t>administration publique, ce qui consacre directement le respect des droits politiques des femmes, dont le droit de vote et le droit d</w:t>
      </w:r>
      <w:r w:rsidR="00723345" w:rsidRPr="00C51D17">
        <w:rPr>
          <w:w w:val="100"/>
        </w:rPr>
        <w:t>’</w:t>
      </w:r>
      <w:r w:rsidRPr="00C51D17">
        <w:rPr>
          <w:w w:val="100"/>
        </w:rPr>
        <w:t xml:space="preserve">être candidates aux élections des conseils municipaux, conformément aux normes internationales, notamment les conventions internationales concernant les femmes auxquelles le Qatar est partie, en particulier la Convention </w:t>
      </w:r>
      <w:r w:rsidRPr="00C51D17">
        <w:rPr>
          <w:color w:val="000000"/>
          <w:w w:val="100"/>
        </w:rPr>
        <w:t>sur l</w:t>
      </w:r>
      <w:r w:rsidR="00723345" w:rsidRPr="00C51D17">
        <w:rPr>
          <w:color w:val="000000"/>
          <w:w w:val="100"/>
        </w:rPr>
        <w:t>’</w:t>
      </w:r>
      <w:r w:rsidRPr="00C51D17">
        <w:rPr>
          <w:color w:val="000000"/>
          <w:w w:val="100"/>
        </w:rPr>
        <w:t>élimination de toutes les formes de discrimination à l</w:t>
      </w:r>
      <w:r w:rsidR="00723345" w:rsidRPr="00C51D17">
        <w:rPr>
          <w:color w:val="000000"/>
          <w:w w:val="100"/>
        </w:rPr>
        <w:t>’</w:t>
      </w:r>
      <w:r w:rsidRPr="00C51D17">
        <w:rPr>
          <w:color w:val="000000"/>
          <w:w w:val="100"/>
        </w:rPr>
        <w:t>égard des femmes.</w:t>
      </w:r>
    </w:p>
    <w:p w14:paraId="6976B811" w14:textId="287C66B4" w:rsidR="00646413" w:rsidRPr="00C51D17" w:rsidRDefault="00646413" w:rsidP="002F46F0">
      <w:pPr>
        <w:pStyle w:val="SingleTxt"/>
        <w:numPr>
          <w:ilvl w:val="0"/>
          <w:numId w:val="71"/>
        </w:numPr>
        <w:spacing w:line="240" w:lineRule="exact"/>
        <w:ind w:left="1267"/>
        <w:rPr>
          <w:color w:val="000000"/>
          <w:w w:val="100"/>
        </w:rPr>
      </w:pPr>
      <w:r w:rsidRPr="00C51D17">
        <w:rPr>
          <w:color w:val="000000"/>
          <w:w w:val="100"/>
        </w:rPr>
        <w:t>La femme qatarienne est présente dans un grand nombre de fonctions supérieures de direction au sein de l</w:t>
      </w:r>
      <w:r w:rsidR="00723345" w:rsidRPr="00C51D17">
        <w:rPr>
          <w:color w:val="000000"/>
          <w:w w:val="100"/>
        </w:rPr>
        <w:t>’</w:t>
      </w:r>
      <w:r w:rsidRPr="00C51D17">
        <w:rPr>
          <w:color w:val="000000"/>
          <w:w w:val="100"/>
        </w:rPr>
        <w:t>État. Elle a occupé des fonctions ministérielles dans les ministères de la santé, de l</w:t>
      </w:r>
      <w:r w:rsidR="00723345" w:rsidRPr="00C51D17">
        <w:rPr>
          <w:color w:val="000000"/>
          <w:w w:val="100"/>
        </w:rPr>
        <w:t>’</w:t>
      </w:r>
      <w:r w:rsidRPr="00C51D17">
        <w:rPr>
          <w:color w:val="000000"/>
          <w:w w:val="100"/>
        </w:rPr>
        <w:t>enseignement et des systèmes d</w:t>
      </w:r>
      <w:r w:rsidR="00723345" w:rsidRPr="00C51D17">
        <w:rPr>
          <w:color w:val="000000"/>
          <w:w w:val="100"/>
        </w:rPr>
        <w:t>’</w:t>
      </w:r>
      <w:r w:rsidRPr="00C51D17">
        <w:rPr>
          <w:color w:val="000000"/>
          <w:w w:val="100"/>
        </w:rPr>
        <w:t>information, ainsi que des postes de vice-ministres et de directrices d</w:t>
      </w:r>
      <w:r w:rsidR="00723345" w:rsidRPr="00C51D17">
        <w:rPr>
          <w:color w:val="000000"/>
          <w:w w:val="100"/>
        </w:rPr>
        <w:t>’</w:t>
      </w:r>
      <w:r w:rsidRPr="00C51D17">
        <w:rPr>
          <w:color w:val="000000"/>
          <w:w w:val="100"/>
        </w:rPr>
        <w:t>administration dans des ministères et organes gouvernementaux. Elle a aussi été nommée à des fonctions supérieures dans la magistrature comme procureure générale ou procureure (voir la réponse à l</w:t>
      </w:r>
      <w:r w:rsidR="00723345" w:rsidRPr="00C51D17">
        <w:rPr>
          <w:color w:val="000000"/>
          <w:w w:val="100"/>
        </w:rPr>
        <w:t>’</w:t>
      </w:r>
      <w:r w:rsidRPr="00C51D17">
        <w:rPr>
          <w:color w:val="000000"/>
          <w:w w:val="100"/>
        </w:rPr>
        <w:t xml:space="preserve">article 8 dans le rapport du Qatar). </w:t>
      </w:r>
    </w:p>
    <w:p w14:paraId="0A805CBD" w14:textId="64386D8C" w:rsidR="00646413" w:rsidRPr="00C51D17" w:rsidRDefault="00646413" w:rsidP="002F46F0">
      <w:pPr>
        <w:pStyle w:val="SingleTxt"/>
        <w:numPr>
          <w:ilvl w:val="0"/>
          <w:numId w:val="71"/>
        </w:numPr>
        <w:spacing w:line="240" w:lineRule="exact"/>
        <w:ind w:left="1267"/>
        <w:rPr>
          <w:color w:val="000000"/>
          <w:w w:val="100"/>
        </w:rPr>
      </w:pPr>
      <w:r w:rsidRPr="00C51D17">
        <w:rPr>
          <w:color w:val="000000"/>
          <w:w w:val="100"/>
        </w:rPr>
        <w:t>Les élections du Conseil de la Choura sont actuellement préparées par les commissions ministérielles concernés, comme cela a été indiqué par S.A. l</w:t>
      </w:r>
      <w:r w:rsidR="00723345" w:rsidRPr="00C51D17">
        <w:rPr>
          <w:color w:val="000000"/>
          <w:w w:val="100"/>
        </w:rPr>
        <w:t>’</w:t>
      </w:r>
      <w:r w:rsidRPr="00C51D17">
        <w:rPr>
          <w:color w:val="000000"/>
          <w:w w:val="100"/>
        </w:rPr>
        <w:t>Émir du Qatar dans le discours prononcé</w:t>
      </w:r>
      <w:r w:rsidRPr="00C51D17">
        <w:rPr>
          <w:b/>
          <w:color w:val="000000"/>
          <w:w w:val="100"/>
        </w:rPr>
        <w:t xml:space="preserve"> </w:t>
      </w:r>
      <w:r w:rsidRPr="00C51D17">
        <w:rPr>
          <w:color w:val="000000"/>
          <w:w w:val="100"/>
        </w:rPr>
        <w:t>à l</w:t>
      </w:r>
      <w:r w:rsidR="00723345" w:rsidRPr="00C51D17">
        <w:rPr>
          <w:color w:val="000000"/>
          <w:w w:val="100"/>
        </w:rPr>
        <w:t>’</w:t>
      </w:r>
      <w:r w:rsidRPr="00C51D17">
        <w:rPr>
          <w:color w:val="000000"/>
          <w:w w:val="100"/>
        </w:rPr>
        <w:t>occasion de l</w:t>
      </w:r>
      <w:r w:rsidR="00723345" w:rsidRPr="00C51D17">
        <w:rPr>
          <w:color w:val="000000"/>
          <w:w w:val="100"/>
        </w:rPr>
        <w:t>’</w:t>
      </w:r>
      <w:r w:rsidRPr="00C51D17">
        <w:rPr>
          <w:color w:val="000000"/>
          <w:w w:val="100"/>
        </w:rPr>
        <w:t>ouverture de la quarante-septième session du Conseil. La date des élections n</w:t>
      </w:r>
      <w:r w:rsidR="00723345" w:rsidRPr="00C51D17">
        <w:rPr>
          <w:color w:val="000000"/>
          <w:w w:val="100"/>
        </w:rPr>
        <w:t>’</w:t>
      </w:r>
      <w:r w:rsidRPr="00C51D17">
        <w:rPr>
          <w:color w:val="000000"/>
          <w:w w:val="100"/>
        </w:rPr>
        <w:t>a pas encore été fixée.</w:t>
      </w:r>
    </w:p>
    <w:p w14:paraId="79727C19" w14:textId="2969ACFF" w:rsidR="00646413" w:rsidRPr="00C51D17" w:rsidRDefault="00646413" w:rsidP="002F46F0">
      <w:pPr>
        <w:pStyle w:val="SingleTxt"/>
        <w:numPr>
          <w:ilvl w:val="0"/>
          <w:numId w:val="71"/>
        </w:numPr>
        <w:spacing w:line="240" w:lineRule="exact"/>
        <w:ind w:left="1267"/>
        <w:rPr>
          <w:color w:val="000000"/>
          <w:w w:val="100"/>
        </w:rPr>
      </w:pPr>
      <w:r w:rsidRPr="00C51D17">
        <w:rPr>
          <w:color w:val="000000"/>
          <w:w w:val="100"/>
        </w:rPr>
        <w:t>En réponse à la question du Comité concernant les causes de la baisse du nombre de candidates aux élections des conseils municipaux et les mesures prises pour assurer un financement suffisant des campagnes des candidates à ces élections et sensibiliser le public à l</w:t>
      </w:r>
      <w:r w:rsidR="00723345" w:rsidRPr="00C51D17">
        <w:rPr>
          <w:color w:val="000000"/>
          <w:w w:val="100"/>
        </w:rPr>
        <w:t>’</w:t>
      </w:r>
      <w:r w:rsidRPr="00C51D17">
        <w:rPr>
          <w:color w:val="000000"/>
          <w:w w:val="100"/>
        </w:rPr>
        <w:t>importance de la participation des femmes aux élections, on notera que les candidatures sont ouvertes aux femmes et aux hommes sur un pied d</w:t>
      </w:r>
      <w:r w:rsidR="00723345" w:rsidRPr="00C51D17">
        <w:rPr>
          <w:color w:val="000000"/>
          <w:w w:val="100"/>
        </w:rPr>
        <w:t>’</w:t>
      </w:r>
      <w:r w:rsidRPr="00C51D17">
        <w:rPr>
          <w:color w:val="000000"/>
          <w:w w:val="100"/>
        </w:rPr>
        <w:t>égalité. Il n</w:t>
      </w:r>
      <w:r w:rsidR="00723345" w:rsidRPr="00C51D17">
        <w:rPr>
          <w:color w:val="000000"/>
          <w:w w:val="100"/>
        </w:rPr>
        <w:t>’</w:t>
      </w:r>
      <w:r w:rsidRPr="00C51D17">
        <w:rPr>
          <w:color w:val="000000"/>
          <w:w w:val="100"/>
        </w:rPr>
        <w:t>y a aucun empêchement à la candidature de femmes aux sièges des conseils municipaux. En d</w:t>
      </w:r>
      <w:r w:rsidR="00723345" w:rsidRPr="00C51D17">
        <w:rPr>
          <w:color w:val="000000"/>
          <w:w w:val="100"/>
        </w:rPr>
        <w:t>’</w:t>
      </w:r>
      <w:r w:rsidRPr="00C51D17">
        <w:rPr>
          <w:color w:val="000000"/>
          <w:w w:val="100"/>
        </w:rPr>
        <w:t>autres termes, il n</w:t>
      </w:r>
      <w:r w:rsidR="00723345" w:rsidRPr="00C51D17">
        <w:rPr>
          <w:color w:val="000000"/>
          <w:w w:val="100"/>
        </w:rPr>
        <w:t>’</w:t>
      </w:r>
      <w:r w:rsidRPr="00C51D17">
        <w:rPr>
          <w:color w:val="000000"/>
          <w:w w:val="100"/>
        </w:rPr>
        <w:t>existe pas, s</w:t>
      </w:r>
      <w:r w:rsidR="00723345" w:rsidRPr="00C51D17">
        <w:rPr>
          <w:color w:val="000000"/>
          <w:w w:val="100"/>
        </w:rPr>
        <w:t>’</w:t>
      </w:r>
      <w:r w:rsidRPr="00C51D17">
        <w:rPr>
          <w:color w:val="000000"/>
          <w:w w:val="100"/>
        </w:rPr>
        <w:t>agissant du droit à la candidature, de mesures</w:t>
      </w:r>
      <w:r w:rsidRPr="00C51D17">
        <w:rPr>
          <w:b/>
          <w:color w:val="000000"/>
          <w:w w:val="100"/>
        </w:rPr>
        <w:t xml:space="preserve"> </w:t>
      </w:r>
      <w:r w:rsidRPr="00C51D17">
        <w:rPr>
          <w:color w:val="000000"/>
          <w:w w:val="100"/>
        </w:rPr>
        <w:t>spécifiques en faveur d</w:t>
      </w:r>
      <w:r w:rsidR="00723345" w:rsidRPr="00C51D17">
        <w:rPr>
          <w:color w:val="000000"/>
          <w:w w:val="100"/>
        </w:rPr>
        <w:t>’</w:t>
      </w:r>
      <w:r w:rsidRPr="00C51D17">
        <w:rPr>
          <w:color w:val="000000"/>
          <w:w w:val="100"/>
        </w:rPr>
        <w:t>un sexe particulier. Le nombre de candidatures féminines est déterminé par la décision de celles-ci d</w:t>
      </w:r>
      <w:r w:rsidR="00723345" w:rsidRPr="00C51D17">
        <w:rPr>
          <w:color w:val="000000"/>
          <w:w w:val="100"/>
        </w:rPr>
        <w:t>’</w:t>
      </w:r>
      <w:r w:rsidRPr="00C51D17">
        <w:rPr>
          <w:color w:val="000000"/>
          <w:w w:val="100"/>
        </w:rPr>
        <w:t>être candidates ou non, sachant que la Direction des élections du Ministère de l</w:t>
      </w:r>
      <w:r w:rsidR="00723345" w:rsidRPr="00C51D17">
        <w:rPr>
          <w:color w:val="000000"/>
          <w:w w:val="100"/>
        </w:rPr>
        <w:t>’</w:t>
      </w:r>
      <w:r w:rsidRPr="00C51D17">
        <w:rPr>
          <w:color w:val="000000"/>
          <w:w w:val="100"/>
        </w:rPr>
        <w:t>intérieur mène des actions de sensibilisation en faveur des candidatures féminines en organisant des conférences dans les universités et en directions d</w:t>
      </w:r>
      <w:r w:rsidR="00723345" w:rsidRPr="00C51D17">
        <w:rPr>
          <w:color w:val="000000"/>
          <w:w w:val="100"/>
        </w:rPr>
        <w:t>’</w:t>
      </w:r>
      <w:r w:rsidRPr="00C51D17">
        <w:rPr>
          <w:color w:val="000000"/>
          <w:w w:val="100"/>
        </w:rPr>
        <w:t xml:space="preserve">autres catégories de la population. </w:t>
      </w:r>
    </w:p>
    <w:p w14:paraId="380FC930" w14:textId="561E8728" w:rsidR="00646413" w:rsidRPr="00C51D17" w:rsidRDefault="00646413" w:rsidP="002F46F0">
      <w:pPr>
        <w:pStyle w:val="SingleTxt"/>
        <w:numPr>
          <w:ilvl w:val="0"/>
          <w:numId w:val="71"/>
        </w:numPr>
        <w:spacing w:line="240" w:lineRule="exact"/>
        <w:ind w:left="1267"/>
        <w:rPr>
          <w:color w:val="000000"/>
          <w:w w:val="100"/>
        </w:rPr>
      </w:pPr>
      <w:r w:rsidRPr="00C51D17">
        <w:rPr>
          <w:color w:val="000000"/>
          <w:w w:val="100"/>
        </w:rPr>
        <w:t>On trouvera ci-dessous des statistiques concernant la présence des femmes qatariennes dans les structures du Ministère de l</w:t>
      </w:r>
      <w:r w:rsidR="00723345" w:rsidRPr="00C51D17">
        <w:rPr>
          <w:color w:val="000000"/>
          <w:w w:val="100"/>
        </w:rPr>
        <w:t>’</w:t>
      </w:r>
      <w:r w:rsidRPr="00C51D17">
        <w:rPr>
          <w:color w:val="000000"/>
          <w:w w:val="100"/>
        </w:rPr>
        <w:t>intérieur.</w:t>
      </w:r>
    </w:p>
    <w:p w14:paraId="7C949B6C" w14:textId="6C1B8494" w:rsidR="003625D4" w:rsidRPr="00C51D17" w:rsidRDefault="003625D4" w:rsidP="003625D4">
      <w:pPr>
        <w:pStyle w:val="SingleTxt"/>
        <w:spacing w:after="0" w:line="120" w:lineRule="exact"/>
        <w:rPr>
          <w:color w:val="000000"/>
          <w:w w:val="100"/>
          <w:sz w:val="10"/>
        </w:rPr>
      </w:pPr>
    </w:p>
    <w:p w14:paraId="50A604E3" w14:textId="09C02E5C" w:rsidR="00646413" w:rsidRPr="00C51D17" w:rsidRDefault="003625D4" w:rsidP="003625D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Tableau 4</w:t>
      </w:r>
    </w:p>
    <w:p w14:paraId="0C165920" w14:textId="6C33DF2C" w:rsidR="00646413" w:rsidRPr="00C51D17" w:rsidRDefault="003625D4" w:rsidP="003625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Nombre de femmes employées par le Ministère de l</w:t>
      </w:r>
      <w:r w:rsidR="00723345" w:rsidRPr="00C51D17">
        <w:rPr>
          <w:w w:val="100"/>
        </w:rPr>
        <w:t>’</w:t>
      </w:r>
      <w:r w:rsidR="00646413" w:rsidRPr="00C51D17">
        <w:rPr>
          <w:w w:val="100"/>
        </w:rPr>
        <w:t xml:space="preserve">intérieur, </w:t>
      </w:r>
      <w:r w:rsidR="007E523E" w:rsidRPr="00C51D17">
        <w:rPr>
          <w:w w:val="100"/>
        </w:rPr>
        <w:br/>
      </w:r>
      <w:r w:rsidR="00646413" w:rsidRPr="00C51D17">
        <w:rPr>
          <w:w w:val="100"/>
        </w:rPr>
        <w:t>selon les fonctions occupées (2018)</w:t>
      </w:r>
    </w:p>
    <w:p w14:paraId="1E36E0B5" w14:textId="61AAD53B" w:rsidR="003625D4" w:rsidRPr="00C51D17" w:rsidRDefault="003625D4" w:rsidP="003625D4">
      <w:pPr>
        <w:pStyle w:val="SingleTxt"/>
        <w:spacing w:after="0" w:line="120" w:lineRule="exact"/>
        <w:rPr>
          <w:sz w:val="10"/>
        </w:rPr>
      </w:pPr>
    </w:p>
    <w:p w14:paraId="71C3211B" w14:textId="1A780EF2" w:rsidR="00215A7F" w:rsidRPr="00C51D17" w:rsidRDefault="00215A7F" w:rsidP="003625D4">
      <w:pPr>
        <w:pStyle w:val="SingleTxt"/>
        <w:spacing w:after="0" w:line="120" w:lineRule="exact"/>
        <w:rPr>
          <w:sz w:val="10"/>
        </w:rPr>
      </w:pPr>
    </w:p>
    <w:tbl>
      <w:tblPr>
        <w:tblW w:w="0" w:type="auto"/>
        <w:tblInd w:w="133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8726AA" w:rsidRPr="00C51D17" w14:paraId="24EA7D89" w14:textId="77777777" w:rsidTr="00215A7F">
        <w:trPr>
          <w:tblHeader/>
        </w:trPr>
        <w:tc>
          <w:tcPr>
            <w:tcW w:w="1830" w:type="dxa"/>
            <w:vMerge w:val="restart"/>
            <w:tcBorders>
              <w:top w:val="single" w:sz="4" w:space="0" w:color="auto"/>
            </w:tcBorders>
            <w:shd w:val="clear" w:color="auto" w:fill="auto"/>
            <w:vAlign w:val="bottom"/>
          </w:tcPr>
          <w:p w14:paraId="48463284" w14:textId="1A05F600" w:rsidR="008726AA" w:rsidRPr="00C51D17" w:rsidRDefault="008726AA" w:rsidP="00215A7F">
            <w:pPr>
              <w:tabs>
                <w:tab w:val="left" w:pos="288"/>
                <w:tab w:val="left" w:pos="576"/>
                <w:tab w:val="left" w:pos="864"/>
                <w:tab w:val="left" w:pos="1152"/>
              </w:tabs>
              <w:suppressAutoHyphens/>
              <w:spacing w:before="81" w:after="81" w:line="160" w:lineRule="exact"/>
              <w:ind w:right="40"/>
              <w:rPr>
                <w:i/>
                <w:sz w:val="14"/>
              </w:rPr>
            </w:pPr>
            <w:r w:rsidRPr="00C51D17">
              <w:rPr>
                <w:i/>
                <w:sz w:val="14"/>
              </w:rPr>
              <w:t>Type de fonction</w:t>
            </w:r>
          </w:p>
        </w:tc>
        <w:tc>
          <w:tcPr>
            <w:tcW w:w="1830" w:type="dxa"/>
            <w:tcBorders>
              <w:top w:val="single" w:sz="4" w:space="0" w:color="auto"/>
            </w:tcBorders>
            <w:shd w:val="clear" w:color="auto" w:fill="auto"/>
            <w:vAlign w:val="bottom"/>
          </w:tcPr>
          <w:p w14:paraId="480CC57F" w14:textId="5F6EA97F" w:rsidR="008726AA" w:rsidRPr="00C51D17" w:rsidRDefault="008726AA" w:rsidP="00215A7F">
            <w:pPr>
              <w:tabs>
                <w:tab w:val="left" w:pos="288"/>
                <w:tab w:val="left" w:pos="576"/>
                <w:tab w:val="left" w:pos="864"/>
                <w:tab w:val="left" w:pos="1152"/>
              </w:tabs>
              <w:suppressAutoHyphens/>
              <w:spacing w:before="81" w:after="81" w:line="160" w:lineRule="exact"/>
              <w:ind w:left="144" w:right="43"/>
              <w:jc w:val="right"/>
              <w:rPr>
                <w:i/>
                <w:sz w:val="14"/>
              </w:rPr>
            </w:pPr>
            <w:r w:rsidRPr="00C51D17">
              <w:rPr>
                <w:i/>
                <w:sz w:val="14"/>
              </w:rPr>
              <w:t>Militaire</w:t>
            </w:r>
          </w:p>
        </w:tc>
        <w:tc>
          <w:tcPr>
            <w:tcW w:w="1830" w:type="dxa"/>
            <w:tcBorders>
              <w:top w:val="single" w:sz="4" w:space="0" w:color="auto"/>
            </w:tcBorders>
            <w:shd w:val="clear" w:color="auto" w:fill="auto"/>
            <w:vAlign w:val="bottom"/>
          </w:tcPr>
          <w:p w14:paraId="2D018748" w14:textId="77777777" w:rsidR="008726AA" w:rsidRPr="00C51D17" w:rsidRDefault="008726AA" w:rsidP="00215A7F">
            <w:pPr>
              <w:tabs>
                <w:tab w:val="left" w:pos="288"/>
                <w:tab w:val="left" w:pos="576"/>
                <w:tab w:val="left" w:pos="864"/>
                <w:tab w:val="left" w:pos="1152"/>
              </w:tabs>
              <w:suppressAutoHyphens/>
              <w:spacing w:before="81" w:after="81" w:line="160" w:lineRule="exact"/>
              <w:ind w:left="144" w:right="43"/>
              <w:jc w:val="right"/>
              <w:rPr>
                <w:i/>
                <w:sz w:val="14"/>
              </w:rPr>
            </w:pPr>
          </w:p>
        </w:tc>
        <w:tc>
          <w:tcPr>
            <w:tcW w:w="1830" w:type="dxa"/>
            <w:vMerge w:val="restart"/>
            <w:tcBorders>
              <w:top w:val="single" w:sz="4" w:space="0" w:color="auto"/>
            </w:tcBorders>
            <w:shd w:val="clear" w:color="auto" w:fill="auto"/>
            <w:vAlign w:val="bottom"/>
          </w:tcPr>
          <w:p w14:paraId="2EAFAF72" w14:textId="52863641" w:rsidR="008726AA" w:rsidRPr="00C51D17" w:rsidRDefault="008726AA" w:rsidP="00215A7F">
            <w:pPr>
              <w:tabs>
                <w:tab w:val="left" w:pos="288"/>
                <w:tab w:val="left" w:pos="576"/>
                <w:tab w:val="left" w:pos="864"/>
                <w:tab w:val="left" w:pos="1152"/>
              </w:tabs>
              <w:suppressAutoHyphens/>
              <w:spacing w:before="81" w:after="81" w:line="160" w:lineRule="exact"/>
              <w:ind w:left="144" w:right="43"/>
              <w:jc w:val="right"/>
              <w:rPr>
                <w:i/>
                <w:sz w:val="14"/>
              </w:rPr>
            </w:pPr>
            <w:r w:rsidRPr="00C51D17">
              <w:rPr>
                <w:i/>
                <w:sz w:val="14"/>
              </w:rPr>
              <w:t xml:space="preserve">Civile </w:t>
            </w:r>
          </w:p>
        </w:tc>
      </w:tr>
      <w:tr w:rsidR="008726AA" w:rsidRPr="00C51D17" w14:paraId="7A21D012" w14:textId="77777777" w:rsidTr="00215A7F">
        <w:trPr>
          <w:tblHeader/>
        </w:trPr>
        <w:tc>
          <w:tcPr>
            <w:tcW w:w="1830" w:type="dxa"/>
            <w:vMerge/>
            <w:tcBorders>
              <w:bottom w:val="single" w:sz="12" w:space="0" w:color="auto"/>
            </w:tcBorders>
            <w:shd w:val="clear" w:color="auto" w:fill="auto"/>
            <w:vAlign w:val="bottom"/>
          </w:tcPr>
          <w:p w14:paraId="52DEB16F" w14:textId="77777777" w:rsidR="008726AA" w:rsidRPr="00C51D17" w:rsidRDefault="008726AA" w:rsidP="00215A7F">
            <w:pPr>
              <w:tabs>
                <w:tab w:val="left" w:pos="288"/>
                <w:tab w:val="left" w:pos="576"/>
                <w:tab w:val="left" w:pos="864"/>
                <w:tab w:val="left" w:pos="1152"/>
              </w:tabs>
              <w:suppressAutoHyphens/>
              <w:spacing w:before="81" w:after="81" w:line="160" w:lineRule="exact"/>
              <w:ind w:right="40"/>
              <w:rPr>
                <w:i/>
                <w:sz w:val="14"/>
              </w:rPr>
            </w:pPr>
          </w:p>
        </w:tc>
        <w:tc>
          <w:tcPr>
            <w:tcW w:w="1830" w:type="dxa"/>
            <w:tcBorders>
              <w:bottom w:val="single" w:sz="12" w:space="0" w:color="auto"/>
            </w:tcBorders>
            <w:shd w:val="clear" w:color="auto" w:fill="auto"/>
            <w:vAlign w:val="bottom"/>
          </w:tcPr>
          <w:p w14:paraId="4449BFCC" w14:textId="71D6D9D1" w:rsidR="008726AA" w:rsidRPr="00C51D17" w:rsidRDefault="008726AA" w:rsidP="00215A7F">
            <w:pPr>
              <w:tabs>
                <w:tab w:val="left" w:pos="288"/>
                <w:tab w:val="left" w:pos="576"/>
                <w:tab w:val="left" w:pos="864"/>
                <w:tab w:val="left" w:pos="1152"/>
              </w:tabs>
              <w:suppressAutoHyphens/>
              <w:spacing w:before="81" w:after="81" w:line="160" w:lineRule="exact"/>
              <w:ind w:left="144" w:right="43"/>
              <w:jc w:val="right"/>
              <w:rPr>
                <w:i/>
                <w:sz w:val="14"/>
              </w:rPr>
            </w:pPr>
            <w:r w:rsidRPr="00C51D17">
              <w:rPr>
                <w:i/>
                <w:sz w:val="14"/>
              </w:rPr>
              <w:t>Officiers</w:t>
            </w:r>
          </w:p>
        </w:tc>
        <w:tc>
          <w:tcPr>
            <w:tcW w:w="1830" w:type="dxa"/>
            <w:tcBorders>
              <w:bottom w:val="single" w:sz="12" w:space="0" w:color="auto"/>
            </w:tcBorders>
            <w:shd w:val="clear" w:color="auto" w:fill="auto"/>
            <w:vAlign w:val="bottom"/>
          </w:tcPr>
          <w:p w14:paraId="5C4FD218" w14:textId="2DE9C61B" w:rsidR="008726AA" w:rsidRPr="00C51D17" w:rsidRDefault="008726AA" w:rsidP="00215A7F">
            <w:pPr>
              <w:tabs>
                <w:tab w:val="left" w:pos="288"/>
                <w:tab w:val="left" w:pos="576"/>
                <w:tab w:val="left" w:pos="864"/>
                <w:tab w:val="left" w:pos="1152"/>
              </w:tabs>
              <w:suppressAutoHyphens/>
              <w:spacing w:before="81" w:after="81" w:line="160" w:lineRule="exact"/>
              <w:ind w:left="144" w:right="43"/>
              <w:jc w:val="right"/>
              <w:rPr>
                <w:i/>
                <w:sz w:val="14"/>
              </w:rPr>
            </w:pPr>
            <w:r w:rsidRPr="00C51D17">
              <w:rPr>
                <w:i/>
                <w:sz w:val="14"/>
              </w:rPr>
              <w:t>Sous-officiers</w:t>
            </w:r>
          </w:p>
        </w:tc>
        <w:tc>
          <w:tcPr>
            <w:tcW w:w="1830" w:type="dxa"/>
            <w:vMerge/>
            <w:tcBorders>
              <w:bottom w:val="single" w:sz="12" w:space="0" w:color="auto"/>
            </w:tcBorders>
            <w:shd w:val="clear" w:color="auto" w:fill="auto"/>
            <w:vAlign w:val="bottom"/>
          </w:tcPr>
          <w:p w14:paraId="7D3BCC84" w14:textId="77777777" w:rsidR="008726AA" w:rsidRPr="00C51D17" w:rsidRDefault="008726AA" w:rsidP="00215A7F">
            <w:pPr>
              <w:tabs>
                <w:tab w:val="left" w:pos="288"/>
                <w:tab w:val="left" w:pos="576"/>
                <w:tab w:val="left" w:pos="864"/>
                <w:tab w:val="left" w:pos="1152"/>
              </w:tabs>
              <w:suppressAutoHyphens/>
              <w:spacing w:before="81" w:after="81" w:line="160" w:lineRule="exact"/>
              <w:ind w:left="144" w:right="43"/>
              <w:jc w:val="right"/>
              <w:rPr>
                <w:i/>
                <w:sz w:val="14"/>
              </w:rPr>
            </w:pPr>
          </w:p>
        </w:tc>
      </w:tr>
      <w:tr w:rsidR="00215A7F" w:rsidRPr="00C51D17" w14:paraId="63EC19F7" w14:textId="77777777" w:rsidTr="00215A7F">
        <w:trPr>
          <w:trHeight w:hRule="exact" w:val="115"/>
          <w:tblHeader/>
        </w:trPr>
        <w:tc>
          <w:tcPr>
            <w:tcW w:w="1830" w:type="dxa"/>
            <w:tcBorders>
              <w:top w:val="single" w:sz="12" w:space="0" w:color="auto"/>
            </w:tcBorders>
            <w:shd w:val="clear" w:color="auto" w:fill="auto"/>
            <w:vAlign w:val="bottom"/>
          </w:tcPr>
          <w:p w14:paraId="7253D253" w14:textId="77777777" w:rsidR="00215A7F" w:rsidRPr="00C51D17" w:rsidRDefault="00215A7F" w:rsidP="00215A7F">
            <w:pPr>
              <w:tabs>
                <w:tab w:val="left" w:pos="288"/>
                <w:tab w:val="left" w:pos="576"/>
                <w:tab w:val="left" w:pos="864"/>
                <w:tab w:val="left" w:pos="1152"/>
              </w:tabs>
              <w:suppressAutoHyphens/>
              <w:spacing w:before="40" w:after="40" w:line="210" w:lineRule="exact"/>
              <w:ind w:right="40"/>
              <w:rPr>
                <w:sz w:val="17"/>
              </w:rPr>
            </w:pPr>
          </w:p>
        </w:tc>
        <w:tc>
          <w:tcPr>
            <w:tcW w:w="1830" w:type="dxa"/>
            <w:tcBorders>
              <w:top w:val="single" w:sz="12" w:space="0" w:color="auto"/>
            </w:tcBorders>
            <w:shd w:val="clear" w:color="auto" w:fill="auto"/>
            <w:vAlign w:val="bottom"/>
          </w:tcPr>
          <w:p w14:paraId="14B8B7A9" w14:textId="77777777" w:rsidR="00215A7F" w:rsidRPr="00C51D17" w:rsidRDefault="00215A7F" w:rsidP="00215A7F">
            <w:pPr>
              <w:tabs>
                <w:tab w:val="left" w:pos="288"/>
                <w:tab w:val="left" w:pos="576"/>
                <w:tab w:val="left" w:pos="864"/>
                <w:tab w:val="left" w:pos="1152"/>
              </w:tabs>
              <w:suppressAutoHyphens/>
              <w:spacing w:before="40" w:after="40" w:line="210" w:lineRule="exact"/>
              <w:ind w:left="144" w:right="43"/>
              <w:jc w:val="right"/>
              <w:rPr>
                <w:sz w:val="17"/>
              </w:rPr>
            </w:pPr>
          </w:p>
        </w:tc>
        <w:tc>
          <w:tcPr>
            <w:tcW w:w="1830" w:type="dxa"/>
            <w:tcBorders>
              <w:top w:val="single" w:sz="12" w:space="0" w:color="auto"/>
            </w:tcBorders>
            <w:shd w:val="clear" w:color="auto" w:fill="auto"/>
            <w:vAlign w:val="bottom"/>
          </w:tcPr>
          <w:p w14:paraId="0D6A8B77" w14:textId="77777777" w:rsidR="00215A7F" w:rsidRPr="00C51D17" w:rsidRDefault="00215A7F" w:rsidP="00215A7F">
            <w:pPr>
              <w:tabs>
                <w:tab w:val="left" w:pos="288"/>
                <w:tab w:val="left" w:pos="576"/>
                <w:tab w:val="left" w:pos="864"/>
                <w:tab w:val="left" w:pos="1152"/>
              </w:tabs>
              <w:suppressAutoHyphens/>
              <w:spacing w:before="40" w:after="40" w:line="210" w:lineRule="exact"/>
              <w:ind w:left="144" w:right="43"/>
              <w:jc w:val="right"/>
              <w:rPr>
                <w:sz w:val="17"/>
              </w:rPr>
            </w:pPr>
          </w:p>
        </w:tc>
        <w:tc>
          <w:tcPr>
            <w:tcW w:w="1830" w:type="dxa"/>
            <w:tcBorders>
              <w:top w:val="single" w:sz="12" w:space="0" w:color="auto"/>
            </w:tcBorders>
            <w:shd w:val="clear" w:color="auto" w:fill="auto"/>
            <w:vAlign w:val="bottom"/>
          </w:tcPr>
          <w:p w14:paraId="4B750921" w14:textId="77777777" w:rsidR="00215A7F" w:rsidRPr="00C51D17" w:rsidRDefault="00215A7F" w:rsidP="00215A7F">
            <w:pPr>
              <w:tabs>
                <w:tab w:val="left" w:pos="288"/>
                <w:tab w:val="left" w:pos="576"/>
                <w:tab w:val="left" w:pos="864"/>
                <w:tab w:val="left" w:pos="1152"/>
              </w:tabs>
              <w:suppressAutoHyphens/>
              <w:spacing w:before="40" w:after="40" w:line="210" w:lineRule="exact"/>
              <w:ind w:left="144" w:right="43"/>
              <w:jc w:val="right"/>
              <w:rPr>
                <w:sz w:val="17"/>
              </w:rPr>
            </w:pPr>
          </w:p>
        </w:tc>
      </w:tr>
      <w:tr w:rsidR="004C5362" w:rsidRPr="00C51D17" w14:paraId="3A9F1493" w14:textId="77777777" w:rsidTr="00BB07FC">
        <w:tc>
          <w:tcPr>
            <w:tcW w:w="1830" w:type="dxa"/>
            <w:shd w:val="clear" w:color="auto" w:fill="auto"/>
          </w:tcPr>
          <w:p w14:paraId="7E3846EF" w14:textId="61D1354F" w:rsidR="004D15B5" w:rsidRPr="00C51D17" w:rsidRDefault="004D15B5" w:rsidP="004D15B5">
            <w:pPr>
              <w:tabs>
                <w:tab w:val="left" w:pos="288"/>
                <w:tab w:val="left" w:pos="576"/>
                <w:tab w:val="left" w:pos="864"/>
                <w:tab w:val="left" w:pos="1152"/>
              </w:tabs>
              <w:suppressAutoHyphens/>
              <w:spacing w:before="40" w:after="40" w:line="210" w:lineRule="exact"/>
              <w:ind w:right="40"/>
              <w:rPr>
                <w:sz w:val="17"/>
                <w:szCs w:val="17"/>
              </w:rPr>
            </w:pPr>
            <w:r w:rsidRPr="00C51D17">
              <w:rPr>
                <w:rFonts w:eastAsia="Calibri"/>
                <w:color w:val="000000"/>
                <w:spacing w:val="0"/>
                <w:w w:val="100"/>
                <w:kern w:val="0"/>
                <w:sz w:val="17"/>
                <w:szCs w:val="17"/>
              </w:rPr>
              <w:t xml:space="preserve">Nombre </w:t>
            </w:r>
          </w:p>
        </w:tc>
        <w:tc>
          <w:tcPr>
            <w:tcW w:w="1830" w:type="dxa"/>
            <w:shd w:val="clear" w:color="auto" w:fill="auto"/>
          </w:tcPr>
          <w:p w14:paraId="50063D87" w14:textId="31F70911" w:rsidR="004D15B5" w:rsidRPr="00C51D17" w:rsidRDefault="004D15B5" w:rsidP="004D15B5">
            <w:pPr>
              <w:tabs>
                <w:tab w:val="left" w:pos="288"/>
                <w:tab w:val="left" w:pos="576"/>
                <w:tab w:val="left" w:pos="864"/>
                <w:tab w:val="left" w:pos="1152"/>
              </w:tabs>
              <w:suppressAutoHyphens/>
              <w:spacing w:before="40" w:after="40" w:line="210" w:lineRule="exact"/>
              <w:ind w:left="144" w:right="43"/>
              <w:jc w:val="right"/>
              <w:rPr>
                <w:sz w:val="17"/>
                <w:szCs w:val="17"/>
              </w:rPr>
            </w:pPr>
            <w:r w:rsidRPr="00C51D17">
              <w:rPr>
                <w:rFonts w:eastAsia="Calibri"/>
                <w:color w:val="000000"/>
                <w:spacing w:val="0"/>
                <w:w w:val="100"/>
                <w:kern w:val="0"/>
                <w:sz w:val="17"/>
                <w:szCs w:val="17"/>
              </w:rPr>
              <w:t>70</w:t>
            </w:r>
          </w:p>
        </w:tc>
        <w:tc>
          <w:tcPr>
            <w:tcW w:w="1830" w:type="dxa"/>
            <w:shd w:val="clear" w:color="auto" w:fill="auto"/>
          </w:tcPr>
          <w:p w14:paraId="1A7343E1" w14:textId="6D23A432" w:rsidR="004D15B5" w:rsidRPr="00C51D17" w:rsidRDefault="004D15B5" w:rsidP="004D15B5">
            <w:pPr>
              <w:tabs>
                <w:tab w:val="left" w:pos="288"/>
                <w:tab w:val="left" w:pos="576"/>
                <w:tab w:val="left" w:pos="864"/>
                <w:tab w:val="left" w:pos="1152"/>
              </w:tabs>
              <w:suppressAutoHyphens/>
              <w:spacing w:before="40" w:after="40" w:line="210" w:lineRule="exact"/>
              <w:ind w:left="144" w:right="43"/>
              <w:jc w:val="right"/>
              <w:rPr>
                <w:sz w:val="17"/>
                <w:szCs w:val="17"/>
              </w:rPr>
            </w:pPr>
            <w:r w:rsidRPr="00C51D17">
              <w:rPr>
                <w:rFonts w:eastAsia="Calibri"/>
                <w:color w:val="000000"/>
                <w:spacing w:val="0"/>
                <w:w w:val="100"/>
                <w:kern w:val="0"/>
                <w:sz w:val="17"/>
                <w:szCs w:val="17"/>
              </w:rPr>
              <w:t>909</w:t>
            </w:r>
          </w:p>
        </w:tc>
        <w:tc>
          <w:tcPr>
            <w:tcW w:w="1830" w:type="dxa"/>
            <w:shd w:val="clear" w:color="auto" w:fill="auto"/>
          </w:tcPr>
          <w:p w14:paraId="52FFCE6D" w14:textId="0B5EF5E6" w:rsidR="004D15B5" w:rsidRPr="00C51D17" w:rsidRDefault="004D15B5" w:rsidP="004D15B5">
            <w:pPr>
              <w:tabs>
                <w:tab w:val="left" w:pos="288"/>
                <w:tab w:val="left" w:pos="576"/>
                <w:tab w:val="left" w:pos="864"/>
                <w:tab w:val="left" w:pos="1152"/>
              </w:tabs>
              <w:suppressAutoHyphens/>
              <w:spacing w:before="40" w:after="40" w:line="210" w:lineRule="exact"/>
              <w:ind w:left="144" w:right="43"/>
              <w:jc w:val="right"/>
              <w:rPr>
                <w:sz w:val="17"/>
                <w:szCs w:val="17"/>
              </w:rPr>
            </w:pPr>
            <w:r w:rsidRPr="00C51D17">
              <w:rPr>
                <w:rFonts w:eastAsia="Calibri"/>
                <w:color w:val="000000"/>
                <w:spacing w:val="0"/>
                <w:w w:val="100"/>
                <w:kern w:val="0"/>
                <w:sz w:val="17"/>
                <w:szCs w:val="17"/>
              </w:rPr>
              <w:t>3 705</w:t>
            </w:r>
          </w:p>
        </w:tc>
      </w:tr>
      <w:tr w:rsidR="004C5362" w:rsidRPr="00C51D17" w14:paraId="2D6308CB" w14:textId="77777777" w:rsidTr="008726AA">
        <w:tc>
          <w:tcPr>
            <w:tcW w:w="1830" w:type="dxa"/>
            <w:tcBorders>
              <w:bottom w:val="single" w:sz="4" w:space="0" w:color="auto"/>
            </w:tcBorders>
            <w:shd w:val="clear" w:color="auto" w:fill="auto"/>
            <w:vAlign w:val="bottom"/>
          </w:tcPr>
          <w:p w14:paraId="03E5113D" w14:textId="77777777" w:rsidR="00215A7F" w:rsidRPr="00C51D17" w:rsidRDefault="00215A7F" w:rsidP="008726AA">
            <w:pPr>
              <w:tabs>
                <w:tab w:val="left" w:pos="288"/>
                <w:tab w:val="left" w:pos="576"/>
                <w:tab w:val="left" w:pos="864"/>
                <w:tab w:val="left" w:pos="1152"/>
              </w:tabs>
              <w:suppressAutoHyphens/>
              <w:spacing w:before="40" w:after="81" w:line="210" w:lineRule="exact"/>
              <w:ind w:right="40"/>
              <w:rPr>
                <w:sz w:val="17"/>
                <w:szCs w:val="17"/>
              </w:rPr>
            </w:pPr>
          </w:p>
        </w:tc>
        <w:tc>
          <w:tcPr>
            <w:tcW w:w="1830" w:type="dxa"/>
            <w:tcBorders>
              <w:bottom w:val="single" w:sz="4" w:space="0" w:color="auto"/>
            </w:tcBorders>
            <w:shd w:val="clear" w:color="auto" w:fill="auto"/>
            <w:vAlign w:val="bottom"/>
          </w:tcPr>
          <w:p w14:paraId="05D30FBB" w14:textId="77777777" w:rsidR="00215A7F" w:rsidRPr="00C51D17" w:rsidRDefault="00215A7F" w:rsidP="008726AA">
            <w:pPr>
              <w:tabs>
                <w:tab w:val="left" w:pos="288"/>
                <w:tab w:val="left" w:pos="576"/>
                <w:tab w:val="left" w:pos="864"/>
                <w:tab w:val="left" w:pos="1152"/>
              </w:tabs>
              <w:suppressAutoHyphens/>
              <w:spacing w:before="40" w:after="81" w:line="210" w:lineRule="exact"/>
              <w:ind w:left="144" w:right="43"/>
              <w:jc w:val="right"/>
              <w:rPr>
                <w:sz w:val="17"/>
                <w:szCs w:val="17"/>
              </w:rPr>
            </w:pPr>
          </w:p>
        </w:tc>
        <w:tc>
          <w:tcPr>
            <w:tcW w:w="1830" w:type="dxa"/>
            <w:tcBorders>
              <w:bottom w:val="single" w:sz="4" w:space="0" w:color="auto"/>
            </w:tcBorders>
            <w:shd w:val="clear" w:color="auto" w:fill="auto"/>
            <w:vAlign w:val="bottom"/>
          </w:tcPr>
          <w:p w14:paraId="0D0F1FC0" w14:textId="59DA2F5B" w:rsidR="00215A7F" w:rsidRPr="00C51D17" w:rsidRDefault="00C92D4B" w:rsidP="008726AA">
            <w:pPr>
              <w:tabs>
                <w:tab w:val="left" w:pos="288"/>
                <w:tab w:val="left" w:pos="576"/>
                <w:tab w:val="left" w:pos="864"/>
                <w:tab w:val="left" w:pos="1152"/>
              </w:tabs>
              <w:suppressAutoHyphens/>
              <w:spacing w:before="40" w:after="81" w:line="210" w:lineRule="exact"/>
              <w:ind w:left="144" w:right="43"/>
              <w:jc w:val="right"/>
              <w:rPr>
                <w:sz w:val="17"/>
                <w:szCs w:val="17"/>
              </w:rPr>
            </w:pPr>
            <w:r w:rsidRPr="00C51D17">
              <w:rPr>
                <w:rFonts w:eastAsia="Calibri"/>
                <w:color w:val="000000"/>
                <w:spacing w:val="0"/>
                <w:w w:val="100"/>
                <w:kern w:val="0"/>
                <w:sz w:val="17"/>
                <w:szCs w:val="17"/>
              </w:rPr>
              <w:t>979</w:t>
            </w:r>
          </w:p>
        </w:tc>
        <w:tc>
          <w:tcPr>
            <w:tcW w:w="1830" w:type="dxa"/>
            <w:tcBorders>
              <w:bottom w:val="single" w:sz="4" w:space="0" w:color="auto"/>
            </w:tcBorders>
            <w:shd w:val="clear" w:color="auto" w:fill="auto"/>
            <w:vAlign w:val="bottom"/>
          </w:tcPr>
          <w:p w14:paraId="1841BFAD" w14:textId="7F72FA82" w:rsidR="00215A7F" w:rsidRPr="00C51D17" w:rsidRDefault="00C92D4B" w:rsidP="008726AA">
            <w:pPr>
              <w:tabs>
                <w:tab w:val="left" w:pos="288"/>
                <w:tab w:val="left" w:pos="576"/>
                <w:tab w:val="left" w:pos="864"/>
                <w:tab w:val="left" w:pos="1152"/>
              </w:tabs>
              <w:suppressAutoHyphens/>
              <w:spacing w:before="40" w:after="81" w:line="210" w:lineRule="exact"/>
              <w:ind w:left="144" w:right="43"/>
              <w:jc w:val="right"/>
              <w:rPr>
                <w:sz w:val="17"/>
                <w:szCs w:val="17"/>
              </w:rPr>
            </w:pPr>
            <w:r w:rsidRPr="00C51D17">
              <w:rPr>
                <w:rFonts w:eastAsia="Calibri"/>
                <w:color w:val="000000"/>
                <w:spacing w:val="0"/>
                <w:w w:val="100"/>
                <w:kern w:val="0"/>
                <w:sz w:val="17"/>
                <w:szCs w:val="17"/>
              </w:rPr>
              <w:t>3 705</w:t>
            </w:r>
          </w:p>
        </w:tc>
      </w:tr>
      <w:tr w:rsidR="004C5362" w:rsidRPr="00C51D17" w14:paraId="130A1105" w14:textId="77777777" w:rsidTr="008726AA">
        <w:tc>
          <w:tcPr>
            <w:tcW w:w="1830" w:type="dxa"/>
            <w:tcBorders>
              <w:top w:val="single" w:sz="4" w:space="0" w:color="auto"/>
              <w:bottom w:val="single" w:sz="12" w:space="0" w:color="auto"/>
            </w:tcBorders>
            <w:shd w:val="clear" w:color="auto" w:fill="auto"/>
            <w:vAlign w:val="bottom"/>
          </w:tcPr>
          <w:p w14:paraId="4B552F62" w14:textId="7C9A651F" w:rsidR="00215A7F" w:rsidRPr="00C51D17" w:rsidRDefault="008726AA" w:rsidP="008726AA">
            <w:pPr>
              <w:tabs>
                <w:tab w:val="left" w:pos="288"/>
                <w:tab w:val="left" w:pos="576"/>
                <w:tab w:val="left" w:pos="864"/>
                <w:tab w:val="left" w:pos="1152"/>
              </w:tabs>
              <w:suppressAutoHyphens/>
              <w:spacing w:before="81" w:after="81" w:line="210" w:lineRule="exact"/>
              <w:ind w:right="40"/>
              <w:rPr>
                <w:b/>
                <w:sz w:val="17"/>
                <w:szCs w:val="17"/>
              </w:rPr>
            </w:pPr>
            <w:r w:rsidRPr="00C51D17">
              <w:rPr>
                <w:rFonts w:eastAsia="Calibri"/>
                <w:b/>
                <w:color w:val="000000"/>
                <w:spacing w:val="0"/>
                <w:w w:val="100"/>
                <w:kern w:val="0"/>
                <w:sz w:val="17"/>
                <w:szCs w:val="17"/>
              </w:rPr>
              <w:tab/>
            </w:r>
            <w:r w:rsidR="004D15B5" w:rsidRPr="00C51D17">
              <w:rPr>
                <w:rFonts w:eastAsia="Calibri"/>
                <w:b/>
                <w:color w:val="000000"/>
                <w:spacing w:val="0"/>
                <w:w w:val="100"/>
                <w:kern w:val="0"/>
                <w:sz w:val="17"/>
                <w:szCs w:val="17"/>
              </w:rPr>
              <w:t>Total</w:t>
            </w:r>
          </w:p>
        </w:tc>
        <w:tc>
          <w:tcPr>
            <w:tcW w:w="1830" w:type="dxa"/>
            <w:tcBorders>
              <w:top w:val="single" w:sz="4" w:space="0" w:color="auto"/>
              <w:bottom w:val="single" w:sz="12" w:space="0" w:color="auto"/>
            </w:tcBorders>
            <w:shd w:val="clear" w:color="auto" w:fill="auto"/>
            <w:vAlign w:val="bottom"/>
          </w:tcPr>
          <w:p w14:paraId="1E07A210" w14:textId="64D4FC26" w:rsidR="00215A7F" w:rsidRPr="00C51D17" w:rsidRDefault="00215A7F" w:rsidP="008726AA">
            <w:pPr>
              <w:tabs>
                <w:tab w:val="left" w:pos="288"/>
                <w:tab w:val="left" w:pos="576"/>
                <w:tab w:val="left" w:pos="864"/>
                <w:tab w:val="left" w:pos="1152"/>
              </w:tabs>
              <w:suppressAutoHyphens/>
              <w:spacing w:before="81" w:after="81" w:line="210" w:lineRule="exact"/>
              <w:ind w:left="144" w:right="43"/>
              <w:jc w:val="right"/>
              <w:rPr>
                <w:b/>
                <w:sz w:val="17"/>
                <w:szCs w:val="17"/>
              </w:rPr>
            </w:pPr>
          </w:p>
        </w:tc>
        <w:tc>
          <w:tcPr>
            <w:tcW w:w="1830" w:type="dxa"/>
            <w:tcBorders>
              <w:top w:val="single" w:sz="4" w:space="0" w:color="auto"/>
              <w:bottom w:val="single" w:sz="12" w:space="0" w:color="auto"/>
            </w:tcBorders>
            <w:shd w:val="clear" w:color="auto" w:fill="auto"/>
            <w:vAlign w:val="bottom"/>
          </w:tcPr>
          <w:p w14:paraId="25E10306" w14:textId="77777777" w:rsidR="00215A7F" w:rsidRPr="00C51D17" w:rsidRDefault="00215A7F" w:rsidP="008726AA">
            <w:pPr>
              <w:tabs>
                <w:tab w:val="left" w:pos="288"/>
                <w:tab w:val="left" w:pos="576"/>
                <w:tab w:val="left" w:pos="864"/>
                <w:tab w:val="left" w:pos="1152"/>
              </w:tabs>
              <w:suppressAutoHyphens/>
              <w:spacing w:before="81" w:after="81" w:line="210" w:lineRule="exact"/>
              <w:ind w:left="144" w:right="43"/>
              <w:jc w:val="right"/>
              <w:rPr>
                <w:b/>
                <w:sz w:val="17"/>
                <w:szCs w:val="17"/>
              </w:rPr>
            </w:pPr>
          </w:p>
        </w:tc>
        <w:tc>
          <w:tcPr>
            <w:tcW w:w="1830" w:type="dxa"/>
            <w:tcBorders>
              <w:top w:val="single" w:sz="4" w:space="0" w:color="auto"/>
              <w:bottom w:val="single" w:sz="12" w:space="0" w:color="auto"/>
            </w:tcBorders>
            <w:shd w:val="clear" w:color="auto" w:fill="auto"/>
            <w:vAlign w:val="bottom"/>
          </w:tcPr>
          <w:p w14:paraId="443DD465" w14:textId="64728D86" w:rsidR="00215A7F" w:rsidRPr="00C51D17" w:rsidRDefault="00C92D4B" w:rsidP="008726AA">
            <w:pPr>
              <w:tabs>
                <w:tab w:val="left" w:pos="288"/>
                <w:tab w:val="left" w:pos="576"/>
                <w:tab w:val="left" w:pos="864"/>
                <w:tab w:val="left" w:pos="1152"/>
              </w:tabs>
              <w:suppressAutoHyphens/>
              <w:spacing w:before="81" w:after="81" w:line="210" w:lineRule="exact"/>
              <w:ind w:left="144" w:right="43"/>
              <w:jc w:val="right"/>
              <w:rPr>
                <w:b/>
                <w:sz w:val="17"/>
                <w:szCs w:val="17"/>
              </w:rPr>
            </w:pPr>
            <w:r w:rsidRPr="00C51D17">
              <w:rPr>
                <w:rFonts w:eastAsia="Calibri"/>
                <w:b/>
                <w:color w:val="000000"/>
                <w:spacing w:val="0"/>
                <w:w w:val="100"/>
                <w:kern w:val="0"/>
                <w:sz w:val="17"/>
                <w:szCs w:val="17"/>
              </w:rPr>
              <w:t>4 684</w:t>
            </w:r>
          </w:p>
        </w:tc>
      </w:tr>
    </w:tbl>
    <w:p w14:paraId="0AE223DF" w14:textId="77777777" w:rsidR="00215A7F" w:rsidRPr="00C51D17" w:rsidRDefault="00215A7F" w:rsidP="003625D4">
      <w:pPr>
        <w:pStyle w:val="SingleTxt"/>
        <w:spacing w:after="0" w:line="120" w:lineRule="exact"/>
        <w:rPr>
          <w:sz w:val="10"/>
        </w:rPr>
      </w:pPr>
    </w:p>
    <w:p w14:paraId="2CD27AD8" w14:textId="78E90BBC" w:rsidR="00646413" w:rsidRPr="00C51D17" w:rsidRDefault="00646413" w:rsidP="00FF33A0">
      <w:pPr>
        <w:pStyle w:val="FootnoteText"/>
        <w:tabs>
          <w:tab w:val="right" w:pos="1476"/>
          <w:tab w:val="left" w:pos="1548"/>
          <w:tab w:val="right" w:pos="1836"/>
          <w:tab w:val="left" w:pos="1908"/>
        </w:tabs>
        <w:ind w:left="1548" w:right="1267" w:hanging="288"/>
        <w:rPr>
          <w:w w:val="100"/>
        </w:rPr>
      </w:pPr>
      <w:r w:rsidRPr="00C51D17">
        <w:rPr>
          <w:i/>
          <w:w w:val="100"/>
        </w:rPr>
        <w:t>Source</w:t>
      </w:r>
      <w:r w:rsidR="0012596A" w:rsidRPr="00C51D17">
        <w:rPr>
          <w:w w:val="100"/>
        </w:rPr>
        <w:t xml:space="preserve"> : </w:t>
      </w:r>
      <w:r w:rsidRPr="00C51D17">
        <w:rPr>
          <w:w w:val="100"/>
        </w:rPr>
        <w:t>Ministère de l</w:t>
      </w:r>
      <w:r w:rsidR="00723345" w:rsidRPr="00C51D17">
        <w:rPr>
          <w:w w:val="100"/>
        </w:rPr>
        <w:t>’</w:t>
      </w:r>
      <w:r w:rsidRPr="00C51D17">
        <w:rPr>
          <w:w w:val="100"/>
        </w:rPr>
        <w:t>intérieur.</w:t>
      </w:r>
    </w:p>
    <w:p w14:paraId="25CF34E0" w14:textId="192C45C7" w:rsidR="00FF33A0" w:rsidRPr="00C51D17" w:rsidRDefault="00FF33A0" w:rsidP="00FF33A0">
      <w:pPr>
        <w:pStyle w:val="FootnoteText"/>
        <w:tabs>
          <w:tab w:val="right" w:pos="1476"/>
          <w:tab w:val="left" w:pos="1548"/>
          <w:tab w:val="right" w:pos="1836"/>
          <w:tab w:val="left" w:pos="1908"/>
        </w:tabs>
        <w:spacing w:line="120" w:lineRule="exact"/>
        <w:ind w:left="1548" w:right="1267" w:hanging="288"/>
        <w:rPr>
          <w:w w:val="100"/>
          <w:sz w:val="10"/>
        </w:rPr>
      </w:pPr>
    </w:p>
    <w:p w14:paraId="527D92F2" w14:textId="367B3BD6" w:rsidR="00FF33A0" w:rsidRPr="00C51D17" w:rsidRDefault="00FF33A0" w:rsidP="00FF33A0">
      <w:pPr>
        <w:pStyle w:val="FootnoteText"/>
        <w:tabs>
          <w:tab w:val="right" w:pos="1476"/>
          <w:tab w:val="left" w:pos="1548"/>
          <w:tab w:val="right" w:pos="1836"/>
          <w:tab w:val="left" w:pos="1908"/>
        </w:tabs>
        <w:spacing w:line="120" w:lineRule="exact"/>
        <w:ind w:left="1548" w:right="1267" w:hanging="288"/>
        <w:rPr>
          <w:w w:val="100"/>
          <w:sz w:val="10"/>
        </w:rPr>
      </w:pPr>
    </w:p>
    <w:p w14:paraId="21BF86B7" w14:textId="69A0A189" w:rsidR="00646413" w:rsidRPr="00C51D17" w:rsidRDefault="009665FF" w:rsidP="009665FF">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w w:val="100"/>
        </w:rPr>
      </w:pPr>
      <w:r w:rsidRPr="00C51D17">
        <w:rPr>
          <w:w w:val="100"/>
        </w:rPr>
        <w:tab/>
      </w:r>
      <w:r w:rsidRPr="00C51D17">
        <w:rPr>
          <w:w w:val="100"/>
        </w:rPr>
        <w:tab/>
      </w:r>
      <w:r w:rsidR="00646413" w:rsidRPr="00C51D17">
        <w:rPr>
          <w:w w:val="100"/>
        </w:rPr>
        <w:t>Tableau 5</w:t>
      </w:r>
    </w:p>
    <w:p w14:paraId="4B9FD094" w14:textId="7E30F556" w:rsidR="00646413" w:rsidRPr="00C51D17" w:rsidRDefault="009665FF" w:rsidP="009665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Nombre de femmes employées par le Ministère de l</w:t>
      </w:r>
      <w:r w:rsidR="00723345" w:rsidRPr="00C51D17">
        <w:rPr>
          <w:w w:val="100"/>
        </w:rPr>
        <w:t>’</w:t>
      </w:r>
      <w:r w:rsidR="00646413" w:rsidRPr="00C51D17">
        <w:rPr>
          <w:w w:val="100"/>
        </w:rPr>
        <w:t>intérieur, selon les types d</w:t>
      </w:r>
      <w:r w:rsidR="00723345" w:rsidRPr="00C51D17">
        <w:rPr>
          <w:w w:val="100"/>
        </w:rPr>
        <w:t>’</w:t>
      </w:r>
      <w:r w:rsidR="00646413" w:rsidRPr="00C51D17">
        <w:rPr>
          <w:w w:val="100"/>
        </w:rPr>
        <w:t>activité (jusqu</w:t>
      </w:r>
      <w:r w:rsidR="00723345" w:rsidRPr="00C51D17">
        <w:rPr>
          <w:w w:val="100"/>
        </w:rPr>
        <w:t>’</w:t>
      </w:r>
      <w:r w:rsidR="00646413" w:rsidRPr="00C51D17">
        <w:rPr>
          <w:w w:val="100"/>
        </w:rPr>
        <w:t>en 2018)</w:t>
      </w:r>
    </w:p>
    <w:p w14:paraId="542FCE95" w14:textId="49150923" w:rsidR="009665FF" w:rsidRPr="00C51D17" w:rsidRDefault="009665FF" w:rsidP="005B28FB">
      <w:pPr>
        <w:pStyle w:val="SingleTxt"/>
        <w:keepNext/>
        <w:spacing w:after="0" w:line="120" w:lineRule="exact"/>
        <w:rPr>
          <w:sz w:val="10"/>
        </w:rPr>
      </w:pPr>
    </w:p>
    <w:p w14:paraId="470C69D8" w14:textId="42454D0C" w:rsidR="009665FF" w:rsidRPr="00C51D17" w:rsidRDefault="009665FF" w:rsidP="005B28FB">
      <w:pPr>
        <w:pStyle w:val="SingleTxt"/>
        <w:keepNe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1920"/>
      </w:tblGrid>
      <w:tr w:rsidR="00ED4542" w:rsidRPr="00C51D17" w14:paraId="5991A07B" w14:textId="77777777" w:rsidTr="00ED4542">
        <w:trPr>
          <w:tblHeader/>
        </w:trPr>
        <w:tc>
          <w:tcPr>
            <w:tcW w:w="5400" w:type="dxa"/>
            <w:tcBorders>
              <w:top w:val="single" w:sz="4" w:space="0" w:color="auto"/>
              <w:bottom w:val="single" w:sz="12" w:space="0" w:color="auto"/>
            </w:tcBorders>
            <w:shd w:val="clear" w:color="auto" w:fill="auto"/>
            <w:vAlign w:val="bottom"/>
          </w:tcPr>
          <w:p w14:paraId="4D119D26" w14:textId="77777777" w:rsidR="00646413" w:rsidRPr="00C51D17" w:rsidRDefault="00646413" w:rsidP="00AA52CF">
            <w:pPr>
              <w:suppressAutoHyphens/>
              <w:spacing w:before="81" w:after="81" w:line="160" w:lineRule="exact"/>
              <w:ind w:right="40"/>
              <w:rPr>
                <w:rFonts w:eastAsia="Calibri"/>
                <w:i/>
                <w:spacing w:val="0"/>
                <w:w w:val="100"/>
                <w:kern w:val="0"/>
                <w:sz w:val="14"/>
                <w:szCs w:val="20"/>
              </w:rPr>
            </w:pPr>
            <w:r w:rsidRPr="00C51D17">
              <w:rPr>
                <w:rFonts w:eastAsia="Calibri"/>
                <w:i/>
                <w:spacing w:val="0"/>
                <w:w w:val="100"/>
                <w:kern w:val="0"/>
                <w:sz w:val="14"/>
                <w:szCs w:val="20"/>
              </w:rPr>
              <w:t xml:space="preserve">Fonctions </w:t>
            </w:r>
          </w:p>
        </w:tc>
        <w:tc>
          <w:tcPr>
            <w:tcW w:w="1920" w:type="dxa"/>
            <w:tcBorders>
              <w:top w:val="single" w:sz="4" w:space="0" w:color="auto"/>
              <w:bottom w:val="single" w:sz="12" w:space="0" w:color="auto"/>
            </w:tcBorders>
            <w:shd w:val="clear" w:color="auto" w:fill="auto"/>
            <w:vAlign w:val="bottom"/>
          </w:tcPr>
          <w:p w14:paraId="37C69D69" w14:textId="77777777" w:rsidR="00646413" w:rsidRPr="00C51D17" w:rsidRDefault="00646413" w:rsidP="00AA52CF">
            <w:pPr>
              <w:suppressAutoHyphens/>
              <w:spacing w:before="81" w:after="81" w:line="160" w:lineRule="exact"/>
              <w:ind w:left="144" w:right="43"/>
              <w:jc w:val="right"/>
              <w:rPr>
                <w:rFonts w:eastAsia="Calibri"/>
                <w:i/>
                <w:spacing w:val="0"/>
                <w:w w:val="100"/>
                <w:kern w:val="0"/>
                <w:sz w:val="14"/>
                <w:szCs w:val="20"/>
              </w:rPr>
            </w:pPr>
            <w:r w:rsidRPr="00C51D17">
              <w:rPr>
                <w:rFonts w:eastAsia="Calibri"/>
                <w:i/>
                <w:spacing w:val="0"/>
                <w:w w:val="100"/>
                <w:kern w:val="0"/>
                <w:sz w:val="14"/>
                <w:szCs w:val="20"/>
              </w:rPr>
              <w:t xml:space="preserve">Nombre </w:t>
            </w:r>
          </w:p>
        </w:tc>
      </w:tr>
      <w:tr w:rsidR="00AA52CF" w:rsidRPr="00C51D17" w14:paraId="3D20D93A" w14:textId="77777777" w:rsidTr="00BB07FC">
        <w:trPr>
          <w:trHeight w:hRule="exact" w:val="115"/>
          <w:tblHeader/>
        </w:trPr>
        <w:tc>
          <w:tcPr>
            <w:tcW w:w="5400" w:type="dxa"/>
            <w:tcBorders>
              <w:top w:val="single" w:sz="12" w:space="0" w:color="auto"/>
            </w:tcBorders>
            <w:shd w:val="clear" w:color="auto" w:fill="auto"/>
            <w:vAlign w:val="bottom"/>
          </w:tcPr>
          <w:p w14:paraId="071655C6" w14:textId="77777777" w:rsidR="00AA52CF" w:rsidRPr="00C51D17" w:rsidRDefault="00AA52CF" w:rsidP="00AA52CF">
            <w:pPr>
              <w:suppressAutoHyphens/>
              <w:spacing w:before="40" w:after="40" w:line="210" w:lineRule="exact"/>
              <w:ind w:right="40"/>
              <w:rPr>
                <w:rFonts w:eastAsia="Calibri"/>
                <w:spacing w:val="0"/>
                <w:w w:val="100"/>
                <w:kern w:val="0"/>
                <w:sz w:val="17"/>
                <w:szCs w:val="20"/>
              </w:rPr>
            </w:pPr>
          </w:p>
        </w:tc>
        <w:tc>
          <w:tcPr>
            <w:tcW w:w="1920" w:type="dxa"/>
            <w:tcBorders>
              <w:top w:val="single" w:sz="12" w:space="0" w:color="auto"/>
            </w:tcBorders>
            <w:shd w:val="clear" w:color="auto" w:fill="auto"/>
            <w:vAlign w:val="bottom"/>
          </w:tcPr>
          <w:p w14:paraId="7EE548A5" w14:textId="77777777" w:rsidR="00AA52CF" w:rsidRPr="00C51D17" w:rsidRDefault="00AA52CF" w:rsidP="00AA52CF">
            <w:pPr>
              <w:suppressAutoHyphens/>
              <w:spacing w:before="40" w:after="40" w:line="210" w:lineRule="exact"/>
              <w:ind w:left="144" w:right="43"/>
              <w:jc w:val="right"/>
              <w:rPr>
                <w:rFonts w:eastAsia="Calibri"/>
                <w:spacing w:val="0"/>
                <w:w w:val="100"/>
                <w:kern w:val="0"/>
                <w:sz w:val="17"/>
                <w:szCs w:val="20"/>
              </w:rPr>
            </w:pPr>
          </w:p>
        </w:tc>
      </w:tr>
      <w:tr w:rsidR="00646413" w:rsidRPr="00C51D17" w14:paraId="75E47A93" w14:textId="77777777" w:rsidTr="00BB07FC">
        <w:tc>
          <w:tcPr>
            <w:tcW w:w="5400" w:type="dxa"/>
            <w:shd w:val="clear" w:color="auto" w:fill="auto"/>
            <w:vAlign w:val="bottom"/>
          </w:tcPr>
          <w:p w14:paraId="42C678A2" w14:textId="77777777" w:rsidR="00646413" w:rsidRPr="00C51D17" w:rsidRDefault="00646413" w:rsidP="00AA52CF">
            <w:pPr>
              <w:tabs>
                <w:tab w:val="left" w:pos="288"/>
                <w:tab w:val="left" w:pos="576"/>
                <w:tab w:val="left" w:pos="864"/>
                <w:tab w:val="left" w:pos="1152"/>
              </w:tabs>
              <w:suppressAutoHyphens/>
              <w:spacing w:before="40" w:after="40" w:line="210" w:lineRule="exact"/>
              <w:ind w:right="40"/>
              <w:rPr>
                <w:rFonts w:eastAsia="Calibri"/>
                <w:spacing w:val="0"/>
                <w:w w:val="100"/>
                <w:kern w:val="0"/>
                <w:sz w:val="17"/>
                <w:szCs w:val="20"/>
              </w:rPr>
            </w:pPr>
            <w:r w:rsidRPr="00C51D17">
              <w:rPr>
                <w:rFonts w:eastAsia="Calibri"/>
                <w:spacing w:val="0"/>
                <w:w w:val="100"/>
                <w:kern w:val="0"/>
                <w:sz w:val="17"/>
                <w:szCs w:val="20"/>
              </w:rPr>
              <w:t>Cheffe de service (fonction de prise de décision)</w:t>
            </w:r>
          </w:p>
        </w:tc>
        <w:tc>
          <w:tcPr>
            <w:tcW w:w="1920" w:type="dxa"/>
            <w:shd w:val="clear" w:color="auto" w:fill="auto"/>
            <w:vAlign w:val="bottom"/>
          </w:tcPr>
          <w:p w14:paraId="530EB28C" w14:textId="77777777" w:rsidR="00646413" w:rsidRPr="00C51D17" w:rsidRDefault="00646413" w:rsidP="00AA52CF">
            <w:pPr>
              <w:tabs>
                <w:tab w:val="left" w:pos="288"/>
                <w:tab w:val="left" w:pos="576"/>
                <w:tab w:val="left" w:pos="864"/>
                <w:tab w:val="left" w:pos="1152"/>
              </w:tabs>
              <w:suppressAutoHyphens/>
              <w:spacing w:before="40" w:after="40" w:line="210" w:lineRule="exact"/>
              <w:ind w:left="144" w:right="43"/>
              <w:jc w:val="right"/>
              <w:rPr>
                <w:rFonts w:eastAsia="Calibri"/>
                <w:spacing w:val="0"/>
                <w:w w:val="100"/>
                <w:kern w:val="0"/>
                <w:sz w:val="17"/>
                <w:szCs w:val="20"/>
              </w:rPr>
            </w:pPr>
            <w:r w:rsidRPr="00C51D17">
              <w:rPr>
                <w:rFonts w:eastAsia="Calibri"/>
                <w:spacing w:val="0"/>
                <w:w w:val="100"/>
                <w:kern w:val="0"/>
                <w:sz w:val="17"/>
                <w:szCs w:val="20"/>
              </w:rPr>
              <w:t>12</w:t>
            </w:r>
          </w:p>
        </w:tc>
      </w:tr>
      <w:tr w:rsidR="00646413" w:rsidRPr="00C51D17" w14:paraId="42C631D1" w14:textId="77777777" w:rsidTr="00BB07FC">
        <w:tc>
          <w:tcPr>
            <w:tcW w:w="5400" w:type="dxa"/>
            <w:shd w:val="clear" w:color="auto" w:fill="auto"/>
            <w:vAlign w:val="bottom"/>
          </w:tcPr>
          <w:p w14:paraId="593F51D0" w14:textId="77777777" w:rsidR="00646413" w:rsidRPr="00C51D17" w:rsidRDefault="00646413" w:rsidP="00AA52CF">
            <w:pPr>
              <w:tabs>
                <w:tab w:val="left" w:pos="288"/>
                <w:tab w:val="left" w:pos="576"/>
                <w:tab w:val="left" w:pos="864"/>
                <w:tab w:val="left" w:pos="1152"/>
              </w:tabs>
              <w:suppressAutoHyphens/>
              <w:spacing w:before="40" w:after="40" w:line="210" w:lineRule="exact"/>
              <w:ind w:right="40"/>
              <w:rPr>
                <w:rFonts w:eastAsia="Calibri"/>
                <w:spacing w:val="0"/>
                <w:w w:val="100"/>
                <w:kern w:val="0"/>
                <w:sz w:val="17"/>
                <w:szCs w:val="20"/>
              </w:rPr>
            </w:pPr>
            <w:r w:rsidRPr="00C51D17">
              <w:rPr>
                <w:rFonts w:eastAsia="Calibri"/>
                <w:spacing w:val="0"/>
                <w:w w:val="100"/>
                <w:kern w:val="0"/>
                <w:sz w:val="17"/>
                <w:szCs w:val="20"/>
              </w:rPr>
              <w:t xml:space="preserve">Fonctions spécialisées </w:t>
            </w:r>
          </w:p>
        </w:tc>
        <w:tc>
          <w:tcPr>
            <w:tcW w:w="1920" w:type="dxa"/>
            <w:shd w:val="clear" w:color="auto" w:fill="auto"/>
            <w:vAlign w:val="bottom"/>
          </w:tcPr>
          <w:p w14:paraId="6D326E81" w14:textId="77777777" w:rsidR="00646413" w:rsidRPr="00C51D17" w:rsidRDefault="00646413" w:rsidP="00AA52CF">
            <w:pPr>
              <w:tabs>
                <w:tab w:val="left" w:pos="288"/>
                <w:tab w:val="left" w:pos="576"/>
                <w:tab w:val="left" w:pos="864"/>
                <w:tab w:val="left" w:pos="1152"/>
              </w:tabs>
              <w:suppressAutoHyphens/>
              <w:spacing w:before="40" w:after="40" w:line="210" w:lineRule="exact"/>
              <w:ind w:left="144" w:right="43"/>
              <w:jc w:val="right"/>
              <w:rPr>
                <w:rFonts w:eastAsia="Calibri"/>
                <w:spacing w:val="0"/>
                <w:w w:val="100"/>
                <w:kern w:val="0"/>
                <w:sz w:val="17"/>
                <w:szCs w:val="20"/>
              </w:rPr>
            </w:pPr>
            <w:r w:rsidRPr="00C51D17">
              <w:rPr>
                <w:rFonts w:eastAsia="Calibri"/>
                <w:spacing w:val="0"/>
                <w:w w:val="100"/>
                <w:kern w:val="0"/>
                <w:sz w:val="17"/>
                <w:szCs w:val="20"/>
              </w:rPr>
              <w:t>759</w:t>
            </w:r>
          </w:p>
        </w:tc>
      </w:tr>
      <w:tr w:rsidR="00646413" w:rsidRPr="00C51D17" w14:paraId="3ECC3A62" w14:textId="77777777" w:rsidTr="00BB07FC">
        <w:tc>
          <w:tcPr>
            <w:tcW w:w="5400" w:type="dxa"/>
            <w:shd w:val="clear" w:color="auto" w:fill="auto"/>
            <w:vAlign w:val="bottom"/>
          </w:tcPr>
          <w:p w14:paraId="4871E895" w14:textId="77777777" w:rsidR="00646413" w:rsidRPr="00C51D17" w:rsidRDefault="00646413" w:rsidP="00AA52CF">
            <w:pPr>
              <w:tabs>
                <w:tab w:val="left" w:pos="288"/>
                <w:tab w:val="left" w:pos="576"/>
                <w:tab w:val="left" w:pos="864"/>
                <w:tab w:val="left" w:pos="1152"/>
              </w:tabs>
              <w:suppressAutoHyphens/>
              <w:spacing w:before="40" w:after="40" w:line="210" w:lineRule="exact"/>
              <w:ind w:right="40"/>
              <w:rPr>
                <w:rFonts w:eastAsia="Calibri"/>
                <w:spacing w:val="0"/>
                <w:w w:val="100"/>
                <w:kern w:val="0"/>
                <w:sz w:val="17"/>
                <w:szCs w:val="20"/>
              </w:rPr>
            </w:pPr>
            <w:r w:rsidRPr="00C51D17">
              <w:rPr>
                <w:rFonts w:eastAsia="Calibri"/>
                <w:spacing w:val="0"/>
                <w:w w:val="100"/>
                <w:kern w:val="0"/>
                <w:sz w:val="17"/>
                <w:szCs w:val="20"/>
              </w:rPr>
              <w:t>Fonctions de bureau</w:t>
            </w:r>
          </w:p>
        </w:tc>
        <w:tc>
          <w:tcPr>
            <w:tcW w:w="1920" w:type="dxa"/>
            <w:shd w:val="clear" w:color="auto" w:fill="auto"/>
            <w:vAlign w:val="bottom"/>
          </w:tcPr>
          <w:p w14:paraId="54F464CF" w14:textId="77777777" w:rsidR="00646413" w:rsidRPr="00C51D17" w:rsidRDefault="00646413" w:rsidP="00AA52CF">
            <w:pPr>
              <w:tabs>
                <w:tab w:val="left" w:pos="288"/>
                <w:tab w:val="left" w:pos="576"/>
                <w:tab w:val="left" w:pos="864"/>
                <w:tab w:val="left" w:pos="1152"/>
              </w:tabs>
              <w:suppressAutoHyphens/>
              <w:spacing w:before="40" w:after="40" w:line="210" w:lineRule="exact"/>
              <w:ind w:left="144" w:right="43"/>
              <w:jc w:val="right"/>
              <w:rPr>
                <w:rFonts w:eastAsia="Calibri"/>
                <w:spacing w:val="0"/>
                <w:w w:val="100"/>
                <w:kern w:val="0"/>
                <w:sz w:val="17"/>
                <w:szCs w:val="20"/>
              </w:rPr>
            </w:pPr>
            <w:r w:rsidRPr="00C51D17">
              <w:rPr>
                <w:rFonts w:eastAsia="Calibri"/>
                <w:spacing w:val="0"/>
                <w:w w:val="100"/>
                <w:kern w:val="0"/>
                <w:sz w:val="17"/>
                <w:szCs w:val="20"/>
              </w:rPr>
              <w:t>3097</w:t>
            </w:r>
          </w:p>
        </w:tc>
      </w:tr>
      <w:tr w:rsidR="00646413" w:rsidRPr="00C51D17" w14:paraId="647EBEAA" w14:textId="77777777" w:rsidTr="00BB07FC">
        <w:tc>
          <w:tcPr>
            <w:tcW w:w="5400" w:type="dxa"/>
            <w:shd w:val="clear" w:color="auto" w:fill="auto"/>
            <w:vAlign w:val="bottom"/>
          </w:tcPr>
          <w:p w14:paraId="3BE88BA2" w14:textId="77777777" w:rsidR="00646413" w:rsidRPr="00C51D17" w:rsidRDefault="00646413" w:rsidP="00AA52CF">
            <w:pPr>
              <w:tabs>
                <w:tab w:val="left" w:pos="288"/>
                <w:tab w:val="left" w:pos="576"/>
                <w:tab w:val="left" w:pos="864"/>
                <w:tab w:val="left" w:pos="1152"/>
              </w:tabs>
              <w:suppressAutoHyphens/>
              <w:spacing w:before="40" w:after="40" w:line="210" w:lineRule="exact"/>
              <w:ind w:right="40"/>
              <w:rPr>
                <w:rFonts w:eastAsia="Calibri"/>
                <w:spacing w:val="0"/>
                <w:w w:val="100"/>
                <w:kern w:val="0"/>
                <w:sz w:val="17"/>
                <w:szCs w:val="20"/>
              </w:rPr>
            </w:pPr>
            <w:r w:rsidRPr="00C51D17">
              <w:rPr>
                <w:rFonts w:eastAsia="Calibri"/>
                <w:spacing w:val="0"/>
                <w:w w:val="100"/>
                <w:kern w:val="0"/>
                <w:sz w:val="17"/>
                <w:szCs w:val="20"/>
              </w:rPr>
              <w:t>Fonctions techniques</w:t>
            </w:r>
          </w:p>
        </w:tc>
        <w:tc>
          <w:tcPr>
            <w:tcW w:w="1920" w:type="dxa"/>
            <w:shd w:val="clear" w:color="auto" w:fill="auto"/>
            <w:vAlign w:val="bottom"/>
          </w:tcPr>
          <w:p w14:paraId="63418B02" w14:textId="77777777" w:rsidR="00646413" w:rsidRPr="00C51D17" w:rsidRDefault="00646413" w:rsidP="00AA52CF">
            <w:pPr>
              <w:tabs>
                <w:tab w:val="left" w:pos="288"/>
                <w:tab w:val="left" w:pos="576"/>
                <w:tab w:val="left" w:pos="864"/>
                <w:tab w:val="left" w:pos="1152"/>
              </w:tabs>
              <w:suppressAutoHyphens/>
              <w:spacing w:before="40" w:after="40" w:line="210" w:lineRule="exact"/>
              <w:ind w:left="144" w:right="43"/>
              <w:jc w:val="right"/>
              <w:rPr>
                <w:rFonts w:eastAsia="Calibri"/>
                <w:spacing w:val="0"/>
                <w:w w:val="100"/>
                <w:kern w:val="0"/>
                <w:sz w:val="17"/>
                <w:szCs w:val="20"/>
              </w:rPr>
            </w:pPr>
            <w:r w:rsidRPr="00C51D17">
              <w:rPr>
                <w:rFonts w:eastAsia="Calibri"/>
                <w:spacing w:val="0"/>
                <w:w w:val="100"/>
                <w:kern w:val="0"/>
                <w:sz w:val="17"/>
                <w:szCs w:val="20"/>
              </w:rPr>
              <w:t>147</w:t>
            </w:r>
          </w:p>
        </w:tc>
      </w:tr>
      <w:tr w:rsidR="00646413" w:rsidRPr="00C51D17" w14:paraId="515FB35C" w14:textId="77777777" w:rsidTr="00BB07FC">
        <w:tc>
          <w:tcPr>
            <w:tcW w:w="5400" w:type="dxa"/>
            <w:shd w:val="clear" w:color="auto" w:fill="auto"/>
            <w:vAlign w:val="bottom"/>
          </w:tcPr>
          <w:p w14:paraId="6D657205" w14:textId="77777777" w:rsidR="00646413" w:rsidRPr="00C51D17" w:rsidRDefault="00646413" w:rsidP="00AA52CF">
            <w:pPr>
              <w:tabs>
                <w:tab w:val="left" w:pos="288"/>
                <w:tab w:val="left" w:pos="576"/>
                <w:tab w:val="left" w:pos="864"/>
                <w:tab w:val="left" w:pos="1152"/>
              </w:tabs>
              <w:suppressAutoHyphens/>
              <w:spacing w:before="40" w:after="40" w:line="210" w:lineRule="exact"/>
              <w:ind w:right="40"/>
              <w:rPr>
                <w:rFonts w:eastAsia="Calibri"/>
                <w:spacing w:val="0"/>
                <w:w w:val="100"/>
                <w:kern w:val="0"/>
                <w:sz w:val="17"/>
                <w:szCs w:val="20"/>
              </w:rPr>
            </w:pPr>
            <w:r w:rsidRPr="00C51D17">
              <w:rPr>
                <w:rFonts w:eastAsia="Calibri"/>
                <w:spacing w:val="0"/>
                <w:w w:val="100"/>
                <w:kern w:val="0"/>
                <w:sz w:val="17"/>
                <w:szCs w:val="20"/>
              </w:rPr>
              <w:t>Fonctions mobiles de terrain</w:t>
            </w:r>
          </w:p>
        </w:tc>
        <w:tc>
          <w:tcPr>
            <w:tcW w:w="1920" w:type="dxa"/>
            <w:shd w:val="clear" w:color="auto" w:fill="auto"/>
            <w:vAlign w:val="bottom"/>
          </w:tcPr>
          <w:p w14:paraId="67D42A17" w14:textId="77777777" w:rsidR="00646413" w:rsidRPr="00C51D17" w:rsidRDefault="00646413" w:rsidP="00AA52CF">
            <w:pPr>
              <w:tabs>
                <w:tab w:val="left" w:pos="288"/>
                <w:tab w:val="left" w:pos="576"/>
                <w:tab w:val="left" w:pos="864"/>
                <w:tab w:val="left" w:pos="1152"/>
              </w:tabs>
              <w:suppressAutoHyphens/>
              <w:spacing w:before="40" w:after="40" w:line="210" w:lineRule="exact"/>
              <w:ind w:left="144" w:right="43"/>
              <w:jc w:val="right"/>
              <w:rPr>
                <w:rFonts w:eastAsia="Calibri"/>
                <w:spacing w:val="0"/>
                <w:w w:val="100"/>
                <w:kern w:val="0"/>
                <w:sz w:val="17"/>
                <w:szCs w:val="20"/>
              </w:rPr>
            </w:pPr>
            <w:r w:rsidRPr="00C51D17">
              <w:rPr>
                <w:rFonts w:eastAsia="Calibri"/>
                <w:spacing w:val="0"/>
                <w:w w:val="100"/>
                <w:kern w:val="0"/>
                <w:sz w:val="17"/>
                <w:szCs w:val="20"/>
              </w:rPr>
              <w:t>7</w:t>
            </w:r>
          </w:p>
        </w:tc>
      </w:tr>
      <w:tr w:rsidR="00646413" w:rsidRPr="00C51D17" w14:paraId="03337727" w14:textId="77777777" w:rsidTr="00BB07FC">
        <w:tc>
          <w:tcPr>
            <w:tcW w:w="5400" w:type="dxa"/>
            <w:shd w:val="clear" w:color="auto" w:fill="auto"/>
            <w:vAlign w:val="bottom"/>
          </w:tcPr>
          <w:p w14:paraId="5F70A5B0" w14:textId="3740E665" w:rsidR="00646413" w:rsidRPr="00C51D17" w:rsidRDefault="00646413" w:rsidP="00AA52CF">
            <w:pPr>
              <w:tabs>
                <w:tab w:val="left" w:pos="288"/>
                <w:tab w:val="left" w:pos="576"/>
                <w:tab w:val="left" w:pos="864"/>
                <w:tab w:val="left" w:pos="1152"/>
              </w:tabs>
              <w:suppressAutoHyphens/>
              <w:spacing w:before="40" w:after="40" w:line="210" w:lineRule="exact"/>
              <w:ind w:right="40"/>
              <w:rPr>
                <w:rFonts w:eastAsia="Calibri"/>
                <w:spacing w:val="0"/>
                <w:w w:val="100"/>
                <w:kern w:val="0"/>
                <w:sz w:val="17"/>
                <w:szCs w:val="20"/>
              </w:rPr>
            </w:pPr>
            <w:r w:rsidRPr="00C51D17">
              <w:rPr>
                <w:rFonts w:eastAsia="Calibri"/>
                <w:spacing w:val="0"/>
                <w:w w:val="100"/>
                <w:kern w:val="0"/>
                <w:sz w:val="17"/>
                <w:szCs w:val="20"/>
              </w:rPr>
              <w:t>Fonctions d</w:t>
            </w:r>
            <w:r w:rsidR="00723345" w:rsidRPr="00C51D17">
              <w:rPr>
                <w:rFonts w:eastAsia="Calibri"/>
                <w:spacing w:val="0"/>
                <w:w w:val="100"/>
                <w:kern w:val="0"/>
                <w:sz w:val="17"/>
                <w:szCs w:val="20"/>
              </w:rPr>
              <w:t>’</w:t>
            </w:r>
            <w:r w:rsidRPr="00C51D17">
              <w:rPr>
                <w:rFonts w:eastAsia="Calibri"/>
                <w:spacing w:val="0"/>
                <w:w w:val="100"/>
                <w:kern w:val="0"/>
                <w:sz w:val="17"/>
                <w:szCs w:val="20"/>
              </w:rPr>
              <w:t>appui</w:t>
            </w:r>
          </w:p>
        </w:tc>
        <w:tc>
          <w:tcPr>
            <w:tcW w:w="1920" w:type="dxa"/>
            <w:shd w:val="clear" w:color="auto" w:fill="auto"/>
            <w:vAlign w:val="bottom"/>
          </w:tcPr>
          <w:p w14:paraId="7F9145E6" w14:textId="77777777" w:rsidR="00646413" w:rsidRPr="00C51D17" w:rsidRDefault="00646413" w:rsidP="00AA52CF">
            <w:pPr>
              <w:tabs>
                <w:tab w:val="left" w:pos="288"/>
                <w:tab w:val="left" w:pos="576"/>
                <w:tab w:val="left" w:pos="864"/>
                <w:tab w:val="left" w:pos="1152"/>
              </w:tabs>
              <w:suppressAutoHyphens/>
              <w:spacing w:before="40" w:after="40" w:line="210" w:lineRule="exact"/>
              <w:ind w:left="144" w:right="43"/>
              <w:jc w:val="right"/>
              <w:rPr>
                <w:rFonts w:eastAsia="Calibri"/>
                <w:spacing w:val="0"/>
                <w:w w:val="100"/>
                <w:kern w:val="0"/>
                <w:sz w:val="17"/>
                <w:szCs w:val="20"/>
              </w:rPr>
            </w:pPr>
            <w:r w:rsidRPr="00C51D17">
              <w:rPr>
                <w:rFonts w:eastAsia="Calibri"/>
                <w:spacing w:val="0"/>
                <w:w w:val="100"/>
                <w:kern w:val="0"/>
                <w:sz w:val="17"/>
                <w:szCs w:val="20"/>
              </w:rPr>
              <w:t>28</w:t>
            </w:r>
          </w:p>
        </w:tc>
      </w:tr>
      <w:tr w:rsidR="00ED4542" w:rsidRPr="00C51D17" w14:paraId="71DEEEBD" w14:textId="77777777" w:rsidTr="00ED4542">
        <w:tc>
          <w:tcPr>
            <w:tcW w:w="5400" w:type="dxa"/>
            <w:tcBorders>
              <w:bottom w:val="single" w:sz="4" w:space="0" w:color="auto"/>
            </w:tcBorders>
            <w:shd w:val="clear" w:color="auto" w:fill="auto"/>
            <w:vAlign w:val="bottom"/>
          </w:tcPr>
          <w:p w14:paraId="686ECA8A" w14:textId="77777777" w:rsidR="00646413" w:rsidRPr="00C51D17" w:rsidRDefault="00646413" w:rsidP="00AA52CF">
            <w:pPr>
              <w:tabs>
                <w:tab w:val="left" w:pos="288"/>
                <w:tab w:val="left" w:pos="576"/>
                <w:tab w:val="left" w:pos="864"/>
                <w:tab w:val="left" w:pos="1152"/>
              </w:tabs>
              <w:suppressAutoHyphens/>
              <w:spacing w:before="40" w:after="81" w:line="210" w:lineRule="exact"/>
              <w:ind w:right="40"/>
              <w:rPr>
                <w:rFonts w:eastAsia="Calibri"/>
                <w:spacing w:val="0"/>
                <w:w w:val="100"/>
                <w:kern w:val="0"/>
                <w:sz w:val="17"/>
                <w:szCs w:val="20"/>
              </w:rPr>
            </w:pPr>
            <w:r w:rsidRPr="00C51D17">
              <w:rPr>
                <w:rFonts w:eastAsia="Calibri"/>
                <w:spacing w:val="0"/>
                <w:w w:val="100"/>
                <w:kern w:val="0"/>
                <w:sz w:val="17"/>
                <w:szCs w:val="20"/>
              </w:rPr>
              <w:t>Fonctions militaires</w:t>
            </w:r>
          </w:p>
        </w:tc>
        <w:tc>
          <w:tcPr>
            <w:tcW w:w="1920" w:type="dxa"/>
            <w:tcBorders>
              <w:bottom w:val="single" w:sz="4" w:space="0" w:color="auto"/>
            </w:tcBorders>
            <w:shd w:val="clear" w:color="auto" w:fill="auto"/>
            <w:vAlign w:val="bottom"/>
          </w:tcPr>
          <w:p w14:paraId="7D5CF2E3" w14:textId="77777777" w:rsidR="00646413" w:rsidRPr="00C51D17" w:rsidRDefault="00646413" w:rsidP="00AA52CF">
            <w:pPr>
              <w:tabs>
                <w:tab w:val="left" w:pos="288"/>
                <w:tab w:val="left" w:pos="576"/>
                <w:tab w:val="left" w:pos="864"/>
                <w:tab w:val="left" w:pos="1152"/>
              </w:tabs>
              <w:suppressAutoHyphens/>
              <w:spacing w:before="40" w:after="81" w:line="210" w:lineRule="exact"/>
              <w:ind w:left="144" w:right="43"/>
              <w:jc w:val="right"/>
              <w:rPr>
                <w:rFonts w:eastAsia="Calibri"/>
                <w:spacing w:val="0"/>
                <w:w w:val="100"/>
                <w:kern w:val="0"/>
                <w:sz w:val="17"/>
                <w:szCs w:val="20"/>
              </w:rPr>
            </w:pPr>
            <w:r w:rsidRPr="00C51D17">
              <w:rPr>
                <w:rFonts w:eastAsia="Calibri"/>
                <w:spacing w:val="0"/>
                <w:w w:val="100"/>
                <w:kern w:val="0"/>
                <w:sz w:val="17"/>
                <w:szCs w:val="20"/>
              </w:rPr>
              <w:t>634</w:t>
            </w:r>
          </w:p>
        </w:tc>
      </w:tr>
      <w:tr w:rsidR="00646413" w:rsidRPr="00C51D17" w14:paraId="783DAD03" w14:textId="77777777" w:rsidTr="00BB07FC">
        <w:tc>
          <w:tcPr>
            <w:tcW w:w="5400" w:type="dxa"/>
            <w:tcBorders>
              <w:top w:val="single" w:sz="4" w:space="0" w:color="auto"/>
              <w:bottom w:val="single" w:sz="12" w:space="0" w:color="auto"/>
            </w:tcBorders>
            <w:shd w:val="clear" w:color="auto" w:fill="auto"/>
            <w:vAlign w:val="bottom"/>
          </w:tcPr>
          <w:p w14:paraId="1079C7AB" w14:textId="75E9FC5E" w:rsidR="00646413" w:rsidRPr="00C51D17" w:rsidRDefault="00AA52CF" w:rsidP="00AA52CF">
            <w:pPr>
              <w:suppressAutoHyphens/>
              <w:spacing w:before="81" w:after="81" w:line="210" w:lineRule="exact"/>
              <w:ind w:right="40"/>
              <w:rPr>
                <w:rFonts w:eastAsia="Calibri"/>
                <w:b/>
                <w:spacing w:val="0"/>
                <w:w w:val="100"/>
                <w:kern w:val="0"/>
                <w:sz w:val="17"/>
                <w:szCs w:val="17"/>
              </w:rPr>
            </w:pPr>
            <w:r w:rsidRPr="00C51D17">
              <w:rPr>
                <w:rFonts w:eastAsia="Calibri"/>
                <w:b/>
                <w:spacing w:val="0"/>
                <w:w w:val="100"/>
                <w:kern w:val="0"/>
                <w:sz w:val="17"/>
                <w:szCs w:val="17"/>
              </w:rPr>
              <w:tab/>
            </w:r>
            <w:r w:rsidR="00646413" w:rsidRPr="00C51D17">
              <w:rPr>
                <w:rFonts w:eastAsia="Calibri"/>
                <w:b/>
                <w:spacing w:val="0"/>
                <w:w w:val="100"/>
                <w:kern w:val="0"/>
                <w:sz w:val="17"/>
                <w:szCs w:val="17"/>
              </w:rPr>
              <w:t>Total</w:t>
            </w:r>
          </w:p>
        </w:tc>
        <w:tc>
          <w:tcPr>
            <w:tcW w:w="1920" w:type="dxa"/>
            <w:tcBorders>
              <w:top w:val="single" w:sz="4" w:space="0" w:color="auto"/>
              <w:bottom w:val="single" w:sz="12" w:space="0" w:color="auto"/>
            </w:tcBorders>
            <w:shd w:val="clear" w:color="auto" w:fill="auto"/>
            <w:vAlign w:val="bottom"/>
          </w:tcPr>
          <w:p w14:paraId="2AED9A1A" w14:textId="77777777" w:rsidR="00646413" w:rsidRPr="00C51D17" w:rsidRDefault="00646413" w:rsidP="00AA52CF">
            <w:pPr>
              <w:suppressAutoHyphens/>
              <w:spacing w:before="81" w:after="81" w:line="210" w:lineRule="exact"/>
              <w:ind w:left="144" w:right="43"/>
              <w:jc w:val="right"/>
              <w:rPr>
                <w:rFonts w:eastAsia="Calibri"/>
                <w:b/>
                <w:spacing w:val="0"/>
                <w:w w:val="100"/>
                <w:kern w:val="0"/>
                <w:sz w:val="17"/>
                <w:szCs w:val="17"/>
              </w:rPr>
            </w:pPr>
            <w:r w:rsidRPr="00C51D17">
              <w:rPr>
                <w:rFonts w:eastAsia="Calibri"/>
                <w:b/>
                <w:spacing w:val="0"/>
                <w:w w:val="100"/>
                <w:kern w:val="0"/>
                <w:sz w:val="17"/>
                <w:szCs w:val="17"/>
              </w:rPr>
              <w:t>4 684</w:t>
            </w:r>
          </w:p>
        </w:tc>
      </w:tr>
    </w:tbl>
    <w:p w14:paraId="4B7B33EF" w14:textId="50844631" w:rsidR="00AA52CF" w:rsidRPr="00C51D17" w:rsidRDefault="00AA52CF" w:rsidP="00AA52CF">
      <w:pPr>
        <w:pStyle w:val="SingleTxt"/>
        <w:spacing w:after="0" w:line="120" w:lineRule="exact"/>
        <w:rPr>
          <w:w w:val="100"/>
          <w:sz w:val="10"/>
        </w:rPr>
      </w:pPr>
    </w:p>
    <w:p w14:paraId="7123368F" w14:textId="7EA7B568" w:rsidR="00646413" w:rsidRPr="00C51D17" w:rsidRDefault="00646413" w:rsidP="005B28FB">
      <w:pPr>
        <w:pStyle w:val="FootnoteText"/>
        <w:tabs>
          <w:tab w:val="right" w:pos="1476"/>
          <w:tab w:val="left" w:pos="1548"/>
          <w:tab w:val="right" w:pos="1836"/>
          <w:tab w:val="left" w:pos="1908"/>
        </w:tabs>
        <w:ind w:left="1548" w:right="1267" w:hanging="288"/>
        <w:rPr>
          <w:w w:val="100"/>
        </w:rPr>
      </w:pPr>
      <w:r w:rsidRPr="00C51D17">
        <w:rPr>
          <w:i/>
          <w:w w:val="100"/>
        </w:rPr>
        <w:t>Source</w:t>
      </w:r>
      <w:r w:rsidR="0012596A" w:rsidRPr="00C51D17">
        <w:rPr>
          <w:w w:val="100"/>
        </w:rPr>
        <w:t xml:space="preserve"> : </w:t>
      </w:r>
      <w:r w:rsidRPr="00C51D17">
        <w:rPr>
          <w:w w:val="100"/>
        </w:rPr>
        <w:t>Ministère de l</w:t>
      </w:r>
      <w:r w:rsidR="00723345" w:rsidRPr="00C51D17">
        <w:rPr>
          <w:w w:val="100"/>
        </w:rPr>
        <w:t>’</w:t>
      </w:r>
      <w:r w:rsidRPr="00C51D17">
        <w:rPr>
          <w:w w:val="100"/>
        </w:rPr>
        <w:t>intérieur.</w:t>
      </w:r>
    </w:p>
    <w:p w14:paraId="79DCEB4D" w14:textId="2B3BD09A" w:rsidR="005B28FB" w:rsidRPr="00C51D17" w:rsidRDefault="005B28FB" w:rsidP="005B28FB">
      <w:pPr>
        <w:pStyle w:val="FootnoteText"/>
        <w:tabs>
          <w:tab w:val="right" w:pos="1476"/>
          <w:tab w:val="left" w:pos="1548"/>
          <w:tab w:val="right" w:pos="1836"/>
          <w:tab w:val="left" w:pos="1908"/>
        </w:tabs>
        <w:spacing w:line="120" w:lineRule="exact"/>
        <w:ind w:left="1548" w:right="1267" w:hanging="288"/>
        <w:rPr>
          <w:w w:val="100"/>
          <w:sz w:val="10"/>
        </w:rPr>
      </w:pPr>
    </w:p>
    <w:p w14:paraId="30BE5F84" w14:textId="12630DF1" w:rsidR="005B28FB" w:rsidRPr="00C51D17" w:rsidRDefault="005B28FB" w:rsidP="005B28FB">
      <w:pPr>
        <w:pStyle w:val="FootnoteText"/>
        <w:tabs>
          <w:tab w:val="right" w:pos="1476"/>
          <w:tab w:val="left" w:pos="1548"/>
          <w:tab w:val="right" w:pos="1836"/>
          <w:tab w:val="left" w:pos="1908"/>
        </w:tabs>
        <w:spacing w:line="120" w:lineRule="exact"/>
        <w:ind w:left="1548" w:right="1267" w:hanging="288"/>
        <w:rPr>
          <w:w w:val="100"/>
          <w:sz w:val="10"/>
        </w:rPr>
      </w:pPr>
    </w:p>
    <w:p w14:paraId="6EF1107F" w14:textId="28526DE3" w:rsidR="00646413" w:rsidRPr="00C51D17" w:rsidRDefault="005B28FB" w:rsidP="005B28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Organisations de la société civile et organisations non gouvernementales</w:t>
      </w:r>
    </w:p>
    <w:p w14:paraId="7D4E70D6" w14:textId="454BD02E" w:rsidR="005B28FB" w:rsidRPr="00C51D17" w:rsidRDefault="005B28FB" w:rsidP="005B28FB">
      <w:pPr>
        <w:pStyle w:val="SingleTxt"/>
        <w:spacing w:after="0" w:line="120" w:lineRule="exact"/>
        <w:rPr>
          <w:sz w:val="10"/>
        </w:rPr>
      </w:pPr>
    </w:p>
    <w:p w14:paraId="3112BE6A" w14:textId="7F1ADDA3" w:rsidR="00646413" w:rsidRPr="00C51D17" w:rsidRDefault="00646413" w:rsidP="005B28FB">
      <w:pPr>
        <w:pStyle w:val="SingleTxt"/>
        <w:numPr>
          <w:ilvl w:val="0"/>
          <w:numId w:val="71"/>
        </w:numPr>
        <w:spacing w:line="240" w:lineRule="exact"/>
        <w:ind w:left="1267"/>
        <w:rPr>
          <w:w w:val="100"/>
        </w:rPr>
      </w:pPr>
      <w:r w:rsidRPr="00C51D17">
        <w:rPr>
          <w:w w:val="100"/>
        </w:rPr>
        <w:t>Le Qatar offre toutes les facilités nécessaires à la création et au fonctionnement des associations et institutions privées, dès lors qu</w:t>
      </w:r>
      <w:r w:rsidR="00723345" w:rsidRPr="00C51D17">
        <w:rPr>
          <w:w w:val="100"/>
        </w:rPr>
        <w:t>’</w:t>
      </w:r>
      <w:r w:rsidRPr="00C51D17">
        <w:rPr>
          <w:w w:val="100"/>
        </w:rPr>
        <w:t>elles sont créées dans le respect des dispositions de la loi n</w:t>
      </w:r>
      <w:r w:rsidRPr="00C51D17">
        <w:rPr>
          <w:w w:val="100"/>
          <w:vertAlign w:val="superscript"/>
        </w:rPr>
        <w:t>o</w:t>
      </w:r>
      <w:r w:rsidR="00D95541" w:rsidRPr="00C51D17">
        <w:rPr>
          <w:w w:val="100"/>
        </w:rPr>
        <w:t> </w:t>
      </w:r>
      <w:r w:rsidRPr="00C51D17">
        <w:rPr>
          <w:w w:val="100"/>
        </w:rPr>
        <w:t>12 de 2004.</w:t>
      </w:r>
    </w:p>
    <w:p w14:paraId="04222BA9" w14:textId="2DF19995" w:rsidR="005B28FB" w:rsidRPr="00C51D17" w:rsidRDefault="005B28FB" w:rsidP="005B28FB">
      <w:pPr>
        <w:pStyle w:val="SingleTxt"/>
        <w:spacing w:after="0" w:line="120" w:lineRule="exact"/>
        <w:rPr>
          <w:w w:val="100"/>
          <w:sz w:val="10"/>
        </w:rPr>
      </w:pPr>
    </w:p>
    <w:p w14:paraId="371FC01A" w14:textId="46FC06D4" w:rsidR="00646413" w:rsidRPr="00C51D17" w:rsidRDefault="005B28FB" w:rsidP="005B28F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rPr>
      </w:pPr>
      <w:r w:rsidRPr="00C51D17">
        <w:rPr>
          <w:w w:val="100"/>
        </w:rPr>
        <w:tab/>
      </w:r>
      <w:r w:rsidRPr="00C51D17">
        <w:rPr>
          <w:w w:val="100"/>
        </w:rPr>
        <w:tab/>
      </w:r>
      <w:r w:rsidR="00646413" w:rsidRPr="00C51D17">
        <w:rPr>
          <w:w w:val="100"/>
        </w:rPr>
        <w:t xml:space="preserve">Éducation </w:t>
      </w:r>
    </w:p>
    <w:p w14:paraId="4D9EBC98" w14:textId="5DB5FB4B" w:rsidR="005B28FB" w:rsidRPr="00C51D17" w:rsidRDefault="005B28FB" w:rsidP="005B28FB">
      <w:pPr>
        <w:spacing w:line="120" w:lineRule="exact"/>
        <w:rPr>
          <w:sz w:val="10"/>
        </w:rPr>
      </w:pPr>
    </w:p>
    <w:p w14:paraId="581965E2" w14:textId="762A8B2F" w:rsidR="00646413" w:rsidRPr="00C51D17" w:rsidRDefault="00646413" w:rsidP="005B28FB">
      <w:pPr>
        <w:pStyle w:val="SingleTxt"/>
        <w:numPr>
          <w:ilvl w:val="0"/>
          <w:numId w:val="72"/>
        </w:numPr>
        <w:tabs>
          <w:tab w:val="num" w:pos="2804"/>
        </w:tabs>
        <w:spacing w:line="240" w:lineRule="exact"/>
        <w:ind w:left="1267"/>
        <w:rPr>
          <w:w w:val="100"/>
        </w:rPr>
      </w:pPr>
      <w:r w:rsidRPr="00C51D17">
        <w:rPr>
          <w:w w:val="100"/>
        </w:rPr>
        <w:t>S</w:t>
      </w:r>
      <w:r w:rsidR="00723345" w:rsidRPr="00C51D17">
        <w:rPr>
          <w:w w:val="100"/>
        </w:rPr>
        <w:t>’</w:t>
      </w:r>
      <w:r w:rsidRPr="00C51D17">
        <w:rPr>
          <w:w w:val="100"/>
        </w:rPr>
        <w:t>agissant de la question posée sur l</w:t>
      </w:r>
      <w:r w:rsidR="00723345" w:rsidRPr="00C51D17">
        <w:rPr>
          <w:w w:val="100"/>
        </w:rPr>
        <w:t>’</w:t>
      </w:r>
      <w:r w:rsidRPr="00C51D17">
        <w:rPr>
          <w:w w:val="100"/>
        </w:rPr>
        <w:t>écart entre le nombre d</w:t>
      </w:r>
      <w:r w:rsidR="00723345" w:rsidRPr="00C51D17">
        <w:rPr>
          <w:w w:val="100"/>
        </w:rPr>
        <w:t>’</w:t>
      </w:r>
      <w:r w:rsidRPr="00C51D17">
        <w:rPr>
          <w:w w:val="100"/>
        </w:rPr>
        <w:t>hommes et de femmes suivant des études dans les secteurs de la finance ou de la gestion des affaires, le Ministère de l</w:t>
      </w:r>
      <w:r w:rsidR="00723345" w:rsidRPr="00C51D17">
        <w:rPr>
          <w:w w:val="100"/>
        </w:rPr>
        <w:t>’</w:t>
      </w:r>
      <w:r w:rsidRPr="00C51D17">
        <w:rPr>
          <w:w w:val="100"/>
        </w:rPr>
        <w:t>éducation et de l</w:t>
      </w:r>
      <w:r w:rsidR="00723345" w:rsidRPr="00C51D17">
        <w:rPr>
          <w:w w:val="100"/>
        </w:rPr>
        <w:t>’</w:t>
      </w:r>
      <w:r w:rsidRPr="00C51D17">
        <w:rPr>
          <w:w w:val="100"/>
        </w:rPr>
        <w:t>enseignement supérieur a donné des instructions claires pour organiser chaque année, à l</w:t>
      </w:r>
      <w:r w:rsidR="00723345" w:rsidRPr="00C51D17">
        <w:rPr>
          <w:w w:val="100"/>
        </w:rPr>
        <w:t>’</w:t>
      </w:r>
      <w:r w:rsidRPr="00C51D17">
        <w:rPr>
          <w:w w:val="100"/>
        </w:rPr>
        <w:t>intention des lycéennes de neuvième année secondaire, des visites d</w:t>
      </w:r>
      <w:r w:rsidR="00723345" w:rsidRPr="00C51D17">
        <w:rPr>
          <w:w w:val="100"/>
        </w:rPr>
        <w:t>’</w:t>
      </w:r>
      <w:r w:rsidRPr="00C51D17">
        <w:rPr>
          <w:w w:val="100"/>
        </w:rPr>
        <w:t>orientation à l</w:t>
      </w:r>
      <w:r w:rsidR="00723345" w:rsidRPr="00C51D17">
        <w:rPr>
          <w:w w:val="100"/>
        </w:rPr>
        <w:t>’</w:t>
      </w:r>
      <w:r w:rsidRPr="00C51D17">
        <w:rPr>
          <w:w w:val="100"/>
        </w:rPr>
        <w:t>École qatarienne des sciences bancaires et de gestion des affaires, et leur présenter des exposés afin de les encourager à s</w:t>
      </w:r>
      <w:r w:rsidR="00723345" w:rsidRPr="00C51D17">
        <w:rPr>
          <w:w w:val="100"/>
        </w:rPr>
        <w:t>’</w:t>
      </w:r>
      <w:r w:rsidRPr="00C51D17">
        <w:rPr>
          <w:w w:val="100"/>
        </w:rPr>
        <w:t>y inscrire. De même, la Banque national de Qatar et le Ministère de l</w:t>
      </w:r>
      <w:r w:rsidR="00723345" w:rsidRPr="00C51D17">
        <w:rPr>
          <w:w w:val="100"/>
        </w:rPr>
        <w:t>’</w:t>
      </w:r>
      <w:r w:rsidRPr="00C51D17">
        <w:rPr>
          <w:w w:val="100"/>
        </w:rPr>
        <w:t>éducation et de l</w:t>
      </w:r>
      <w:r w:rsidR="00723345" w:rsidRPr="00C51D17">
        <w:rPr>
          <w:w w:val="100"/>
        </w:rPr>
        <w:t>’</w:t>
      </w:r>
      <w:r w:rsidRPr="00C51D17">
        <w:rPr>
          <w:w w:val="100"/>
        </w:rPr>
        <w:t>enseignement supérieur offrent des incitations financières, qui augmentent chaque année, pour encourager les lycéennes à suivre ce type d</w:t>
      </w:r>
      <w:r w:rsidR="00723345" w:rsidRPr="00C51D17">
        <w:rPr>
          <w:w w:val="100"/>
        </w:rPr>
        <w:t>’</w:t>
      </w:r>
      <w:r w:rsidRPr="00C51D17">
        <w:rPr>
          <w:w w:val="100"/>
        </w:rPr>
        <w:t>études spécialisées. On notera qu</w:t>
      </w:r>
      <w:r w:rsidR="00723345" w:rsidRPr="00C51D17">
        <w:rPr>
          <w:w w:val="100"/>
        </w:rPr>
        <w:t>’</w:t>
      </w:r>
      <w:r w:rsidRPr="00C51D17">
        <w:rPr>
          <w:w w:val="100"/>
        </w:rPr>
        <w:t>il n</w:t>
      </w:r>
      <w:r w:rsidR="00723345" w:rsidRPr="00C51D17">
        <w:rPr>
          <w:w w:val="100"/>
        </w:rPr>
        <w:t>’</w:t>
      </w:r>
      <w:r w:rsidRPr="00C51D17">
        <w:rPr>
          <w:w w:val="100"/>
        </w:rPr>
        <w:t>existe pas un grand écart entre les inscrits des deux sexes dans les études spécialisées. On compte 150</w:t>
      </w:r>
      <w:r w:rsidR="004B4592" w:rsidRPr="00C51D17">
        <w:rPr>
          <w:w w:val="100"/>
        </w:rPr>
        <w:t> </w:t>
      </w:r>
      <w:r w:rsidRPr="00C51D17">
        <w:rPr>
          <w:w w:val="100"/>
        </w:rPr>
        <w:t>nouveaux inscrits des deux sexes, qui doivent remplir des conditions et avoir obtenu des moyennes précises, ce qui ne donne pas lieu à un écart important entre les sexes dans ce type d</w:t>
      </w:r>
      <w:r w:rsidR="00723345" w:rsidRPr="00C51D17">
        <w:rPr>
          <w:w w:val="100"/>
        </w:rPr>
        <w:t>’</w:t>
      </w:r>
      <w:r w:rsidRPr="00C51D17">
        <w:rPr>
          <w:w w:val="100"/>
        </w:rPr>
        <w:t>études. Il y a actuellement 102 étudiantes qui suivent effectivement ces cursus contre 124 étudiants. D</w:t>
      </w:r>
      <w:r w:rsidR="00723345" w:rsidRPr="00C51D17">
        <w:rPr>
          <w:w w:val="100"/>
        </w:rPr>
        <w:t>’</w:t>
      </w:r>
      <w:r w:rsidRPr="00C51D17">
        <w:rPr>
          <w:w w:val="100"/>
        </w:rPr>
        <w:t>une façon générale, l</w:t>
      </w:r>
      <w:r w:rsidR="00723345" w:rsidRPr="00C51D17">
        <w:rPr>
          <w:w w:val="100"/>
        </w:rPr>
        <w:t>’</w:t>
      </w:r>
      <w:r w:rsidRPr="00C51D17">
        <w:rPr>
          <w:w w:val="100"/>
        </w:rPr>
        <w:t>égalité des sexes caractérise la politique d</w:t>
      </w:r>
      <w:r w:rsidR="00723345" w:rsidRPr="00C51D17">
        <w:rPr>
          <w:w w:val="100"/>
        </w:rPr>
        <w:t>’</w:t>
      </w:r>
      <w:r w:rsidRPr="00C51D17">
        <w:rPr>
          <w:w w:val="100"/>
        </w:rPr>
        <w:t>admission des étudiants dans les études bancaires et la gestion des affaires car il existe une école pour chacune des deux catégories. L</w:t>
      </w:r>
      <w:r w:rsidR="00723345" w:rsidRPr="00C51D17">
        <w:rPr>
          <w:w w:val="100"/>
        </w:rPr>
        <w:t>’</w:t>
      </w:r>
      <w:r w:rsidRPr="00C51D17">
        <w:rPr>
          <w:w w:val="100"/>
        </w:rPr>
        <w:t>écart constaté entre les sexes tient aux motivations respectives des filles et des garçons dans le choix de leurs études. Pour compléter des études universitaires, d</w:t>
      </w:r>
      <w:r w:rsidR="00723345" w:rsidRPr="00C51D17">
        <w:rPr>
          <w:w w:val="100"/>
        </w:rPr>
        <w:t>’</w:t>
      </w:r>
      <w:r w:rsidRPr="00C51D17">
        <w:rPr>
          <w:w w:val="100"/>
        </w:rPr>
        <w:t>autres options existent dans les écoles publiques, qui offrent des parcours d</w:t>
      </w:r>
      <w:r w:rsidR="00723345" w:rsidRPr="00C51D17">
        <w:rPr>
          <w:w w:val="100"/>
        </w:rPr>
        <w:t>’</w:t>
      </w:r>
      <w:r w:rsidRPr="00C51D17">
        <w:rPr>
          <w:w w:val="100"/>
        </w:rPr>
        <w:t>enseignement correspondant à des choix plus larges et plus diversifiés. Des mesures ont été prises pour encourager les filles à rejoindre ce type d</w:t>
      </w:r>
      <w:r w:rsidR="00723345" w:rsidRPr="00C51D17">
        <w:rPr>
          <w:w w:val="100"/>
        </w:rPr>
        <w:t>’</w:t>
      </w:r>
      <w:r w:rsidRPr="00C51D17">
        <w:rPr>
          <w:w w:val="100"/>
        </w:rPr>
        <w:t>enseignements, dont l</w:t>
      </w:r>
      <w:r w:rsidR="00723345" w:rsidRPr="00C51D17">
        <w:rPr>
          <w:w w:val="100"/>
        </w:rPr>
        <w:t>’</w:t>
      </w:r>
      <w:r w:rsidRPr="00C51D17">
        <w:rPr>
          <w:w w:val="100"/>
        </w:rPr>
        <w:t>octroi de bourses mensuelles, des campagnes annuelles de sensibilisation des lycéennes pour faire connaître ces filières et une offre d</w:t>
      </w:r>
      <w:r w:rsidR="00723345" w:rsidRPr="00C51D17">
        <w:rPr>
          <w:w w:val="100"/>
        </w:rPr>
        <w:t>’</w:t>
      </w:r>
      <w:r w:rsidRPr="00C51D17">
        <w:rPr>
          <w:w w:val="100"/>
        </w:rPr>
        <w:t>emploi à l</w:t>
      </w:r>
      <w:r w:rsidR="00723345" w:rsidRPr="00C51D17">
        <w:rPr>
          <w:w w:val="100"/>
        </w:rPr>
        <w:t>’</w:t>
      </w:r>
      <w:r w:rsidRPr="00C51D17">
        <w:rPr>
          <w:w w:val="100"/>
        </w:rPr>
        <w:t>issue des études.</w:t>
      </w:r>
    </w:p>
    <w:p w14:paraId="61667108" w14:textId="5230E669" w:rsidR="00646413" w:rsidRPr="00C51D17" w:rsidRDefault="00646413" w:rsidP="00AA7202">
      <w:pPr>
        <w:pStyle w:val="SingleTxt"/>
        <w:numPr>
          <w:ilvl w:val="0"/>
          <w:numId w:val="72"/>
        </w:numPr>
        <w:spacing w:line="240" w:lineRule="exact"/>
        <w:ind w:left="1267"/>
        <w:rPr>
          <w:w w:val="100"/>
        </w:rPr>
      </w:pPr>
      <w:r w:rsidRPr="00C51D17">
        <w:rPr>
          <w:w w:val="100"/>
        </w:rPr>
        <w:t>S</w:t>
      </w:r>
      <w:r w:rsidR="00723345" w:rsidRPr="00C51D17">
        <w:rPr>
          <w:w w:val="100"/>
        </w:rPr>
        <w:t>’</w:t>
      </w:r>
      <w:r w:rsidRPr="00C51D17">
        <w:rPr>
          <w:w w:val="100"/>
        </w:rPr>
        <w:t>agissant des mesures prises pour garantir l</w:t>
      </w:r>
      <w:r w:rsidR="00723345" w:rsidRPr="00C51D17">
        <w:rPr>
          <w:w w:val="100"/>
        </w:rPr>
        <w:t>’</w:t>
      </w:r>
      <w:r w:rsidRPr="00C51D17">
        <w:rPr>
          <w:w w:val="100"/>
        </w:rPr>
        <w:t>accès des enfants de migrantes à un enseignement abordable et de qualité, le</w:t>
      </w:r>
      <w:r w:rsidR="0033791C" w:rsidRPr="00C51D17">
        <w:rPr>
          <w:w w:val="100"/>
        </w:rPr>
        <w:t xml:space="preserve">s ambitions </w:t>
      </w:r>
      <w:r w:rsidRPr="00C51D17">
        <w:rPr>
          <w:w w:val="100"/>
        </w:rPr>
        <w:t xml:space="preserve">du Qatar </w:t>
      </w:r>
      <w:r w:rsidR="0033791C" w:rsidRPr="00C51D17">
        <w:rPr>
          <w:w w:val="100"/>
        </w:rPr>
        <w:t>à l’horizon</w:t>
      </w:r>
      <w:r w:rsidRPr="00C51D17">
        <w:rPr>
          <w:w w:val="100"/>
        </w:rPr>
        <w:t xml:space="preserve"> 2030 et les stratégies d</w:t>
      </w:r>
      <w:r w:rsidR="00723345" w:rsidRPr="00C51D17">
        <w:rPr>
          <w:w w:val="100"/>
        </w:rPr>
        <w:t>’</w:t>
      </w:r>
      <w:r w:rsidRPr="00C51D17">
        <w:rPr>
          <w:w w:val="100"/>
        </w:rPr>
        <w:t>enseignement et de formation au niveau national réaffirment tous le droit de tous les enfants à la scolarisation. L</w:t>
      </w:r>
      <w:r w:rsidR="00723345" w:rsidRPr="00C51D17">
        <w:rPr>
          <w:w w:val="100"/>
        </w:rPr>
        <w:t>’</w:t>
      </w:r>
      <w:r w:rsidRPr="00C51D17">
        <w:rPr>
          <w:w w:val="100"/>
        </w:rPr>
        <w:t>État veille à assurer un enseignement à tous les enfants des migrants, qui ont le droit de s</w:t>
      </w:r>
      <w:r w:rsidR="00723345" w:rsidRPr="00C51D17">
        <w:rPr>
          <w:w w:val="100"/>
        </w:rPr>
        <w:t>’</w:t>
      </w:r>
      <w:r w:rsidRPr="00C51D17">
        <w:rPr>
          <w:w w:val="100"/>
        </w:rPr>
        <w:t>inscrire dans les écoles publiques et privées conformément aux vœux des parents. L</w:t>
      </w:r>
      <w:r w:rsidR="00723345" w:rsidRPr="00C51D17">
        <w:rPr>
          <w:w w:val="100"/>
        </w:rPr>
        <w:t>’</w:t>
      </w:r>
      <w:r w:rsidRPr="00C51D17">
        <w:rPr>
          <w:w w:val="100"/>
        </w:rPr>
        <w:t>État a, en plus, facilité l</w:t>
      </w:r>
      <w:r w:rsidR="00723345" w:rsidRPr="00C51D17">
        <w:rPr>
          <w:w w:val="100"/>
        </w:rPr>
        <w:t>’</w:t>
      </w:r>
      <w:r w:rsidRPr="00C51D17">
        <w:rPr>
          <w:w w:val="100"/>
        </w:rPr>
        <w:t>ouverture d</w:t>
      </w:r>
      <w:r w:rsidR="00723345" w:rsidRPr="00C51D17">
        <w:rPr>
          <w:w w:val="100"/>
        </w:rPr>
        <w:t>’</w:t>
      </w:r>
      <w:r w:rsidRPr="00C51D17">
        <w:rPr>
          <w:w w:val="100"/>
        </w:rPr>
        <w:t>écoles internationales, d</w:t>
      </w:r>
      <w:r w:rsidR="00723345" w:rsidRPr="00C51D17">
        <w:rPr>
          <w:w w:val="100"/>
        </w:rPr>
        <w:t>’</w:t>
      </w:r>
      <w:r w:rsidRPr="00C51D17">
        <w:rPr>
          <w:w w:val="100"/>
        </w:rPr>
        <w:t>écoles nationales privées et d</w:t>
      </w:r>
      <w:r w:rsidR="00723345" w:rsidRPr="00C51D17">
        <w:rPr>
          <w:w w:val="100"/>
        </w:rPr>
        <w:t>’</w:t>
      </w:r>
      <w:r w:rsidRPr="00C51D17">
        <w:rPr>
          <w:w w:val="100"/>
        </w:rPr>
        <w:t>écoles pour les communautés, soit 359 écoles au total. On compte également 220 jardins d</w:t>
      </w:r>
      <w:r w:rsidR="00723345" w:rsidRPr="00C51D17">
        <w:rPr>
          <w:w w:val="100"/>
        </w:rPr>
        <w:t>’</w:t>
      </w:r>
      <w:r w:rsidRPr="00C51D17">
        <w:rPr>
          <w:w w:val="100"/>
        </w:rPr>
        <w:t>enfants. Le pourcentage de non-Qatariens suivant un enseignement est de 67</w:t>
      </w:r>
      <w:r w:rsidR="0012596A" w:rsidRPr="00C51D17">
        <w:rPr>
          <w:w w:val="100"/>
        </w:rPr>
        <w:t> %</w:t>
      </w:r>
      <w:r w:rsidRPr="00C51D17">
        <w:rPr>
          <w:w w:val="100"/>
        </w:rPr>
        <w:t xml:space="preserve"> comparativement aux Qatariens.</w:t>
      </w:r>
    </w:p>
    <w:p w14:paraId="320B2942" w14:textId="0756572A" w:rsidR="00646413" w:rsidRPr="00C51D17" w:rsidRDefault="00646413" w:rsidP="00AA7202">
      <w:pPr>
        <w:pStyle w:val="SingleTxt"/>
        <w:numPr>
          <w:ilvl w:val="0"/>
          <w:numId w:val="72"/>
        </w:numPr>
        <w:tabs>
          <w:tab w:val="num" w:pos="2804"/>
        </w:tabs>
        <w:spacing w:line="240" w:lineRule="exact"/>
        <w:ind w:left="1267"/>
        <w:rPr>
          <w:w w:val="100"/>
        </w:rPr>
      </w:pPr>
      <w:r w:rsidRPr="00C51D17">
        <w:rPr>
          <w:w w:val="100"/>
        </w:rPr>
        <w:t>Compte tenu de l</w:t>
      </w:r>
      <w:r w:rsidR="00723345" w:rsidRPr="00C51D17">
        <w:rPr>
          <w:w w:val="100"/>
        </w:rPr>
        <w:t>’</w:t>
      </w:r>
      <w:r w:rsidRPr="00C51D17">
        <w:rPr>
          <w:w w:val="100"/>
        </w:rPr>
        <w:t>évolution démographique importante que connaît le Qatar, de nouvelles écoles, publiques et privées, sont ouvertes chaque année pour couvrir les besoins exprimés. Dans le domaine de l</w:t>
      </w:r>
      <w:r w:rsidR="00723345" w:rsidRPr="00C51D17">
        <w:rPr>
          <w:w w:val="100"/>
        </w:rPr>
        <w:t>’</w:t>
      </w:r>
      <w:r w:rsidRPr="00C51D17">
        <w:rPr>
          <w:w w:val="100"/>
        </w:rPr>
        <w:t>éducation, le Ministère de l</w:t>
      </w:r>
      <w:r w:rsidR="00723345" w:rsidRPr="00C51D17">
        <w:rPr>
          <w:w w:val="100"/>
        </w:rPr>
        <w:t>’</w:t>
      </w:r>
      <w:r w:rsidRPr="00C51D17">
        <w:rPr>
          <w:w w:val="100"/>
        </w:rPr>
        <w:t>éducation et de l</w:t>
      </w:r>
      <w:r w:rsidR="00723345" w:rsidRPr="00C51D17">
        <w:rPr>
          <w:w w:val="100"/>
        </w:rPr>
        <w:t>’</w:t>
      </w:r>
      <w:r w:rsidRPr="00C51D17">
        <w:rPr>
          <w:w w:val="100"/>
        </w:rPr>
        <w:t>enseignement supérieur s</w:t>
      </w:r>
      <w:r w:rsidR="00723345" w:rsidRPr="00C51D17">
        <w:rPr>
          <w:w w:val="100"/>
        </w:rPr>
        <w:t>’</w:t>
      </w:r>
      <w:r w:rsidRPr="00C51D17">
        <w:rPr>
          <w:w w:val="100"/>
        </w:rPr>
        <w:t>efforce de fournir de bonnes opportunités à tous les étudiants sans distinction. À titre d</w:t>
      </w:r>
      <w:r w:rsidR="00723345" w:rsidRPr="00C51D17">
        <w:rPr>
          <w:w w:val="100"/>
        </w:rPr>
        <w:t>’</w:t>
      </w:r>
      <w:r w:rsidRPr="00C51D17">
        <w:rPr>
          <w:w w:val="100"/>
        </w:rPr>
        <w:t>exemple, le Ministère offre diverses prestations aux écoles privées, notamment</w:t>
      </w:r>
      <w:r w:rsidR="00AA7202" w:rsidRPr="00C51D17">
        <w:rPr>
          <w:w w:val="100"/>
        </w:rPr>
        <w:t> </w:t>
      </w:r>
      <w:r w:rsidRPr="00C51D17">
        <w:rPr>
          <w:w w:val="100"/>
        </w:rPr>
        <w:t>:</w:t>
      </w:r>
    </w:p>
    <w:p w14:paraId="713A8B49" w14:textId="694C424C" w:rsidR="00646413" w:rsidRPr="00C51D17" w:rsidRDefault="00D371CE" w:rsidP="00D371CE">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exemption de taxes sur la consommation d</w:t>
      </w:r>
      <w:r w:rsidR="00723345" w:rsidRPr="00C51D17">
        <w:rPr>
          <w:w w:val="100"/>
        </w:rPr>
        <w:t>’</w:t>
      </w:r>
      <w:r w:rsidR="00646413" w:rsidRPr="00C51D17">
        <w:rPr>
          <w:w w:val="100"/>
        </w:rPr>
        <w:t>électricité et d</w:t>
      </w:r>
      <w:r w:rsidR="00723345" w:rsidRPr="00C51D17">
        <w:rPr>
          <w:w w:val="100"/>
        </w:rPr>
        <w:t>’</w:t>
      </w:r>
      <w:r w:rsidR="00646413" w:rsidRPr="00C51D17">
        <w:rPr>
          <w:w w:val="100"/>
        </w:rPr>
        <w:t>eau</w:t>
      </w:r>
      <w:r w:rsidR="0012596A" w:rsidRPr="00C51D17">
        <w:rPr>
          <w:w w:val="100"/>
        </w:rPr>
        <w:t> ;</w:t>
      </w:r>
    </w:p>
    <w:p w14:paraId="6DFE6634" w14:textId="2D984FE0" w:rsidR="00646413" w:rsidRPr="00C51D17" w:rsidRDefault="00D371CE" w:rsidP="00D371CE">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franchise douanière</w:t>
      </w:r>
      <w:r w:rsidR="0012596A" w:rsidRPr="00C51D17">
        <w:rPr>
          <w:w w:val="100"/>
        </w:rPr>
        <w:t> ;</w:t>
      </w:r>
    </w:p>
    <w:p w14:paraId="53A3CE4D" w14:textId="706F4AF2" w:rsidR="00646413" w:rsidRPr="00C51D17" w:rsidRDefault="00D371CE" w:rsidP="00D371CE">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octroi de terrains dans le cas où l</w:t>
      </w:r>
      <w:r w:rsidR="00723345" w:rsidRPr="00C51D17">
        <w:rPr>
          <w:w w:val="100"/>
        </w:rPr>
        <w:t>’</w:t>
      </w:r>
      <w:r w:rsidR="00646413" w:rsidRPr="00C51D17">
        <w:rPr>
          <w:w w:val="100"/>
        </w:rPr>
        <w:t>école a obtenu un agrément national, local ou international</w:t>
      </w:r>
      <w:r w:rsidR="0012596A" w:rsidRPr="00C51D17">
        <w:rPr>
          <w:w w:val="100"/>
        </w:rPr>
        <w:t> ;</w:t>
      </w:r>
    </w:p>
    <w:p w14:paraId="4E2E5217" w14:textId="3948B59C" w:rsidR="00646413" w:rsidRPr="00C51D17" w:rsidRDefault="00D371CE" w:rsidP="00D371CE">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prise en charge totale des inscriptions des étudiants qui ne réussissent pas à s</w:t>
      </w:r>
      <w:r w:rsidR="00723345" w:rsidRPr="00C51D17">
        <w:rPr>
          <w:w w:val="100"/>
        </w:rPr>
        <w:t>’</w:t>
      </w:r>
      <w:r w:rsidR="00646413" w:rsidRPr="00C51D17">
        <w:rPr>
          <w:w w:val="100"/>
        </w:rPr>
        <w:t>inscrire dans les délais requis, en leur facilitant les procédures d</w:t>
      </w:r>
      <w:r w:rsidR="00723345" w:rsidRPr="00C51D17">
        <w:rPr>
          <w:w w:val="100"/>
        </w:rPr>
        <w:t>’</w:t>
      </w:r>
      <w:r w:rsidR="00646413" w:rsidRPr="00C51D17">
        <w:rPr>
          <w:w w:val="100"/>
        </w:rPr>
        <w:t>inscription et en les orientant, de sorte qu</w:t>
      </w:r>
      <w:r w:rsidR="00723345" w:rsidRPr="00C51D17">
        <w:rPr>
          <w:w w:val="100"/>
        </w:rPr>
        <w:t>’</w:t>
      </w:r>
      <w:r w:rsidR="00646413" w:rsidRPr="00C51D17">
        <w:rPr>
          <w:w w:val="100"/>
        </w:rPr>
        <w:t>ils puissent bénéficier de tous les services auxquels ils ont droit</w:t>
      </w:r>
      <w:r w:rsidR="0012596A" w:rsidRPr="00C51D17">
        <w:rPr>
          <w:w w:val="100"/>
        </w:rPr>
        <w:t> ;</w:t>
      </w:r>
    </w:p>
    <w:p w14:paraId="62100855" w14:textId="07AB8426" w:rsidR="00646413" w:rsidRPr="00C51D17" w:rsidRDefault="00D371CE" w:rsidP="00D371CE">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coordination et la coopération avec le Fonds de la Zakat afin de soutenir l</w:t>
      </w:r>
      <w:r w:rsidR="00723345" w:rsidRPr="00C51D17">
        <w:rPr>
          <w:w w:val="100"/>
        </w:rPr>
        <w:t>’</w:t>
      </w:r>
      <w:r w:rsidR="00646413" w:rsidRPr="00C51D17">
        <w:rPr>
          <w:w w:val="100"/>
        </w:rPr>
        <w:t>enseignement des enfants des familles démunies</w:t>
      </w:r>
      <w:r w:rsidR="0012596A" w:rsidRPr="00C51D17">
        <w:rPr>
          <w:w w:val="100"/>
        </w:rPr>
        <w:t> ;</w:t>
      </w:r>
    </w:p>
    <w:p w14:paraId="1C1C85C4" w14:textId="60F1EEF8" w:rsidR="00646413" w:rsidRPr="00C51D17" w:rsidRDefault="00D371CE" w:rsidP="00D371CE">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autorisation données aux écoles des communautés de fonctionner en deux vacations (matin et après-midi) afin d</w:t>
      </w:r>
      <w:r w:rsidR="00723345" w:rsidRPr="00C51D17">
        <w:rPr>
          <w:w w:val="100"/>
        </w:rPr>
        <w:t>’</w:t>
      </w:r>
      <w:r w:rsidR="00646413" w:rsidRPr="00C51D17">
        <w:rPr>
          <w:w w:val="100"/>
        </w:rPr>
        <w:t>accueillir le plus grand nombre d</w:t>
      </w:r>
      <w:r w:rsidR="00723345" w:rsidRPr="00C51D17">
        <w:rPr>
          <w:w w:val="100"/>
        </w:rPr>
        <w:t>’</w:t>
      </w:r>
      <w:r w:rsidR="00646413" w:rsidRPr="00C51D17">
        <w:rPr>
          <w:w w:val="100"/>
        </w:rPr>
        <w:t>enfants.</w:t>
      </w:r>
    </w:p>
    <w:p w14:paraId="5FB9A250" w14:textId="6F94AF7A" w:rsidR="00D371CE" w:rsidRPr="00C51D17" w:rsidRDefault="00D371CE" w:rsidP="00D371CE">
      <w:pPr>
        <w:pStyle w:val="SingleTxt"/>
        <w:tabs>
          <w:tab w:val="right" w:pos="1685"/>
        </w:tabs>
        <w:spacing w:after="0" w:line="120" w:lineRule="exact"/>
        <w:ind w:left="1742" w:hanging="475"/>
        <w:rPr>
          <w:w w:val="100"/>
          <w:sz w:val="10"/>
        </w:rPr>
      </w:pPr>
    </w:p>
    <w:p w14:paraId="0D445E5D" w14:textId="349C1A2B" w:rsidR="00646413" w:rsidRPr="00C51D17" w:rsidRDefault="00D371CE" w:rsidP="00D371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 xml:space="preserve">Emploi </w:t>
      </w:r>
    </w:p>
    <w:p w14:paraId="63A4B7D7" w14:textId="412D933D" w:rsidR="00D371CE" w:rsidRPr="00C51D17" w:rsidRDefault="00D371CE" w:rsidP="00D371CE">
      <w:pPr>
        <w:pStyle w:val="SingleTxt"/>
        <w:spacing w:after="0" w:line="120" w:lineRule="exact"/>
        <w:rPr>
          <w:sz w:val="10"/>
        </w:rPr>
      </w:pPr>
    </w:p>
    <w:p w14:paraId="12E4C511" w14:textId="5D100233" w:rsidR="00646413" w:rsidRPr="00C51D17" w:rsidRDefault="00646413" w:rsidP="00D371CE">
      <w:pPr>
        <w:pStyle w:val="SingleTxt"/>
        <w:numPr>
          <w:ilvl w:val="0"/>
          <w:numId w:val="72"/>
        </w:numPr>
        <w:spacing w:line="240" w:lineRule="exact"/>
        <w:ind w:left="1267"/>
        <w:rPr>
          <w:w w:val="100"/>
        </w:rPr>
      </w:pPr>
      <w:r w:rsidRPr="00C51D17">
        <w:rPr>
          <w:w w:val="100"/>
        </w:rPr>
        <w:t>Dans la pratique, nul n</w:t>
      </w:r>
      <w:r w:rsidR="00723345" w:rsidRPr="00C51D17">
        <w:rPr>
          <w:w w:val="100"/>
        </w:rPr>
        <w:t>’</w:t>
      </w:r>
      <w:r w:rsidRPr="00C51D17">
        <w:rPr>
          <w:w w:val="100"/>
        </w:rPr>
        <w:t>exige la présentation d</w:t>
      </w:r>
      <w:r w:rsidR="00723345" w:rsidRPr="00C51D17">
        <w:rPr>
          <w:w w:val="100"/>
        </w:rPr>
        <w:t>’</w:t>
      </w:r>
      <w:r w:rsidRPr="00C51D17">
        <w:rPr>
          <w:w w:val="100"/>
        </w:rPr>
        <w:t>une autorisation écrite du tuteur légal de l</w:t>
      </w:r>
      <w:r w:rsidR="00723345" w:rsidRPr="00C51D17">
        <w:rPr>
          <w:w w:val="100"/>
        </w:rPr>
        <w:t>’</w:t>
      </w:r>
      <w:r w:rsidRPr="00C51D17">
        <w:rPr>
          <w:w w:val="100"/>
        </w:rPr>
        <w:t>épouse pour qu</w:t>
      </w:r>
      <w:r w:rsidR="00723345" w:rsidRPr="00C51D17">
        <w:rPr>
          <w:w w:val="100"/>
        </w:rPr>
        <w:t>’</w:t>
      </w:r>
      <w:r w:rsidRPr="00C51D17">
        <w:rPr>
          <w:w w:val="100"/>
        </w:rPr>
        <w:t>elle obtienne un emploi, car cela serait contraire à la Constitution. D</w:t>
      </w:r>
      <w:r w:rsidR="00723345" w:rsidRPr="00C51D17">
        <w:rPr>
          <w:w w:val="100"/>
        </w:rPr>
        <w:t>’</w:t>
      </w:r>
      <w:r w:rsidRPr="00C51D17">
        <w:rPr>
          <w:w w:val="100"/>
        </w:rPr>
        <w:t>un autre côté, il n</w:t>
      </w:r>
      <w:r w:rsidR="00723345" w:rsidRPr="00C51D17">
        <w:rPr>
          <w:w w:val="100"/>
        </w:rPr>
        <w:t>’</w:t>
      </w:r>
      <w:r w:rsidRPr="00C51D17">
        <w:rPr>
          <w:w w:val="100"/>
        </w:rPr>
        <w:t>y a pas de fonctions interdites aux femmes, à l</w:t>
      </w:r>
      <w:r w:rsidR="00723345" w:rsidRPr="00C51D17">
        <w:rPr>
          <w:w w:val="100"/>
        </w:rPr>
        <w:t>’</w:t>
      </w:r>
      <w:r w:rsidRPr="00C51D17">
        <w:rPr>
          <w:w w:val="100"/>
        </w:rPr>
        <w:t>exception des postes pénibles ou dangereux. À compétences et expérience égales, l</w:t>
      </w:r>
      <w:r w:rsidR="00723345" w:rsidRPr="00C51D17">
        <w:rPr>
          <w:w w:val="100"/>
        </w:rPr>
        <w:t>’</w:t>
      </w:r>
      <w:r w:rsidRPr="00C51D17">
        <w:rPr>
          <w:w w:val="100"/>
        </w:rPr>
        <w:t>égalité salariale est totale entre les hommes et les femmes, autant dans le secteur public que dans le secteur privé.</w:t>
      </w:r>
    </w:p>
    <w:p w14:paraId="4F7785A9" w14:textId="374F885A" w:rsidR="00735F90" w:rsidRPr="00C51D17" w:rsidRDefault="00735F90" w:rsidP="00735F90">
      <w:pPr>
        <w:pStyle w:val="SingleTxt"/>
        <w:spacing w:after="0" w:line="120" w:lineRule="exact"/>
        <w:rPr>
          <w:w w:val="100"/>
          <w:sz w:val="10"/>
        </w:rPr>
      </w:pPr>
    </w:p>
    <w:p w14:paraId="6D68E840" w14:textId="4856201C" w:rsidR="00646413" w:rsidRPr="00C51D17" w:rsidRDefault="00735F90" w:rsidP="00735F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Santé</w:t>
      </w:r>
    </w:p>
    <w:p w14:paraId="2B1AB6E1" w14:textId="3AE68E03" w:rsidR="00735F90" w:rsidRPr="00C51D17" w:rsidRDefault="00735F90" w:rsidP="00735F90">
      <w:pPr>
        <w:pStyle w:val="SingleTxt"/>
        <w:spacing w:after="0" w:line="120" w:lineRule="exact"/>
        <w:rPr>
          <w:sz w:val="10"/>
        </w:rPr>
      </w:pPr>
    </w:p>
    <w:p w14:paraId="6CA2DF9A" w14:textId="6E764E34" w:rsidR="00646413" w:rsidRPr="00C51D17" w:rsidRDefault="00646413" w:rsidP="00735F90">
      <w:pPr>
        <w:pStyle w:val="SingleTxt"/>
        <w:numPr>
          <w:ilvl w:val="0"/>
          <w:numId w:val="72"/>
        </w:numPr>
        <w:spacing w:line="240" w:lineRule="exact"/>
        <w:ind w:left="1267"/>
        <w:rPr>
          <w:w w:val="100"/>
        </w:rPr>
      </w:pPr>
      <w:r w:rsidRPr="00C51D17">
        <w:rPr>
          <w:w w:val="100"/>
        </w:rPr>
        <w:t>Il y a lieu tout d</w:t>
      </w:r>
      <w:r w:rsidR="00723345" w:rsidRPr="00C51D17">
        <w:rPr>
          <w:w w:val="100"/>
        </w:rPr>
        <w:t>’</w:t>
      </w:r>
      <w:r w:rsidRPr="00C51D17">
        <w:rPr>
          <w:w w:val="100"/>
        </w:rPr>
        <w:t>abord de se féliciter qu</w:t>
      </w:r>
      <w:r w:rsidR="00723345" w:rsidRPr="00C51D17">
        <w:rPr>
          <w:w w:val="100"/>
        </w:rPr>
        <w:t>’</w:t>
      </w:r>
      <w:r w:rsidRPr="00C51D17">
        <w:rPr>
          <w:w w:val="100"/>
        </w:rPr>
        <w:t>il n</w:t>
      </w:r>
      <w:r w:rsidR="00723345" w:rsidRPr="00C51D17">
        <w:rPr>
          <w:w w:val="100"/>
        </w:rPr>
        <w:t>’</w:t>
      </w:r>
      <w:r w:rsidRPr="00C51D17">
        <w:rPr>
          <w:w w:val="100"/>
        </w:rPr>
        <w:t>existe pas au Qatar ce que l</w:t>
      </w:r>
      <w:r w:rsidR="00723345" w:rsidRPr="00C51D17">
        <w:rPr>
          <w:w w:val="100"/>
        </w:rPr>
        <w:t>’</w:t>
      </w:r>
      <w:r w:rsidRPr="00C51D17">
        <w:rPr>
          <w:w w:val="100"/>
        </w:rPr>
        <w:t xml:space="preserve">on appelle « les femmes migrantes » ou les femmes sans nationalité (dites </w:t>
      </w:r>
      <w:r w:rsidRPr="00C51D17">
        <w:rPr>
          <w:i/>
          <w:w w:val="100"/>
        </w:rPr>
        <w:t>bidoun</w:t>
      </w:r>
      <w:r w:rsidRPr="00C51D17">
        <w:rPr>
          <w:w w:val="100"/>
        </w:rPr>
        <w:t>), car toutes les femmes présentes au Qatar disposent d</w:t>
      </w:r>
      <w:r w:rsidR="00723345" w:rsidRPr="00C51D17">
        <w:rPr>
          <w:w w:val="100"/>
        </w:rPr>
        <w:t>’</w:t>
      </w:r>
      <w:r w:rsidRPr="00C51D17">
        <w:rPr>
          <w:w w:val="100"/>
        </w:rPr>
        <w:t>un certificat de résidence ou de visite, et sont, par conséquent, couvertes par la loi relative à l</w:t>
      </w:r>
      <w:r w:rsidR="00723345" w:rsidRPr="00C51D17">
        <w:rPr>
          <w:w w:val="100"/>
        </w:rPr>
        <w:t>’</w:t>
      </w:r>
      <w:r w:rsidRPr="00C51D17">
        <w:rPr>
          <w:w w:val="100"/>
        </w:rPr>
        <w:t>organisation des soins de santé conformément à son article 4.</w:t>
      </w:r>
    </w:p>
    <w:p w14:paraId="3F68F6A1" w14:textId="171E95E0" w:rsidR="00646413" w:rsidRPr="00C51D17" w:rsidRDefault="00646413" w:rsidP="00735F90">
      <w:pPr>
        <w:pStyle w:val="SingleTxt"/>
        <w:numPr>
          <w:ilvl w:val="0"/>
          <w:numId w:val="72"/>
        </w:numPr>
        <w:spacing w:line="240" w:lineRule="exact"/>
        <w:ind w:left="1267"/>
        <w:rPr>
          <w:w w:val="100"/>
        </w:rPr>
      </w:pPr>
      <w:r w:rsidRPr="00C51D17">
        <w:rPr>
          <w:w w:val="100"/>
        </w:rPr>
        <w:t>L</w:t>
      </w:r>
      <w:r w:rsidR="00723345" w:rsidRPr="00C51D17">
        <w:rPr>
          <w:w w:val="100"/>
        </w:rPr>
        <w:t>’</w:t>
      </w:r>
      <w:r w:rsidRPr="00C51D17">
        <w:rPr>
          <w:w w:val="100"/>
        </w:rPr>
        <w:t>État reconnaît le droit à l</w:t>
      </w:r>
      <w:r w:rsidR="00723345" w:rsidRPr="00C51D17">
        <w:rPr>
          <w:w w:val="100"/>
        </w:rPr>
        <w:t>’</w:t>
      </w:r>
      <w:r w:rsidRPr="00C51D17">
        <w:rPr>
          <w:w w:val="100"/>
        </w:rPr>
        <w:t>asile politique des femmes migrantes conformément à la loi n</w:t>
      </w:r>
      <w:r w:rsidRPr="00C51D17">
        <w:rPr>
          <w:w w:val="100"/>
          <w:vertAlign w:val="superscript"/>
        </w:rPr>
        <w:t>o</w:t>
      </w:r>
      <w:r w:rsidR="00F42911" w:rsidRPr="00C51D17">
        <w:rPr>
          <w:w w:val="100"/>
        </w:rPr>
        <w:t> </w:t>
      </w:r>
      <w:r w:rsidRPr="00C51D17">
        <w:rPr>
          <w:w w:val="100"/>
        </w:rPr>
        <w:t>11 de 2018 régissant l</w:t>
      </w:r>
      <w:r w:rsidR="00723345" w:rsidRPr="00C51D17">
        <w:rPr>
          <w:w w:val="100"/>
        </w:rPr>
        <w:t>’</w:t>
      </w:r>
      <w:r w:rsidRPr="00C51D17">
        <w:rPr>
          <w:w w:val="100"/>
        </w:rPr>
        <w:t>asile politique, dont l</w:t>
      </w:r>
      <w:r w:rsidR="00723345" w:rsidRPr="00C51D17">
        <w:rPr>
          <w:w w:val="100"/>
        </w:rPr>
        <w:t>’</w:t>
      </w:r>
      <w:r w:rsidRPr="00C51D17">
        <w:rPr>
          <w:w w:val="100"/>
        </w:rPr>
        <w:t>article 9 dispose que le réfugié politique est protégé par l</w:t>
      </w:r>
      <w:r w:rsidR="00723345" w:rsidRPr="00C51D17">
        <w:rPr>
          <w:w w:val="100"/>
        </w:rPr>
        <w:t>’</w:t>
      </w:r>
      <w:r w:rsidRPr="00C51D17">
        <w:rPr>
          <w:w w:val="100"/>
        </w:rPr>
        <w:t>État. Il bénéficie, sans préjudice de son statut de réfugié politique, des avantages et droits ci-après:</w:t>
      </w:r>
    </w:p>
    <w:p w14:paraId="38CA56AE" w14:textId="0ECBCA76" w:rsidR="00646413" w:rsidRPr="00C51D17" w:rsidRDefault="00735F90" w:rsidP="00AD1A6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w:t>
      </w:r>
      <w:r w:rsidR="00723345" w:rsidRPr="00C51D17">
        <w:rPr>
          <w:w w:val="100"/>
        </w:rPr>
        <w:t>’</w:t>
      </w:r>
      <w:r w:rsidR="00646413" w:rsidRPr="00C51D17">
        <w:rPr>
          <w:w w:val="100"/>
        </w:rPr>
        <w:t>obtention d</w:t>
      </w:r>
      <w:r w:rsidR="00723345" w:rsidRPr="00C51D17">
        <w:rPr>
          <w:w w:val="100"/>
        </w:rPr>
        <w:t>’</w:t>
      </w:r>
      <w:r w:rsidR="00646413" w:rsidRPr="00C51D17">
        <w:rPr>
          <w:w w:val="100"/>
        </w:rPr>
        <w:t>un document de voyage, à moins qu</w:t>
      </w:r>
      <w:r w:rsidR="00723345" w:rsidRPr="00C51D17">
        <w:rPr>
          <w:w w:val="100"/>
        </w:rPr>
        <w:t>’</w:t>
      </w:r>
      <w:r w:rsidR="00646413" w:rsidRPr="00C51D17">
        <w:rPr>
          <w:w w:val="100"/>
        </w:rPr>
        <w:t>il en soit empêché pour des raisons liées à la sécurité nationale ou à l</w:t>
      </w:r>
      <w:r w:rsidR="00723345" w:rsidRPr="00C51D17">
        <w:rPr>
          <w:w w:val="100"/>
        </w:rPr>
        <w:t>’</w:t>
      </w:r>
      <w:r w:rsidR="00646413" w:rsidRPr="00C51D17">
        <w:rPr>
          <w:w w:val="100"/>
        </w:rPr>
        <w:t>ordre public</w:t>
      </w:r>
      <w:r w:rsidR="0012596A" w:rsidRPr="00C51D17">
        <w:rPr>
          <w:w w:val="100"/>
        </w:rPr>
        <w:t> ;</w:t>
      </w:r>
    </w:p>
    <w:p w14:paraId="456C2308" w14:textId="36B57E4B" w:rsidR="00646413" w:rsidRPr="00C51D17" w:rsidRDefault="00735F90" w:rsidP="00AD1A6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possibilité d</w:t>
      </w:r>
      <w:r w:rsidR="00723345" w:rsidRPr="00C51D17">
        <w:rPr>
          <w:w w:val="100"/>
        </w:rPr>
        <w:t>’</w:t>
      </w:r>
      <w:r w:rsidR="00646413" w:rsidRPr="00C51D17">
        <w:rPr>
          <w:w w:val="100"/>
        </w:rPr>
        <w:t>avoir un emploi, à l</w:t>
      </w:r>
      <w:r w:rsidR="00723345" w:rsidRPr="00C51D17">
        <w:rPr>
          <w:w w:val="100"/>
        </w:rPr>
        <w:t>’</w:t>
      </w:r>
      <w:r w:rsidR="00646413" w:rsidRPr="00C51D17">
        <w:rPr>
          <w:w w:val="100"/>
        </w:rPr>
        <w:t>exclusion des fonctions liées à la sécurité du pays</w:t>
      </w:r>
      <w:r w:rsidR="0012596A" w:rsidRPr="00C51D17">
        <w:rPr>
          <w:w w:val="100"/>
        </w:rPr>
        <w:t> ;</w:t>
      </w:r>
    </w:p>
    <w:p w14:paraId="6088D13B" w14:textId="64381DBA" w:rsidR="00646413" w:rsidRPr="00C51D17" w:rsidRDefault="00735F90" w:rsidP="00AD1A6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droit à une assistance financière mensuelle, dans l</w:t>
      </w:r>
      <w:r w:rsidR="00723345" w:rsidRPr="00C51D17">
        <w:rPr>
          <w:w w:val="100"/>
        </w:rPr>
        <w:t>’</w:t>
      </w:r>
      <w:r w:rsidR="00646413" w:rsidRPr="00C51D17">
        <w:rPr>
          <w:w w:val="100"/>
        </w:rPr>
        <w:t>attente de bénéficier d</w:t>
      </w:r>
      <w:r w:rsidR="00723345" w:rsidRPr="00C51D17">
        <w:rPr>
          <w:w w:val="100"/>
        </w:rPr>
        <w:t>’</w:t>
      </w:r>
      <w:r w:rsidR="00646413" w:rsidRPr="00C51D17">
        <w:rPr>
          <w:w w:val="100"/>
        </w:rPr>
        <w:t>un emploi</w:t>
      </w:r>
      <w:r w:rsidR="0012596A" w:rsidRPr="00C51D17">
        <w:rPr>
          <w:w w:val="100"/>
        </w:rPr>
        <w:t> ;</w:t>
      </w:r>
    </w:p>
    <w:p w14:paraId="7BCFB0C7" w14:textId="57D960AE" w:rsidR="00646413" w:rsidRPr="00C51D17" w:rsidRDefault="00735F90" w:rsidP="00AD1A6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droit aux soins de santé</w:t>
      </w:r>
      <w:r w:rsidR="0012596A" w:rsidRPr="00C51D17">
        <w:rPr>
          <w:w w:val="100"/>
        </w:rPr>
        <w:t> ;</w:t>
      </w:r>
    </w:p>
    <w:p w14:paraId="69BDB528" w14:textId="55E75224" w:rsidR="00646413" w:rsidRPr="00C51D17" w:rsidRDefault="00735F90" w:rsidP="00AD1A6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droit à l</w:t>
      </w:r>
      <w:r w:rsidR="00723345" w:rsidRPr="00C51D17">
        <w:rPr>
          <w:w w:val="100"/>
        </w:rPr>
        <w:t>’</w:t>
      </w:r>
      <w:r w:rsidR="00646413" w:rsidRPr="00C51D17">
        <w:rPr>
          <w:w w:val="100"/>
        </w:rPr>
        <w:t>éducation</w:t>
      </w:r>
      <w:r w:rsidR="0012596A" w:rsidRPr="00C51D17">
        <w:rPr>
          <w:w w:val="100"/>
        </w:rPr>
        <w:t> ;</w:t>
      </w:r>
    </w:p>
    <w:p w14:paraId="2DDBAAE8" w14:textId="26472192" w:rsidR="00646413" w:rsidRPr="00C51D17" w:rsidRDefault="00735F90" w:rsidP="00AD1A6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droit au logement</w:t>
      </w:r>
      <w:r w:rsidR="0012596A" w:rsidRPr="00C51D17">
        <w:rPr>
          <w:w w:val="100"/>
        </w:rPr>
        <w:t> ;</w:t>
      </w:r>
    </w:p>
    <w:p w14:paraId="5F3844EB" w14:textId="11DFA67F" w:rsidR="00646413" w:rsidRPr="00C51D17" w:rsidRDefault="00735F90" w:rsidP="00AD1A6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liberté de culte et de pratique religieuse</w:t>
      </w:r>
      <w:r w:rsidR="0012596A" w:rsidRPr="00C51D17">
        <w:rPr>
          <w:w w:val="100"/>
        </w:rPr>
        <w:t> ;</w:t>
      </w:r>
    </w:p>
    <w:p w14:paraId="0CB8E5E2" w14:textId="4C03226A" w:rsidR="00646413" w:rsidRPr="00C51D17" w:rsidRDefault="00735F90" w:rsidP="00AD1A6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La liberté de mouvement et de voyage</w:t>
      </w:r>
      <w:r w:rsidR="004B4592" w:rsidRPr="00C51D17">
        <w:rPr>
          <w:w w:val="100"/>
        </w:rPr>
        <w:t> ;</w:t>
      </w:r>
    </w:p>
    <w:p w14:paraId="2C57C1E8" w14:textId="2F4C12E7" w:rsidR="00646413" w:rsidRPr="00C51D17" w:rsidRDefault="00735F90" w:rsidP="00AD1A6C">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droit d</w:t>
      </w:r>
      <w:r w:rsidR="00723345" w:rsidRPr="00C51D17">
        <w:rPr>
          <w:w w:val="100"/>
        </w:rPr>
        <w:t>’</w:t>
      </w:r>
      <w:r w:rsidR="00646413" w:rsidRPr="00C51D17">
        <w:rPr>
          <w:w w:val="100"/>
        </w:rPr>
        <w:t>ester en justice.</w:t>
      </w:r>
    </w:p>
    <w:p w14:paraId="3DB69A9A" w14:textId="51C33F8A" w:rsidR="00646413" w:rsidRPr="00C51D17" w:rsidRDefault="00AD1A6C" w:rsidP="00AD1A6C">
      <w:pPr>
        <w:pStyle w:val="SingleTxt"/>
        <w:rPr>
          <w:b/>
          <w:w w:val="100"/>
        </w:rPr>
      </w:pPr>
      <w:r w:rsidRPr="00C51D17">
        <w:rPr>
          <w:w w:val="100"/>
        </w:rPr>
        <w:tab/>
      </w:r>
      <w:r w:rsidR="00646413" w:rsidRPr="00C51D17">
        <w:rPr>
          <w:w w:val="100"/>
        </w:rPr>
        <w:t>Le réfugié politique peut faire venir au Qatar son conjoint ou les membres au premier degré de sa famille. Les conditions et règles relatives aux avantages et droits précités sont définis par une décision du Conseil des ministres, sur proposition du Ministre compétent.</w:t>
      </w:r>
    </w:p>
    <w:p w14:paraId="2155DE10" w14:textId="3DD1C6C8" w:rsidR="00646413" w:rsidRPr="00C51D17" w:rsidRDefault="00646413" w:rsidP="00AD1A6C">
      <w:pPr>
        <w:pStyle w:val="SingleTxt"/>
        <w:numPr>
          <w:ilvl w:val="0"/>
          <w:numId w:val="72"/>
        </w:numPr>
        <w:spacing w:line="240" w:lineRule="exact"/>
        <w:ind w:left="1267"/>
        <w:rPr>
          <w:w w:val="100"/>
        </w:rPr>
      </w:pPr>
      <w:r w:rsidRPr="00C51D17">
        <w:rPr>
          <w:w w:val="100"/>
        </w:rPr>
        <w:t>En ce qui concerne les soins de santé sexuelle et procréative et les services d</w:t>
      </w:r>
      <w:r w:rsidR="00723345" w:rsidRPr="00C51D17">
        <w:rPr>
          <w:w w:val="100"/>
        </w:rPr>
        <w:t>’</w:t>
      </w:r>
      <w:r w:rsidRPr="00C51D17">
        <w:rPr>
          <w:w w:val="100"/>
        </w:rPr>
        <w:t>avortement en cas de viol, une commission médicale spécialisée a été constituée pour examiner les demandes d</w:t>
      </w:r>
      <w:r w:rsidR="00723345" w:rsidRPr="00C51D17">
        <w:rPr>
          <w:w w:val="100"/>
        </w:rPr>
        <w:t>’</w:t>
      </w:r>
      <w:r w:rsidRPr="00C51D17">
        <w:rPr>
          <w:w w:val="100"/>
        </w:rPr>
        <w:t>avortement pour des raisons de santé.</w:t>
      </w:r>
    </w:p>
    <w:p w14:paraId="7634D6AA" w14:textId="4E53FBB4" w:rsidR="00646413" w:rsidRPr="00C51D17" w:rsidRDefault="00646413" w:rsidP="00AD1A6C">
      <w:pPr>
        <w:pStyle w:val="SingleTxt"/>
        <w:numPr>
          <w:ilvl w:val="0"/>
          <w:numId w:val="72"/>
        </w:numPr>
        <w:spacing w:line="240" w:lineRule="exact"/>
        <w:ind w:left="1267"/>
        <w:rPr>
          <w:w w:val="100"/>
        </w:rPr>
      </w:pPr>
      <w:r w:rsidRPr="00C51D17">
        <w:rPr>
          <w:w w:val="100"/>
        </w:rPr>
        <w:t>S</w:t>
      </w:r>
      <w:r w:rsidR="00723345" w:rsidRPr="00C51D17">
        <w:rPr>
          <w:w w:val="100"/>
        </w:rPr>
        <w:t>’</w:t>
      </w:r>
      <w:r w:rsidRPr="00C51D17">
        <w:rPr>
          <w:w w:val="100"/>
        </w:rPr>
        <w:t>agissant des mesures prises pour modifier la législation régissant l</w:t>
      </w:r>
      <w:r w:rsidR="00723345" w:rsidRPr="00C51D17">
        <w:rPr>
          <w:w w:val="100"/>
        </w:rPr>
        <w:t>’</w:t>
      </w:r>
      <w:r w:rsidRPr="00C51D17">
        <w:rPr>
          <w:w w:val="100"/>
        </w:rPr>
        <w:t>avortement, nous considérons que les dispositions de loi actuelles sont suffisantes pour faire face aux cas d</w:t>
      </w:r>
      <w:r w:rsidR="00723345" w:rsidRPr="00C51D17">
        <w:rPr>
          <w:w w:val="100"/>
        </w:rPr>
        <w:t>’</w:t>
      </w:r>
      <w:r w:rsidRPr="00C51D17">
        <w:rPr>
          <w:w w:val="100"/>
        </w:rPr>
        <w:t>avortement, ceux-ci étant effectués pour des raisons de santé.</w:t>
      </w:r>
    </w:p>
    <w:p w14:paraId="641C2334" w14:textId="26C2673F" w:rsidR="00646413" w:rsidRPr="00C51D17" w:rsidRDefault="00646413" w:rsidP="00AD1A6C">
      <w:pPr>
        <w:pStyle w:val="SingleTxt"/>
        <w:numPr>
          <w:ilvl w:val="0"/>
          <w:numId w:val="72"/>
        </w:numPr>
        <w:spacing w:line="240" w:lineRule="exact"/>
        <w:ind w:left="1267"/>
        <w:rPr>
          <w:w w:val="100"/>
        </w:rPr>
      </w:pPr>
      <w:r w:rsidRPr="00C51D17">
        <w:rPr>
          <w:w w:val="100"/>
        </w:rPr>
        <w:t>Par ailleurs, les autorités étudient actuellement la possibilité d</w:t>
      </w:r>
      <w:r w:rsidR="00723345" w:rsidRPr="00C51D17">
        <w:rPr>
          <w:w w:val="100"/>
        </w:rPr>
        <w:t>’</w:t>
      </w:r>
      <w:r w:rsidRPr="00C51D17">
        <w:rPr>
          <w:w w:val="100"/>
        </w:rPr>
        <w:t>élaborer une politique de dépistage obligatoire du VIH chez les femmes enceintes et les travailleuses domestiques et examinent ses modalités d</w:t>
      </w:r>
      <w:r w:rsidR="00723345" w:rsidRPr="00C51D17">
        <w:rPr>
          <w:w w:val="100"/>
        </w:rPr>
        <w:t>’</w:t>
      </w:r>
      <w:r w:rsidRPr="00C51D17">
        <w:rPr>
          <w:w w:val="100"/>
        </w:rPr>
        <w:t>application dans le contexte de la société, des traditions et des coutumes qatariennes.</w:t>
      </w:r>
    </w:p>
    <w:p w14:paraId="267F6E04" w14:textId="5CC174F3" w:rsidR="00646413" w:rsidRPr="00C51D17" w:rsidRDefault="00646413" w:rsidP="00AD1A6C">
      <w:pPr>
        <w:pStyle w:val="SingleTxt"/>
        <w:numPr>
          <w:ilvl w:val="0"/>
          <w:numId w:val="72"/>
        </w:numPr>
        <w:spacing w:line="240" w:lineRule="exact"/>
        <w:ind w:left="1267"/>
        <w:rPr>
          <w:w w:val="100"/>
        </w:rPr>
      </w:pPr>
      <w:r w:rsidRPr="00C51D17">
        <w:rPr>
          <w:w w:val="100"/>
        </w:rPr>
        <w:t>Par ailleurs, le Ministère de l</w:t>
      </w:r>
      <w:r w:rsidR="00723345" w:rsidRPr="00C51D17">
        <w:rPr>
          <w:w w:val="100"/>
        </w:rPr>
        <w:t>’</w:t>
      </w:r>
      <w:r w:rsidRPr="00C51D17">
        <w:rPr>
          <w:w w:val="100"/>
        </w:rPr>
        <w:t>éducation et de l</w:t>
      </w:r>
      <w:r w:rsidR="00723345" w:rsidRPr="00C51D17">
        <w:rPr>
          <w:w w:val="100"/>
        </w:rPr>
        <w:t>’</w:t>
      </w:r>
      <w:r w:rsidRPr="00C51D17">
        <w:rPr>
          <w:w w:val="100"/>
        </w:rPr>
        <w:t>enseignement supérieur s</w:t>
      </w:r>
      <w:r w:rsidR="00723345" w:rsidRPr="00C51D17">
        <w:rPr>
          <w:w w:val="100"/>
        </w:rPr>
        <w:t>’</w:t>
      </w:r>
      <w:r w:rsidRPr="00C51D17">
        <w:rPr>
          <w:w w:val="100"/>
        </w:rPr>
        <w:t>emploie à sensibiliser les étudiants aux questions liées à la santé sexuelle et procréative. Il a donc établi le cadre général d</w:t>
      </w:r>
      <w:r w:rsidR="00723345" w:rsidRPr="00C51D17">
        <w:rPr>
          <w:w w:val="100"/>
        </w:rPr>
        <w:t>’</w:t>
      </w:r>
      <w:r w:rsidRPr="00C51D17">
        <w:rPr>
          <w:w w:val="100"/>
        </w:rPr>
        <w:t>un programme pédagogique qui favorise les valeurs liées aux relations des individus avec les autres ou avec la société dans son ensemble. Ce programme tient compte des dimensions physiques, mentales, existentielles et spirituelles. Les valeurs privilégiées à cet égard portent sur le respect de la famille et d</w:t>
      </w:r>
      <w:r w:rsidR="00723345" w:rsidRPr="00C51D17">
        <w:rPr>
          <w:w w:val="100"/>
        </w:rPr>
        <w:t>’</w:t>
      </w:r>
      <w:r w:rsidRPr="00C51D17">
        <w:rPr>
          <w:w w:val="100"/>
        </w:rPr>
        <w:t>autrui. Les activités prévues pour les premiers cycles d</w:t>
      </w:r>
      <w:r w:rsidR="00723345" w:rsidRPr="00C51D17">
        <w:rPr>
          <w:w w:val="100"/>
        </w:rPr>
        <w:t>’</w:t>
      </w:r>
      <w:r w:rsidRPr="00C51D17">
        <w:rPr>
          <w:w w:val="100"/>
        </w:rPr>
        <w:t>enseignement portent sur la compréhension des rôles des membres de la famille et des diverses étapes de l</w:t>
      </w:r>
      <w:r w:rsidR="00723345" w:rsidRPr="00C51D17">
        <w:rPr>
          <w:w w:val="100"/>
        </w:rPr>
        <w:t>’</w:t>
      </w:r>
      <w:r w:rsidRPr="00C51D17">
        <w:rPr>
          <w:w w:val="100"/>
        </w:rPr>
        <w:t>existence, ainsi que les évolutions qui marquent chaque étape de la vie. Quant au programme relatif à la culture familiale, il est intimement lié aux autres matières enseignées, notamment les études sociales et l</w:t>
      </w:r>
      <w:r w:rsidR="00723345" w:rsidRPr="00C51D17">
        <w:rPr>
          <w:w w:val="100"/>
        </w:rPr>
        <w:t>’</w:t>
      </w:r>
      <w:r w:rsidRPr="00C51D17">
        <w:rPr>
          <w:w w:val="100"/>
        </w:rPr>
        <w:t>éducation centrée sur les valeurs. Il vise à préparer les étudiants à devenir des membres actifs de la société et des personnes accomplies, à promouvoir et encourager les comportements positifs, pour eux-mêmes, avec leur famille et avec autrui. Le programme comporte sept volets dont la sexualité et l</w:t>
      </w:r>
      <w:r w:rsidR="00723345" w:rsidRPr="00C51D17">
        <w:rPr>
          <w:w w:val="100"/>
        </w:rPr>
        <w:t>’</w:t>
      </w:r>
      <w:r w:rsidRPr="00C51D17">
        <w:rPr>
          <w:w w:val="100"/>
        </w:rPr>
        <w:t>activité sexuelle. L</w:t>
      </w:r>
      <w:r w:rsidR="00723345" w:rsidRPr="00C51D17">
        <w:rPr>
          <w:w w:val="100"/>
        </w:rPr>
        <w:t>’</w:t>
      </w:r>
      <w:r w:rsidRPr="00C51D17">
        <w:rPr>
          <w:w w:val="100"/>
        </w:rPr>
        <w:t>éducation sexuelle est présentée dans un cadre clair s</w:t>
      </w:r>
      <w:r w:rsidR="00723345" w:rsidRPr="00C51D17">
        <w:rPr>
          <w:w w:val="100"/>
        </w:rPr>
        <w:t>’</w:t>
      </w:r>
      <w:r w:rsidRPr="00C51D17">
        <w:rPr>
          <w:w w:val="100"/>
        </w:rPr>
        <w:t>appuyant sur les valeurs islamiques, l</w:t>
      </w:r>
      <w:r w:rsidR="00723345" w:rsidRPr="00C51D17">
        <w:rPr>
          <w:w w:val="100"/>
        </w:rPr>
        <w:t>’</w:t>
      </w:r>
      <w:r w:rsidRPr="00C51D17">
        <w:rPr>
          <w:w w:val="100"/>
        </w:rPr>
        <w:t>accent étant mis sur l</w:t>
      </w:r>
      <w:r w:rsidR="00723345" w:rsidRPr="00C51D17">
        <w:rPr>
          <w:w w:val="100"/>
        </w:rPr>
        <w:t>’</w:t>
      </w:r>
      <w:r w:rsidRPr="00C51D17">
        <w:rPr>
          <w:w w:val="100"/>
        </w:rPr>
        <w:t>importance de la connaissance des lois s</w:t>
      </w:r>
      <w:r w:rsidR="00723345" w:rsidRPr="00C51D17">
        <w:rPr>
          <w:w w:val="100"/>
        </w:rPr>
        <w:t>’</w:t>
      </w:r>
      <w:r w:rsidRPr="00C51D17">
        <w:rPr>
          <w:w w:val="100"/>
        </w:rPr>
        <w:t>appliquant aux comportements sexuels et aux modèles de la vie familiale tels que le mariage et la paternité ou la maternité. Les étudiants reçoivent un enseignement sur la croissance et le développement humains, la reproduction et les maladies sexuellement transmissibles, notamment le VIH/sida, ainsi que sur l</w:t>
      </w:r>
      <w:r w:rsidR="00723345" w:rsidRPr="00C51D17">
        <w:rPr>
          <w:w w:val="100"/>
        </w:rPr>
        <w:t>’</w:t>
      </w:r>
      <w:r w:rsidRPr="00C51D17">
        <w:rPr>
          <w:w w:val="100"/>
        </w:rPr>
        <w:t>exercice de leurs responsabilités face à leurs actions et comportements, leur sécurité et celle des autres. Les concepts de santé sexuelle sont également enseignés à partir de la sixième année dans le cadre des études islamiques et scientifiques. Les organes compétents de l</w:t>
      </w:r>
      <w:r w:rsidR="00723345" w:rsidRPr="00C51D17">
        <w:rPr>
          <w:w w:val="100"/>
        </w:rPr>
        <w:t>’</w:t>
      </w:r>
      <w:r w:rsidRPr="00C51D17">
        <w:rPr>
          <w:w w:val="100"/>
        </w:rPr>
        <w:t>État contribuent à cet effort en traitant ces questions lors de conférences de sensibilisation destinées aux étudiants.</w:t>
      </w:r>
    </w:p>
    <w:p w14:paraId="1BBBF8CD" w14:textId="15449350" w:rsidR="000674AB" w:rsidRPr="00C51D17" w:rsidRDefault="000674AB" w:rsidP="000674AB">
      <w:pPr>
        <w:pStyle w:val="SingleTxt"/>
        <w:spacing w:after="0" w:line="120" w:lineRule="exact"/>
        <w:rPr>
          <w:w w:val="100"/>
          <w:sz w:val="10"/>
        </w:rPr>
      </w:pPr>
    </w:p>
    <w:p w14:paraId="01AC470E" w14:textId="1D075ABC" w:rsidR="00646413" w:rsidRPr="00C51D17" w:rsidRDefault="000674AB" w:rsidP="000674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Travailleuses domestiques migrantes</w:t>
      </w:r>
    </w:p>
    <w:p w14:paraId="3E309D16" w14:textId="6A073712" w:rsidR="000674AB" w:rsidRPr="00C51D17" w:rsidRDefault="000674AB" w:rsidP="000674AB">
      <w:pPr>
        <w:pStyle w:val="SingleTxt"/>
        <w:spacing w:after="0" w:line="120" w:lineRule="exact"/>
        <w:rPr>
          <w:sz w:val="10"/>
        </w:rPr>
      </w:pPr>
    </w:p>
    <w:p w14:paraId="492E8F05" w14:textId="756634C8" w:rsidR="00646413" w:rsidRPr="00C51D17" w:rsidRDefault="00646413" w:rsidP="000674AB">
      <w:pPr>
        <w:pStyle w:val="SingleTxt"/>
        <w:numPr>
          <w:ilvl w:val="0"/>
          <w:numId w:val="72"/>
        </w:numPr>
        <w:spacing w:line="240" w:lineRule="exact"/>
        <w:ind w:left="1267"/>
        <w:rPr>
          <w:w w:val="100"/>
        </w:rPr>
      </w:pPr>
      <w:r w:rsidRPr="00C51D17">
        <w:rPr>
          <w:w w:val="100"/>
        </w:rPr>
        <w:t>La loi n</w:t>
      </w:r>
      <w:r w:rsidRPr="00C51D17">
        <w:rPr>
          <w:w w:val="100"/>
          <w:vertAlign w:val="superscript"/>
        </w:rPr>
        <w:t>o</w:t>
      </w:r>
      <w:r w:rsidR="00F42911" w:rsidRPr="00C51D17">
        <w:rPr>
          <w:w w:val="100"/>
        </w:rPr>
        <w:t> </w:t>
      </w:r>
      <w:r w:rsidRPr="00C51D17">
        <w:rPr>
          <w:w w:val="100"/>
        </w:rPr>
        <w:t>15 de 2017 relative aux travailleuses domestiques a été adoptée à la suite de l</w:t>
      </w:r>
      <w:r w:rsidR="00723345" w:rsidRPr="00C51D17">
        <w:rPr>
          <w:w w:val="100"/>
        </w:rPr>
        <w:t>’</w:t>
      </w:r>
      <w:r w:rsidRPr="00C51D17">
        <w:rPr>
          <w:w w:val="100"/>
        </w:rPr>
        <w:t>engagement que l</w:t>
      </w:r>
      <w:r w:rsidR="00723345" w:rsidRPr="00C51D17">
        <w:rPr>
          <w:w w:val="100"/>
        </w:rPr>
        <w:t>’</w:t>
      </w:r>
      <w:r w:rsidRPr="00C51D17">
        <w:rPr>
          <w:w w:val="100"/>
        </w:rPr>
        <w:t>État a pris de veiller à ce que toutes les catégories, dont les travailleuses domestiques, bénéficient de la protection de la loi sans discrimination. Cette loi assure la protection légale de ces travailleuses et régit leurs relations avec les employeurs. Ses dispositions sont conformes à la Convention n</w:t>
      </w:r>
      <w:r w:rsidRPr="00C51D17">
        <w:rPr>
          <w:w w:val="100"/>
          <w:vertAlign w:val="superscript"/>
        </w:rPr>
        <w:t>o</w:t>
      </w:r>
      <w:r w:rsidR="004B4592" w:rsidRPr="00C51D17">
        <w:rPr>
          <w:w w:val="100"/>
        </w:rPr>
        <w:t> </w:t>
      </w:r>
      <w:r w:rsidRPr="00C51D17">
        <w:rPr>
          <w:w w:val="100"/>
        </w:rPr>
        <w:t>189 de l</w:t>
      </w:r>
      <w:r w:rsidR="00723345" w:rsidRPr="00C51D17">
        <w:rPr>
          <w:w w:val="100"/>
        </w:rPr>
        <w:t>’</w:t>
      </w:r>
      <w:r w:rsidRPr="00C51D17">
        <w:rPr>
          <w:w w:val="100"/>
        </w:rPr>
        <w:t>Organisation internationale du travail concernant le travail décent pour les travailleuses et travailleurs domestiques. En outre, elles interdisent</w:t>
      </w:r>
      <w:r w:rsidR="0012596A" w:rsidRPr="00C51D17">
        <w:rPr>
          <w:w w:val="100"/>
        </w:rPr>
        <w:t xml:space="preserve"> </w:t>
      </w:r>
      <w:r w:rsidRPr="00C51D17">
        <w:rPr>
          <w:w w:val="100"/>
        </w:rPr>
        <w:t>l</w:t>
      </w:r>
      <w:r w:rsidR="00723345" w:rsidRPr="00C51D17">
        <w:rPr>
          <w:w w:val="100"/>
        </w:rPr>
        <w:t>’</w:t>
      </w:r>
      <w:r w:rsidRPr="00C51D17">
        <w:rPr>
          <w:w w:val="100"/>
        </w:rPr>
        <w:t>emploi de travailleurs domestiques des deux sexes tant qu</w:t>
      </w:r>
      <w:r w:rsidR="00723345" w:rsidRPr="00C51D17">
        <w:rPr>
          <w:w w:val="100"/>
        </w:rPr>
        <w:t>’</w:t>
      </w:r>
      <w:r w:rsidRPr="00C51D17">
        <w:rPr>
          <w:w w:val="100"/>
        </w:rPr>
        <w:t>ils n</w:t>
      </w:r>
      <w:r w:rsidR="00723345" w:rsidRPr="00C51D17">
        <w:rPr>
          <w:w w:val="100"/>
        </w:rPr>
        <w:t>’</w:t>
      </w:r>
      <w:r w:rsidRPr="00C51D17">
        <w:rPr>
          <w:w w:val="100"/>
        </w:rPr>
        <w:t>ont pas obtenu de permis de travail dans le pays ou s</w:t>
      </w:r>
      <w:r w:rsidR="00723345" w:rsidRPr="00C51D17">
        <w:rPr>
          <w:w w:val="100"/>
        </w:rPr>
        <w:t>’</w:t>
      </w:r>
      <w:r w:rsidRPr="00C51D17">
        <w:rPr>
          <w:w w:val="100"/>
        </w:rPr>
        <w:t>ils sont âgés de moins de 21 ans ou de plus de 60 ans.</w:t>
      </w:r>
    </w:p>
    <w:p w14:paraId="1A318FBC" w14:textId="6D03C82D" w:rsidR="00646413" w:rsidRPr="00C51D17" w:rsidRDefault="00646413" w:rsidP="000674AB">
      <w:pPr>
        <w:pStyle w:val="SingleTxt"/>
        <w:numPr>
          <w:ilvl w:val="0"/>
          <w:numId w:val="72"/>
        </w:numPr>
        <w:spacing w:line="240" w:lineRule="exact"/>
        <w:ind w:left="1267"/>
        <w:rPr>
          <w:w w:val="100"/>
        </w:rPr>
      </w:pPr>
      <w:r w:rsidRPr="00C51D17">
        <w:rPr>
          <w:w w:val="100"/>
        </w:rPr>
        <w:t>Les travailleurs domestiques commencent à être employés et rémunérés pendant une période probatoire dont la durée et les conditions sont fixés par arrêté du ministre compétent. Un arrêté du Ministre du développement administratif, du travail et des affaires sociales a fixé la durée de la période probatoire et les conditions d</w:t>
      </w:r>
      <w:r w:rsidR="00723345" w:rsidRPr="00C51D17">
        <w:rPr>
          <w:w w:val="100"/>
        </w:rPr>
        <w:t>’</w:t>
      </w:r>
      <w:r w:rsidRPr="00C51D17">
        <w:rPr>
          <w:w w:val="100"/>
        </w:rPr>
        <w:t>emploi applicables pendant cette période.</w:t>
      </w:r>
    </w:p>
    <w:p w14:paraId="2FC786FA" w14:textId="77777777" w:rsidR="000674AB" w:rsidRPr="00C51D17" w:rsidRDefault="000674AB" w:rsidP="000674AB">
      <w:pPr>
        <w:pStyle w:val="SingleTxt"/>
        <w:spacing w:after="0" w:line="120" w:lineRule="exact"/>
        <w:rPr>
          <w:w w:val="100"/>
          <w:sz w:val="10"/>
        </w:rPr>
      </w:pPr>
    </w:p>
    <w:p w14:paraId="7A63CC67" w14:textId="4F48E97E" w:rsidR="00646413" w:rsidRPr="00C51D17" w:rsidRDefault="000674AB" w:rsidP="000674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 xml:space="preserve">Attachement à un emploi décent pour les travailleurs domestiques </w:t>
      </w:r>
    </w:p>
    <w:p w14:paraId="3B3271FF" w14:textId="194C1AB5" w:rsidR="000674AB" w:rsidRPr="00C51D17" w:rsidRDefault="000674AB" w:rsidP="000674AB">
      <w:pPr>
        <w:pStyle w:val="SingleTxt"/>
        <w:spacing w:after="0" w:line="120" w:lineRule="exact"/>
        <w:rPr>
          <w:sz w:val="10"/>
        </w:rPr>
      </w:pPr>
    </w:p>
    <w:p w14:paraId="61A57298" w14:textId="782817BA" w:rsidR="00646413" w:rsidRPr="00C51D17" w:rsidRDefault="00646413" w:rsidP="000674AB">
      <w:pPr>
        <w:pStyle w:val="SingleTxt"/>
        <w:numPr>
          <w:ilvl w:val="0"/>
          <w:numId w:val="72"/>
        </w:numPr>
        <w:spacing w:line="240" w:lineRule="exact"/>
        <w:ind w:left="1267"/>
        <w:rPr>
          <w:w w:val="100"/>
        </w:rPr>
      </w:pPr>
      <w:r w:rsidRPr="00C51D17">
        <w:rPr>
          <w:w w:val="100"/>
        </w:rPr>
        <w:t>Le législateur fait obligation aux employeurs et aux personnes qui résident avec lui d</w:t>
      </w:r>
      <w:r w:rsidR="00723345" w:rsidRPr="00C51D17">
        <w:rPr>
          <w:w w:val="100"/>
        </w:rPr>
        <w:t>’</w:t>
      </w:r>
      <w:r w:rsidRPr="00C51D17">
        <w:rPr>
          <w:w w:val="100"/>
        </w:rPr>
        <w:t>héberger et de nourrir convenablement les travailleurs domestiques. Il les oblige également à leur assurer des soins de santé, des médicaments et un accès aux équipements médicaux en cas de maladie ou de blessure pendant l</w:t>
      </w:r>
      <w:r w:rsidR="00723345" w:rsidRPr="00C51D17">
        <w:rPr>
          <w:w w:val="100"/>
        </w:rPr>
        <w:t>’</w:t>
      </w:r>
      <w:r w:rsidRPr="00C51D17">
        <w:rPr>
          <w:w w:val="100"/>
        </w:rPr>
        <w:t>exercice de leurs activités ou du fait de celles-ci, sans leur imposer la moindre charge financière. Ils sont en outre tenus de bien traiter les travailleurs domestiques, de façon compatible avec la préservation de leur dignité humaine et leur bien-être physique. Ils ne doivent en aucune manière mettre leur vie en danger, ni physiquement ni psychologiquement. Ils ne peuvent pas non plus les faire travailler pendant leurs congés de maladie, leurs pauses quotidiennes ou leur congé de fin de semaine.</w:t>
      </w:r>
    </w:p>
    <w:p w14:paraId="536DD8AA" w14:textId="77777777" w:rsidR="00BA5C9F" w:rsidRPr="00C51D17" w:rsidRDefault="00BA5C9F" w:rsidP="00BA5C9F">
      <w:pPr>
        <w:pStyle w:val="SingleTxt"/>
        <w:spacing w:after="0" w:line="120" w:lineRule="exact"/>
        <w:rPr>
          <w:w w:val="100"/>
          <w:sz w:val="10"/>
        </w:rPr>
      </w:pPr>
    </w:p>
    <w:p w14:paraId="232A0FB5" w14:textId="70DC9128" w:rsidR="00646413" w:rsidRPr="00C51D17" w:rsidRDefault="00BA5C9F" w:rsidP="00BA5C9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rPr>
      </w:pPr>
      <w:r w:rsidRPr="00C51D17">
        <w:rPr>
          <w:w w:val="100"/>
        </w:rPr>
        <w:tab/>
      </w:r>
      <w:r w:rsidRPr="00C51D17">
        <w:rPr>
          <w:w w:val="100"/>
        </w:rPr>
        <w:tab/>
      </w:r>
      <w:r w:rsidR="00646413" w:rsidRPr="00C51D17">
        <w:rPr>
          <w:w w:val="100"/>
        </w:rPr>
        <w:t>Indemnité de cessation de service</w:t>
      </w:r>
    </w:p>
    <w:p w14:paraId="58B99375" w14:textId="625AC6F2" w:rsidR="00BA5C9F" w:rsidRPr="00C51D17" w:rsidRDefault="00BA5C9F" w:rsidP="00BA5C9F">
      <w:pPr>
        <w:spacing w:line="120" w:lineRule="exact"/>
        <w:rPr>
          <w:sz w:val="10"/>
        </w:rPr>
      </w:pPr>
    </w:p>
    <w:p w14:paraId="1FA9481B" w14:textId="2402AAB6" w:rsidR="00646413" w:rsidRPr="00C51D17" w:rsidRDefault="00646413" w:rsidP="00BA5C9F">
      <w:pPr>
        <w:pStyle w:val="SingleTxt"/>
        <w:numPr>
          <w:ilvl w:val="0"/>
          <w:numId w:val="72"/>
        </w:numPr>
        <w:spacing w:line="240" w:lineRule="exact"/>
        <w:ind w:left="1267"/>
        <w:rPr>
          <w:w w:val="100"/>
        </w:rPr>
      </w:pPr>
      <w:r w:rsidRPr="00C51D17">
        <w:rPr>
          <w:w w:val="100"/>
        </w:rPr>
        <w:t>La loi prévoit que les employeurs accordent un congé payé de trois semaines et paient les titres de voyage pour chaque année de service, conformément au calendrier grégorien. Le législateur fait également obligation à l</w:t>
      </w:r>
      <w:r w:rsidR="00723345" w:rsidRPr="00C51D17">
        <w:rPr>
          <w:w w:val="100"/>
        </w:rPr>
        <w:t>’</w:t>
      </w:r>
      <w:r w:rsidRPr="00C51D17">
        <w:rPr>
          <w:w w:val="100"/>
        </w:rPr>
        <w:t>employeur de verser une indemnité de cessation de service aux travailleurs domestiques qui quittent leur emploi, ainsi que tous les autres montants qui leur sont dus. L</w:t>
      </w:r>
      <w:r w:rsidR="00723345" w:rsidRPr="00C51D17">
        <w:rPr>
          <w:w w:val="100"/>
        </w:rPr>
        <w:t>’</w:t>
      </w:r>
      <w:r w:rsidRPr="00C51D17">
        <w:rPr>
          <w:w w:val="100"/>
        </w:rPr>
        <w:t>indemnité de cessation de service est égale à trois semaines de salaire pour chaque année de service.</w:t>
      </w:r>
    </w:p>
    <w:p w14:paraId="433D2B45" w14:textId="1CB1BD07" w:rsidR="00475339" w:rsidRPr="00C51D17" w:rsidRDefault="00475339" w:rsidP="00475339">
      <w:pPr>
        <w:pStyle w:val="SingleTxt"/>
        <w:spacing w:after="0" w:line="120" w:lineRule="exact"/>
        <w:rPr>
          <w:w w:val="100"/>
          <w:sz w:val="10"/>
        </w:rPr>
      </w:pPr>
    </w:p>
    <w:p w14:paraId="3C3FF3DF" w14:textId="75ADF25C" w:rsidR="00646413" w:rsidRPr="00C51D17" w:rsidRDefault="00475339" w:rsidP="0047533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rPr>
      </w:pPr>
      <w:r w:rsidRPr="00C51D17">
        <w:rPr>
          <w:w w:val="100"/>
        </w:rPr>
        <w:tab/>
      </w:r>
      <w:r w:rsidRPr="00C51D17">
        <w:rPr>
          <w:w w:val="100"/>
        </w:rPr>
        <w:tab/>
      </w:r>
      <w:r w:rsidR="00646413" w:rsidRPr="00C51D17">
        <w:rPr>
          <w:w w:val="100"/>
        </w:rPr>
        <w:t xml:space="preserve">Résiliation du contrat par le travailleur domestique </w:t>
      </w:r>
    </w:p>
    <w:p w14:paraId="2D37AEFB" w14:textId="4C409AE4" w:rsidR="00475339" w:rsidRPr="00C51D17" w:rsidRDefault="00475339" w:rsidP="00475339">
      <w:pPr>
        <w:pStyle w:val="SingleTxt"/>
        <w:spacing w:after="0" w:line="120" w:lineRule="exact"/>
        <w:rPr>
          <w:sz w:val="10"/>
        </w:rPr>
      </w:pPr>
    </w:p>
    <w:p w14:paraId="7C7B9776" w14:textId="7C271D27" w:rsidR="00646413" w:rsidRPr="00C51D17" w:rsidRDefault="00646413" w:rsidP="00475339">
      <w:pPr>
        <w:pStyle w:val="SingleTxt"/>
        <w:numPr>
          <w:ilvl w:val="0"/>
          <w:numId w:val="72"/>
        </w:numPr>
        <w:spacing w:line="240" w:lineRule="exact"/>
        <w:ind w:left="1267"/>
        <w:rPr>
          <w:w w:val="100"/>
        </w:rPr>
      </w:pPr>
      <w:r w:rsidRPr="00C51D17">
        <w:rPr>
          <w:w w:val="100"/>
        </w:rPr>
        <w:t>La loi permet aux travailleurs domestiques de résilier leur contrat d</w:t>
      </w:r>
      <w:r w:rsidR="00723345" w:rsidRPr="00C51D17">
        <w:rPr>
          <w:w w:val="100"/>
        </w:rPr>
        <w:t>’</w:t>
      </w:r>
      <w:r w:rsidRPr="00C51D17">
        <w:rPr>
          <w:w w:val="100"/>
        </w:rPr>
        <w:t>emploi avant terme tout en conservant leurs droits à l</w:t>
      </w:r>
      <w:r w:rsidR="00723345" w:rsidRPr="00C51D17">
        <w:rPr>
          <w:w w:val="100"/>
        </w:rPr>
        <w:t>’</w:t>
      </w:r>
      <w:r w:rsidRPr="00C51D17">
        <w:rPr>
          <w:w w:val="100"/>
        </w:rPr>
        <w:t>indemnité de cessation de service dans les cas ci-après:</w:t>
      </w:r>
    </w:p>
    <w:p w14:paraId="2C6E87D3" w14:textId="1DD8716C" w:rsidR="00646413" w:rsidRPr="00C51D17" w:rsidRDefault="00475339" w:rsidP="00475339">
      <w:pPr>
        <w:pStyle w:val="SingleTxt"/>
        <w:tabs>
          <w:tab w:val="right" w:pos="1685"/>
        </w:tabs>
        <w:ind w:left="1742" w:hanging="475"/>
        <w:rPr>
          <w:w w:val="100"/>
        </w:rPr>
      </w:pPr>
      <w:r w:rsidRPr="00C51D17">
        <w:rPr>
          <w:w w:val="100"/>
        </w:rPr>
        <w:tab/>
        <w:t>•</w:t>
      </w:r>
      <w:r w:rsidRPr="00C51D17">
        <w:rPr>
          <w:w w:val="100"/>
        </w:rPr>
        <w:tab/>
      </w:r>
      <w:r w:rsidR="00646413" w:rsidRPr="00C51D17">
        <w:rPr>
          <w:w w:val="100"/>
        </w:rPr>
        <w:t>Si l</w:t>
      </w:r>
      <w:r w:rsidR="00723345" w:rsidRPr="00C51D17">
        <w:rPr>
          <w:w w:val="100"/>
        </w:rPr>
        <w:t>’</w:t>
      </w:r>
      <w:r w:rsidR="00646413" w:rsidRPr="00C51D17">
        <w:rPr>
          <w:w w:val="100"/>
        </w:rPr>
        <w:t>employeur ne respecte pas ses obligations, telles qu</w:t>
      </w:r>
      <w:r w:rsidR="00723345" w:rsidRPr="00C51D17">
        <w:rPr>
          <w:w w:val="100"/>
        </w:rPr>
        <w:t>’</w:t>
      </w:r>
      <w:r w:rsidR="00646413" w:rsidRPr="00C51D17">
        <w:rPr>
          <w:w w:val="100"/>
        </w:rPr>
        <w:t>énoncées dans le contrat de travail ou dans la loi</w:t>
      </w:r>
      <w:r w:rsidR="0012596A" w:rsidRPr="00C51D17">
        <w:rPr>
          <w:w w:val="100"/>
        </w:rPr>
        <w:t> ;</w:t>
      </w:r>
    </w:p>
    <w:p w14:paraId="275D6A2B" w14:textId="636F897E" w:rsidR="00646413" w:rsidRPr="00C51D17" w:rsidRDefault="00475339" w:rsidP="00475339">
      <w:pPr>
        <w:pStyle w:val="SingleTxt"/>
        <w:tabs>
          <w:tab w:val="right" w:pos="1685"/>
        </w:tabs>
        <w:ind w:left="1742" w:hanging="475"/>
        <w:rPr>
          <w:w w:val="100"/>
        </w:rPr>
      </w:pPr>
      <w:r w:rsidRPr="00C51D17">
        <w:rPr>
          <w:w w:val="100"/>
        </w:rPr>
        <w:tab/>
        <w:t>•</w:t>
      </w:r>
      <w:r w:rsidRPr="00C51D17">
        <w:rPr>
          <w:w w:val="100"/>
        </w:rPr>
        <w:tab/>
      </w:r>
      <w:r w:rsidR="00646413" w:rsidRPr="00C51D17">
        <w:rPr>
          <w:w w:val="100"/>
        </w:rPr>
        <w:t>Si l</w:t>
      </w:r>
      <w:r w:rsidR="00723345" w:rsidRPr="00C51D17">
        <w:rPr>
          <w:w w:val="100"/>
        </w:rPr>
        <w:t>’</w:t>
      </w:r>
      <w:r w:rsidR="00646413" w:rsidRPr="00C51D17">
        <w:rPr>
          <w:w w:val="100"/>
        </w:rPr>
        <w:t>employeur ou son représentant ne respecte pas les conditions d</w:t>
      </w:r>
      <w:r w:rsidR="00723345" w:rsidRPr="00C51D17">
        <w:rPr>
          <w:w w:val="100"/>
        </w:rPr>
        <w:t>’</w:t>
      </w:r>
      <w:r w:rsidR="00646413" w:rsidRPr="00C51D17">
        <w:rPr>
          <w:w w:val="100"/>
        </w:rPr>
        <w:t>emploi</w:t>
      </w:r>
      <w:r w:rsidR="0012596A" w:rsidRPr="00C51D17">
        <w:rPr>
          <w:w w:val="100"/>
        </w:rPr>
        <w:t> ;</w:t>
      </w:r>
    </w:p>
    <w:p w14:paraId="45BEB628" w14:textId="4D16795A" w:rsidR="00646413" w:rsidRPr="00C51D17" w:rsidRDefault="00475339" w:rsidP="00475339">
      <w:pPr>
        <w:pStyle w:val="SingleTxt"/>
        <w:tabs>
          <w:tab w:val="right" w:pos="1685"/>
        </w:tabs>
        <w:ind w:left="1742" w:hanging="475"/>
        <w:rPr>
          <w:w w:val="100"/>
        </w:rPr>
      </w:pPr>
      <w:r w:rsidRPr="00C51D17">
        <w:rPr>
          <w:w w:val="100"/>
        </w:rPr>
        <w:tab/>
        <w:t>•</w:t>
      </w:r>
      <w:r w:rsidRPr="00C51D17">
        <w:rPr>
          <w:w w:val="100"/>
        </w:rPr>
        <w:tab/>
      </w:r>
      <w:r w:rsidR="00646413" w:rsidRPr="00C51D17">
        <w:rPr>
          <w:w w:val="100"/>
        </w:rPr>
        <w:t>Si l</w:t>
      </w:r>
      <w:r w:rsidR="00723345" w:rsidRPr="00C51D17">
        <w:rPr>
          <w:w w:val="100"/>
        </w:rPr>
        <w:t>’</w:t>
      </w:r>
      <w:r w:rsidR="00646413" w:rsidRPr="00C51D17">
        <w:rPr>
          <w:w w:val="100"/>
        </w:rPr>
        <w:t>employeur ou un membre de sa famille agresse un travailleur domestique et lui inflige des dommages physiques ou met sa vie en danger</w:t>
      </w:r>
      <w:r w:rsidR="0012596A" w:rsidRPr="00C51D17">
        <w:rPr>
          <w:w w:val="100"/>
        </w:rPr>
        <w:t> ;</w:t>
      </w:r>
    </w:p>
    <w:p w14:paraId="2D48381D" w14:textId="4938D0D8" w:rsidR="00475339" w:rsidRPr="00C51D17" w:rsidRDefault="00475339" w:rsidP="00475339">
      <w:pPr>
        <w:pStyle w:val="SingleTxt"/>
        <w:tabs>
          <w:tab w:val="right" w:pos="1685"/>
        </w:tabs>
        <w:ind w:left="1742" w:hanging="475"/>
        <w:rPr>
          <w:w w:val="100"/>
        </w:rPr>
      </w:pPr>
      <w:r w:rsidRPr="00C51D17">
        <w:rPr>
          <w:w w:val="100"/>
        </w:rPr>
        <w:tab/>
        <w:t>•</w:t>
      </w:r>
      <w:r w:rsidRPr="00C51D17">
        <w:rPr>
          <w:w w:val="100"/>
        </w:rPr>
        <w:tab/>
      </w:r>
      <w:r w:rsidR="00646413" w:rsidRPr="00C51D17">
        <w:rPr>
          <w:w w:val="100"/>
        </w:rPr>
        <w:t>Si l</w:t>
      </w:r>
      <w:r w:rsidR="00723345" w:rsidRPr="00C51D17">
        <w:rPr>
          <w:w w:val="100"/>
        </w:rPr>
        <w:t>’</w:t>
      </w:r>
      <w:r w:rsidR="00646413" w:rsidRPr="00C51D17">
        <w:rPr>
          <w:w w:val="100"/>
        </w:rPr>
        <w:t>employeur ou une personne résidant avec lui est conscient de l</w:t>
      </w:r>
      <w:r w:rsidR="00723345" w:rsidRPr="00C51D17">
        <w:rPr>
          <w:w w:val="100"/>
        </w:rPr>
        <w:t>’</w:t>
      </w:r>
      <w:r w:rsidR="00646413" w:rsidRPr="00C51D17">
        <w:rPr>
          <w:w w:val="100"/>
        </w:rPr>
        <w:t>existence d</w:t>
      </w:r>
      <w:r w:rsidR="00723345" w:rsidRPr="00C51D17">
        <w:rPr>
          <w:w w:val="100"/>
        </w:rPr>
        <w:t>’</w:t>
      </w:r>
      <w:r w:rsidR="00646413" w:rsidRPr="00C51D17">
        <w:rPr>
          <w:w w:val="100"/>
        </w:rPr>
        <w:t>un grave danger menaçant la sécurité ou la santé du travailleur et s</w:t>
      </w:r>
      <w:r w:rsidR="00723345" w:rsidRPr="00C51D17">
        <w:rPr>
          <w:w w:val="100"/>
        </w:rPr>
        <w:t>’</w:t>
      </w:r>
      <w:r w:rsidR="00646413" w:rsidRPr="00C51D17">
        <w:rPr>
          <w:w w:val="100"/>
        </w:rPr>
        <w:t>abstient d</w:t>
      </w:r>
      <w:r w:rsidR="00723345" w:rsidRPr="00C51D17">
        <w:rPr>
          <w:w w:val="100"/>
        </w:rPr>
        <w:t>’</w:t>
      </w:r>
      <w:r w:rsidR="00646413" w:rsidRPr="00C51D17">
        <w:rPr>
          <w:w w:val="100"/>
        </w:rPr>
        <w:t>agir pour éliminer ce danger.</w:t>
      </w:r>
    </w:p>
    <w:p w14:paraId="156B9D8C" w14:textId="5C87B024" w:rsidR="00475339" w:rsidRPr="00C51D17" w:rsidRDefault="00475339" w:rsidP="00475339">
      <w:pPr>
        <w:pStyle w:val="SingleTxt"/>
        <w:tabs>
          <w:tab w:val="right" w:pos="1685"/>
        </w:tabs>
        <w:spacing w:after="0" w:line="120" w:lineRule="exact"/>
        <w:ind w:left="1742" w:hanging="475"/>
        <w:rPr>
          <w:w w:val="100"/>
          <w:sz w:val="10"/>
        </w:rPr>
      </w:pPr>
    </w:p>
    <w:p w14:paraId="17D35887" w14:textId="6F53D27C" w:rsidR="00646413" w:rsidRPr="00C51D17" w:rsidRDefault="00475339" w:rsidP="0047533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rPr>
      </w:pPr>
      <w:r w:rsidRPr="00C51D17">
        <w:rPr>
          <w:w w:val="100"/>
        </w:rPr>
        <w:tab/>
      </w:r>
      <w:r w:rsidRPr="00C51D17">
        <w:rPr>
          <w:w w:val="100"/>
        </w:rPr>
        <w:tab/>
      </w:r>
      <w:r w:rsidR="00646413" w:rsidRPr="00C51D17">
        <w:rPr>
          <w:w w:val="100"/>
        </w:rPr>
        <w:t>Règlement des conflits</w:t>
      </w:r>
    </w:p>
    <w:p w14:paraId="7DBEC09A" w14:textId="17E7E46C" w:rsidR="00475339" w:rsidRPr="00C51D17" w:rsidRDefault="00475339" w:rsidP="00BB07FC">
      <w:pPr>
        <w:pStyle w:val="SingleTxt"/>
        <w:spacing w:after="0" w:line="120" w:lineRule="exact"/>
        <w:rPr>
          <w:sz w:val="10"/>
        </w:rPr>
      </w:pPr>
    </w:p>
    <w:p w14:paraId="21F7FFD9" w14:textId="01E39D32" w:rsidR="00646413" w:rsidRPr="00C51D17" w:rsidRDefault="00646413" w:rsidP="00475339">
      <w:pPr>
        <w:pStyle w:val="SingleTxt"/>
        <w:numPr>
          <w:ilvl w:val="0"/>
          <w:numId w:val="72"/>
        </w:numPr>
        <w:spacing w:line="240" w:lineRule="exact"/>
        <w:ind w:left="1267"/>
        <w:rPr>
          <w:w w:val="100"/>
        </w:rPr>
      </w:pPr>
      <w:r w:rsidRPr="00C51D17">
        <w:rPr>
          <w:w w:val="100"/>
        </w:rPr>
        <w:t>Les conflits qui apparaissent entre employeurs et travailleurs domestiques concernant l</w:t>
      </w:r>
      <w:r w:rsidR="00723345" w:rsidRPr="00C51D17">
        <w:rPr>
          <w:w w:val="100"/>
        </w:rPr>
        <w:t>’</w:t>
      </w:r>
      <w:r w:rsidRPr="00C51D17">
        <w:rPr>
          <w:w w:val="100"/>
        </w:rPr>
        <w:t>application des dispositions de la loi sont régis par le Code du travail (loi n</w:t>
      </w:r>
      <w:r w:rsidRPr="00C51D17">
        <w:rPr>
          <w:w w:val="100"/>
          <w:vertAlign w:val="superscript"/>
        </w:rPr>
        <w:t>o</w:t>
      </w:r>
      <w:r w:rsidR="009138DC" w:rsidRPr="00C51D17">
        <w:rPr>
          <w:w w:val="100"/>
        </w:rPr>
        <w:t> </w:t>
      </w:r>
      <w:r w:rsidRPr="00C51D17">
        <w:rPr>
          <w:w w:val="100"/>
        </w:rPr>
        <w:t>14 de 2014) amendé, plus précisément au chapitre des conflits du travail relatif au recours aux comités de règlement des conflits du travail. La loi dispose également que les travailleurs domestiques bénéficient, conformément au Code du travail, d</w:t>
      </w:r>
      <w:r w:rsidR="00723345" w:rsidRPr="00C51D17">
        <w:rPr>
          <w:w w:val="100"/>
        </w:rPr>
        <w:t>’</w:t>
      </w:r>
      <w:r w:rsidRPr="00C51D17">
        <w:rPr>
          <w:w w:val="100"/>
        </w:rPr>
        <w:t>indemnités en cas de blessure survenue dans l</w:t>
      </w:r>
      <w:r w:rsidR="00723345" w:rsidRPr="00C51D17">
        <w:rPr>
          <w:w w:val="100"/>
        </w:rPr>
        <w:t>’</w:t>
      </w:r>
      <w:r w:rsidRPr="00C51D17">
        <w:rPr>
          <w:w w:val="100"/>
        </w:rPr>
        <w:t>exercice de leurs activités. Les travailleurs domestiques et les employeurs peuvent légalement régler tout conflit du travail auprès du département compétent du Ministère du développement administratif, du travail et des affaires sociales, qui prend les mesures nécessaires pour régler le conflit à l</w:t>
      </w:r>
      <w:r w:rsidR="00723345" w:rsidRPr="00C51D17">
        <w:rPr>
          <w:w w:val="100"/>
        </w:rPr>
        <w:t>’</w:t>
      </w:r>
      <w:r w:rsidRPr="00C51D17">
        <w:rPr>
          <w:w w:val="100"/>
        </w:rPr>
        <w:t>amiable.</w:t>
      </w:r>
    </w:p>
    <w:p w14:paraId="31266617" w14:textId="29274584" w:rsidR="00F06775" w:rsidRPr="00C51D17" w:rsidRDefault="00F06775" w:rsidP="00F06775">
      <w:pPr>
        <w:pStyle w:val="SingleTxt"/>
        <w:spacing w:after="0" w:line="120" w:lineRule="exact"/>
        <w:rPr>
          <w:w w:val="100"/>
          <w:sz w:val="10"/>
        </w:rPr>
      </w:pPr>
    </w:p>
    <w:p w14:paraId="421EE247" w14:textId="3C1E72DB" w:rsidR="00646413" w:rsidRPr="00C51D17" w:rsidRDefault="00F06775" w:rsidP="00F067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rPr>
      </w:pPr>
      <w:r w:rsidRPr="00C51D17">
        <w:rPr>
          <w:w w:val="100"/>
        </w:rPr>
        <w:tab/>
      </w:r>
      <w:r w:rsidRPr="00C51D17">
        <w:rPr>
          <w:w w:val="100"/>
        </w:rPr>
        <w:tab/>
      </w:r>
      <w:r w:rsidR="00646413" w:rsidRPr="00C51D17">
        <w:rPr>
          <w:w w:val="100"/>
        </w:rPr>
        <w:t xml:space="preserve">Sanctions </w:t>
      </w:r>
    </w:p>
    <w:p w14:paraId="77291F96" w14:textId="15C2559F" w:rsidR="00F06775" w:rsidRPr="00C51D17" w:rsidRDefault="00F06775" w:rsidP="00BB07FC">
      <w:pPr>
        <w:pStyle w:val="SingleTxt"/>
        <w:keepNext/>
        <w:spacing w:after="0" w:line="120" w:lineRule="exact"/>
        <w:rPr>
          <w:sz w:val="10"/>
        </w:rPr>
      </w:pPr>
    </w:p>
    <w:p w14:paraId="35DB8B58" w14:textId="14123DF1" w:rsidR="00646413" w:rsidRPr="00C51D17" w:rsidRDefault="00646413" w:rsidP="00F06775">
      <w:pPr>
        <w:pStyle w:val="SingleTxt"/>
        <w:numPr>
          <w:ilvl w:val="0"/>
          <w:numId w:val="72"/>
        </w:numPr>
        <w:spacing w:line="240" w:lineRule="exact"/>
        <w:ind w:left="1267"/>
        <w:rPr>
          <w:w w:val="100"/>
        </w:rPr>
      </w:pPr>
      <w:r w:rsidRPr="00C51D17">
        <w:rPr>
          <w:w w:val="100"/>
        </w:rPr>
        <w:t>La loi prévoit plusieurs sanctions applicables en cas de violation de ses dispositions, allant d</w:t>
      </w:r>
      <w:r w:rsidR="00723345" w:rsidRPr="00C51D17">
        <w:rPr>
          <w:w w:val="100"/>
        </w:rPr>
        <w:t>’</w:t>
      </w:r>
      <w:r w:rsidRPr="00C51D17">
        <w:rPr>
          <w:w w:val="100"/>
        </w:rPr>
        <w:t>une amende de 5 000 à 10 000 riyals.</w:t>
      </w:r>
    </w:p>
    <w:p w14:paraId="36A24228" w14:textId="09D0D2E6" w:rsidR="00F06775" w:rsidRPr="00C51D17" w:rsidRDefault="00F06775" w:rsidP="00F06775">
      <w:pPr>
        <w:pStyle w:val="SingleTxt"/>
        <w:spacing w:after="0" w:line="120" w:lineRule="exact"/>
        <w:rPr>
          <w:w w:val="100"/>
          <w:sz w:val="10"/>
        </w:rPr>
      </w:pPr>
    </w:p>
    <w:p w14:paraId="427D88BC" w14:textId="3A3A2AD7" w:rsidR="00646413" w:rsidRPr="00C51D17" w:rsidRDefault="00F06775" w:rsidP="00F067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Contrat type concernant les travailleurs domestiques</w:t>
      </w:r>
    </w:p>
    <w:p w14:paraId="648A4F4C" w14:textId="2911049B" w:rsidR="00F06775" w:rsidRPr="00C51D17" w:rsidRDefault="00F06775" w:rsidP="00F06775">
      <w:pPr>
        <w:pStyle w:val="SingleTxt"/>
        <w:spacing w:after="0" w:line="120" w:lineRule="exact"/>
        <w:rPr>
          <w:sz w:val="10"/>
        </w:rPr>
      </w:pPr>
    </w:p>
    <w:p w14:paraId="64F35F00" w14:textId="1ADEF191" w:rsidR="00646413" w:rsidRPr="00C51D17" w:rsidRDefault="00646413" w:rsidP="00F06775">
      <w:pPr>
        <w:pStyle w:val="SingleTxt"/>
        <w:numPr>
          <w:ilvl w:val="0"/>
          <w:numId w:val="72"/>
        </w:numPr>
        <w:spacing w:line="240" w:lineRule="exact"/>
        <w:ind w:left="1267"/>
        <w:rPr>
          <w:w w:val="100"/>
        </w:rPr>
      </w:pPr>
      <w:r w:rsidRPr="00C51D17">
        <w:rPr>
          <w:w w:val="100"/>
        </w:rPr>
        <w:t>S</w:t>
      </w:r>
      <w:r w:rsidR="00723345" w:rsidRPr="00C51D17">
        <w:rPr>
          <w:w w:val="100"/>
        </w:rPr>
        <w:t>’</w:t>
      </w:r>
      <w:r w:rsidRPr="00C51D17">
        <w:rPr>
          <w:w w:val="100"/>
        </w:rPr>
        <w:t>appuyant sur les dispositions de la loi relative aux travailleurs domestiques, le Ministère du développement administratif, du travail et des affaires sociales a élaboré un contrat type pour les travailleurs domestiques, qui a été diffusé aux employeurs, agences de recrutement et ambassades des pays émetteurs de travailleurs domestiques. En collaboration avec les ambassades des pays émetteurs, le contrat type a été traduit dans les langues maternelles des travailleurs.</w:t>
      </w:r>
    </w:p>
    <w:p w14:paraId="5664DD19" w14:textId="77777777" w:rsidR="00F06775" w:rsidRPr="00C51D17" w:rsidRDefault="00F06775" w:rsidP="00F06775">
      <w:pPr>
        <w:pStyle w:val="SingleTxt"/>
        <w:spacing w:after="0" w:line="120" w:lineRule="exact"/>
        <w:rPr>
          <w:w w:val="100"/>
          <w:sz w:val="10"/>
        </w:rPr>
      </w:pPr>
    </w:p>
    <w:p w14:paraId="67906082" w14:textId="6E245ABF" w:rsidR="00646413" w:rsidRPr="00C51D17" w:rsidRDefault="00F06775" w:rsidP="00F067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rPr>
      </w:pPr>
      <w:r w:rsidRPr="00C51D17">
        <w:rPr>
          <w:w w:val="100"/>
        </w:rPr>
        <w:tab/>
      </w:r>
      <w:r w:rsidRPr="00C51D17">
        <w:rPr>
          <w:w w:val="100"/>
        </w:rPr>
        <w:tab/>
      </w:r>
      <w:r w:rsidR="00646413" w:rsidRPr="00C51D17">
        <w:rPr>
          <w:w w:val="100"/>
        </w:rPr>
        <w:t>Campagnes de sensibilisation à la loi relative aux travailleurs domestiques</w:t>
      </w:r>
    </w:p>
    <w:p w14:paraId="03BA4275" w14:textId="2012EC7C" w:rsidR="00F06775" w:rsidRPr="00C51D17" w:rsidRDefault="00F06775" w:rsidP="00F06775">
      <w:pPr>
        <w:pStyle w:val="SingleTxt"/>
        <w:spacing w:after="0" w:line="120" w:lineRule="exact"/>
        <w:rPr>
          <w:sz w:val="10"/>
        </w:rPr>
      </w:pPr>
    </w:p>
    <w:p w14:paraId="28D34F71" w14:textId="75E5F5D4" w:rsidR="00646413" w:rsidRPr="00C51D17" w:rsidRDefault="00646413" w:rsidP="00F06775">
      <w:pPr>
        <w:pStyle w:val="SingleTxt"/>
        <w:numPr>
          <w:ilvl w:val="0"/>
          <w:numId w:val="72"/>
        </w:numPr>
        <w:spacing w:line="240" w:lineRule="exact"/>
        <w:ind w:left="1267"/>
        <w:rPr>
          <w:w w:val="100"/>
        </w:rPr>
      </w:pPr>
      <w:r w:rsidRPr="00C51D17">
        <w:rPr>
          <w:w w:val="100"/>
        </w:rPr>
        <w:t>Le Ministère du développement administratif, du travail et des affaires sociales a organisé des séminaires et activités destinés à sensibiliser le public aux dispositions de la nouvelle loi, dont le texte a été diffusé aux travailleurs domestiques. Le contrat type a été transmis aux ambassades des pays émetteurs de ce type de main-d</w:t>
      </w:r>
      <w:r w:rsidR="00723345" w:rsidRPr="00C51D17">
        <w:rPr>
          <w:w w:val="100"/>
        </w:rPr>
        <w:t>’</w:t>
      </w:r>
      <w:r w:rsidRPr="00C51D17">
        <w:rPr>
          <w:w w:val="100"/>
        </w:rPr>
        <w:t>œuvre.</w:t>
      </w:r>
    </w:p>
    <w:p w14:paraId="7E3EC8DC" w14:textId="49AC8FDD" w:rsidR="003E6418" w:rsidRPr="00C51D17" w:rsidRDefault="003E6418" w:rsidP="003E6418">
      <w:pPr>
        <w:pStyle w:val="SingleTxt"/>
        <w:spacing w:after="0" w:line="120" w:lineRule="exact"/>
        <w:rPr>
          <w:w w:val="100"/>
          <w:sz w:val="10"/>
        </w:rPr>
      </w:pPr>
    </w:p>
    <w:p w14:paraId="4D9B7153" w14:textId="1336F013" w:rsidR="00646413" w:rsidRPr="00C51D17" w:rsidRDefault="003E6418" w:rsidP="003E64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Autres formes de protection des travailleurs domestiques</w:t>
      </w:r>
    </w:p>
    <w:p w14:paraId="3DA4CAC4" w14:textId="76038E14" w:rsidR="003E6418" w:rsidRPr="00C51D17" w:rsidRDefault="003E6418" w:rsidP="003E6418">
      <w:pPr>
        <w:pStyle w:val="SingleTxt"/>
        <w:spacing w:after="0" w:line="120" w:lineRule="exact"/>
        <w:rPr>
          <w:sz w:val="10"/>
        </w:rPr>
      </w:pPr>
    </w:p>
    <w:p w14:paraId="5F575DBC" w14:textId="7E7ACB74" w:rsidR="00646413" w:rsidRPr="00C51D17" w:rsidRDefault="00646413" w:rsidP="003E6418">
      <w:pPr>
        <w:pStyle w:val="SingleTxt"/>
        <w:numPr>
          <w:ilvl w:val="0"/>
          <w:numId w:val="72"/>
        </w:numPr>
        <w:spacing w:line="240" w:lineRule="exact"/>
        <w:ind w:left="1267"/>
        <w:rPr>
          <w:w w:val="100"/>
        </w:rPr>
      </w:pPr>
      <w:r w:rsidRPr="00C51D17">
        <w:rPr>
          <w:w w:val="100"/>
        </w:rPr>
        <w:t>L</w:t>
      </w:r>
      <w:r w:rsidR="00723345" w:rsidRPr="00C51D17">
        <w:rPr>
          <w:w w:val="100"/>
        </w:rPr>
        <w:t>’</w:t>
      </w:r>
      <w:r w:rsidRPr="00C51D17">
        <w:rPr>
          <w:w w:val="100"/>
        </w:rPr>
        <w:t>article 52 de la Constitution dispose que « Toute personne qui réside légalement dans l</w:t>
      </w:r>
      <w:r w:rsidR="00723345" w:rsidRPr="00C51D17">
        <w:rPr>
          <w:w w:val="100"/>
        </w:rPr>
        <w:t>’</w:t>
      </w:r>
      <w:r w:rsidRPr="00C51D17">
        <w:rPr>
          <w:w w:val="100"/>
        </w:rPr>
        <w:t>État jouit de la protection de sa personne et de sa propriété, conformément aux dispositions de la loi ». En outre, les services de sécurité assurent la sécurité légale conformément au Code pénal et au Code de procédure pénale. Comme cela a été indiqué dans le rapport précédent de novembre 2016, les travailleurs domestiques peuvent déposer plainte dans le cadre du programme d</w:t>
      </w:r>
      <w:r w:rsidR="00723345" w:rsidRPr="00C51D17">
        <w:rPr>
          <w:w w:val="100"/>
        </w:rPr>
        <w:t>’</w:t>
      </w:r>
      <w:r w:rsidRPr="00C51D17">
        <w:rPr>
          <w:w w:val="100"/>
        </w:rPr>
        <w:t>équité et de confiance mis en place par le Département des droits de l</w:t>
      </w:r>
      <w:r w:rsidR="00723345" w:rsidRPr="00C51D17">
        <w:rPr>
          <w:w w:val="100"/>
        </w:rPr>
        <w:t>’</w:t>
      </w:r>
      <w:r w:rsidRPr="00C51D17">
        <w:rPr>
          <w:w w:val="100"/>
        </w:rPr>
        <w:t>homme du Ministère de l</w:t>
      </w:r>
      <w:r w:rsidR="00723345" w:rsidRPr="00C51D17">
        <w:rPr>
          <w:w w:val="100"/>
        </w:rPr>
        <w:t>’</w:t>
      </w:r>
      <w:r w:rsidRPr="00C51D17">
        <w:rPr>
          <w:w w:val="100"/>
        </w:rPr>
        <w:t>intérieur. Le législateur protège également cette catégorie de travailleurs à travers le Code pénal, promulgué en vertu de la loi n</w:t>
      </w:r>
      <w:r w:rsidRPr="00C51D17">
        <w:rPr>
          <w:w w:val="100"/>
          <w:vertAlign w:val="superscript"/>
        </w:rPr>
        <w:t>o</w:t>
      </w:r>
      <w:r w:rsidR="00575C86" w:rsidRPr="00C51D17">
        <w:rPr>
          <w:w w:val="100"/>
        </w:rPr>
        <w:t> </w:t>
      </w:r>
      <w:r w:rsidRPr="00C51D17">
        <w:rPr>
          <w:w w:val="100"/>
        </w:rPr>
        <w:t>11 de 2004, qui sanctionne quiconque agresse physiquement, maltraite ou exploite économiquement une personne vulnérable.</w:t>
      </w:r>
    </w:p>
    <w:p w14:paraId="4F1C3A3C" w14:textId="08F2E7BB" w:rsidR="003E6418" w:rsidRPr="00C51D17" w:rsidRDefault="003E6418" w:rsidP="003E6418">
      <w:pPr>
        <w:pStyle w:val="SingleTxt"/>
        <w:spacing w:after="0" w:line="120" w:lineRule="exact"/>
        <w:rPr>
          <w:w w:val="100"/>
          <w:sz w:val="10"/>
        </w:rPr>
      </w:pPr>
    </w:p>
    <w:p w14:paraId="35B3D44F" w14:textId="0DDA05C4" w:rsidR="00646413" w:rsidRPr="00C51D17" w:rsidRDefault="003E6418" w:rsidP="003E64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 xml:space="preserve">Abolition du système de </w:t>
      </w:r>
      <w:r w:rsidR="00646413" w:rsidRPr="00C51D17">
        <w:rPr>
          <w:i/>
          <w:w w:val="100"/>
        </w:rPr>
        <w:t>Kafil</w:t>
      </w:r>
      <w:r w:rsidR="00646413" w:rsidRPr="00C51D17">
        <w:rPr>
          <w:w w:val="100"/>
        </w:rPr>
        <w:t xml:space="preserve"> (parrain)</w:t>
      </w:r>
    </w:p>
    <w:p w14:paraId="001BDF1D" w14:textId="484B03C5" w:rsidR="003E6418" w:rsidRPr="00C51D17" w:rsidRDefault="003E6418" w:rsidP="003E6418">
      <w:pPr>
        <w:pStyle w:val="SingleTxt"/>
        <w:spacing w:after="0" w:line="120" w:lineRule="exact"/>
        <w:rPr>
          <w:sz w:val="10"/>
        </w:rPr>
      </w:pPr>
    </w:p>
    <w:p w14:paraId="4EE49A76" w14:textId="3037434A" w:rsidR="00646413" w:rsidRPr="00C51D17" w:rsidRDefault="00646413" w:rsidP="003E6418">
      <w:pPr>
        <w:pStyle w:val="SingleTxt"/>
        <w:numPr>
          <w:ilvl w:val="0"/>
          <w:numId w:val="72"/>
        </w:numPr>
        <w:spacing w:line="240" w:lineRule="exact"/>
        <w:ind w:left="1267"/>
        <w:rPr>
          <w:w w:val="100"/>
        </w:rPr>
      </w:pPr>
      <w:r w:rsidRPr="00C51D17">
        <w:rPr>
          <w:w w:val="100"/>
        </w:rPr>
        <w:t>La loi n</w:t>
      </w:r>
      <w:r w:rsidRPr="00C51D17">
        <w:rPr>
          <w:w w:val="100"/>
          <w:vertAlign w:val="superscript"/>
        </w:rPr>
        <w:t>o</w:t>
      </w:r>
      <w:r w:rsidR="00575C86" w:rsidRPr="00C51D17">
        <w:rPr>
          <w:w w:val="100"/>
        </w:rPr>
        <w:t> </w:t>
      </w:r>
      <w:r w:rsidRPr="00C51D17">
        <w:rPr>
          <w:w w:val="100"/>
        </w:rPr>
        <w:t>21 de 2015 a introduit un changement majeur et important comparativement aux dispositions précédentes, puisqu</w:t>
      </w:r>
      <w:r w:rsidR="00723345" w:rsidRPr="00C51D17">
        <w:rPr>
          <w:w w:val="100"/>
        </w:rPr>
        <w:t>’</w:t>
      </w:r>
      <w:r w:rsidRPr="00C51D17">
        <w:rPr>
          <w:w w:val="100"/>
        </w:rPr>
        <w:t xml:space="preserve">elle a aboli le système de </w:t>
      </w:r>
      <w:r w:rsidRPr="00C51D17">
        <w:rPr>
          <w:i/>
          <w:w w:val="100"/>
        </w:rPr>
        <w:t xml:space="preserve">Kafala </w:t>
      </w:r>
      <w:r w:rsidRPr="00C51D17">
        <w:rPr>
          <w:w w:val="100"/>
        </w:rPr>
        <w:t>(parrainage) et lui a substitué une relation de travail normale. C</w:t>
      </w:r>
      <w:r w:rsidR="00723345" w:rsidRPr="00C51D17">
        <w:rPr>
          <w:w w:val="100"/>
        </w:rPr>
        <w:t>’</w:t>
      </w:r>
      <w:r w:rsidRPr="00C51D17">
        <w:rPr>
          <w:w w:val="100"/>
        </w:rPr>
        <w:t>est ainsi que dans ses articles 21 et 22, la loi a défini les cas dans lesquels le travailleur migrant peut changer d</w:t>
      </w:r>
      <w:r w:rsidR="00723345" w:rsidRPr="00C51D17">
        <w:rPr>
          <w:w w:val="100"/>
        </w:rPr>
        <w:t>’</w:t>
      </w:r>
      <w:r w:rsidRPr="00C51D17">
        <w:rPr>
          <w:w w:val="100"/>
        </w:rPr>
        <w:t>employeur:</w:t>
      </w:r>
    </w:p>
    <w:p w14:paraId="330690D0" w14:textId="0D3D6FD8" w:rsidR="00646413" w:rsidRPr="00C51D17" w:rsidRDefault="007E7A29" w:rsidP="007E7A29">
      <w:pPr>
        <w:pStyle w:val="SingleTxt"/>
        <w:tabs>
          <w:tab w:val="right" w:pos="1685"/>
        </w:tabs>
        <w:ind w:left="1742" w:hanging="475"/>
        <w:rPr>
          <w:w w:val="100"/>
        </w:rPr>
      </w:pPr>
      <w:r w:rsidRPr="00C51D17">
        <w:rPr>
          <w:w w:val="100"/>
        </w:rPr>
        <w:tab/>
        <w:t>•</w:t>
      </w:r>
      <w:r w:rsidRPr="00C51D17">
        <w:rPr>
          <w:w w:val="100"/>
        </w:rPr>
        <w:tab/>
      </w:r>
      <w:r w:rsidR="00646413" w:rsidRPr="00C51D17">
        <w:rPr>
          <w:w w:val="100"/>
        </w:rPr>
        <w:t>Avant l</w:t>
      </w:r>
      <w:r w:rsidR="00723345" w:rsidRPr="00C51D17">
        <w:rPr>
          <w:w w:val="100"/>
        </w:rPr>
        <w:t>’</w:t>
      </w:r>
      <w:r w:rsidR="00646413" w:rsidRPr="00C51D17">
        <w:rPr>
          <w:w w:val="100"/>
        </w:rPr>
        <w:t>expiration de son contrat, par consentement mutuel entre l</w:t>
      </w:r>
      <w:r w:rsidR="00723345" w:rsidRPr="00C51D17">
        <w:rPr>
          <w:w w:val="100"/>
        </w:rPr>
        <w:t>’</w:t>
      </w:r>
      <w:r w:rsidR="00646413" w:rsidRPr="00C51D17">
        <w:rPr>
          <w:w w:val="100"/>
        </w:rPr>
        <w:t>employeur et le travailleur</w:t>
      </w:r>
      <w:r w:rsidR="0012596A" w:rsidRPr="00C51D17">
        <w:rPr>
          <w:w w:val="100"/>
        </w:rPr>
        <w:t> ;</w:t>
      </w:r>
    </w:p>
    <w:p w14:paraId="1DEE3D47" w14:textId="382AE06E" w:rsidR="00646413" w:rsidRPr="00C51D17" w:rsidRDefault="007E7A29" w:rsidP="007E7A29">
      <w:pPr>
        <w:pStyle w:val="SingleTxt"/>
        <w:tabs>
          <w:tab w:val="right" w:pos="1685"/>
        </w:tabs>
        <w:ind w:left="1742" w:hanging="475"/>
        <w:rPr>
          <w:w w:val="100"/>
        </w:rPr>
      </w:pPr>
      <w:r w:rsidRPr="00C51D17">
        <w:rPr>
          <w:w w:val="100"/>
        </w:rPr>
        <w:tab/>
        <w:t>•</w:t>
      </w:r>
      <w:r w:rsidRPr="00C51D17">
        <w:rPr>
          <w:w w:val="100"/>
        </w:rPr>
        <w:tab/>
      </w:r>
      <w:r w:rsidR="00646413" w:rsidRPr="00C51D17">
        <w:rPr>
          <w:w w:val="100"/>
        </w:rPr>
        <w:t>Immédiatement après l</w:t>
      </w:r>
      <w:r w:rsidR="00723345" w:rsidRPr="00C51D17">
        <w:rPr>
          <w:w w:val="100"/>
        </w:rPr>
        <w:t>’</w:t>
      </w:r>
      <w:r w:rsidR="00646413" w:rsidRPr="00C51D17">
        <w:rPr>
          <w:w w:val="100"/>
        </w:rPr>
        <w:t>expiration d</w:t>
      </w:r>
      <w:r w:rsidR="00723345" w:rsidRPr="00C51D17">
        <w:rPr>
          <w:w w:val="100"/>
        </w:rPr>
        <w:t>’</w:t>
      </w:r>
      <w:r w:rsidR="00646413" w:rsidRPr="00C51D17">
        <w:rPr>
          <w:w w:val="100"/>
        </w:rPr>
        <w:t>un contrat à durée déterminée ou après cinq années de travail si le contrat est à durée indéterminée</w:t>
      </w:r>
      <w:r w:rsidR="0012596A" w:rsidRPr="00C51D17">
        <w:rPr>
          <w:w w:val="100"/>
        </w:rPr>
        <w:t> ;</w:t>
      </w:r>
    </w:p>
    <w:p w14:paraId="57B18BBB" w14:textId="53808C86" w:rsidR="00646413" w:rsidRPr="00C51D17" w:rsidRDefault="007E7A29" w:rsidP="007E7A29">
      <w:pPr>
        <w:pStyle w:val="SingleTxt"/>
        <w:tabs>
          <w:tab w:val="right" w:pos="1685"/>
        </w:tabs>
        <w:ind w:left="1742" w:hanging="475"/>
        <w:rPr>
          <w:w w:val="100"/>
        </w:rPr>
      </w:pPr>
      <w:r w:rsidRPr="00C51D17">
        <w:rPr>
          <w:w w:val="100"/>
        </w:rPr>
        <w:tab/>
        <w:t>•</w:t>
      </w:r>
      <w:r w:rsidRPr="00C51D17">
        <w:rPr>
          <w:w w:val="100"/>
        </w:rPr>
        <w:tab/>
      </w:r>
      <w:r w:rsidR="00646413" w:rsidRPr="00C51D17">
        <w:rPr>
          <w:w w:val="100"/>
        </w:rPr>
        <w:t>En cas de décès de l</w:t>
      </w:r>
      <w:r w:rsidR="00723345" w:rsidRPr="00C51D17">
        <w:rPr>
          <w:w w:val="100"/>
        </w:rPr>
        <w:t>’</w:t>
      </w:r>
      <w:r w:rsidR="00646413" w:rsidRPr="00C51D17">
        <w:rPr>
          <w:w w:val="100"/>
        </w:rPr>
        <w:t>employeur ou de dissolution de la personne morale, quelle qu</w:t>
      </w:r>
      <w:r w:rsidR="00723345" w:rsidRPr="00C51D17">
        <w:rPr>
          <w:w w:val="100"/>
        </w:rPr>
        <w:t>’</w:t>
      </w:r>
      <w:r w:rsidR="00646413" w:rsidRPr="00C51D17">
        <w:rPr>
          <w:w w:val="100"/>
        </w:rPr>
        <w:t>en soit la raison</w:t>
      </w:r>
      <w:r w:rsidR="0012596A" w:rsidRPr="00C51D17">
        <w:rPr>
          <w:w w:val="100"/>
        </w:rPr>
        <w:t> ;</w:t>
      </w:r>
    </w:p>
    <w:p w14:paraId="514A74F3" w14:textId="4513FDB8" w:rsidR="00646413" w:rsidRPr="00C51D17" w:rsidRDefault="007E7A29" w:rsidP="007E7A29">
      <w:pPr>
        <w:pStyle w:val="SingleTxt"/>
        <w:tabs>
          <w:tab w:val="right" w:pos="1685"/>
        </w:tabs>
        <w:ind w:left="1742" w:hanging="475"/>
        <w:rPr>
          <w:w w:val="100"/>
        </w:rPr>
      </w:pPr>
      <w:r w:rsidRPr="00C51D17">
        <w:rPr>
          <w:w w:val="100"/>
        </w:rPr>
        <w:tab/>
        <w:t>•</w:t>
      </w:r>
      <w:r w:rsidRPr="00C51D17">
        <w:rPr>
          <w:w w:val="100"/>
        </w:rPr>
        <w:tab/>
      </w:r>
      <w:r w:rsidR="00646413" w:rsidRPr="00C51D17">
        <w:rPr>
          <w:w w:val="100"/>
        </w:rPr>
        <w:t>De façon provisoire, en cas de procédure judiciaire entre le travailleur et l</w:t>
      </w:r>
      <w:r w:rsidR="00723345" w:rsidRPr="00C51D17">
        <w:rPr>
          <w:w w:val="100"/>
        </w:rPr>
        <w:t>’</w:t>
      </w:r>
      <w:r w:rsidR="00646413" w:rsidRPr="00C51D17">
        <w:rPr>
          <w:w w:val="100"/>
        </w:rPr>
        <w:t>employeur</w:t>
      </w:r>
      <w:r w:rsidR="0012596A" w:rsidRPr="00C51D17">
        <w:rPr>
          <w:w w:val="100"/>
        </w:rPr>
        <w:t> ;</w:t>
      </w:r>
    </w:p>
    <w:p w14:paraId="4795713E" w14:textId="48DBEB75" w:rsidR="001E18F6" w:rsidRPr="00C51D17" w:rsidRDefault="007E7A29" w:rsidP="007E7A29">
      <w:pPr>
        <w:pStyle w:val="SingleTxt"/>
        <w:tabs>
          <w:tab w:val="right" w:pos="1685"/>
        </w:tabs>
        <w:ind w:left="1742" w:hanging="475"/>
        <w:rPr>
          <w:w w:val="100"/>
        </w:rPr>
      </w:pPr>
      <w:r w:rsidRPr="00C51D17">
        <w:rPr>
          <w:w w:val="100"/>
        </w:rPr>
        <w:tab/>
        <w:t>•</w:t>
      </w:r>
      <w:r w:rsidRPr="00C51D17">
        <w:rPr>
          <w:w w:val="100"/>
        </w:rPr>
        <w:tab/>
      </w:r>
      <w:r w:rsidR="00646413" w:rsidRPr="00C51D17">
        <w:rPr>
          <w:w w:val="100"/>
        </w:rPr>
        <w:t>Lorsque l</w:t>
      </w:r>
      <w:r w:rsidR="00723345" w:rsidRPr="00C51D17">
        <w:rPr>
          <w:w w:val="100"/>
        </w:rPr>
        <w:t>’</w:t>
      </w:r>
      <w:r w:rsidR="00646413" w:rsidRPr="00C51D17">
        <w:rPr>
          <w:w w:val="100"/>
        </w:rPr>
        <w:t>abus à l</w:t>
      </w:r>
      <w:r w:rsidR="00723345" w:rsidRPr="00C51D17">
        <w:rPr>
          <w:w w:val="100"/>
        </w:rPr>
        <w:t>’</w:t>
      </w:r>
      <w:r w:rsidR="00646413" w:rsidRPr="00C51D17">
        <w:rPr>
          <w:w w:val="100"/>
        </w:rPr>
        <w:t>égard du travailleur a été établi ou lorsque le changement d</w:t>
      </w:r>
      <w:r w:rsidR="00723345" w:rsidRPr="00C51D17">
        <w:rPr>
          <w:w w:val="100"/>
        </w:rPr>
        <w:t>’</w:t>
      </w:r>
      <w:r w:rsidR="00646413" w:rsidRPr="00C51D17">
        <w:rPr>
          <w:w w:val="100"/>
        </w:rPr>
        <w:t>employeur revêt un intérêt public.</w:t>
      </w:r>
    </w:p>
    <w:p w14:paraId="2D383BB7" w14:textId="6157B9BD" w:rsidR="001E18F6" w:rsidRPr="00C51D17" w:rsidRDefault="001E18F6" w:rsidP="001E18F6">
      <w:pPr>
        <w:pStyle w:val="SingleTxt"/>
        <w:tabs>
          <w:tab w:val="right" w:pos="1685"/>
        </w:tabs>
        <w:spacing w:after="0" w:line="120" w:lineRule="exact"/>
        <w:ind w:left="1742" w:hanging="475"/>
        <w:rPr>
          <w:w w:val="100"/>
          <w:sz w:val="10"/>
        </w:rPr>
      </w:pPr>
    </w:p>
    <w:p w14:paraId="265593F9" w14:textId="1FBC1FC8" w:rsidR="00646413" w:rsidRPr="00C51D17" w:rsidRDefault="0088122A" w:rsidP="00BB07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Durée d</w:t>
      </w:r>
      <w:r w:rsidR="00723345" w:rsidRPr="00C51D17">
        <w:rPr>
          <w:w w:val="100"/>
        </w:rPr>
        <w:t>’</w:t>
      </w:r>
      <w:r w:rsidR="00646413" w:rsidRPr="00C51D17">
        <w:rPr>
          <w:w w:val="100"/>
        </w:rPr>
        <w:t>emploi accomplie au service de l</w:t>
      </w:r>
      <w:r w:rsidR="00723345" w:rsidRPr="00C51D17">
        <w:rPr>
          <w:w w:val="100"/>
        </w:rPr>
        <w:t>’</w:t>
      </w:r>
      <w:r w:rsidR="00646413" w:rsidRPr="00C51D17">
        <w:rPr>
          <w:w w:val="100"/>
        </w:rPr>
        <w:t xml:space="preserve">employeur avant la promulgation </w:t>
      </w:r>
      <w:r w:rsidRPr="00C51D17">
        <w:rPr>
          <w:w w:val="100"/>
        </w:rPr>
        <w:br/>
      </w:r>
      <w:r w:rsidR="00646413" w:rsidRPr="00C51D17">
        <w:rPr>
          <w:w w:val="100"/>
        </w:rPr>
        <w:t xml:space="preserve">de la nouvelle loi </w:t>
      </w:r>
    </w:p>
    <w:p w14:paraId="24047567" w14:textId="5A18A671" w:rsidR="001E18F6" w:rsidRPr="00C51D17" w:rsidRDefault="001E18F6" w:rsidP="00BB07FC">
      <w:pPr>
        <w:pStyle w:val="SingleTxt"/>
        <w:keepNext/>
        <w:spacing w:after="0" w:line="120" w:lineRule="exact"/>
        <w:rPr>
          <w:sz w:val="10"/>
        </w:rPr>
      </w:pPr>
    </w:p>
    <w:p w14:paraId="3C1A817D" w14:textId="6968630A" w:rsidR="00646413" w:rsidRPr="00C51D17" w:rsidRDefault="00646413" w:rsidP="001E18F6">
      <w:pPr>
        <w:pStyle w:val="SingleTxt"/>
        <w:numPr>
          <w:ilvl w:val="0"/>
          <w:numId w:val="72"/>
        </w:numPr>
        <w:spacing w:line="240" w:lineRule="exact"/>
        <w:ind w:left="1267"/>
        <w:rPr>
          <w:w w:val="100"/>
          <w:u w:val="single"/>
        </w:rPr>
      </w:pPr>
      <w:r w:rsidRPr="00C51D17">
        <w:rPr>
          <w:w w:val="100"/>
        </w:rPr>
        <w:t>Un des aspects positifs de la loi n</w:t>
      </w:r>
      <w:r w:rsidRPr="00C51D17">
        <w:rPr>
          <w:w w:val="100"/>
          <w:vertAlign w:val="superscript"/>
        </w:rPr>
        <w:t>o</w:t>
      </w:r>
      <w:r w:rsidR="001E18F6" w:rsidRPr="00C51D17">
        <w:rPr>
          <w:w w:val="100"/>
        </w:rPr>
        <w:t> </w:t>
      </w:r>
      <w:r w:rsidRPr="00C51D17">
        <w:rPr>
          <w:w w:val="100"/>
        </w:rPr>
        <w:t>21 de 2005 est que le législateur a tenu compte de la durée totale de l</w:t>
      </w:r>
      <w:r w:rsidR="00723345" w:rsidRPr="00C51D17">
        <w:rPr>
          <w:w w:val="100"/>
        </w:rPr>
        <w:t>’</w:t>
      </w:r>
      <w:r w:rsidRPr="00C51D17">
        <w:rPr>
          <w:w w:val="100"/>
        </w:rPr>
        <w:t>emploi accomplie auprès de l</w:t>
      </w:r>
      <w:r w:rsidR="00723345" w:rsidRPr="00C51D17">
        <w:rPr>
          <w:w w:val="100"/>
        </w:rPr>
        <w:t>’</w:t>
      </w:r>
      <w:r w:rsidRPr="00C51D17">
        <w:rPr>
          <w:w w:val="100"/>
        </w:rPr>
        <w:t>employeur avant l</w:t>
      </w:r>
      <w:r w:rsidR="00723345" w:rsidRPr="00C51D17">
        <w:rPr>
          <w:w w:val="100"/>
        </w:rPr>
        <w:t>’</w:t>
      </w:r>
      <w:r w:rsidRPr="00C51D17">
        <w:rPr>
          <w:w w:val="100"/>
        </w:rPr>
        <w:t>entrée en vigueur de la loi, le 13 décembre 2016. Cette disposition permet au travailleur de changer d</w:t>
      </w:r>
      <w:r w:rsidR="00723345" w:rsidRPr="00C51D17">
        <w:rPr>
          <w:w w:val="100"/>
        </w:rPr>
        <w:t>’</w:t>
      </w:r>
      <w:r w:rsidRPr="00C51D17">
        <w:rPr>
          <w:w w:val="100"/>
        </w:rPr>
        <w:t xml:space="preserve">employeur si tel est son souhait. </w:t>
      </w:r>
    </w:p>
    <w:p w14:paraId="7B6BEF0F" w14:textId="76BF18F1" w:rsidR="001E18F6" w:rsidRPr="00C51D17" w:rsidRDefault="001E18F6" w:rsidP="001E18F6">
      <w:pPr>
        <w:pStyle w:val="SingleTxt"/>
        <w:spacing w:after="0" w:line="120" w:lineRule="exact"/>
        <w:rPr>
          <w:w w:val="100"/>
          <w:sz w:val="10"/>
        </w:rPr>
      </w:pPr>
    </w:p>
    <w:p w14:paraId="5FE65D91" w14:textId="64AC7902" w:rsidR="00646413" w:rsidRPr="00C51D17" w:rsidRDefault="001E18F6" w:rsidP="001E18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Octroi au travailleur d</w:t>
      </w:r>
      <w:r w:rsidR="00723345" w:rsidRPr="00C51D17">
        <w:rPr>
          <w:w w:val="100"/>
        </w:rPr>
        <w:t>’</w:t>
      </w:r>
      <w:r w:rsidR="00646413" w:rsidRPr="00C51D17">
        <w:rPr>
          <w:w w:val="100"/>
        </w:rPr>
        <w:t xml:space="preserve">un délai de trois mois pour obtenir un nouveau contrat </w:t>
      </w:r>
      <w:r w:rsidRPr="00C51D17">
        <w:rPr>
          <w:w w:val="100"/>
        </w:rPr>
        <w:br/>
      </w:r>
      <w:r w:rsidR="00646413" w:rsidRPr="00C51D17">
        <w:rPr>
          <w:w w:val="100"/>
        </w:rPr>
        <w:t>de travail</w:t>
      </w:r>
    </w:p>
    <w:p w14:paraId="0C169F31" w14:textId="5AE5CA27" w:rsidR="001E18F6" w:rsidRPr="00C51D17" w:rsidRDefault="001E18F6" w:rsidP="001E18F6">
      <w:pPr>
        <w:pStyle w:val="SingleTxt"/>
        <w:spacing w:after="0" w:line="120" w:lineRule="exact"/>
        <w:rPr>
          <w:sz w:val="10"/>
        </w:rPr>
      </w:pPr>
    </w:p>
    <w:p w14:paraId="23A0769E" w14:textId="6469D3A8" w:rsidR="00646413" w:rsidRPr="00C51D17" w:rsidRDefault="00646413" w:rsidP="001E18F6">
      <w:pPr>
        <w:pStyle w:val="SingleTxt"/>
        <w:numPr>
          <w:ilvl w:val="0"/>
          <w:numId w:val="72"/>
        </w:numPr>
        <w:spacing w:line="240" w:lineRule="exact"/>
        <w:ind w:left="1267"/>
        <w:rPr>
          <w:w w:val="100"/>
        </w:rPr>
      </w:pPr>
      <w:r w:rsidRPr="00C51D17">
        <w:rPr>
          <w:w w:val="100"/>
        </w:rPr>
        <w:t>Parmi les dispositions positives de la loi n</w:t>
      </w:r>
      <w:r w:rsidRPr="00C51D17">
        <w:rPr>
          <w:w w:val="100"/>
          <w:vertAlign w:val="superscript"/>
        </w:rPr>
        <w:t>o</w:t>
      </w:r>
      <w:r w:rsidR="008441F5" w:rsidRPr="00C51D17">
        <w:rPr>
          <w:w w:val="100"/>
        </w:rPr>
        <w:t> </w:t>
      </w:r>
      <w:r w:rsidRPr="00C51D17">
        <w:rPr>
          <w:w w:val="100"/>
        </w:rPr>
        <w:t>21, on citera l</w:t>
      </w:r>
      <w:r w:rsidR="00723345" w:rsidRPr="00C51D17">
        <w:rPr>
          <w:w w:val="100"/>
        </w:rPr>
        <w:t>’</w:t>
      </w:r>
      <w:r w:rsidRPr="00C51D17">
        <w:rPr>
          <w:w w:val="100"/>
        </w:rPr>
        <w:t>article 24, qui donne trois mois au travailleur pour parachever les procédures liées à la signature d</w:t>
      </w:r>
      <w:r w:rsidR="00723345" w:rsidRPr="00C51D17">
        <w:rPr>
          <w:w w:val="100"/>
        </w:rPr>
        <w:t>’</w:t>
      </w:r>
      <w:r w:rsidRPr="00C51D17">
        <w:rPr>
          <w:w w:val="100"/>
        </w:rPr>
        <w:t>un nouveau contrat de travail et engager une nouvelle relation de travail avec un autre employeur.</w:t>
      </w:r>
    </w:p>
    <w:p w14:paraId="73C20271" w14:textId="74E490C0" w:rsidR="001E18F6" w:rsidRPr="00C51D17" w:rsidRDefault="001E18F6" w:rsidP="001E18F6">
      <w:pPr>
        <w:pStyle w:val="SingleTxt"/>
        <w:spacing w:after="0" w:line="120" w:lineRule="exact"/>
        <w:rPr>
          <w:w w:val="100"/>
          <w:sz w:val="10"/>
        </w:rPr>
      </w:pPr>
    </w:p>
    <w:p w14:paraId="5DF3574D" w14:textId="4AE9D31C" w:rsidR="00646413" w:rsidRPr="00C51D17" w:rsidRDefault="001E18F6" w:rsidP="001E18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 xml:space="preserve">Annulation de la condition de résidence hors du pays pendant deux ans </w:t>
      </w:r>
      <w:r w:rsidRPr="00C51D17">
        <w:rPr>
          <w:w w:val="100"/>
        </w:rPr>
        <w:br/>
      </w:r>
      <w:r w:rsidR="00646413" w:rsidRPr="00C51D17">
        <w:rPr>
          <w:w w:val="100"/>
        </w:rPr>
        <w:t>avant de postuler</w:t>
      </w:r>
      <w:r w:rsidR="0012596A" w:rsidRPr="00C51D17">
        <w:rPr>
          <w:w w:val="100"/>
        </w:rPr>
        <w:t xml:space="preserve"> </w:t>
      </w:r>
      <w:r w:rsidR="00646413" w:rsidRPr="00C51D17">
        <w:rPr>
          <w:w w:val="100"/>
        </w:rPr>
        <w:t>à un nouvel emploi</w:t>
      </w:r>
    </w:p>
    <w:p w14:paraId="6CDD14A8" w14:textId="786E5728" w:rsidR="001E18F6" w:rsidRPr="00C51D17" w:rsidRDefault="001E18F6" w:rsidP="001E18F6">
      <w:pPr>
        <w:pStyle w:val="SingleTxt"/>
        <w:spacing w:after="0" w:line="120" w:lineRule="exact"/>
        <w:rPr>
          <w:sz w:val="10"/>
        </w:rPr>
      </w:pPr>
    </w:p>
    <w:p w14:paraId="5B68FEE3" w14:textId="560E3FC9" w:rsidR="00646413" w:rsidRPr="00C51D17" w:rsidRDefault="00646413" w:rsidP="001E18F6">
      <w:pPr>
        <w:pStyle w:val="SingleTxt"/>
        <w:numPr>
          <w:ilvl w:val="0"/>
          <w:numId w:val="72"/>
        </w:numPr>
        <w:spacing w:line="240" w:lineRule="exact"/>
        <w:ind w:left="1267"/>
        <w:rPr>
          <w:w w:val="100"/>
        </w:rPr>
      </w:pPr>
      <w:r w:rsidRPr="00C51D17">
        <w:rPr>
          <w:w w:val="100"/>
        </w:rPr>
        <w:t>Comme l</w:t>
      </w:r>
      <w:r w:rsidR="00723345" w:rsidRPr="00C51D17">
        <w:rPr>
          <w:w w:val="100"/>
        </w:rPr>
        <w:t>’</w:t>
      </w:r>
      <w:r w:rsidRPr="00C51D17">
        <w:rPr>
          <w:w w:val="100"/>
        </w:rPr>
        <w:t>a indiqué le Comité d</w:t>
      </w:r>
      <w:r w:rsidR="00723345" w:rsidRPr="00C51D17">
        <w:rPr>
          <w:w w:val="100"/>
        </w:rPr>
        <w:t>’</w:t>
      </w:r>
      <w:r w:rsidRPr="00C51D17">
        <w:rPr>
          <w:w w:val="100"/>
        </w:rPr>
        <w:t>experts juridiques dans son rapport de février 2016, un des aspects positifs de la loi n</w:t>
      </w:r>
      <w:r w:rsidRPr="00C51D17">
        <w:rPr>
          <w:w w:val="100"/>
          <w:vertAlign w:val="superscript"/>
        </w:rPr>
        <w:t>o</w:t>
      </w:r>
      <w:r w:rsidR="008441F5" w:rsidRPr="00C51D17">
        <w:rPr>
          <w:w w:val="100"/>
        </w:rPr>
        <w:t> </w:t>
      </w:r>
      <w:r w:rsidRPr="00C51D17">
        <w:rPr>
          <w:w w:val="100"/>
        </w:rPr>
        <w:t>21 est l</w:t>
      </w:r>
      <w:r w:rsidR="00723345" w:rsidRPr="00C51D17">
        <w:rPr>
          <w:w w:val="100"/>
        </w:rPr>
        <w:t>’</w:t>
      </w:r>
      <w:r w:rsidRPr="00C51D17">
        <w:rPr>
          <w:w w:val="100"/>
        </w:rPr>
        <w:t>annulation de la condition de résidence hors du pays pendant deux ans avant de bénéficier d</w:t>
      </w:r>
      <w:r w:rsidR="00723345" w:rsidRPr="00C51D17">
        <w:rPr>
          <w:w w:val="100"/>
        </w:rPr>
        <w:t>’</w:t>
      </w:r>
      <w:r w:rsidRPr="00C51D17">
        <w:rPr>
          <w:w w:val="100"/>
        </w:rPr>
        <w:t>un nouveau permis de résidence. Aux termes de la nouvelle loi, le travailleur migrant dont le permis de résidence est arrivé à expiration et qui a quitté le Qatar peut de nouveau travailler à son retour au pays sans avoir à attendre deux années. Cette exigence de la loi n</w:t>
      </w:r>
      <w:r w:rsidRPr="00C51D17">
        <w:rPr>
          <w:w w:val="100"/>
          <w:vertAlign w:val="superscript"/>
        </w:rPr>
        <w:t>o</w:t>
      </w:r>
      <w:r w:rsidR="008441F5" w:rsidRPr="00C51D17">
        <w:rPr>
          <w:w w:val="100"/>
        </w:rPr>
        <w:t> </w:t>
      </w:r>
      <w:r w:rsidRPr="00C51D17">
        <w:rPr>
          <w:w w:val="100"/>
        </w:rPr>
        <w:t>4 de 2009 a été abolie dans la nouvelle loi.</w:t>
      </w:r>
    </w:p>
    <w:p w14:paraId="5870F3DE" w14:textId="00486F15" w:rsidR="008248B7" w:rsidRPr="00C51D17" w:rsidRDefault="008248B7" w:rsidP="008248B7">
      <w:pPr>
        <w:pStyle w:val="SingleTxt"/>
        <w:spacing w:after="0" w:line="120" w:lineRule="exact"/>
        <w:rPr>
          <w:w w:val="100"/>
          <w:sz w:val="10"/>
        </w:rPr>
      </w:pPr>
    </w:p>
    <w:p w14:paraId="6607231A" w14:textId="7BB1F87A" w:rsidR="00646413" w:rsidRPr="00C51D17" w:rsidRDefault="00033B27" w:rsidP="00033B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Obligation pour l</w:t>
      </w:r>
      <w:r w:rsidR="00723345" w:rsidRPr="00C51D17">
        <w:rPr>
          <w:w w:val="100"/>
        </w:rPr>
        <w:t>’</w:t>
      </w:r>
      <w:r w:rsidR="00646413" w:rsidRPr="00C51D17">
        <w:rPr>
          <w:w w:val="100"/>
        </w:rPr>
        <w:t>employeur de présenter une garantie bancaire</w:t>
      </w:r>
    </w:p>
    <w:p w14:paraId="4F8076B8" w14:textId="0E575374" w:rsidR="00033B27" w:rsidRPr="00C51D17" w:rsidRDefault="00033B27" w:rsidP="00033B27">
      <w:pPr>
        <w:pStyle w:val="SingleTxt"/>
        <w:spacing w:after="0" w:line="120" w:lineRule="exact"/>
        <w:rPr>
          <w:sz w:val="10"/>
        </w:rPr>
      </w:pPr>
    </w:p>
    <w:p w14:paraId="11871EBF" w14:textId="1464FA73" w:rsidR="00033B27" w:rsidRPr="00C51D17" w:rsidRDefault="00646413" w:rsidP="00033B27">
      <w:pPr>
        <w:pStyle w:val="SingleTxt"/>
        <w:numPr>
          <w:ilvl w:val="0"/>
          <w:numId w:val="72"/>
        </w:numPr>
        <w:spacing w:line="240" w:lineRule="exact"/>
        <w:ind w:left="1267"/>
        <w:rPr>
          <w:w w:val="100"/>
          <w:u w:val="single"/>
        </w:rPr>
      </w:pPr>
      <w:r w:rsidRPr="00C51D17">
        <w:rPr>
          <w:w w:val="100"/>
        </w:rPr>
        <w:t>Aux termes de l</w:t>
      </w:r>
      <w:r w:rsidR="00723345" w:rsidRPr="00C51D17">
        <w:rPr>
          <w:w w:val="100"/>
        </w:rPr>
        <w:t>’</w:t>
      </w:r>
      <w:r w:rsidRPr="00C51D17">
        <w:rPr>
          <w:w w:val="100"/>
        </w:rPr>
        <w:t>article 20 de la loi n</w:t>
      </w:r>
      <w:r w:rsidR="008441F5" w:rsidRPr="00C51D17">
        <w:rPr>
          <w:w w:val="100"/>
          <w:vertAlign w:val="superscript"/>
        </w:rPr>
        <w:t>o</w:t>
      </w:r>
      <w:r w:rsidR="008441F5" w:rsidRPr="00C51D17">
        <w:rPr>
          <w:w w:val="100"/>
        </w:rPr>
        <w:t> </w:t>
      </w:r>
      <w:r w:rsidRPr="00C51D17">
        <w:rPr>
          <w:w w:val="100"/>
        </w:rPr>
        <w:t>21, l</w:t>
      </w:r>
      <w:r w:rsidR="00723345" w:rsidRPr="00C51D17">
        <w:rPr>
          <w:w w:val="100"/>
        </w:rPr>
        <w:t>’</w:t>
      </w:r>
      <w:r w:rsidRPr="00C51D17">
        <w:rPr>
          <w:w w:val="100"/>
        </w:rPr>
        <w:t>employeur est tenu de fournir une garantie bancaire, afin de s</w:t>
      </w:r>
      <w:r w:rsidR="00723345" w:rsidRPr="00C51D17">
        <w:rPr>
          <w:w w:val="100"/>
        </w:rPr>
        <w:t>’</w:t>
      </w:r>
      <w:r w:rsidRPr="00C51D17">
        <w:rPr>
          <w:w w:val="100"/>
        </w:rPr>
        <w:t>assurer qu</w:t>
      </w:r>
      <w:r w:rsidR="00723345" w:rsidRPr="00C51D17">
        <w:rPr>
          <w:w w:val="100"/>
        </w:rPr>
        <w:t>’</w:t>
      </w:r>
      <w:r w:rsidRPr="00C51D17">
        <w:rPr>
          <w:w w:val="100"/>
        </w:rPr>
        <w:t>il respecte l</w:t>
      </w:r>
      <w:r w:rsidR="00723345" w:rsidRPr="00C51D17">
        <w:rPr>
          <w:w w:val="100"/>
        </w:rPr>
        <w:t>’</w:t>
      </w:r>
      <w:r w:rsidRPr="00C51D17">
        <w:rPr>
          <w:w w:val="100"/>
        </w:rPr>
        <w:t>ensemble de ses obligations à l</w:t>
      </w:r>
      <w:r w:rsidR="00723345" w:rsidRPr="00C51D17">
        <w:rPr>
          <w:w w:val="100"/>
        </w:rPr>
        <w:t>’</w:t>
      </w:r>
      <w:r w:rsidRPr="00C51D17">
        <w:rPr>
          <w:w w:val="100"/>
        </w:rPr>
        <w:t>égard du travailleur migrant. Cette obligation a considérablement renforcé les droits financiers des travailleurs migrants.</w:t>
      </w:r>
    </w:p>
    <w:p w14:paraId="006E5569" w14:textId="23CF56C4" w:rsidR="00033B27" w:rsidRPr="00C51D17" w:rsidRDefault="00033B27" w:rsidP="00033B27">
      <w:pPr>
        <w:pStyle w:val="SingleTxt"/>
        <w:spacing w:after="0" w:line="120" w:lineRule="exact"/>
        <w:rPr>
          <w:w w:val="100"/>
          <w:sz w:val="10"/>
        </w:rPr>
      </w:pPr>
    </w:p>
    <w:p w14:paraId="6F0905DD" w14:textId="00E8D38A" w:rsidR="00646413" w:rsidRPr="00C51D17" w:rsidRDefault="00033B27" w:rsidP="00033B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Aggravation de la sanction en cas de confiscation des passeports et cartes d</w:t>
      </w:r>
      <w:r w:rsidR="00723345" w:rsidRPr="00C51D17">
        <w:rPr>
          <w:w w:val="100"/>
        </w:rPr>
        <w:t>’</w:t>
      </w:r>
      <w:r w:rsidR="00646413" w:rsidRPr="00C51D17">
        <w:rPr>
          <w:w w:val="100"/>
        </w:rPr>
        <w:t>identité</w:t>
      </w:r>
    </w:p>
    <w:p w14:paraId="4846406E" w14:textId="4A22A59C" w:rsidR="00033B27" w:rsidRPr="00C51D17" w:rsidRDefault="00033B27" w:rsidP="00033B27">
      <w:pPr>
        <w:pStyle w:val="SingleTxt"/>
        <w:spacing w:after="0" w:line="120" w:lineRule="exact"/>
        <w:rPr>
          <w:sz w:val="10"/>
        </w:rPr>
      </w:pPr>
    </w:p>
    <w:p w14:paraId="4832DDE1" w14:textId="2BA68A3B" w:rsidR="00646413" w:rsidRPr="00C51D17" w:rsidRDefault="00646413" w:rsidP="00033B27">
      <w:pPr>
        <w:pStyle w:val="SingleTxt"/>
        <w:numPr>
          <w:ilvl w:val="0"/>
          <w:numId w:val="72"/>
        </w:numPr>
        <w:spacing w:line="240" w:lineRule="exact"/>
        <w:ind w:left="1267"/>
        <w:rPr>
          <w:w w:val="100"/>
        </w:rPr>
      </w:pPr>
      <w:r w:rsidRPr="00C51D17">
        <w:rPr>
          <w:w w:val="100"/>
        </w:rPr>
        <w:t>L</w:t>
      </w:r>
      <w:r w:rsidR="00723345" w:rsidRPr="00C51D17">
        <w:rPr>
          <w:w w:val="100"/>
        </w:rPr>
        <w:t>’</w:t>
      </w:r>
      <w:r w:rsidRPr="00C51D17">
        <w:rPr>
          <w:w w:val="100"/>
        </w:rPr>
        <w:t>article 8 de la loi n</w:t>
      </w:r>
      <w:r w:rsidR="005D0529" w:rsidRPr="00C51D17">
        <w:rPr>
          <w:w w:val="100"/>
          <w:vertAlign w:val="superscript"/>
        </w:rPr>
        <w:t>o</w:t>
      </w:r>
      <w:r w:rsidR="005D0529" w:rsidRPr="00C51D17">
        <w:rPr>
          <w:w w:val="100"/>
        </w:rPr>
        <w:t> </w:t>
      </w:r>
      <w:r w:rsidRPr="00C51D17">
        <w:rPr>
          <w:w w:val="100"/>
        </w:rPr>
        <w:t>21 fait obligation à l</w:t>
      </w:r>
      <w:r w:rsidR="00723345" w:rsidRPr="00C51D17">
        <w:rPr>
          <w:w w:val="100"/>
        </w:rPr>
        <w:t>’</w:t>
      </w:r>
      <w:r w:rsidRPr="00C51D17">
        <w:rPr>
          <w:w w:val="100"/>
        </w:rPr>
        <w:t>employeur de rendre au travailleur son passeport ou document de voyage une fois accomplies les formalités d</w:t>
      </w:r>
      <w:r w:rsidR="00723345" w:rsidRPr="00C51D17">
        <w:rPr>
          <w:w w:val="100"/>
        </w:rPr>
        <w:t>’</w:t>
      </w:r>
      <w:r w:rsidRPr="00C51D17">
        <w:rPr>
          <w:w w:val="100"/>
        </w:rPr>
        <w:t>obtention ou de renouvellement du permis de résidence. Conformément à l</w:t>
      </w:r>
      <w:r w:rsidR="00723345" w:rsidRPr="00C51D17">
        <w:rPr>
          <w:w w:val="100"/>
        </w:rPr>
        <w:t>’</w:t>
      </w:r>
      <w:r w:rsidRPr="00C51D17">
        <w:rPr>
          <w:w w:val="100"/>
        </w:rPr>
        <w:t>article 39 de la loi, la confiscation du passeport ou du document de voyage est une infraction punie d</w:t>
      </w:r>
      <w:r w:rsidR="00723345" w:rsidRPr="00C51D17">
        <w:rPr>
          <w:w w:val="100"/>
        </w:rPr>
        <w:t>’</w:t>
      </w:r>
      <w:r w:rsidRPr="00C51D17">
        <w:rPr>
          <w:w w:val="100"/>
        </w:rPr>
        <w:t>une amende pouvant aller jusqu</w:t>
      </w:r>
      <w:r w:rsidR="00723345" w:rsidRPr="00C51D17">
        <w:rPr>
          <w:w w:val="100"/>
        </w:rPr>
        <w:t>’</w:t>
      </w:r>
      <w:r w:rsidRPr="00C51D17">
        <w:rPr>
          <w:w w:val="100"/>
        </w:rPr>
        <w:t>à 25 000 riyals. Cette sanction est aggravée par rapport à celle qu</w:t>
      </w:r>
      <w:r w:rsidR="00723345" w:rsidRPr="00C51D17">
        <w:rPr>
          <w:w w:val="100"/>
        </w:rPr>
        <w:t>’</w:t>
      </w:r>
      <w:r w:rsidRPr="00C51D17">
        <w:rPr>
          <w:w w:val="100"/>
        </w:rPr>
        <w:t>avait prévu l</w:t>
      </w:r>
      <w:r w:rsidR="00723345" w:rsidRPr="00C51D17">
        <w:rPr>
          <w:w w:val="100"/>
        </w:rPr>
        <w:t>’</w:t>
      </w:r>
      <w:r w:rsidRPr="00C51D17">
        <w:rPr>
          <w:w w:val="100"/>
        </w:rPr>
        <w:t>article 52 de la loi n</w:t>
      </w:r>
      <w:r w:rsidR="005D0529" w:rsidRPr="00C51D17">
        <w:rPr>
          <w:w w:val="100"/>
          <w:vertAlign w:val="superscript"/>
        </w:rPr>
        <w:t>o</w:t>
      </w:r>
      <w:r w:rsidR="005D0529" w:rsidRPr="00C51D17">
        <w:rPr>
          <w:w w:val="100"/>
        </w:rPr>
        <w:t> </w:t>
      </w:r>
      <w:r w:rsidRPr="00C51D17">
        <w:rPr>
          <w:w w:val="100"/>
        </w:rPr>
        <w:t>4 de 2009, qui était de 10 000 riyals au maximum.</w:t>
      </w:r>
    </w:p>
    <w:p w14:paraId="5F8798EB" w14:textId="7002550C" w:rsidR="00033B27" w:rsidRPr="00C51D17" w:rsidRDefault="00033B27" w:rsidP="00033B27">
      <w:pPr>
        <w:pStyle w:val="SingleTxt"/>
        <w:spacing w:after="0" w:line="120" w:lineRule="exact"/>
        <w:rPr>
          <w:w w:val="100"/>
          <w:sz w:val="10"/>
        </w:rPr>
      </w:pPr>
    </w:p>
    <w:p w14:paraId="6276DE79" w14:textId="2F11D5BF" w:rsidR="00646413" w:rsidRPr="00C51D17" w:rsidRDefault="00033B27" w:rsidP="00033B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Validité des dispositions de la loi n</w:t>
      </w:r>
      <w:r w:rsidR="005D0529" w:rsidRPr="00C51D17">
        <w:rPr>
          <w:w w:val="100"/>
          <w:vertAlign w:val="superscript"/>
        </w:rPr>
        <w:t>o</w:t>
      </w:r>
      <w:r w:rsidR="005D0529" w:rsidRPr="00C51D17">
        <w:rPr>
          <w:w w:val="100"/>
        </w:rPr>
        <w:t> </w:t>
      </w:r>
      <w:r w:rsidR="00646413" w:rsidRPr="00C51D17">
        <w:rPr>
          <w:w w:val="100"/>
        </w:rPr>
        <w:t xml:space="preserve">21 de 2015 amendée concernant les travailleurs domestiques </w:t>
      </w:r>
    </w:p>
    <w:p w14:paraId="650EAF36" w14:textId="7F64A6EB" w:rsidR="00033B27" w:rsidRPr="00C51D17" w:rsidRDefault="00033B27" w:rsidP="00033B27">
      <w:pPr>
        <w:pStyle w:val="SingleTxt"/>
        <w:spacing w:after="0" w:line="120" w:lineRule="exact"/>
        <w:rPr>
          <w:sz w:val="10"/>
        </w:rPr>
      </w:pPr>
    </w:p>
    <w:p w14:paraId="0541AAB7" w14:textId="061D62AA" w:rsidR="00646413" w:rsidRPr="00C51D17" w:rsidRDefault="00646413" w:rsidP="00033B27">
      <w:pPr>
        <w:pStyle w:val="SingleTxt"/>
        <w:numPr>
          <w:ilvl w:val="0"/>
          <w:numId w:val="72"/>
        </w:numPr>
        <w:spacing w:line="240" w:lineRule="exact"/>
        <w:ind w:left="1267"/>
        <w:rPr>
          <w:w w:val="100"/>
        </w:rPr>
      </w:pPr>
      <w:r w:rsidRPr="00C51D17">
        <w:rPr>
          <w:w w:val="100"/>
        </w:rPr>
        <w:t>Toutes les dispositions de cette loi s</w:t>
      </w:r>
      <w:r w:rsidR="00723345" w:rsidRPr="00C51D17">
        <w:rPr>
          <w:w w:val="100"/>
        </w:rPr>
        <w:t>’</w:t>
      </w:r>
      <w:r w:rsidRPr="00C51D17">
        <w:rPr>
          <w:w w:val="100"/>
        </w:rPr>
        <w:t>appliquent sans distinction aux travailleurs domestiques, y compris celles qui concernent le droit de changer d</w:t>
      </w:r>
      <w:r w:rsidR="00723345" w:rsidRPr="00C51D17">
        <w:rPr>
          <w:w w:val="100"/>
        </w:rPr>
        <w:t>’</w:t>
      </w:r>
      <w:r w:rsidRPr="00C51D17">
        <w:rPr>
          <w:w w:val="100"/>
        </w:rPr>
        <w:t>employeur, la liberté de quitter le pays et l</w:t>
      </w:r>
      <w:r w:rsidR="00723345" w:rsidRPr="00C51D17">
        <w:rPr>
          <w:w w:val="100"/>
        </w:rPr>
        <w:t>’</w:t>
      </w:r>
      <w:r w:rsidRPr="00C51D17">
        <w:rPr>
          <w:w w:val="100"/>
        </w:rPr>
        <w:t>interdiction de la confiscation des passeports.</w:t>
      </w:r>
    </w:p>
    <w:p w14:paraId="195F56BD" w14:textId="798F5AC3" w:rsidR="00033B27" w:rsidRPr="00C51D17" w:rsidRDefault="00033B27" w:rsidP="00033B27">
      <w:pPr>
        <w:pStyle w:val="SingleTxt"/>
        <w:spacing w:after="0" w:line="120" w:lineRule="exact"/>
        <w:rPr>
          <w:w w:val="100"/>
          <w:sz w:val="10"/>
        </w:rPr>
      </w:pPr>
    </w:p>
    <w:p w14:paraId="433EF164" w14:textId="3CC694B9" w:rsidR="00646413" w:rsidRPr="00C51D17" w:rsidRDefault="00033B27" w:rsidP="00033B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Obligation de conclure un contrat de travail entre le travailleur et l</w:t>
      </w:r>
      <w:r w:rsidR="00723345" w:rsidRPr="00C51D17">
        <w:rPr>
          <w:w w:val="100"/>
        </w:rPr>
        <w:t>’</w:t>
      </w:r>
      <w:r w:rsidR="00646413" w:rsidRPr="00C51D17">
        <w:rPr>
          <w:w w:val="100"/>
        </w:rPr>
        <w:t>employeur</w:t>
      </w:r>
      <w:r w:rsidRPr="00C51D17">
        <w:rPr>
          <w:w w:val="100"/>
        </w:rPr>
        <w:br/>
      </w:r>
      <w:r w:rsidR="00646413" w:rsidRPr="00C51D17">
        <w:rPr>
          <w:w w:val="100"/>
        </w:rPr>
        <w:t xml:space="preserve"> pour obtenir un visa d</w:t>
      </w:r>
      <w:r w:rsidR="00723345" w:rsidRPr="00C51D17">
        <w:rPr>
          <w:w w:val="100"/>
        </w:rPr>
        <w:t>’</w:t>
      </w:r>
      <w:r w:rsidR="00646413" w:rsidRPr="00C51D17">
        <w:rPr>
          <w:w w:val="100"/>
        </w:rPr>
        <w:t>entrée</w:t>
      </w:r>
    </w:p>
    <w:p w14:paraId="6ED6CE4F" w14:textId="41B5900E" w:rsidR="00033B27" w:rsidRPr="00C51D17" w:rsidRDefault="00033B27" w:rsidP="00033B27">
      <w:pPr>
        <w:pStyle w:val="SingleTxt"/>
        <w:spacing w:after="0" w:line="120" w:lineRule="exact"/>
        <w:rPr>
          <w:sz w:val="10"/>
        </w:rPr>
      </w:pPr>
    </w:p>
    <w:p w14:paraId="60BF6B08" w14:textId="5886EC3F" w:rsidR="00646413" w:rsidRPr="00C51D17" w:rsidRDefault="00646413" w:rsidP="00033B27">
      <w:pPr>
        <w:pStyle w:val="SingleTxt"/>
        <w:numPr>
          <w:ilvl w:val="0"/>
          <w:numId w:val="72"/>
        </w:numPr>
        <w:spacing w:line="240" w:lineRule="exact"/>
        <w:ind w:left="1267"/>
        <w:rPr>
          <w:w w:val="100"/>
        </w:rPr>
      </w:pPr>
      <w:r w:rsidRPr="00C51D17">
        <w:rPr>
          <w:w w:val="100"/>
        </w:rPr>
        <w:t>L</w:t>
      </w:r>
      <w:r w:rsidR="00723345" w:rsidRPr="00C51D17">
        <w:rPr>
          <w:w w:val="100"/>
        </w:rPr>
        <w:t>’</w:t>
      </w:r>
      <w:r w:rsidRPr="00C51D17">
        <w:rPr>
          <w:w w:val="100"/>
        </w:rPr>
        <w:t>article 4 de la loi dispose qu</w:t>
      </w:r>
      <w:r w:rsidR="00723345" w:rsidRPr="00C51D17">
        <w:rPr>
          <w:w w:val="100"/>
        </w:rPr>
        <w:t>’</w:t>
      </w:r>
      <w:r w:rsidRPr="00C51D17">
        <w:rPr>
          <w:w w:val="100"/>
        </w:rPr>
        <w:t>aucun visa d</w:t>
      </w:r>
      <w:r w:rsidR="00723345" w:rsidRPr="00C51D17">
        <w:rPr>
          <w:w w:val="100"/>
        </w:rPr>
        <w:t>’</w:t>
      </w:r>
      <w:r w:rsidRPr="00C51D17">
        <w:rPr>
          <w:w w:val="100"/>
        </w:rPr>
        <w:t>entrée n</w:t>
      </w:r>
      <w:r w:rsidR="00723345" w:rsidRPr="00C51D17">
        <w:rPr>
          <w:w w:val="100"/>
        </w:rPr>
        <w:t>’</w:t>
      </w:r>
      <w:r w:rsidRPr="00C51D17">
        <w:rPr>
          <w:w w:val="100"/>
        </w:rPr>
        <w:t>est accordé à un travailleur étranger venu à la recherche d</w:t>
      </w:r>
      <w:r w:rsidR="00723345" w:rsidRPr="00C51D17">
        <w:rPr>
          <w:w w:val="100"/>
        </w:rPr>
        <w:t>’</w:t>
      </w:r>
      <w:r w:rsidRPr="00C51D17">
        <w:rPr>
          <w:w w:val="100"/>
        </w:rPr>
        <w:t>un emploi, à moins qu</w:t>
      </w:r>
      <w:r w:rsidR="00723345" w:rsidRPr="00C51D17">
        <w:rPr>
          <w:w w:val="100"/>
        </w:rPr>
        <w:t>’</w:t>
      </w:r>
      <w:r w:rsidRPr="00C51D17">
        <w:rPr>
          <w:w w:val="100"/>
        </w:rPr>
        <w:t>un contrat de travail ait été conclu avec son employeur et approuvé et certifié par les autorités compétentes du pays conformément aux conditions et règles en vigueur. Ce contrat protège le travailleur contre toute faute, y compris le fait de signer un contrat dans le pays émetteur, puis d</w:t>
      </w:r>
      <w:r w:rsidR="00723345" w:rsidRPr="00C51D17">
        <w:rPr>
          <w:w w:val="100"/>
        </w:rPr>
        <w:t>’</w:t>
      </w:r>
      <w:r w:rsidRPr="00C51D17">
        <w:rPr>
          <w:w w:val="100"/>
        </w:rPr>
        <w:t>y substituer un autre contrat à l</w:t>
      </w:r>
      <w:r w:rsidR="00723345" w:rsidRPr="00C51D17">
        <w:rPr>
          <w:w w:val="100"/>
        </w:rPr>
        <w:t>’</w:t>
      </w:r>
      <w:r w:rsidRPr="00C51D17">
        <w:rPr>
          <w:w w:val="100"/>
        </w:rPr>
        <w:t>arrivée du travailleur au Qatar.</w:t>
      </w:r>
    </w:p>
    <w:p w14:paraId="63DF07A7" w14:textId="7E358F9E" w:rsidR="00212510" w:rsidRPr="00C51D17" w:rsidRDefault="00212510" w:rsidP="00212510">
      <w:pPr>
        <w:pStyle w:val="SingleTxt"/>
        <w:spacing w:after="0" w:line="120" w:lineRule="exact"/>
        <w:rPr>
          <w:w w:val="100"/>
          <w:sz w:val="10"/>
        </w:rPr>
      </w:pPr>
    </w:p>
    <w:p w14:paraId="2A7A0CB7" w14:textId="4B22029B" w:rsidR="00646413" w:rsidRPr="00C51D17" w:rsidRDefault="00212510" w:rsidP="002125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Facilités accordées par le Gouvernement pour changer d</w:t>
      </w:r>
      <w:r w:rsidR="00723345" w:rsidRPr="00C51D17">
        <w:rPr>
          <w:w w:val="100"/>
        </w:rPr>
        <w:t>’</w:t>
      </w:r>
      <w:r w:rsidR="00646413" w:rsidRPr="00C51D17">
        <w:rPr>
          <w:w w:val="100"/>
        </w:rPr>
        <w:t>employeur</w:t>
      </w:r>
    </w:p>
    <w:p w14:paraId="54A9ED56" w14:textId="1602D243" w:rsidR="00212510" w:rsidRPr="00C51D17" w:rsidRDefault="00212510" w:rsidP="00212510">
      <w:pPr>
        <w:pStyle w:val="SingleTxt"/>
        <w:spacing w:after="0" w:line="120" w:lineRule="exact"/>
        <w:rPr>
          <w:sz w:val="10"/>
        </w:rPr>
      </w:pPr>
    </w:p>
    <w:p w14:paraId="27469728" w14:textId="7367E80F" w:rsidR="00646413" w:rsidRPr="00C51D17" w:rsidRDefault="00212510" w:rsidP="00212510">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Gouvernement a levé les restrictions sur le changement d</w:t>
      </w:r>
      <w:r w:rsidR="00723345" w:rsidRPr="00C51D17">
        <w:rPr>
          <w:w w:val="100"/>
        </w:rPr>
        <w:t>’</w:t>
      </w:r>
      <w:r w:rsidR="00646413" w:rsidRPr="00C51D17">
        <w:rPr>
          <w:w w:val="100"/>
        </w:rPr>
        <w:t>employeur, qui avaient été imposées aux travailleurs migrants ayant bénéficié de permis de travail pour des projets particuliers, que l</w:t>
      </w:r>
      <w:r w:rsidR="00723345" w:rsidRPr="00C51D17">
        <w:rPr>
          <w:w w:val="100"/>
        </w:rPr>
        <w:t>’</w:t>
      </w:r>
      <w:r w:rsidR="00646413" w:rsidRPr="00C51D17">
        <w:rPr>
          <w:w w:val="100"/>
        </w:rPr>
        <w:t>on dénommait permis restreints. Aujourd</w:t>
      </w:r>
      <w:r w:rsidR="00723345" w:rsidRPr="00C51D17">
        <w:rPr>
          <w:w w:val="100"/>
        </w:rPr>
        <w:t>’</w:t>
      </w:r>
      <w:r w:rsidR="00646413" w:rsidRPr="00C51D17">
        <w:rPr>
          <w:w w:val="100"/>
        </w:rPr>
        <w:t>hui, les travailleurs auxquels ont été délivrés des permis liés à un projet particulier ont le droit de changer d</w:t>
      </w:r>
      <w:r w:rsidR="00723345" w:rsidRPr="00C51D17">
        <w:rPr>
          <w:w w:val="100"/>
        </w:rPr>
        <w:t>’</w:t>
      </w:r>
      <w:r w:rsidR="00646413" w:rsidRPr="00C51D17">
        <w:rPr>
          <w:w w:val="100"/>
        </w:rPr>
        <w:t>employeur pour peu qu</w:t>
      </w:r>
      <w:r w:rsidR="00723345" w:rsidRPr="00C51D17">
        <w:rPr>
          <w:w w:val="100"/>
        </w:rPr>
        <w:t>’</w:t>
      </w:r>
      <w:r w:rsidR="00646413" w:rsidRPr="00C51D17">
        <w:rPr>
          <w:w w:val="100"/>
        </w:rPr>
        <w:t>ils remplissent les autres conditions en vigueur</w:t>
      </w:r>
      <w:r w:rsidR="0012596A" w:rsidRPr="00C51D17">
        <w:rPr>
          <w:w w:val="100"/>
        </w:rPr>
        <w:t> ;</w:t>
      </w:r>
    </w:p>
    <w:p w14:paraId="5A21A8BB" w14:textId="2FA9C7C8" w:rsidR="00646413" w:rsidRPr="00C51D17" w:rsidRDefault="00212510" w:rsidP="00212510">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Gouvernement n</w:t>
      </w:r>
      <w:r w:rsidR="00723345" w:rsidRPr="00C51D17">
        <w:rPr>
          <w:w w:val="100"/>
        </w:rPr>
        <w:t>’</w:t>
      </w:r>
      <w:r w:rsidR="00646413" w:rsidRPr="00C51D17">
        <w:rPr>
          <w:w w:val="100"/>
        </w:rPr>
        <w:t>a émis aucune restriction ou condition au changement d</w:t>
      </w:r>
      <w:r w:rsidR="00723345" w:rsidRPr="00C51D17">
        <w:rPr>
          <w:w w:val="100"/>
        </w:rPr>
        <w:t>’</w:t>
      </w:r>
      <w:r w:rsidR="00646413" w:rsidRPr="00C51D17">
        <w:rPr>
          <w:w w:val="100"/>
        </w:rPr>
        <w:t>employeur, si ce n</w:t>
      </w:r>
      <w:r w:rsidR="00723345" w:rsidRPr="00C51D17">
        <w:rPr>
          <w:w w:val="100"/>
        </w:rPr>
        <w:t>’</w:t>
      </w:r>
      <w:r w:rsidR="00646413" w:rsidRPr="00C51D17">
        <w:rPr>
          <w:w w:val="100"/>
        </w:rPr>
        <w:t>est le fait de s</w:t>
      </w:r>
      <w:r w:rsidR="00723345" w:rsidRPr="00C51D17">
        <w:rPr>
          <w:w w:val="100"/>
        </w:rPr>
        <w:t>’</w:t>
      </w:r>
      <w:r w:rsidR="00646413" w:rsidRPr="00C51D17">
        <w:rPr>
          <w:w w:val="100"/>
        </w:rPr>
        <w:t>assurer que le nouvel employeur répond aux dispositions définies dans le Code du travail</w:t>
      </w:r>
      <w:r w:rsidR="0012596A" w:rsidRPr="00C51D17">
        <w:rPr>
          <w:w w:val="100"/>
        </w:rPr>
        <w:t> ;</w:t>
      </w:r>
    </w:p>
    <w:p w14:paraId="5852E78C" w14:textId="1F622238" w:rsidR="00646413" w:rsidRPr="00C51D17" w:rsidRDefault="00212510" w:rsidP="00212510">
      <w:pPr>
        <w:pStyle w:val="SingleTxt"/>
        <w:tabs>
          <w:tab w:val="right" w:pos="1685"/>
        </w:tabs>
        <w:ind w:left="1742" w:hanging="475"/>
        <w:rPr>
          <w:w w:val="100"/>
        </w:rPr>
      </w:pPr>
      <w:r w:rsidRPr="00C51D17">
        <w:rPr>
          <w:w w:val="100"/>
        </w:rPr>
        <w:tab/>
        <w:t>•</w:t>
      </w:r>
      <w:r w:rsidRPr="00C51D17">
        <w:rPr>
          <w:w w:val="100"/>
        </w:rPr>
        <w:tab/>
      </w:r>
      <w:r w:rsidR="00646413" w:rsidRPr="00C51D17">
        <w:rPr>
          <w:w w:val="100"/>
        </w:rPr>
        <w:t>Un bureau a été créé pour suivre et examiner les procédures concernant les travailleurs migrants qui souhaitent changer d</w:t>
      </w:r>
      <w:r w:rsidR="00723345" w:rsidRPr="00C51D17">
        <w:rPr>
          <w:w w:val="100"/>
        </w:rPr>
        <w:t>’</w:t>
      </w:r>
      <w:r w:rsidR="00646413" w:rsidRPr="00C51D17">
        <w:rPr>
          <w:w w:val="100"/>
        </w:rPr>
        <w:t>employeur.</w:t>
      </w:r>
    </w:p>
    <w:p w14:paraId="5D6FA4B5" w14:textId="1F0E90AB" w:rsidR="00843D20" w:rsidRPr="00C51D17" w:rsidRDefault="00843D20" w:rsidP="00843D20">
      <w:pPr>
        <w:pStyle w:val="SingleTxt"/>
        <w:tabs>
          <w:tab w:val="right" w:pos="1685"/>
        </w:tabs>
        <w:spacing w:after="0" w:line="120" w:lineRule="exact"/>
        <w:ind w:left="1742" w:hanging="475"/>
        <w:rPr>
          <w:w w:val="100"/>
          <w:sz w:val="10"/>
        </w:rPr>
      </w:pPr>
    </w:p>
    <w:p w14:paraId="7F89C8FC" w14:textId="12C77AAA" w:rsidR="00646413" w:rsidRPr="00C51D17" w:rsidRDefault="00843D20" w:rsidP="00843D2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rPr>
      </w:pPr>
      <w:r w:rsidRPr="00C51D17">
        <w:rPr>
          <w:w w:val="100"/>
        </w:rPr>
        <w:tab/>
      </w:r>
      <w:r w:rsidRPr="00C51D17">
        <w:rPr>
          <w:w w:val="100"/>
        </w:rPr>
        <w:tab/>
      </w:r>
      <w:r w:rsidR="00646413" w:rsidRPr="00C51D17">
        <w:rPr>
          <w:w w:val="100"/>
        </w:rPr>
        <w:t>Procédures concernant le changement d</w:t>
      </w:r>
      <w:r w:rsidR="00723345" w:rsidRPr="00C51D17">
        <w:rPr>
          <w:w w:val="100"/>
        </w:rPr>
        <w:t>’</w:t>
      </w:r>
      <w:r w:rsidR="00646413" w:rsidRPr="00C51D17">
        <w:rPr>
          <w:w w:val="100"/>
        </w:rPr>
        <w:t xml:space="preserve">employeur </w:t>
      </w:r>
    </w:p>
    <w:p w14:paraId="3B8161E3" w14:textId="6D95226B" w:rsidR="00843D20" w:rsidRPr="00C51D17" w:rsidRDefault="00843D20" w:rsidP="00843D20">
      <w:pPr>
        <w:pStyle w:val="SingleTxt"/>
        <w:spacing w:after="0" w:line="120" w:lineRule="exact"/>
        <w:rPr>
          <w:sz w:val="10"/>
        </w:rPr>
      </w:pPr>
    </w:p>
    <w:p w14:paraId="63F077A9" w14:textId="4FEBD850" w:rsidR="00646413" w:rsidRPr="00C51D17" w:rsidRDefault="00646413" w:rsidP="00843D20">
      <w:pPr>
        <w:pStyle w:val="SingleTxt"/>
        <w:numPr>
          <w:ilvl w:val="0"/>
          <w:numId w:val="72"/>
        </w:numPr>
        <w:spacing w:line="240" w:lineRule="exact"/>
        <w:ind w:left="1267"/>
        <w:rPr>
          <w:w w:val="100"/>
        </w:rPr>
      </w:pPr>
      <w:r w:rsidRPr="00C51D17">
        <w:rPr>
          <w:w w:val="100"/>
        </w:rPr>
        <w:t>Les travailleurs s</w:t>
      </w:r>
      <w:r w:rsidR="00723345" w:rsidRPr="00C51D17">
        <w:rPr>
          <w:w w:val="100"/>
        </w:rPr>
        <w:t>’</w:t>
      </w:r>
      <w:r w:rsidRPr="00C51D17">
        <w:rPr>
          <w:w w:val="100"/>
        </w:rPr>
        <w:t>inscrivent sur le site Web du Ministère de l</w:t>
      </w:r>
      <w:r w:rsidR="00723345" w:rsidRPr="00C51D17">
        <w:rPr>
          <w:w w:val="100"/>
        </w:rPr>
        <w:t>’</w:t>
      </w:r>
      <w:r w:rsidRPr="00C51D17">
        <w:rPr>
          <w:w w:val="100"/>
        </w:rPr>
        <w:t>intérieur en utilisant leur numéro d</w:t>
      </w:r>
      <w:r w:rsidR="00723345" w:rsidRPr="00C51D17">
        <w:rPr>
          <w:w w:val="100"/>
        </w:rPr>
        <w:t>’</w:t>
      </w:r>
      <w:r w:rsidRPr="00C51D17">
        <w:rPr>
          <w:w w:val="100"/>
        </w:rPr>
        <w:t>identification personnel. Ils accèdent ainsi au dispositif de notification électronique, qui contient les renseignements les concernant. Ce dispositif est relié aux bases de données du Ministère du développement administratif, du travail et des affaires sociales et du Ministère de l</w:t>
      </w:r>
      <w:r w:rsidR="00723345" w:rsidRPr="00C51D17">
        <w:rPr>
          <w:w w:val="100"/>
        </w:rPr>
        <w:t>’</w:t>
      </w:r>
      <w:r w:rsidRPr="00C51D17">
        <w:rPr>
          <w:w w:val="100"/>
        </w:rPr>
        <w:t>intérieur. Les travailleurs choisissent la raison de la notification – changement d</w:t>
      </w:r>
      <w:r w:rsidR="00723345" w:rsidRPr="00C51D17">
        <w:rPr>
          <w:w w:val="100"/>
        </w:rPr>
        <w:t>’</w:t>
      </w:r>
      <w:r w:rsidRPr="00C51D17">
        <w:rPr>
          <w:w w:val="100"/>
        </w:rPr>
        <w:t>employeur ou départ définitif du pays – puis joignent une copie certifiée du contrat de travail, ainsi que la preuve de l</w:t>
      </w:r>
      <w:r w:rsidR="00723345" w:rsidRPr="00C51D17">
        <w:rPr>
          <w:w w:val="100"/>
        </w:rPr>
        <w:t>’</w:t>
      </w:r>
      <w:r w:rsidRPr="00C51D17">
        <w:rPr>
          <w:w w:val="100"/>
        </w:rPr>
        <w:t>expiration de la relation contractuelle avec l</w:t>
      </w:r>
      <w:r w:rsidR="00723345" w:rsidRPr="00C51D17">
        <w:rPr>
          <w:w w:val="100"/>
        </w:rPr>
        <w:t>’</w:t>
      </w:r>
      <w:r w:rsidRPr="00C51D17">
        <w:rPr>
          <w:w w:val="100"/>
        </w:rPr>
        <w:t>employeur par consentement mutuel ou à cause d</w:t>
      </w:r>
      <w:r w:rsidR="00723345" w:rsidRPr="00C51D17">
        <w:rPr>
          <w:w w:val="100"/>
        </w:rPr>
        <w:t>’</w:t>
      </w:r>
      <w:r w:rsidRPr="00C51D17">
        <w:rPr>
          <w:w w:val="100"/>
        </w:rPr>
        <w:t>un abus de l</w:t>
      </w:r>
      <w:r w:rsidR="00723345" w:rsidRPr="00C51D17">
        <w:rPr>
          <w:w w:val="100"/>
        </w:rPr>
        <w:t>’</w:t>
      </w:r>
      <w:r w:rsidRPr="00C51D17">
        <w:rPr>
          <w:w w:val="100"/>
        </w:rPr>
        <w:t xml:space="preserve">employeur. Dans ce dernier cas, le Ministère du développement administratif, du travail et des affaires sociales assure le suivi de la demande du travailleur. </w:t>
      </w:r>
    </w:p>
    <w:p w14:paraId="1B2B8203" w14:textId="714D0FDF" w:rsidR="00646413" w:rsidRPr="00C51D17" w:rsidRDefault="00646413" w:rsidP="00350C01">
      <w:pPr>
        <w:pStyle w:val="SingleTxt"/>
        <w:numPr>
          <w:ilvl w:val="0"/>
          <w:numId w:val="72"/>
        </w:numPr>
        <w:spacing w:line="240" w:lineRule="exact"/>
        <w:ind w:left="1267"/>
        <w:rPr>
          <w:i/>
          <w:w w:val="100"/>
        </w:rPr>
      </w:pPr>
      <w:r w:rsidRPr="00C51D17">
        <w:rPr>
          <w:w w:val="100"/>
        </w:rPr>
        <w:t>Le Ministère du développement administratif, du travail et des affaires sociales a lancé un service de notification électronique que les travailleurs peuvent utiliser s</w:t>
      </w:r>
      <w:r w:rsidR="00723345" w:rsidRPr="00C51D17">
        <w:rPr>
          <w:w w:val="100"/>
        </w:rPr>
        <w:t>’</w:t>
      </w:r>
      <w:r w:rsidRPr="00C51D17">
        <w:rPr>
          <w:w w:val="100"/>
        </w:rPr>
        <w:t>ils changent d</w:t>
      </w:r>
      <w:r w:rsidR="00723345" w:rsidRPr="00C51D17">
        <w:rPr>
          <w:w w:val="100"/>
        </w:rPr>
        <w:t>’</w:t>
      </w:r>
      <w:r w:rsidRPr="00C51D17">
        <w:rPr>
          <w:w w:val="100"/>
        </w:rPr>
        <w:t>employeur ou s</w:t>
      </w:r>
      <w:r w:rsidR="00723345" w:rsidRPr="00C51D17">
        <w:rPr>
          <w:w w:val="100"/>
        </w:rPr>
        <w:t>’</w:t>
      </w:r>
      <w:r w:rsidRPr="00C51D17">
        <w:rPr>
          <w:w w:val="100"/>
        </w:rPr>
        <w:t>ils souhaitent quitter le pays définitivement.</w:t>
      </w:r>
    </w:p>
    <w:p w14:paraId="66CFC614" w14:textId="4BEEE407" w:rsidR="00CB7973" w:rsidRPr="00C51D17" w:rsidRDefault="00CB7973" w:rsidP="00CB7973">
      <w:pPr>
        <w:pStyle w:val="SingleTxt"/>
        <w:spacing w:after="0" w:line="120" w:lineRule="exact"/>
        <w:rPr>
          <w:w w:val="100"/>
          <w:sz w:val="10"/>
        </w:rPr>
      </w:pPr>
    </w:p>
    <w:p w14:paraId="6F276AFA" w14:textId="223B2581" w:rsidR="00646413" w:rsidRPr="00C51D17" w:rsidRDefault="00CB7973" w:rsidP="00CB7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 xml:space="preserve">Campagne de sensibilisation du Ministère du développement administratif, </w:t>
      </w:r>
      <w:r w:rsidRPr="00C51D17">
        <w:rPr>
          <w:w w:val="100"/>
        </w:rPr>
        <w:br/>
      </w:r>
      <w:r w:rsidR="00646413" w:rsidRPr="00C51D17">
        <w:rPr>
          <w:w w:val="100"/>
        </w:rPr>
        <w:t xml:space="preserve">du travail et des affaires sociales pour informer les travailleurs migrants </w:t>
      </w:r>
      <w:r w:rsidRPr="00C51D17">
        <w:rPr>
          <w:w w:val="100"/>
        </w:rPr>
        <w:br/>
      </w:r>
      <w:r w:rsidR="00646413" w:rsidRPr="00C51D17">
        <w:rPr>
          <w:w w:val="100"/>
        </w:rPr>
        <w:t>de leurs droits au titre de la nouvelle loi</w:t>
      </w:r>
    </w:p>
    <w:p w14:paraId="521A93F0" w14:textId="60AA425D" w:rsidR="00CB7973" w:rsidRPr="00C51D17" w:rsidRDefault="00CB7973" w:rsidP="00CB7973">
      <w:pPr>
        <w:pStyle w:val="SingleTxt"/>
        <w:spacing w:after="0" w:line="120" w:lineRule="exact"/>
        <w:rPr>
          <w:sz w:val="10"/>
        </w:rPr>
      </w:pPr>
    </w:p>
    <w:p w14:paraId="563FFA5F" w14:textId="6FE80094" w:rsidR="00646413" w:rsidRPr="00C51D17" w:rsidRDefault="00646413" w:rsidP="00CB7973">
      <w:pPr>
        <w:pStyle w:val="SingleTxt"/>
        <w:numPr>
          <w:ilvl w:val="0"/>
          <w:numId w:val="74"/>
        </w:numPr>
        <w:tabs>
          <w:tab w:val="num" w:pos="2804"/>
        </w:tabs>
        <w:spacing w:line="240" w:lineRule="exact"/>
        <w:ind w:left="1267"/>
        <w:rPr>
          <w:w w:val="100"/>
        </w:rPr>
      </w:pPr>
      <w:r w:rsidRPr="00C51D17">
        <w:rPr>
          <w:w w:val="100"/>
        </w:rPr>
        <w:t>Le Ministère du développement administratif, du travail et des affaires sociales a annoncé l</w:t>
      </w:r>
      <w:r w:rsidR="00723345" w:rsidRPr="00C51D17">
        <w:rPr>
          <w:w w:val="100"/>
        </w:rPr>
        <w:t>’</w:t>
      </w:r>
      <w:r w:rsidRPr="00C51D17">
        <w:rPr>
          <w:w w:val="100"/>
        </w:rPr>
        <w:t>organisation d</w:t>
      </w:r>
      <w:r w:rsidR="00723345" w:rsidRPr="00C51D17">
        <w:rPr>
          <w:w w:val="100"/>
        </w:rPr>
        <w:t>’</w:t>
      </w:r>
      <w:r w:rsidRPr="00C51D17">
        <w:rPr>
          <w:w w:val="100"/>
        </w:rPr>
        <w:t xml:space="preserve">une campagne de sensibilisation aux droits des travailleurs migrants, menée directement ou </w:t>
      </w:r>
      <w:r w:rsidR="006772E7" w:rsidRPr="00C51D17">
        <w:rPr>
          <w:w w:val="100"/>
        </w:rPr>
        <w:t>au moyen d</w:t>
      </w:r>
      <w:r w:rsidRPr="00C51D17">
        <w:rPr>
          <w:w w:val="100"/>
        </w:rPr>
        <w:t xml:space="preserve">es journaux, </w:t>
      </w:r>
      <w:r w:rsidR="006772E7" w:rsidRPr="00C51D17">
        <w:rPr>
          <w:w w:val="100"/>
        </w:rPr>
        <w:t xml:space="preserve">de </w:t>
      </w:r>
      <w:r w:rsidRPr="00C51D17">
        <w:rPr>
          <w:w w:val="100"/>
        </w:rPr>
        <w:t xml:space="preserve">la télévision et </w:t>
      </w:r>
      <w:r w:rsidR="006772E7" w:rsidRPr="00C51D17">
        <w:rPr>
          <w:w w:val="100"/>
        </w:rPr>
        <w:t>d</w:t>
      </w:r>
      <w:r w:rsidRPr="00C51D17">
        <w:rPr>
          <w:w w:val="100"/>
        </w:rPr>
        <w:t>es médias sociaux (comme Facebook et Twitter). Dans le cadre de l</w:t>
      </w:r>
      <w:r w:rsidR="00723345" w:rsidRPr="00C51D17">
        <w:rPr>
          <w:w w:val="100"/>
        </w:rPr>
        <w:t>’</w:t>
      </w:r>
      <w:r w:rsidRPr="00C51D17">
        <w:rPr>
          <w:w w:val="100"/>
        </w:rPr>
        <w:t>action en cours sur la sensibilisation aux dispositions de la loi n</w:t>
      </w:r>
      <w:r w:rsidR="00324972" w:rsidRPr="00C51D17">
        <w:rPr>
          <w:w w:val="100"/>
          <w:vertAlign w:val="superscript"/>
        </w:rPr>
        <w:t>o</w:t>
      </w:r>
      <w:r w:rsidR="00324972" w:rsidRPr="00C51D17">
        <w:rPr>
          <w:w w:val="100"/>
        </w:rPr>
        <w:t> </w:t>
      </w:r>
      <w:r w:rsidRPr="00C51D17">
        <w:rPr>
          <w:w w:val="100"/>
        </w:rPr>
        <w:t>21, le Ministère a organisé plusieurs ateliers pour informer les travailleurs migrants et les employeurs des droits et obligations qui leur incombent au titre de la loi.</w:t>
      </w:r>
    </w:p>
    <w:p w14:paraId="0313A6EE" w14:textId="77777777" w:rsidR="00CB7973" w:rsidRPr="00C51D17" w:rsidRDefault="00CB7973" w:rsidP="00CB7973">
      <w:pPr>
        <w:pStyle w:val="SingleTxt"/>
        <w:spacing w:after="0" w:line="120" w:lineRule="exact"/>
        <w:rPr>
          <w:w w:val="100"/>
          <w:sz w:val="10"/>
        </w:rPr>
      </w:pPr>
    </w:p>
    <w:p w14:paraId="6F74EA99" w14:textId="1CC6B1A4" w:rsidR="00646413" w:rsidRPr="00C51D17" w:rsidRDefault="00CB7973" w:rsidP="00CB7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 xml:space="preserve">Activités conduites par le Ministère du développement administratif, du travail </w:t>
      </w:r>
      <w:r w:rsidRPr="00C51D17">
        <w:rPr>
          <w:w w:val="100"/>
        </w:rPr>
        <w:br/>
      </w:r>
      <w:r w:rsidR="00646413" w:rsidRPr="00C51D17">
        <w:rPr>
          <w:w w:val="100"/>
        </w:rPr>
        <w:t xml:space="preserve">et des affaires sociales lors de la première étape de la campagne de sensibilisation </w:t>
      </w:r>
    </w:p>
    <w:p w14:paraId="6E2994F5" w14:textId="4C4476DC" w:rsidR="00CB7973" w:rsidRPr="00C51D17" w:rsidRDefault="00CB7973" w:rsidP="00CB7973">
      <w:pPr>
        <w:pStyle w:val="SingleTxt"/>
        <w:spacing w:after="0" w:line="120" w:lineRule="exact"/>
        <w:rPr>
          <w:sz w:val="10"/>
        </w:rPr>
      </w:pPr>
    </w:p>
    <w:p w14:paraId="7358D27C" w14:textId="38BF656D" w:rsidR="00646413" w:rsidRPr="00C51D17" w:rsidRDefault="00CB7973" w:rsidP="00CB7973">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Ministère de l</w:t>
      </w:r>
      <w:r w:rsidR="00723345" w:rsidRPr="00C51D17">
        <w:rPr>
          <w:w w:val="100"/>
        </w:rPr>
        <w:t>’</w:t>
      </w:r>
      <w:r w:rsidR="00646413" w:rsidRPr="00C51D17">
        <w:rPr>
          <w:w w:val="100"/>
        </w:rPr>
        <w:t>intérieur et le Ministère du développement administratif, du travail et des affaires sociales ont organisé, à l</w:t>
      </w:r>
      <w:r w:rsidR="00723345" w:rsidRPr="00C51D17">
        <w:rPr>
          <w:w w:val="100"/>
        </w:rPr>
        <w:t>’</w:t>
      </w:r>
      <w:r w:rsidR="00646413" w:rsidRPr="00C51D17">
        <w:rPr>
          <w:w w:val="100"/>
        </w:rPr>
        <w:t>intention des responsables chargés de l</w:t>
      </w:r>
      <w:r w:rsidR="00723345" w:rsidRPr="00C51D17">
        <w:rPr>
          <w:w w:val="100"/>
        </w:rPr>
        <w:t>’</w:t>
      </w:r>
      <w:r w:rsidR="00646413" w:rsidRPr="00C51D17">
        <w:rPr>
          <w:w w:val="100"/>
        </w:rPr>
        <w:t>application de la loi, des cycles hebdomadaires de sensibilisation (chaque mardi)</w:t>
      </w:r>
      <w:r w:rsidR="0012596A" w:rsidRPr="00C51D17">
        <w:rPr>
          <w:w w:val="100"/>
        </w:rPr>
        <w:t> ;</w:t>
      </w:r>
      <w:r w:rsidR="00646413" w:rsidRPr="00C51D17">
        <w:rPr>
          <w:w w:val="100"/>
        </w:rPr>
        <w:t xml:space="preserve"> </w:t>
      </w:r>
    </w:p>
    <w:p w14:paraId="318FD642" w14:textId="3FA61391" w:rsidR="00646413" w:rsidRPr="00C51D17" w:rsidRDefault="00CB7973" w:rsidP="00CB7973">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Ministère a tenu des séminaires de sensibilisation à l</w:t>
      </w:r>
      <w:r w:rsidR="00723345" w:rsidRPr="00C51D17">
        <w:rPr>
          <w:w w:val="100"/>
        </w:rPr>
        <w:t>’</w:t>
      </w:r>
      <w:r w:rsidR="00646413" w:rsidRPr="00C51D17">
        <w:rPr>
          <w:w w:val="100"/>
        </w:rPr>
        <w:t>intention des membres et des employés de la Chambre de commerce du Qatar avant et après l</w:t>
      </w:r>
      <w:r w:rsidR="00723345" w:rsidRPr="00C51D17">
        <w:rPr>
          <w:w w:val="100"/>
        </w:rPr>
        <w:t>’</w:t>
      </w:r>
      <w:r w:rsidR="00646413" w:rsidRPr="00C51D17">
        <w:rPr>
          <w:w w:val="100"/>
        </w:rPr>
        <w:t>entrée en vigueur de la loi. Il a également organisé une session d</w:t>
      </w:r>
      <w:r w:rsidR="00723345" w:rsidRPr="00C51D17">
        <w:rPr>
          <w:w w:val="100"/>
        </w:rPr>
        <w:t>’</w:t>
      </w:r>
      <w:r w:rsidR="00646413" w:rsidRPr="00C51D17">
        <w:rPr>
          <w:w w:val="100"/>
        </w:rPr>
        <w:t>information sur la nouvelle loi, en collaboration avec l</w:t>
      </w:r>
      <w:r w:rsidR="00723345" w:rsidRPr="00C51D17">
        <w:rPr>
          <w:w w:val="100"/>
        </w:rPr>
        <w:t>’</w:t>
      </w:r>
      <w:r w:rsidR="00646413" w:rsidRPr="00C51D17">
        <w:rPr>
          <w:w w:val="100"/>
        </w:rPr>
        <w:t>ambassade des États-Unis au Qatar et la Chambre de commerce des États-Unis</w:t>
      </w:r>
      <w:r w:rsidR="0012596A" w:rsidRPr="00C51D17">
        <w:rPr>
          <w:w w:val="100"/>
        </w:rPr>
        <w:t> ;</w:t>
      </w:r>
    </w:p>
    <w:p w14:paraId="761B7B83" w14:textId="2AA10BE1" w:rsidR="00646413" w:rsidRPr="00C51D17" w:rsidRDefault="00CB7973" w:rsidP="00CB7973">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Ministère a en outre tenu une réunion avec les attachés en matière d</w:t>
      </w:r>
      <w:r w:rsidR="00723345" w:rsidRPr="00C51D17">
        <w:rPr>
          <w:w w:val="100"/>
        </w:rPr>
        <w:t>’</w:t>
      </w:r>
      <w:r w:rsidR="00646413" w:rsidRPr="00C51D17">
        <w:rPr>
          <w:w w:val="100"/>
        </w:rPr>
        <w:t>emploi des ambassades des pays émetteurs de main-d</w:t>
      </w:r>
      <w:r w:rsidR="00723345" w:rsidRPr="00C51D17">
        <w:rPr>
          <w:w w:val="100"/>
        </w:rPr>
        <w:t>’</w:t>
      </w:r>
      <w:r w:rsidR="00646413" w:rsidRPr="00C51D17">
        <w:rPr>
          <w:w w:val="100"/>
        </w:rPr>
        <w:t>œuvre et une autre réunion avec les représentants des ambassades des pays membres de l</w:t>
      </w:r>
      <w:r w:rsidR="00723345" w:rsidRPr="00C51D17">
        <w:rPr>
          <w:w w:val="100"/>
        </w:rPr>
        <w:t>’</w:t>
      </w:r>
      <w:r w:rsidR="00646413" w:rsidRPr="00C51D17">
        <w:rPr>
          <w:w w:val="100"/>
        </w:rPr>
        <w:t>Union européenne afin d</w:t>
      </w:r>
      <w:r w:rsidR="00723345" w:rsidRPr="00C51D17">
        <w:rPr>
          <w:w w:val="100"/>
        </w:rPr>
        <w:t>’</w:t>
      </w:r>
      <w:r w:rsidR="00646413" w:rsidRPr="00C51D17">
        <w:rPr>
          <w:w w:val="100"/>
        </w:rPr>
        <w:t>expliquer et de clarifier les dispositions de la nouvelle loi</w:t>
      </w:r>
      <w:r w:rsidR="0012596A" w:rsidRPr="00C51D17">
        <w:rPr>
          <w:w w:val="100"/>
        </w:rPr>
        <w:t> ;</w:t>
      </w:r>
    </w:p>
    <w:p w14:paraId="175E531E" w14:textId="7F518A5B" w:rsidR="00646413" w:rsidRPr="00C51D17" w:rsidRDefault="00CB7973" w:rsidP="00CB7973">
      <w:pPr>
        <w:pStyle w:val="SingleTxt"/>
        <w:tabs>
          <w:tab w:val="right" w:pos="1685"/>
        </w:tabs>
        <w:ind w:left="1742" w:hanging="475"/>
        <w:rPr>
          <w:w w:val="100"/>
        </w:rPr>
      </w:pPr>
      <w:r w:rsidRPr="00C51D17">
        <w:rPr>
          <w:w w:val="100"/>
        </w:rPr>
        <w:tab/>
        <w:t>•</w:t>
      </w:r>
      <w:r w:rsidRPr="00C51D17">
        <w:rPr>
          <w:w w:val="100"/>
        </w:rPr>
        <w:tab/>
      </w:r>
      <w:r w:rsidR="00646413" w:rsidRPr="00C51D17">
        <w:rPr>
          <w:w w:val="100"/>
        </w:rPr>
        <w:t>Des experts du Ministère ont tenu des ateliers sur les lieux de travail et de résidence des travailleurs afin de les sensibiliser aux dispositions de la nouvelle loi. Des séminaires sur cette question ont également été organisés à l</w:t>
      </w:r>
      <w:r w:rsidR="00723345" w:rsidRPr="00C51D17">
        <w:rPr>
          <w:w w:val="100"/>
        </w:rPr>
        <w:t>’</w:t>
      </w:r>
      <w:r w:rsidR="00646413" w:rsidRPr="00C51D17">
        <w:rPr>
          <w:w w:val="100"/>
        </w:rPr>
        <w:t>intention des diverses communautés de travailleurs dans le pays.</w:t>
      </w:r>
    </w:p>
    <w:p w14:paraId="3E855E3C" w14:textId="1D7D08CD" w:rsidR="00CB7973" w:rsidRPr="00C51D17" w:rsidRDefault="00CB7973" w:rsidP="00CB7973">
      <w:pPr>
        <w:pStyle w:val="SingleTxt"/>
        <w:tabs>
          <w:tab w:val="right" w:pos="1685"/>
        </w:tabs>
        <w:spacing w:after="0" w:line="120" w:lineRule="exact"/>
        <w:ind w:left="1742" w:hanging="475"/>
        <w:rPr>
          <w:w w:val="100"/>
          <w:sz w:val="10"/>
        </w:rPr>
      </w:pPr>
    </w:p>
    <w:p w14:paraId="18A76990" w14:textId="5FA569F7" w:rsidR="00646413" w:rsidRPr="00C51D17" w:rsidRDefault="00CB7973" w:rsidP="00CB797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rPr>
      </w:pPr>
      <w:r w:rsidRPr="00C51D17">
        <w:rPr>
          <w:w w:val="100"/>
        </w:rPr>
        <w:tab/>
      </w:r>
      <w:r w:rsidRPr="00C51D17">
        <w:rPr>
          <w:w w:val="100"/>
        </w:rPr>
        <w:tab/>
      </w:r>
      <w:r w:rsidR="00646413" w:rsidRPr="00C51D17">
        <w:rPr>
          <w:w w:val="100"/>
        </w:rPr>
        <w:t>Groupes de femmes vulnérables</w:t>
      </w:r>
    </w:p>
    <w:p w14:paraId="67DF142D" w14:textId="19162DE6" w:rsidR="00CB7973" w:rsidRPr="00C51D17" w:rsidRDefault="00CB7973" w:rsidP="00BB07FC">
      <w:pPr>
        <w:pStyle w:val="SingleTxt"/>
        <w:spacing w:after="0" w:line="120" w:lineRule="exact"/>
        <w:rPr>
          <w:sz w:val="10"/>
        </w:rPr>
      </w:pPr>
    </w:p>
    <w:p w14:paraId="69896D9C" w14:textId="32B5E1F7" w:rsidR="00646413" w:rsidRPr="00C51D17" w:rsidRDefault="00646413" w:rsidP="00CB7973">
      <w:pPr>
        <w:pStyle w:val="SingleTxt"/>
        <w:numPr>
          <w:ilvl w:val="0"/>
          <w:numId w:val="74"/>
        </w:numPr>
        <w:spacing w:line="240" w:lineRule="exact"/>
        <w:ind w:left="1267"/>
        <w:rPr>
          <w:w w:val="100"/>
        </w:rPr>
      </w:pPr>
      <w:r w:rsidRPr="00C51D17">
        <w:rPr>
          <w:w w:val="100"/>
        </w:rPr>
        <w:t>En ce qui concerne le droit de bénéficier d</w:t>
      </w:r>
      <w:r w:rsidR="00723345" w:rsidRPr="00C51D17">
        <w:rPr>
          <w:w w:val="100"/>
        </w:rPr>
        <w:t>’</w:t>
      </w:r>
      <w:r w:rsidRPr="00C51D17">
        <w:rPr>
          <w:w w:val="100"/>
        </w:rPr>
        <w:t>un logement, la loi n</w:t>
      </w:r>
      <w:r w:rsidRPr="00C51D17">
        <w:rPr>
          <w:w w:val="100"/>
          <w:vertAlign w:val="superscript"/>
        </w:rPr>
        <w:t>o</w:t>
      </w:r>
      <w:r w:rsidR="00CB7973" w:rsidRPr="00C51D17">
        <w:rPr>
          <w:w w:val="100"/>
        </w:rPr>
        <w:t> </w:t>
      </w:r>
      <w:r w:rsidRPr="00C51D17">
        <w:rPr>
          <w:w w:val="100"/>
        </w:rPr>
        <w:t>2 de 2007 relative à l</w:t>
      </w:r>
      <w:r w:rsidR="00723345" w:rsidRPr="00C51D17">
        <w:rPr>
          <w:w w:val="100"/>
        </w:rPr>
        <w:t>’</w:t>
      </w:r>
      <w:r w:rsidRPr="00C51D17">
        <w:rPr>
          <w:w w:val="100"/>
        </w:rPr>
        <w:t>habitat n</w:t>
      </w:r>
      <w:r w:rsidR="00723345" w:rsidRPr="00C51D17">
        <w:rPr>
          <w:w w:val="100"/>
        </w:rPr>
        <w:t>’</w:t>
      </w:r>
      <w:r w:rsidRPr="00C51D17">
        <w:rPr>
          <w:w w:val="100"/>
        </w:rPr>
        <w:t>établit aucune distinction entre les hommes et les femmes, qu</w:t>
      </w:r>
      <w:r w:rsidR="00723345" w:rsidRPr="00C51D17">
        <w:rPr>
          <w:w w:val="100"/>
        </w:rPr>
        <w:t>’</w:t>
      </w:r>
      <w:r w:rsidRPr="00C51D17">
        <w:rPr>
          <w:w w:val="100"/>
        </w:rPr>
        <w:t>ils soient employés ou non, conformément aux règles établies par la loi et aux décisions exécutives prises à cet égard, que nous avons mentionnées ci-dessus</w:t>
      </w:r>
      <w:r w:rsidRPr="00C51D17">
        <w:rPr>
          <w:w w:val="100"/>
          <w:vertAlign w:val="superscript"/>
        </w:rPr>
        <w:footnoteReference w:id="12"/>
      </w:r>
      <w:r w:rsidR="00CB7973" w:rsidRPr="00C51D17">
        <w:rPr>
          <w:w w:val="100"/>
        </w:rPr>
        <w:t>.</w:t>
      </w:r>
      <w:r w:rsidRPr="00C51D17">
        <w:rPr>
          <w:w w:val="100"/>
        </w:rPr>
        <w:t xml:space="preserve"> La loi dispose que les Qatariens des deux sexes ont le droit de bénéficier d</w:t>
      </w:r>
      <w:r w:rsidR="00723345" w:rsidRPr="00C51D17">
        <w:rPr>
          <w:w w:val="100"/>
        </w:rPr>
        <w:t>’</w:t>
      </w:r>
      <w:r w:rsidRPr="00C51D17">
        <w:rPr>
          <w:w w:val="100"/>
        </w:rPr>
        <w:t>un logement aidé. Le Conseil des Ministres a pris des décisions régissant l</w:t>
      </w:r>
      <w:r w:rsidR="00723345" w:rsidRPr="00C51D17">
        <w:rPr>
          <w:w w:val="100"/>
        </w:rPr>
        <w:t>’</w:t>
      </w:r>
      <w:r w:rsidRPr="00C51D17">
        <w:rPr>
          <w:w w:val="100"/>
        </w:rPr>
        <w:t>accès au logement aidé des personnes démunies (logement gratuit). La femme qatarienne bénéficiait de ce système précédemment, mais seulement aux fins de la construction d</w:t>
      </w:r>
      <w:r w:rsidR="00723345" w:rsidRPr="00C51D17">
        <w:rPr>
          <w:w w:val="100"/>
        </w:rPr>
        <w:t>’</w:t>
      </w:r>
      <w:r w:rsidRPr="00C51D17">
        <w:rPr>
          <w:w w:val="100"/>
        </w:rPr>
        <w:t xml:space="preserve">un logement annexé au lieu de résidence de ses parents. La nouvelle loi habilite les Qatariennes </w:t>
      </w:r>
      <w:r w:rsidR="003D6C64" w:rsidRPr="00C51D17">
        <w:rPr>
          <w:w w:val="100"/>
        </w:rPr>
        <w:t>à</w:t>
      </w:r>
      <w:r w:rsidRPr="00C51D17">
        <w:rPr>
          <w:w w:val="100"/>
        </w:rPr>
        <w:t xml:space="preserve"> bénéficier d</w:t>
      </w:r>
      <w:r w:rsidR="00723345" w:rsidRPr="00C51D17">
        <w:rPr>
          <w:w w:val="100"/>
        </w:rPr>
        <w:t>’</w:t>
      </w:r>
      <w:r w:rsidRPr="00C51D17">
        <w:rPr>
          <w:w w:val="100"/>
        </w:rPr>
        <w:t>un logement indépendant ou à une aide financière à la location. Les femmes ont aussi éligibles au programme de crédit pour bénéficier d</w:t>
      </w:r>
      <w:r w:rsidR="00723345" w:rsidRPr="00C51D17">
        <w:rPr>
          <w:w w:val="100"/>
        </w:rPr>
        <w:t>’</w:t>
      </w:r>
      <w:r w:rsidRPr="00C51D17">
        <w:rPr>
          <w:w w:val="100"/>
        </w:rPr>
        <w:t>un logement. À ce titre, les citoyens qatariens bénéficient d</w:t>
      </w:r>
      <w:r w:rsidR="00723345" w:rsidRPr="00C51D17">
        <w:rPr>
          <w:w w:val="100"/>
        </w:rPr>
        <w:t>’</w:t>
      </w:r>
      <w:r w:rsidRPr="00C51D17">
        <w:rPr>
          <w:w w:val="100"/>
        </w:rPr>
        <w:t>une parcelle de terrain constructible et d</w:t>
      </w:r>
      <w:r w:rsidR="00723345" w:rsidRPr="00C51D17">
        <w:rPr>
          <w:w w:val="100"/>
        </w:rPr>
        <w:t>’</w:t>
      </w:r>
      <w:r w:rsidRPr="00C51D17">
        <w:rPr>
          <w:w w:val="100"/>
        </w:rPr>
        <w:t>un crédit bonifié pour construire leur logement.</w:t>
      </w:r>
    </w:p>
    <w:p w14:paraId="583EF1A2" w14:textId="5B239742" w:rsidR="00646413" w:rsidRPr="00C51D17" w:rsidRDefault="00646413" w:rsidP="00CB7973">
      <w:pPr>
        <w:pStyle w:val="SingleTxt"/>
        <w:numPr>
          <w:ilvl w:val="0"/>
          <w:numId w:val="74"/>
        </w:numPr>
        <w:spacing w:line="240" w:lineRule="exact"/>
        <w:ind w:left="1267"/>
        <w:rPr>
          <w:w w:val="100"/>
        </w:rPr>
      </w:pPr>
      <w:r w:rsidRPr="00C51D17">
        <w:rPr>
          <w:w w:val="100"/>
        </w:rPr>
        <w:t>Le département de l</w:t>
      </w:r>
      <w:r w:rsidR="00723345" w:rsidRPr="00C51D17">
        <w:rPr>
          <w:w w:val="100"/>
        </w:rPr>
        <w:t>’</w:t>
      </w:r>
      <w:r w:rsidRPr="00C51D17">
        <w:rPr>
          <w:w w:val="100"/>
        </w:rPr>
        <w:t>habitat du Ministère du développement administratif, du travail et des affaires sociales examine les demandes d</w:t>
      </w:r>
      <w:r w:rsidR="00723345" w:rsidRPr="00C51D17">
        <w:rPr>
          <w:w w:val="100"/>
        </w:rPr>
        <w:t>’</w:t>
      </w:r>
      <w:r w:rsidRPr="00C51D17">
        <w:rPr>
          <w:w w:val="100"/>
        </w:rPr>
        <w:t xml:space="preserve">accès au logement aidé qui lui parviennent sur la base des règles et décisions définies à cet égard. Il étudie le dossier présenté par les postulantes et évalue chaque cas. </w:t>
      </w:r>
    </w:p>
    <w:p w14:paraId="01C8A647" w14:textId="559AE58A" w:rsidR="00646413" w:rsidRPr="00C51D17" w:rsidRDefault="00646413" w:rsidP="00CB7973">
      <w:pPr>
        <w:pStyle w:val="SingleTxt"/>
        <w:rPr>
          <w:w w:val="100"/>
        </w:rPr>
      </w:pPr>
      <w:r w:rsidRPr="00C51D17">
        <w:rPr>
          <w:w w:val="100"/>
        </w:rPr>
        <w:tab/>
        <w:t>Dès que les financements sont disponibles, la priorité est donnée aux postulantes qui ont la charge d</w:t>
      </w:r>
      <w:r w:rsidR="00723345" w:rsidRPr="00C51D17">
        <w:rPr>
          <w:w w:val="100"/>
        </w:rPr>
        <w:t>’</w:t>
      </w:r>
      <w:r w:rsidRPr="00C51D17">
        <w:rPr>
          <w:w w:val="100"/>
        </w:rPr>
        <w:t>autres personnes, aux femmes mariées ou à celles qui, dans une situation précaire, ont grand besoin d</w:t>
      </w:r>
      <w:r w:rsidR="00723345" w:rsidRPr="00C51D17">
        <w:rPr>
          <w:w w:val="100"/>
        </w:rPr>
        <w:t>’</w:t>
      </w:r>
      <w:r w:rsidRPr="00C51D17">
        <w:rPr>
          <w:w w:val="100"/>
        </w:rPr>
        <w:t>être logées.</w:t>
      </w:r>
    </w:p>
    <w:p w14:paraId="099F9DC8" w14:textId="35002963" w:rsidR="00646413" w:rsidRPr="00C51D17" w:rsidRDefault="00646413" w:rsidP="00CB7973">
      <w:pPr>
        <w:pStyle w:val="SingleTxt"/>
        <w:numPr>
          <w:ilvl w:val="0"/>
          <w:numId w:val="74"/>
        </w:numPr>
        <w:spacing w:line="240" w:lineRule="exact"/>
        <w:ind w:left="1267"/>
        <w:rPr>
          <w:w w:val="100"/>
        </w:rPr>
      </w:pPr>
      <w:r w:rsidRPr="00C51D17">
        <w:rPr>
          <w:w w:val="100"/>
        </w:rPr>
        <w:t>Le Département de l</w:t>
      </w:r>
      <w:r w:rsidR="00723345" w:rsidRPr="00C51D17">
        <w:rPr>
          <w:w w:val="100"/>
        </w:rPr>
        <w:t>’</w:t>
      </w:r>
      <w:r w:rsidRPr="00C51D17">
        <w:rPr>
          <w:w w:val="100"/>
        </w:rPr>
        <w:t>habitat examine les demandes d</w:t>
      </w:r>
      <w:r w:rsidR="00723345" w:rsidRPr="00C51D17">
        <w:rPr>
          <w:w w:val="100"/>
        </w:rPr>
        <w:t>’</w:t>
      </w:r>
      <w:r w:rsidRPr="00C51D17">
        <w:rPr>
          <w:w w:val="100"/>
        </w:rPr>
        <w:t>accès au logement aidé, vérifie que tous les documents ont été fournis et formule des recommandations sur chaque cas aux fins d</w:t>
      </w:r>
      <w:r w:rsidR="00723345" w:rsidRPr="00C51D17">
        <w:rPr>
          <w:w w:val="100"/>
        </w:rPr>
        <w:t>’</w:t>
      </w:r>
      <w:r w:rsidRPr="00C51D17">
        <w:rPr>
          <w:w w:val="100"/>
        </w:rPr>
        <w:t>un accord futur, ainsi qu</w:t>
      </w:r>
      <w:r w:rsidR="00723345" w:rsidRPr="00C51D17">
        <w:rPr>
          <w:w w:val="100"/>
        </w:rPr>
        <w:t>’</w:t>
      </w:r>
      <w:r w:rsidRPr="00C51D17">
        <w:rPr>
          <w:w w:val="100"/>
        </w:rPr>
        <w:t>il suit</w:t>
      </w:r>
      <w:r w:rsidR="00CB7973" w:rsidRPr="00C51D17">
        <w:rPr>
          <w:w w:val="100"/>
        </w:rPr>
        <w:t> </w:t>
      </w:r>
      <w:r w:rsidRPr="00C51D17">
        <w:rPr>
          <w:w w:val="100"/>
        </w:rPr>
        <w:t>:</w:t>
      </w:r>
    </w:p>
    <w:p w14:paraId="4B74A6AC" w14:textId="0BC4AD23" w:rsidR="00646413" w:rsidRPr="00C51D17" w:rsidRDefault="00CB7973" w:rsidP="00CB7973">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Les hommes ou les femmes non mariés accèdent au logement s</w:t>
      </w:r>
      <w:r w:rsidR="00723345" w:rsidRPr="00C51D17">
        <w:rPr>
          <w:w w:val="100"/>
        </w:rPr>
        <w:t>’</w:t>
      </w:r>
      <w:r w:rsidR="00646413" w:rsidRPr="00C51D17">
        <w:rPr>
          <w:w w:val="100"/>
        </w:rPr>
        <w:t>ils ou elles remplissent les conditions ci-après</w:t>
      </w:r>
      <w:r w:rsidR="0012596A" w:rsidRPr="00C51D17">
        <w:rPr>
          <w:w w:val="100"/>
        </w:rPr>
        <w:t xml:space="preserve"> : </w:t>
      </w:r>
      <w:r w:rsidR="00646413" w:rsidRPr="00C51D17">
        <w:rPr>
          <w:w w:val="100"/>
        </w:rPr>
        <w:t>i) ils ou elles assument la charge d</w:t>
      </w:r>
      <w:r w:rsidR="00723345" w:rsidRPr="00C51D17">
        <w:rPr>
          <w:w w:val="100"/>
        </w:rPr>
        <w:t>’</w:t>
      </w:r>
      <w:r w:rsidR="00646413" w:rsidRPr="00C51D17">
        <w:rPr>
          <w:w w:val="100"/>
        </w:rPr>
        <w:t>un parent, d</w:t>
      </w:r>
      <w:r w:rsidR="00723345" w:rsidRPr="00C51D17">
        <w:rPr>
          <w:w w:val="100"/>
        </w:rPr>
        <w:t>’</w:t>
      </w:r>
      <w:r w:rsidR="00646413" w:rsidRPr="00C51D17">
        <w:rPr>
          <w:w w:val="100"/>
        </w:rPr>
        <w:t>un frère ou d</w:t>
      </w:r>
      <w:r w:rsidR="00723345" w:rsidRPr="00C51D17">
        <w:rPr>
          <w:w w:val="100"/>
        </w:rPr>
        <w:t>’</w:t>
      </w:r>
      <w:r w:rsidR="00646413" w:rsidRPr="00C51D17">
        <w:rPr>
          <w:w w:val="100"/>
        </w:rPr>
        <w:t>une sœur, ou encore d</w:t>
      </w:r>
      <w:r w:rsidR="00723345" w:rsidRPr="00C51D17">
        <w:rPr>
          <w:w w:val="100"/>
        </w:rPr>
        <w:t>’</w:t>
      </w:r>
      <w:r w:rsidR="00646413" w:rsidRPr="00C51D17">
        <w:rPr>
          <w:w w:val="100"/>
        </w:rPr>
        <w:t>une personne dont ils ou elles doivent subvenir aux besoins aux termes de la loi, sont âgés de plus de 35 ans, sont veufs (veuves) ou divorcés, ont plus de 35 ans et n</w:t>
      </w:r>
      <w:r w:rsidR="00723345" w:rsidRPr="00C51D17">
        <w:rPr>
          <w:w w:val="100"/>
        </w:rPr>
        <w:t>’</w:t>
      </w:r>
      <w:r w:rsidR="00646413" w:rsidRPr="00C51D17">
        <w:rPr>
          <w:w w:val="100"/>
        </w:rPr>
        <w:t>ont pas d</w:t>
      </w:r>
      <w:r w:rsidR="00723345" w:rsidRPr="00C51D17">
        <w:rPr>
          <w:w w:val="100"/>
        </w:rPr>
        <w:t>’</w:t>
      </w:r>
      <w:r w:rsidR="00646413" w:rsidRPr="00C51D17">
        <w:rPr>
          <w:w w:val="100"/>
        </w:rPr>
        <w:t>enfant</w:t>
      </w:r>
      <w:r w:rsidR="0012596A" w:rsidRPr="00C51D17">
        <w:rPr>
          <w:w w:val="100"/>
        </w:rPr>
        <w:t> ;</w:t>
      </w:r>
      <w:r w:rsidR="00646413" w:rsidRPr="00C51D17">
        <w:rPr>
          <w:w w:val="100"/>
        </w:rPr>
        <w:t xml:space="preserve"> ii) ils ou elles, ainsi que les personnes à charge, ne disposent pas d</w:t>
      </w:r>
      <w:r w:rsidR="00723345" w:rsidRPr="00C51D17">
        <w:rPr>
          <w:w w:val="100"/>
        </w:rPr>
        <w:t>’</w:t>
      </w:r>
      <w:r w:rsidR="00646413" w:rsidRPr="00C51D17">
        <w:rPr>
          <w:w w:val="100"/>
        </w:rPr>
        <w:t>un logement décent. En cas de bénéficiaires multiples, ils sont logés dans un même logement s</w:t>
      </w:r>
      <w:r w:rsidR="00723345" w:rsidRPr="00C51D17">
        <w:rPr>
          <w:w w:val="100"/>
        </w:rPr>
        <w:t>’</w:t>
      </w:r>
      <w:r w:rsidR="00646413" w:rsidRPr="00C51D17">
        <w:rPr>
          <w:w w:val="100"/>
        </w:rPr>
        <w:t>ils sont parents au premier ou au deuxième degré</w:t>
      </w:r>
      <w:r w:rsidR="0012596A" w:rsidRPr="00C51D17">
        <w:rPr>
          <w:w w:val="100"/>
        </w:rPr>
        <w:t> ;</w:t>
      </w:r>
    </w:p>
    <w:p w14:paraId="552AFAFA" w14:textId="1073B39D" w:rsidR="00646413" w:rsidRPr="00C51D17" w:rsidRDefault="00CB7973" w:rsidP="00CB7973">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Les personnes handicapées, les hommes et les femmes divorcés ou veufs qui n</w:t>
      </w:r>
      <w:r w:rsidR="00723345" w:rsidRPr="00C51D17">
        <w:rPr>
          <w:w w:val="100"/>
        </w:rPr>
        <w:t>’</w:t>
      </w:r>
      <w:r w:rsidR="00646413" w:rsidRPr="00C51D17">
        <w:rPr>
          <w:w w:val="100"/>
        </w:rPr>
        <w:t>ont pas d</w:t>
      </w:r>
      <w:r w:rsidR="00723345" w:rsidRPr="00C51D17">
        <w:rPr>
          <w:w w:val="100"/>
        </w:rPr>
        <w:t>’</w:t>
      </w:r>
      <w:r w:rsidR="00646413" w:rsidRPr="00C51D17">
        <w:rPr>
          <w:w w:val="100"/>
        </w:rPr>
        <w:t>emploi et sont éligibles à l</w:t>
      </w:r>
      <w:r w:rsidR="00723345" w:rsidRPr="00C51D17">
        <w:rPr>
          <w:w w:val="100"/>
        </w:rPr>
        <w:t>’</w:t>
      </w:r>
      <w:r w:rsidR="00646413" w:rsidRPr="00C51D17">
        <w:rPr>
          <w:w w:val="100"/>
        </w:rPr>
        <w:t>accès au système de logement aidé (personnes démunies) peuvent modifier leur demande d</w:t>
      </w:r>
      <w:r w:rsidR="00723345" w:rsidRPr="00C51D17">
        <w:rPr>
          <w:w w:val="100"/>
        </w:rPr>
        <w:t>’</w:t>
      </w:r>
      <w:r w:rsidR="00646413" w:rsidRPr="00C51D17">
        <w:rPr>
          <w:w w:val="100"/>
        </w:rPr>
        <w:t>accès au logement aidé et postuler pour un logement financé par un prêt hypothécaire</w:t>
      </w:r>
      <w:r w:rsidR="0012596A" w:rsidRPr="00C51D17">
        <w:rPr>
          <w:w w:val="100"/>
        </w:rPr>
        <w:t> ;</w:t>
      </w:r>
    </w:p>
    <w:p w14:paraId="6CEB25F4" w14:textId="41BE47BB" w:rsidR="00646413" w:rsidRPr="00C51D17" w:rsidRDefault="00CB7973" w:rsidP="00CB7973">
      <w:pPr>
        <w:pStyle w:val="SingleTxt"/>
        <w:tabs>
          <w:tab w:val="right" w:pos="1685"/>
        </w:tabs>
        <w:ind w:left="1742" w:hanging="475"/>
        <w:rPr>
          <w:w w:val="100"/>
        </w:rPr>
      </w:pPr>
      <w:r w:rsidRPr="00C51D17">
        <w:rPr>
          <w:w w:val="100"/>
        </w:rPr>
        <w:tab/>
        <w:t>•</w:t>
      </w:r>
      <w:r w:rsidRPr="00C51D17">
        <w:rPr>
          <w:w w:val="100"/>
        </w:rPr>
        <w:tab/>
      </w:r>
      <w:r w:rsidR="00646413" w:rsidRPr="00C51D17">
        <w:rPr>
          <w:w w:val="100"/>
        </w:rPr>
        <w:t>Cependant, ils ou elles doivent avoir un parent de nationalité qatarienne qui sera leur garant. Les versements mensuels sont déduits du salaire du parent</w:t>
      </w:r>
      <w:r w:rsidR="0012596A" w:rsidRPr="00C51D17">
        <w:rPr>
          <w:w w:val="100"/>
        </w:rPr>
        <w:t> ;</w:t>
      </w:r>
    </w:p>
    <w:p w14:paraId="141BF961" w14:textId="1B2508A8" w:rsidR="00646413" w:rsidRPr="00C51D17" w:rsidRDefault="00CB7973" w:rsidP="00CB7973">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logement des personnes démunies est fourni gratuitement par l</w:t>
      </w:r>
      <w:r w:rsidR="00723345" w:rsidRPr="00C51D17">
        <w:rPr>
          <w:w w:val="100"/>
        </w:rPr>
        <w:t>’</w:t>
      </w:r>
      <w:r w:rsidR="00646413" w:rsidRPr="00C51D17">
        <w:rPr>
          <w:w w:val="100"/>
        </w:rPr>
        <w:t>État, qui en demeure le propriétaire</w:t>
      </w:r>
      <w:r w:rsidR="0012596A" w:rsidRPr="00C51D17">
        <w:rPr>
          <w:w w:val="100"/>
        </w:rPr>
        <w:t> ;</w:t>
      </w:r>
    </w:p>
    <w:p w14:paraId="103ABBE8" w14:textId="47F7EF23" w:rsidR="00646413" w:rsidRPr="00C51D17" w:rsidRDefault="00CB7973" w:rsidP="00CB7973">
      <w:pPr>
        <w:pStyle w:val="SingleTxt"/>
        <w:tabs>
          <w:tab w:val="right" w:pos="1685"/>
        </w:tabs>
        <w:ind w:left="1742" w:hanging="475"/>
        <w:rPr>
          <w:w w:val="100"/>
        </w:rPr>
      </w:pPr>
      <w:r w:rsidRPr="00C51D17">
        <w:rPr>
          <w:w w:val="100"/>
        </w:rPr>
        <w:tab/>
        <w:t>•</w:t>
      </w:r>
      <w:r w:rsidRPr="00C51D17">
        <w:rPr>
          <w:w w:val="100"/>
        </w:rPr>
        <w:tab/>
      </w:r>
      <w:r w:rsidR="00646413" w:rsidRPr="00C51D17">
        <w:rPr>
          <w:w w:val="100"/>
        </w:rPr>
        <w:t>Le logement financé par un prêt hypothécaire appartient au bénéficiaire. Un titre de propriété au nom du bénéficiaire est établi 15 ans après la construction du logement.</w:t>
      </w:r>
    </w:p>
    <w:p w14:paraId="38477991" w14:textId="35CC80AB" w:rsidR="00646413" w:rsidRPr="00C51D17" w:rsidRDefault="00646413" w:rsidP="007863DD">
      <w:pPr>
        <w:pStyle w:val="SingleTxt"/>
        <w:numPr>
          <w:ilvl w:val="0"/>
          <w:numId w:val="74"/>
        </w:numPr>
        <w:spacing w:line="240" w:lineRule="exact"/>
        <w:ind w:left="1267"/>
        <w:rPr>
          <w:w w:val="100"/>
        </w:rPr>
      </w:pPr>
      <w:r w:rsidRPr="00C51D17">
        <w:rPr>
          <w:w w:val="100"/>
        </w:rPr>
        <w:t>Le Département de l</w:t>
      </w:r>
      <w:r w:rsidR="00723345" w:rsidRPr="00C51D17">
        <w:rPr>
          <w:w w:val="100"/>
        </w:rPr>
        <w:t>’</w:t>
      </w:r>
      <w:r w:rsidRPr="00C51D17">
        <w:rPr>
          <w:w w:val="100"/>
        </w:rPr>
        <w:t>habitat verse les aides à la location aux bénéficiaires démunis dont les demandes ont été approuvées conformément aux conditions définies dans la loi et aux décisions de l</w:t>
      </w:r>
      <w:r w:rsidR="00723345" w:rsidRPr="00C51D17">
        <w:rPr>
          <w:w w:val="100"/>
        </w:rPr>
        <w:t>’</w:t>
      </w:r>
      <w:r w:rsidRPr="00C51D17">
        <w:rPr>
          <w:w w:val="100"/>
        </w:rPr>
        <w:t>administration. Ces aides sont versées jusqu</w:t>
      </w:r>
      <w:r w:rsidR="00723345" w:rsidRPr="00C51D17">
        <w:rPr>
          <w:w w:val="100"/>
        </w:rPr>
        <w:t>’</w:t>
      </w:r>
      <w:r w:rsidRPr="00C51D17">
        <w:rPr>
          <w:w w:val="100"/>
        </w:rPr>
        <w:t>à ce que la Banque de développement du Qatar rende le logement disponible.</w:t>
      </w:r>
    </w:p>
    <w:p w14:paraId="290F71B0" w14:textId="5E3AA170" w:rsidR="00646413" w:rsidRPr="00C51D17" w:rsidRDefault="00646413" w:rsidP="007863DD">
      <w:pPr>
        <w:pStyle w:val="SingleTxt"/>
        <w:rPr>
          <w:w w:val="100"/>
          <w:szCs w:val="20"/>
        </w:rPr>
      </w:pPr>
      <w:r w:rsidRPr="00C51D17">
        <w:rPr>
          <w:w w:val="100"/>
          <w:szCs w:val="20"/>
        </w:rPr>
        <w:tab/>
        <w:t>Quand la Banque de développement du Qatar fournit le logement, le Ministère du développement administratif, du travail et des affaires sociales loue les logements et les distribue aux bénéficiaires. Le Département de l</w:t>
      </w:r>
      <w:r w:rsidR="00723345" w:rsidRPr="00C51D17">
        <w:rPr>
          <w:w w:val="100"/>
          <w:szCs w:val="20"/>
        </w:rPr>
        <w:t>’</w:t>
      </w:r>
      <w:r w:rsidRPr="00C51D17">
        <w:rPr>
          <w:w w:val="100"/>
          <w:szCs w:val="20"/>
        </w:rPr>
        <w:t>habitat accorde une aide mensuelle à la location aux personnes déclarées éligibles, pendant la période allant de la date</w:t>
      </w:r>
      <w:r w:rsidR="0012596A" w:rsidRPr="00C51D17">
        <w:rPr>
          <w:w w:val="100"/>
          <w:szCs w:val="20"/>
        </w:rPr>
        <w:t xml:space="preserve"> </w:t>
      </w:r>
      <w:r w:rsidRPr="00C51D17">
        <w:rPr>
          <w:w w:val="100"/>
          <w:szCs w:val="20"/>
        </w:rPr>
        <w:t>d</w:t>
      </w:r>
      <w:r w:rsidR="00723345" w:rsidRPr="00C51D17">
        <w:rPr>
          <w:w w:val="100"/>
          <w:szCs w:val="20"/>
        </w:rPr>
        <w:t>’</w:t>
      </w:r>
      <w:r w:rsidRPr="00C51D17">
        <w:rPr>
          <w:w w:val="100"/>
          <w:szCs w:val="20"/>
        </w:rPr>
        <w:t>approbation à celle de la fourniture du logement par la banque.</w:t>
      </w:r>
    </w:p>
    <w:p w14:paraId="508947C0" w14:textId="1C426024" w:rsidR="00646413" w:rsidRPr="00C51D17" w:rsidRDefault="00646413" w:rsidP="007863DD">
      <w:pPr>
        <w:pStyle w:val="SingleTxt"/>
        <w:numPr>
          <w:ilvl w:val="0"/>
          <w:numId w:val="74"/>
        </w:numPr>
        <w:spacing w:line="240" w:lineRule="exact"/>
        <w:ind w:left="1267"/>
        <w:rPr>
          <w:w w:val="100"/>
        </w:rPr>
      </w:pPr>
      <w:r w:rsidRPr="00C51D17">
        <w:rPr>
          <w:w w:val="100"/>
        </w:rPr>
        <w:t>Le blocus injuste imposé au Qatar a compromis la capacité d</w:t>
      </w:r>
      <w:r w:rsidR="00723345" w:rsidRPr="00C51D17">
        <w:rPr>
          <w:w w:val="100"/>
        </w:rPr>
        <w:t>’</w:t>
      </w:r>
      <w:r w:rsidRPr="00C51D17">
        <w:rPr>
          <w:w w:val="100"/>
        </w:rPr>
        <w:t>exercice des droits de l</w:t>
      </w:r>
      <w:r w:rsidR="00723345" w:rsidRPr="00C51D17">
        <w:rPr>
          <w:w w:val="100"/>
        </w:rPr>
        <w:t>’</w:t>
      </w:r>
      <w:r w:rsidRPr="00C51D17">
        <w:rPr>
          <w:w w:val="100"/>
        </w:rPr>
        <w:t>homme. Il faut cependant souligner que le Qatar s</w:t>
      </w:r>
      <w:r w:rsidR="00723345" w:rsidRPr="00C51D17">
        <w:rPr>
          <w:w w:val="100"/>
        </w:rPr>
        <w:t>’</w:t>
      </w:r>
      <w:r w:rsidRPr="00C51D17">
        <w:rPr>
          <w:w w:val="100"/>
        </w:rPr>
        <w:t>est gardé de prendre la moindre mesure contre les ressortissants des deux sexes des pays qui ont imposé le blocus. La Constitution, la législation nationale et les mesures que l</w:t>
      </w:r>
      <w:r w:rsidR="00723345" w:rsidRPr="00C51D17">
        <w:rPr>
          <w:w w:val="100"/>
        </w:rPr>
        <w:t>’</w:t>
      </w:r>
      <w:r w:rsidRPr="00C51D17">
        <w:rPr>
          <w:w w:val="100"/>
        </w:rPr>
        <w:t>État a prises avant le début de la crise du Golfe sont suffisants pour préserver et sauvegarder les droits de l</w:t>
      </w:r>
      <w:r w:rsidR="00723345" w:rsidRPr="00C51D17">
        <w:rPr>
          <w:w w:val="100"/>
        </w:rPr>
        <w:t>’</w:t>
      </w:r>
      <w:r w:rsidRPr="00C51D17">
        <w:rPr>
          <w:w w:val="100"/>
        </w:rPr>
        <w:t>homme et s</w:t>
      </w:r>
      <w:r w:rsidR="00723345" w:rsidRPr="00C51D17">
        <w:rPr>
          <w:w w:val="100"/>
        </w:rPr>
        <w:t>’</w:t>
      </w:r>
      <w:r w:rsidRPr="00C51D17">
        <w:rPr>
          <w:w w:val="100"/>
        </w:rPr>
        <w:t>assurer que les droits des femmes résidant au Qatar et originaires des pays qui ont imposé le blocus, soient respectés sans discrimination aucune.</w:t>
      </w:r>
    </w:p>
    <w:p w14:paraId="3D927049" w14:textId="6412F336" w:rsidR="00646413" w:rsidRPr="00C51D17" w:rsidRDefault="00646413" w:rsidP="007863DD">
      <w:pPr>
        <w:pStyle w:val="SingleTxt"/>
        <w:numPr>
          <w:ilvl w:val="0"/>
          <w:numId w:val="74"/>
        </w:numPr>
        <w:spacing w:line="240" w:lineRule="exact"/>
        <w:ind w:left="1267"/>
        <w:rPr>
          <w:w w:val="100"/>
        </w:rPr>
      </w:pPr>
      <w:r w:rsidRPr="00C51D17">
        <w:rPr>
          <w:w w:val="100"/>
        </w:rPr>
        <w:t>Le statut de travailleur expatrié résidant au Qatar est resté stable à la suite de la crise et n</w:t>
      </w:r>
      <w:r w:rsidR="00723345" w:rsidRPr="00C51D17">
        <w:rPr>
          <w:w w:val="100"/>
        </w:rPr>
        <w:t>’</w:t>
      </w:r>
      <w:r w:rsidRPr="00C51D17">
        <w:rPr>
          <w:w w:val="100"/>
        </w:rPr>
        <w:t>a pas eu d</w:t>
      </w:r>
      <w:r w:rsidR="00723345" w:rsidRPr="00C51D17">
        <w:rPr>
          <w:w w:val="100"/>
        </w:rPr>
        <w:t>’</w:t>
      </w:r>
      <w:r w:rsidRPr="00C51D17">
        <w:rPr>
          <w:w w:val="100"/>
        </w:rPr>
        <w:t>effet négatif sur les vies de ces personnes, ni n</w:t>
      </w:r>
      <w:r w:rsidR="00723345" w:rsidRPr="00C51D17">
        <w:rPr>
          <w:w w:val="100"/>
        </w:rPr>
        <w:t>’</w:t>
      </w:r>
      <w:r w:rsidRPr="00C51D17">
        <w:rPr>
          <w:w w:val="100"/>
        </w:rPr>
        <w:t>a restreint leurs mouvements et leur communication. Il n</w:t>
      </w:r>
      <w:r w:rsidR="00723345" w:rsidRPr="00C51D17">
        <w:rPr>
          <w:w w:val="100"/>
        </w:rPr>
        <w:t>’</w:t>
      </w:r>
      <w:r w:rsidRPr="00C51D17">
        <w:rPr>
          <w:w w:val="100"/>
        </w:rPr>
        <w:t>a pas non plus menacé leur sécurité, leur liberté personnelle et leur liberté d</w:t>
      </w:r>
      <w:r w:rsidR="00723345" w:rsidRPr="00C51D17">
        <w:rPr>
          <w:w w:val="100"/>
        </w:rPr>
        <w:t>’</w:t>
      </w:r>
      <w:r w:rsidRPr="00C51D17">
        <w:rPr>
          <w:w w:val="100"/>
        </w:rPr>
        <w:t>expression, ni porté atteinte à leur droit de vivre dignement avec leur famille. Les droits précités sont garantis par la Constitution.</w:t>
      </w:r>
    </w:p>
    <w:p w14:paraId="35EA6AB3" w14:textId="4C2AE931" w:rsidR="00646413" w:rsidRPr="00C51D17" w:rsidRDefault="00646413" w:rsidP="00631B38">
      <w:pPr>
        <w:pStyle w:val="SingleTxt"/>
        <w:numPr>
          <w:ilvl w:val="0"/>
          <w:numId w:val="74"/>
        </w:numPr>
        <w:tabs>
          <w:tab w:val="num" w:pos="2804"/>
        </w:tabs>
        <w:spacing w:line="240" w:lineRule="exact"/>
        <w:ind w:left="1267"/>
        <w:rPr>
          <w:w w:val="100"/>
        </w:rPr>
      </w:pPr>
      <w:r w:rsidRPr="00C51D17">
        <w:rPr>
          <w:w w:val="100"/>
        </w:rPr>
        <w:t>Aucune plainte n</w:t>
      </w:r>
      <w:r w:rsidR="00723345" w:rsidRPr="00C51D17">
        <w:rPr>
          <w:w w:val="100"/>
        </w:rPr>
        <w:t>’</w:t>
      </w:r>
      <w:r w:rsidRPr="00C51D17">
        <w:rPr>
          <w:w w:val="100"/>
        </w:rPr>
        <w:t>a été reçue à propos de femmes n</w:t>
      </w:r>
      <w:r w:rsidR="00723345" w:rsidRPr="00C51D17">
        <w:rPr>
          <w:w w:val="100"/>
        </w:rPr>
        <w:t>’</w:t>
      </w:r>
      <w:r w:rsidRPr="00C51D17">
        <w:rPr>
          <w:w w:val="100"/>
        </w:rPr>
        <w:t>ayant pas conclu de contrat légal avec leur employeur. Cependant, s</w:t>
      </w:r>
      <w:r w:rsidR="00723345" w:rsidRPr="00C51D17">
        <w:rPr>
          <w:w w:val="100"/>
        </w:rPr>
        <w:t>’</w:t>
      </w:r>
      <w:r w:rsidRPr="00C51D17">
        <w:rPr>
          <w:w w:val="100"/>
        </w:rPr>
        <w:t>il est établi que des femmes travailleuses résidant au Qatar accomplissent leur travail pour les personnes qui les emploient sans avoir signé de contrat écrit, elles ne perdraient pas leurs droits légaux et constitutionnels à ester en justice et à être rétablies dans leurs droits par tout moyen légal.</w:t>
      </w:r>
    </w:p>
    <w:p w14:paraId="44B9EE92" w14:textId="2C024137" w:rsidR="00631B38" w:rsidRPr="00C51D17" w:rsidRDefault="00631B38" w:rsidP="00631B38">
      <w:pPr>
        <w:pStyle w:val="SingleTxt"/>
        <w:spacing w:after="0" w:line="120" w:lineRule="exact"/>
        <w:rPr>
          <w:w w:val="100"/>
          <w:sz w:val="10"/>
        </w:rPr>
      </w:pPr>
    </w:p>
    <w:p w14:paraId="7D0C281F" w14:textId="396303B4" w:rsidR="00646413" w:rsidRPr="00C51D17" w:rsidRDefault="00631B38" w:rsidP="00631B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51D17">
        <w:rPr>
          <w:w w:val="100"/>
        </w:rPr>
        <w:tab/>
      </w:r>
      <w:r w:rsidRPr="00C51D17">
        <w:rPr>
          <w:w w:val="100"/>
        </w:rPr>
        <w:tab/>
      </w:r>
      <w:r w:rsidR="00646413" w:rsidRPr="00C51D17">
        <w:rPr>
          <w:w w:val="100"/>
        </w:rPr>
        <w:t>Égalité devant la loi et en matière civile</w:t>
      </w:r>
    </w:p>
    <w:p w14:paraId="2691D4CD" w14:textId="439D9018" w:rsidR="00631B38" w:rsidRPr="00C51D17" w:rsidRDefault="00631B38" w:rsidP="00631B38">
      <w:pPr>
        <w:pStyle w:val="SingleTxt"/>
        <w:spacing w:after="0" w:line="120" w:lineRule="exact"/>
        <w:rPr>
          <w:sz w:val="10"/>
        </w:rPr>
      </w:pPr>
    </w:p>
    <w:p w14:paraId="68779282" w14:textId="0CAB3075" w:rsidR="001A40D9" w:rsidRPr="00C51D17" w:rsidRDefault="00646413" w:rsidP="00631B38">
      <w:pPr>
        <w:pStyle w:val="SingleTxt"/>
        <w:numPr>
          <w:ilvl w:val="0"/>
          <w:numId w:val="74"/>
        </w:numPr>
        <w:spacing w:line="240" w:lineRule="exact"/>
        <w:ind w:left="1267"/>
        <w:rPr>
          <w:w w:val="100"/>
        </w:rPr>
      </w:pPr>
      <w:r w:rsidRPr="00C51D17">
        <w:rPr>
          <w:w w:val="100"/>
        </w:rPr>
        <w:t>En ce qui concerne la question de la nécessité pour les femmes d</w:t>
      </w:r>
      <w:r w:rsidR="00723345" w:rsidRPr="00C51D17">
        <w:rPr>
          <w:w w:val="100"/>
        </w:rPr>
        <w:t>’</w:t>
      </w:r>
      <w:r w:rsidRPr="00C51D17">
        <w:rPr>
          <w:w w:val="100"/>
        </w:rPr>
        <w:t>obtenir la permission de se rendre à l</w:t>
      </w:r>
      <w:r w:rsidR="00723345" w:rsidRPr="00C51D17">
        <w:rPr>
          <w:w w:val="100"/>
        </w:rPr>
        <w:t>’</w:t>
      </w:r>
      <w:r w:rsidRPr="00C51D17">
        <w:rPr>
          <w:w w:val="100"/>
        </w:rPr>
        <w:t>étranger ou d</w:t>
      </w:r>
      <w:r w:rsidR="00723345" w:rsidRPr="00C51D17">
        <w:rPr>
          <w:w w:val="100"/>
        </w:rPr>
        <w:t>’</w:t>
      </w:r>
      <w:r w:rsidRPr="00C51D17">
        <w:rPr>
          <w:w w:val="100"/>
        </w:rPr>
        <w:t>étudier dans un autre pays avec une bourse du Gouvernement, veuillez noter que la procédure pertinente dans ce domaine est régie par des instructions spéciales établies par le département compétent du Ministère de l</w:t>
      </w:r>
      <w:r w:rsidR="00723345" w:rsidRPr="00C51D17">
        <w:rPr>
          <w:w w:val="100"/>
        </w:rPr>
        <w:t>’</w:t>
      </w:r>
      <w:r w:rsidRPr="00C51D17">
        <w:rPr>
          <w:w w:val="100"/>
        </w:rPr>
        <w:t>intérieur.</w:t>
      </w:r>
    </w:p>
    <w:p w14:paraId="4E228747" w14:textId="008C4ECF" w:rsidR="00646413" w:rsidRPr="00C51D17" w:rsidRDefault="00646413" w:rsidP="00646413">
      <w:pPr>
        <w:pStyle w:val="SingleTxt"/>
        <w:spacing w:after="0" w:line="240" w:lineRule="auto"/>
      </w:pPr>
      <w:r w:rsidRPr="00C51D17">
        <w:rPr>
          <w:noProof/>
          <w:w w:val="100"/>
        </w:rPr>
        <mc:AlternateContent>
          <mc:Choice Requires="wps">
            <w:drawing>
              <wp:anchor distT="0" distB="0" distL="114300" distR="114300" simplePos="0" relativeHeight="251661312" behindDoc="0" locked="0" layoutInCell="1" allowOverlap="1" wp14:anchorId="21B81918" wp14:editId="07056085">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273E5" id="Straight Connector 4"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46413" w:rsidRPr="00C51D17" w:rsidSect="003C3DDB">
      <w:type w:val="continuous"/>
      <w:pgSz w:w="12240" w:h="15840"/>
      <w:pgMar w:top="1440" w:right="1200" w:bottom="1152" w:left="1200" w:header="432" w:footer="576"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5-29T09:34:00Z" w:initials="Start">
    <w:p w14:paraId="232F9786" w14:textId="77777777" w:rsidR="003C3DDB" w:rsidRPr="006B27FC" w:rsidRDefault="003C3DDB">
      <w:pPr>
        <w:pStyle w:val="CommentText"/>
        <w:rPr>
          <w:lang w:val="en-US"/>
        </w:rPr>
      </w:pPr>
      <w:r>
        <w:fldChar w:fldCharType="begin"/>
      </w:r>
      <w:r w:rsidRPr="006B27FC">
        <w:rPr>
          <w:rStyle w:val="CommentReference"/>
          <w:lang w:val="en-US"/>
        </w:rPr>
        <w:instrText xml:space="preserve"> </w:instrText>
      </w:r>
      <w:r w:rsidRPr="006B27FC">
        <w:rPr>
          <w:lang w:val="en-US"/>
        </w:rPr>
        <w:instrText>PAGE \# "'Page: '#'</w:instrText>
      </w:r>
      <w:r w:rsidRPr="006B27FC">
        <w:rPr>
          <w:lang w:val="en-US"/>
        </w:rPr>
        <w:br/>
        <w:instrText>'"</w:instrText>
      </w:r>
      <w:r w:rsidRPr="006B27FC">
        <w:rPr>
          <w:rStyle w:val="CommentReference"/>
          <w:lang w:val="en-US"/>
        </w:rPr>
        <w:instrText xml:space="preserve"> </w:instrText>
      </w:r>
      <w:r>
        <w:fldChar w:fldCharType="end"/>
      </w:r>
      <w:r>
        <w:rPr>
          <w:rStyle w:val="CommentReference"/>
        </w:rPr>
        <w:annotationRef/>
      </w:r>
      <w:r w:rsidRPr="006B27FC">
        <w:rPr>
          <w:lang w:val="en-US"/>
        </w:rPr>
        <w:t>&lt;&lt;ODS JOB NO&gt;&gt;N1913148F&lt;&lt;ODS JOB NO&gt;&gt;</w:t>
      </w:r>
    </w:p>
    <w:p w14:paraId="445DCF56" w14:textId="64D9E3D8" w:rsidR="003C3DDB" w:rsidRDefault="003C3DDB">
      <w:pPr>
        <w:pStyle w:val="CommentText"/>
      </w:pPr>
      <w:r>
        <w:t>&lt;&lt;ODS DOC SYMBOL1&gt;&gt;CEDAW/C/QAT/Q/2/A</w:t>
      </w:r>
      <w:r w:rsidR="006B27FC">
        <w:t>dd</w:t>
      </w:r>
      <w:r>
        <w:t>.1&lt;&lt;ODS DOC SYMBOL1&gt;&gt;</w:t>
      </w:r>
    </w:p>
    <w:p w14:paraId="02B27AA0" w14:textId="5DE7E032" w:rsidR="003C3DDB" w:rsidRDefault="003C3DD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B27AA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5DCEB" w14:textId="77777777" w:rsidR="006A76C2" w:rsidRDefault="006A76C2" w:rsidP="00101B18">
      <w:pPr>
        <w:spacing w:line="240" w:lineRule="auto"/>
      </w:pPr>
      <w:r>
        <w:separator/>
      </w:r>
    </w:p>
  </w:endnote>
  <w:endnote w:type="continuationSeparator" w:id="0">
    <w:p w14:paraId="5DFED650" w14:textId="77777777" w:rsidR="006A76C2" w:rsidRDefault="006A76C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B07FC" w14:paraId="67B9148A" w14:textId="77777777" w:rsidTr="001A40D9">
      <w:tc>
        <w:tcPr>
          <w:tcW w:w="4920" w:type="dxa"/>
          <w:shd w:val="clear" w:color="auto" w:fill="auto"/>
        </w:tcPr>
        <w:p w14:paraId="7CF44B5F" w14:textId="41B87FB6" w:rsidR="00BB07FC" w:rsidRPr="001A40D9" w:rsidRDefault="00BB07FC" w:rsidP="001A40D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A4BAA">
            <w:rPr>
              <w:b w:val="0"/>
              <w:w w:val="103"/>
              <w:sz w:val="14"/>
            </w:rPr>
            <w:t>19-07393</w:t>
          </w:r>
          <w:r>
            <w:rPr>
              <w:b w:val="0"/>
              <w:w w:val="103"/>
              <w:sz w:val="14"/>
            </w:rPr>
            <w:fldChar w:fldCharType="end"/>
          </w:r>
        </w:p>
      </w:tc>
      <w:tc>
        <w:tcPr>
          <w:tcW w:w="4920" w:type="dxa"/>
          <w:shd w:val="clear" w:color="auto" w:fill="auto"/>
        </w:tcPr>
        <w:p w14:paraId="42FC64F0" w14:textId="77777777" w:rsidR="00BB07FC" w:rsidRPr="001A40D9" w:rsidRDefault="00BB07FC" w:rsidP="001A40D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255EBAB" w14:textId="77777777" w:rsidR="00BB07FC" w:rsidRPr="001A40D9" w:rsidRDefault="00BB07FC" w:rsidP="001A4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B07FC" w14:paraId="14D4E112" w14:textId="77777777" w:rsidTr="001A40D9">
      <w:tc>
        <w:tcPr>
          <w:tcW w:w="4920" w:type="dxa"/>
          <w:shd w:val="clear" w:color="auto" w:fill="auto"/>
        </w:tcPr>
        <w:p w14:paraId="04E88022" w14:textId="77777777" w:rsidR="00BB07FC" w:rsidRPr="001A40D9" w:rsidRDefault="00BB07FC" w:rsidP="001A40D9">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6688453B" w14:textId="7E11A1C4" w:rsidR="00BB07FC" w:rsidRPr="001A40D9" w:rsidRDefault="00BB07FC" w:rsidP="001A40D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A4BAA">
            <w:rPr>
              <w:b w:val="0"/>
              <w:w w:val="103"/>
              <w:sz w:val="14"/>
            </w:rPr>
            <w:t>19-07393</w:t>
          </w:r>
          <w:r>
            <w:rPr>
              <w:b w:val="0"/>
              <w:w w:val="103"/>
              <w:sz w:val="14"/>
            </w:rPr>
            <w:fldChar w:fldCharType="end"/>
          </w:r>
        </w:p>
      </w:tc>
    </w:tr>
  </w:tbl>
  <w:p w14:paraId="45CB33F3" w14:textId="77777777" w:rsidR="00BB07FC" w:rsidRPr="001A40D9" w:rsidRDefault="00BB07FC" w:rsidP="001A4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E907" w14:textId="28E75E1D" w:rsidR="003C3DDB" w:rsidRDefault="003C3DDB">
    <w:pPr>
      <w:pStyle w:val="Footer"/>
    </w:pPr>
    <w:r>
      <w:rPr>
        <w:noProof/>
      </w:rPr>
      <w:drawing>
        <wp:anchor distT="0" distB="0" distL="114300" distR="114300" simplePos="0" relativeHeight="251658240" behindDoc="0" locked="0" layoutInCell="1" allowOverlap="1" wp14:anchorId="38D086A3" wp14:editId="09A45394">
          <wp:simplePos x="0" y="0"/>
          <wp:positionH relativeFrom="column">
            <wp:posOffset>5532120</wp:posOffset>
          </wp:positionH>
          <wp:positionV relativeFrom="paragraph">
            <wp:posOffset>-228600</wp:posOffset>
          </wp:positionV>
          <wp:extent cx="694690" cy="694690"/>
          <wp:effectExtent l="0" t="0" r="0" b="0"/>
          <wp:wrapNone/>
          <wp:docPr id="6" name="Picture 6" descr="https://undocs.org/m2/QRCode2.ashx?DS=CEDAW/C/QAT/Q/2/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QAT/Q/2/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4915"/>
    </w:tblGrid>
    <w:tr w:rsidR="003C3DDB" w14:paraId="64E8EB57" w14:textId="77777777" w:rsidTr="003C3DDB">
      <w:tc>
        <w:tcPr>
          <w:tcW w:w="3902" w:type="dxa"/>
          <w:shd w:val="clear" w:color="auto" w:fill="auto"/>
        </w:tcPr>
        <w:p w14:paraId="2C91C63B" w14:textId="37BD477B" w:rsidR="003C3DDB" w:rsidRDefault="003C3DDB" w:rsidP="003C3DDB">
          <w:pPr>
            <w:pStyle w:val="Footer"/>
            <w:rPr>
              <w:b w:val="0"/>
              <w:sz w:val="20"/>
            </w:rPr>
          </w:pPr>
          <w:r>
            <w:rPr>
              <w:b w:val="0"/>
              <w:sz w:val="20"/>
            </w:rPr>
            <w:t>19-07393</w:t>
          </w:r>
          <w:r w:rsidR="00FA0DB6">
            <w:rPr>
              <w:b w:val="0"/>
              <w:sz w:val="20"/>
            </w:rPr>
            <w:t>X</w:t>
          </w:r>
          <w:r>
            <w:rPr>
              <w:b w:val="0"/>
              <w:sz w:val="20"/>
            </w:rPr>
            <w:t xml:space="preserve"> (F)    </w:t>
          </w:r>
        </w:p>
        <w:p w14:paraId="2411AAAC" w14:textId="6F6E8F03" w:rsidR="003C3DDB" w:rsidRPr="003C3DDB" w:rsidRDefault="003C3DDB" w:rsidP="003C3DDB">
          <w:pPr>
            <w:pStyle w:val="Footer"/>
            <w:spacing w:line="240" w:lineRule="atLeast"/>
            <w:rPr>
              <w:rFonts w:ascii="Barcode 3 of 9 by request" w:hAnsi="Barcode 3 of 9 by request"/>
              <w:b w:val="0"/>
              <w:sz w:val="24"/>
            </w:rPr>
          </w:pPr>
          <w:r>
            <w:rPr>
              <w:rFonts w:ascii="Barcode 3 of 9 by request" w:hAnsi="Barcode 3 of 9 by request"/>
              <w:sz w:val="24"/>
            </w:rPr>
            <w:t>*1907393*</w:t>
          </w:r>
        </w:p>
      </w:tc>
      <w:tc>
        <w:tcPr>
          <w:tcW w:w="4915" w:type="dxa"/>
          <w:shd w:val="clear" w:color="auto" w:fill="auto"/>
        </w:tcPr>
        <w:p w14:paraId="54CD5955" w14:textId="55A466E3" w:rsidR="003C3DDB" w:rsidRDefault="003C3DDB" w:rsidP="003C3DDB">
          <w:pPr>
            <w:pStyle w:val="Footer"/>
            <w:spacing w:line="240" w:lineRule="atLeast"/>
            <w:jc w:val="right"/>
            <w:rPr>
              <w:b w:val="0"/>
              <w:sz w:val="20"/>
            </w:rPr>
          </w:pPr>
          <w:r>
            <w:rPr>
              <w:b w:val="0"/>
              <w:noProof/>
              <w:sz w:val="20"/>
            </w:rPr>
            <w:drawing>
              <wp:inline distT="0" distB="0" distL="0" distR="0" wp14:anchorId="1F0C052F" wp14:editId="5B29FFD1">
                <wp:extent cx="1109474" cy="231648"/>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2FFB3C48" w14:textId="77777777" w:rsidR="003C3DDB" w:rsidRPr="003C3DDB" w:rsidRDefault="003C3DDB" w:rsidP="003C3DDB">
    <w:pPr>
      <w:pStyle w:val="Footer"/>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02038" w14:textId="77777777" w:rsidR="006A76C2" w:rsidRPr="004C5362" w:rsidRDefault="006A76C2" w:rsidP="004C5362">
      <w:pPr>
        <w:pStyle w:val="Footer"/>
        <w:spacing w:after="80"/>
        <w:ind w:left="792"/>
        <w:rPr>
          <w:sz w:val="16"/>
        </w:rPr>
      </w:pPr>
      <w:r w:rsidRPr="004C5362">
        <w:rPr>
          <w:sz w:val="16"/>
        </w:rPr>
        <w:t>__________________</w:t>
      </w:r>
    </w:p>
  </w:footnote>
  <w:footnote w:type="continuationSeparator" w:id="0">
    <w:p w14:paraId="2DC0F6D9" w14:textId="77777777" w:rsidR="006A76C2" w:rsidRPr="004C5362" w:rsidRDefault="006A76C2" w:rsidP="004C5362">
      <w:pPr>
        <w:pStyle w:val="Footer"/>
        <w:spacing w:after="80"/>
        <w:ind w:left="792"/>
        <w:rPr>
          <w:sz w:val="16"/>
        </w:rPr>
      </w:pPr>
      <w:r w:rsidRPr="004C5362">
        <w:rPr>
          <w:sz w:val="16"/>
        </w:rPr>
        <w:t>__________________</w:t>
      </w:r>
    </w:p>
  </w:footnote>
  <w:footnote w:id="1">
    <w:p w14:paraId="0BE00506" w14:textId="41F9FCC4" w:rsidR="00BB07FC" w:rsidRPr="004C5362" w:rsidRDefault="00BB07FC" w:rsidP="004C5362">
      <w:pPr>
        <w:pStyle w:val="FootnoteText"/>
        <w:tabs>
          <w:tab w:val="right" w:pos="1195"/>
          <w:tab w:val="left" w:pos="1267"/>
          <w:tab w:val="left" w:pos="1742"/>
          <w:tab w:val="left" w:pos="2218"/>
          <w:tab w:val="left" w:pos="2693"/>
        </w:tabs>
        <w:ind w:left="1267" w:right="1260" w:hanging="576"/>
      </w:pPr>
      <w:r>
        <w:tab/>
      </w:r>
      <w:r w:rsidRPr="004C5362">
        <w:rPr>
          <w:rStyle w:val="FootnoteReference"/>
          <w:spacing w:val="4"/>
        </w:rPr>
        <w:sym w:font="Symbol" w:char="F02A"/>
      </w:r>
      <w:r w:rsidRPr="004C5362">
        <w:tab/>
      </w:r>
      <w:r w:rsidRPr="004C5362">
        <w:rPr>
          <w:color w:val="000000"/>
        </w:rPr>
        <w:t>La version originale du présent document n</w:t>
      </w:r>
      <w:r>
        <w:rPr>
          <w:color w:val="000000"/>
        </w:rPr>
        <w:t>’</w:t>
      </w:r>
      <w:r w:rsidRPr="004C5362">
        <w:rPr>
          <w:color w:val="000000"/>
        </w:rPr>
        <w:t>a pas été revue par les services d</w:t>
      </w:r>
      <w:r>
        <w:rPr>
          <w:color w:val="000000"/>
        </w:rPr>
        <w:t>’</w:t>
      </w:r>
      <w:r w:rsidRPr="004C5362">
        <w:rPr>
          <w:color w:val="000000"/>
        </w:rPr>
        <w:t>édition.</w:t>
      </w:r>
      <w:r w:rsidRPr="004C5362">
        <w:t xml:space="preserve"> </w:t>
      </w:r>
    </w:p>
    <w:p w14:paraId="2C2D63B0" w14:textId="77777777" w:rsidR="00BB07FC" w:rsidRPr="00F95222" w:rsidRDefault="00BB07FC" w:rsidP="00646413">
      <w:pPr>
        <w:pStyle w:val="FootnoteText"/>
      </w:pPr>
    </w:p>
  </w:footnote>
  <w:footnote w:id="2">
    <w:p w14:paraId="64562CBA" w14:textId="0577E57A" w:rsidR="00BB07FC" w:rsidRPr="004C5362" w:rsidRDefault="00BB07FC" w:rsidP="004C5362">
      <w:pPr>
        <w:pStyle w:val="FootnoteText"/>
        <w:tabs>
          <w:tab w:val="right" w:pos="1195"/>
          <w:tab w:val="left" w:pos="1267"/>
          <w:tab w:val="left" w:pos="1742"/>
          <w:tab w:val="left" w:pos="2218"/>
          <w:tab w:val="left" w:pos="2693"/>
        </w:tabs>
        <w:ind w:left="1267" w:right="1260" w:hanging="576"/>
      </w:pPr>
      <w:r>
        <w:tab/>
      </w:r>
      <w:r w:rsidRPr="004C5362">
        <w:rPr>
          <w:rStyle w:val="FootnoteReference"/>
          <w:spacing w:val="4"/>
        </w:rPr>
        <w:footnoteRef/>
      </w:r>
      <w:r w:rsidRPr="004C5362">
        <w:tab/>
        <w:t>Voir par. 53 du deuxième rapport du Qatar (</w:t>
      </w:r>
      <w:hyperlink r:id="rId1" w:history="1">
        <w:r w:rsidRPr="00C51D17">
          <w:rPr>
            <w:rStyle w:val="Hyperlink"/>
          </w:rPr>
          <w:t>CEDAW/C/</w:t>
        </w:r>
        <w:bookmarkStart w:id="1" w:name="_GoBack"/>
        <w:bookmarkEnd w:id="1"/>
        <w:r w:rsidRPr="00C51D17">
          <w:rPr>
            <w:rStyle w:val="Hyperlink"/>
          </w:rPr>
          <w:t>QAT/2</w:t>
        </w:r>
      </w:hyperlink>
      <w:r w:rsidRPr="004C5362">
        <w:t>).</w:t>
      </w:r>
    </w:p>
  </w:footnote>
  <w:footnote w:id="3">
    <w:p w14:paraId="58FEDAF2" w14:textId="63AB23CE" w:rsidR="00BB07FC" w:rsidRPr="004C5362" w:rsidRDefault="00BB07FC" w:rsidP="004C5362">
      <w:pPr>
        <w:pStyle w:val="FootnoteText"/>
        <w:tabs>
          <w:tab w:val="right" w:pos="1195"/>
          <w:tab w:val="left" w:pos="1267"/>
          <w:tab w:val="left" w:pos="1742"/>
          <w:tab w:val="left" w:pos="2218"/>
          <w:tab w:val="left" w:pos="2693"/>
        </w:tabs>
        <w:ind w:left="1267" w:right="1260" w:hanging="576"/>
      </w:pPr>
      <w:r>
        <w:tab/>
      </w:r>
      <w:r w:rsidRPr="004C5362">
        <w:rPr>
          <w:rStyle w:val="FootnoteReference"/>
          <w:spacing w:val="4"/>
        </w:rPr>
        <w:footnoteRef/>
      </w:r>
      <w:r w:rsidRPr="004C5362">
        <w:tab/>
        <w:t xml:space="preserve">Voir </w:t>
      </w:r>
      <w:r>
        <w:t>par. </w:t>
      </w:r>
      <w:r w:rsidRPr="004C5362">
        <w:t>34 du deuxième rapport du Qatar (</w:t>
      </w:r>
      <w:hyperlink r:id="rId2" w:history="1">
        <w:r w:rsidRPr="00C51D17">
          <w:rPr>
            <w:rStyle w:val="Hyperlink"/>
          </w:rPr>
          <w:t>CEDAW/C/QAT/2</w:t>
        </w:r>
      </w:hyperlink>
      <w:r w:rsidRPr="004C5362">
        <w:t>).</w:t>
      </w:r>
    </w:p>
  </w:footnote>
  <w:footnote w:id="4">
    <w:p w14:paraId="44226E06" w14:textId="37896F4D" w:rsidR="00BB07FC" w:rsidRPr="004C5362" w:rsidRDefault="00BB07FC" w:rsidP="004C5362">
      <w:pPr>
        <w:pStyle w:val="FootnoteText"/>
        <w:tabs>
          <w:tab w:val="right" w:pos="1195"/>
          <w:tab w:val="left" w:pos="1267"/>
          <w:tab w:val="left" w:pos="1742"/>
          <w:tab w:val="left" w:pos="2218"/>
          <w:tab w:val="left" w:pos="2693"/>
        </w:tabs>
        <w:ind w:left="1267" w:right="1260" w:hanging="576"/>
      </w:pPr>
      <w:r>
        <w:tab/>
      </w:r>
      <w:r w:rsidRPr="004C5362">
        <w:rPr>
          <w:rStyle w:val="FootnoteReference"/>
          <w:spacing w:val="4"/>
        </w:rPr>
        <w:footnoteRef/>
      </w:r>
      <w:r w:rsidRPr="004C5362">
        <w:tab/>
        <w:t xml:space="preserve">Voir </w:t>
      </w:r>
      <w:r>
        <w:t>par. </w:t>
      </w:r>
      <w:r w:rsidRPr="004C5362">
        <w:t>40 du deuxième rapport du Qatar (</w:t>
      </w:r>
      <w:hyperlink r:id="rId3" w:history="1">
        <w:r w:rsidRPr="00C51D17">
          <w:rPr>
            <w:rStyle w:val="Hyperlink"/>
          </w:rPr>
          <w:t>CEDAW/C/QAT/2</w:t>
        </w:r>
      </w:hyperlink>
      <w:r w:rsidRPr="004C5362">
        <w:t>).</w:t>
      </w:r>
    </w:p>
    <w:p w14:paraId="77E3BC89" w14:textId="77777777" w:rsidR="00BB07FC" w:rsidRDefault="00BB07FC" w:rsidP="00646413">
      <w:pPr>
        <w:pStyle w:val="FootnoteText"/>
      </w:pPr>
    </w:p>
  </w:footnote>
  <w:footnote w:id="5">
    <w:p w14:paraId="76C4C43C" w14:textId="2AFABBE2" w:rsidR="00BB07FC" w:rsidRPr="004C5362" w:rsidRDefault="00BB07FC" w:rsidP="004C5362">
      <w:pPr>
        <w:pStyle w:val="FootnoteText"/>
        <w:tabs>
          <w:tab w:val="right" w:pos="1195"/>
          <w:tab w:val="left" w:pos="1267"/>
          <w:tab w:val="left" w:pos="1742"/>
          <w:tab w:val="left" w:pos="2218"/>
          <w:tab w:val="left" w:pos="2693"/>
        </w:tabs>
        <w:ind w:left="1267" w:right="1260" w:hanging="576"/>
      </w:pPr>
      <w:r>
        <w:tab/>
      </w:r>
      <w:r w:rsidRPr="004C5362">
        <w:rPr>
          <w:rStyle w:val="FootnoteReference"/>
          <w:spacing w:val="4"/>
        </w:rPr>
        <w:footnoteRef/>
      </w:r>
      <w:r w:rsidRPr="004C5362">
        <w:tab/>
        <w:t>Quatrième Rapport sur le développement humain du Qatar.</w:t>
      </w:r>
    </w:p>
  </w:footnote>
  <w:footnote w:id="6">
    <w:p w14:paraId="75A9245C" w14:textId="4D62EC4E" w:rsidR="00BB07FC" w:rsidRPr="004C5362" w:rsidRDefault="00BB07FC" w:rsidP="004C5362">
      <w:pPr>
        <w:pStyle w:val="FootnoteText"/>
        <w:tabs>
          <w:tab w:val="right" w:pos="1195"/>
          <w:tab w:val="left" w:pos="1267"/>
          <w:tab w:val="left" w:pos="1742"/>
          <w:tab w:val="left" w:pos="2218"/>
          <w:tab w:val="left" w:pos="2693"/>
        </w:tabs>
        <w:ind w:left="1267" w:right="1260" w:hanging="576"/>
      </w:pPr>
      <w:r>
        <w:tab/>
      </w:r>
      <w:r w:rsidRPr="004C5362">
        <w:rPr>
          <w:rStyle w:val="FootnoteReference"/>
          <w:spacing w:val="4"/>
        </w:rPr>
        <w:footnoteRef/>
      </w:r>
      <w:r w:rsidRPr="004C5362">
        <w:tab/>
        <w:t>Voir le tableau n</w:t>
      </w:r>
      <w:r w:rsidRPr="00BB07FC">
        <w:rPr>
          <w:vertAlign w:val="superscript"/>
        </w:rPr>
        <w:t>o</w:t>
      </w:r>
      <w:r>
        <w:t> </w:t>
      </w:r>
      <w:r w:rsidRPr="004C5362">
        <w:t>1 figurant à l</w:t>
      </w:r>
      <w:r>
        <w:t>’</w:t>
      </w:r>
      <w:r w:rsidRPr="004C5362">
        <w:t>annexe du présent rapport, qui présente les ateliers d</w:t>
      </w:r>
      <w:r>
        <w:t>’</w:t>
      </w:r>
      <w:r w:rsidRPr="004C5362">
        <w:t>orientation sur le recours aux travailleuses domestiques dans l</w:t>
      </w:r>
      <w:r>
        <w:t>’</w:t>
      </w:r>
      <w:r w:rsidRPr="004C5362">
        <w:t>éducation des enfants, élaboré par le Centre Wifaq en 2017-2018.</w:t>
      </w:r>
    </w:p>
  </w:footnote>
  <w:footnote w:id="7">
    <w:p w14:paraId="74E4D348" w14:textId="76723D3E" w:rsidR="00BB07FC" w:rsidRPr="004C5362" w:rsidRDefault="00BB07FC" w:rsidP="004C5362">
      <w:pPr>
        <w:pStyle w:val="FootnoteText"/>
        <w:tabs>
          <w:tab w:val="right" w:pos="1195"/>
          <w:tab w:val="left" w:pos="1267"/>
          <w:tab w:val="left" w:pos="1742"/>
          <w:tab w:val="left" w:pos="2218"/>
          <w:tab w:val="left" w:pos="2693"/>
        </w:tabs>
        <w:ind w:left="1267" w:right="1260" w:hanging="576"/>
      </w:pPr>
      <w:r>
        <w:tab/>
      </w:r>
      <w:r w:rsidRPr="004C5362">
        <w:rPr>
          <w:rStyle w:val="FootnoteReference"/>
          <w:spacing w:val="4"/>
        </w:rPr>
        <w:footnoteRef/>
      </w:r>
      <w:r w:rsidRPr="004C5362">
        <w:tab/>
        <w:t>Voir le tableau 2 figurant à l</w:t>
      </w:r>
      <w:r>
        <w:t>’</w:t>
      </w:r>
      <w:r w:rsidRPr="004C5362">
        <w:t>annexe du présent rapport sur le nombre total d</w:t>
      </w:r>
      <w:r>
        <w:t>’</w:t>
      </w:r>
      <w:r w:rsidRPr="004C5362">
        <w:t>ateliers et de programmes organisés pour assurer un équilibre entre les responsabilités professionnelles et familiales, présenté par le Centre Wifaq pendant la période 2017-2018.</w:t>
      </w:r>
    </w:p>
  </w:footnote>
  <w:footnote w:id="8">
    <w:p w14:paraId="098A66B9" w14:textId="1732A3C6" w:rsidR="00BB07FC" w:rsidRPr="004C5362" w:rsidRDefault="00BB07FC" w:rsidP="004C5362">
      <w:pPr>
        <w:pStyle w:val="FootnoteText"/>
        <w:tabs>
          <w:tab w:val="right" w:pos="1195"/>
          <w:tab w:val="left" w:pos="1267"/>
          <w:tab w:val="left" w:pos="1742"/>
          <w:tab w:val="left" w:pos="2218"/>
          <w:tab w:val="left" w:pos="2693"/>
        </w:tabs>
        <w:ind w:left="1267" w:right="1260" w:hanging="576"/>
      </w:pPr>
      <w:r>
        <w:tab/>
      </w:r>
      <w:r w:rsidRPr="004C5362">
        <w:rPr>
          <w:rStyle w:val="FootnoteReference"/>
          <w:spacing w:val="4"/>
        </w:rPr>
        <w:footnoteRef/>
      </w:r>
      <w:r w:rsidRPr="004C5362">
        <w:tab/>
        <w:t>Voir le tableau 3 figurant à l</w:t>
      </w:r>
      <w:r>
        <w:t>’</w:t>
      </w:r>
      <w:r w:rsidRPr="004C5362">
        <w:t>annexe du présent rapport sur le nombre total d</w:t>
      </w:r>
      <w:r>
        <w:t>’</w:t>
      </w:r>
      <w:r w:rsidRPr="004C5362">
        <w:t>ateliers et de conférences de sensibilisation aux dangers du divorce, présenté par le Centre pendant la période 2017-2018.</w:t>
      </w:r>
    </w:p>
  </w:footnote>
  <w:footnote w:id="9">
    <w:p w14:paraId="1D937A89" w14:textId="0CC1A086" w:rsidR="00BB07FC" w:rsidRPr="004C5362" w:rsidRDefault="00BB07FC" w:rsidP="004C5362">
      <w:pPr>
        <w:pStyle w:val="FootnoteText"/>
        <w:tabs>
          <w:tab w:val="right" w:pos="1195"/>
          <w:tab w:val="left" w:pos="1267"/>
          <w:tab w:val="left" w:pos="1742"/>
          <w:tab w:val="left" w:pos="2218"/>
          <w:tab w:val="left" w:pos="2693"/>
        </w:tabs>
        <w:ind w:left="1267" w:right="1260" w:hanging="576"/>
      </w:pPr>
      <w:r>
        <w:tab/>
      </w:r>
      <w:r w:rsidRPr="004C5362">
        <w:rPr>
          <w:rStyle w:val="FootnoteReference"/>
          <w:spacing w:val="4"/>
        </w:rPr>
        <w:footnoteRef/>
      </w:r>
      <w:r w:rsidRPr="004C5362">
        <w:tab/>
        <w:t>Voir le tableau 4 figurant à l</w:t>
      </w:r>
      <w:r>
        <w:t>’</w:t>
      </w:r>
      <w:r w:rsidRPr="004C5362">
        <w:t>annexe du présent rapport sur le nombre total de programmes de formation offerts par le Centre Wifaq pendant la période 2017-2018.</w:t>
      </w:r>
    </w:p>
  </w:footnote>
  <w:footnote w:id="10">
    <w:p w14:paraId="3DD09D81" w14:textId="7B37F3FE" w:rsidR="00BB07FC" w:rsidRPr="004C5362" w:rsidRDefault="00BB07FC" w:rsidP="004C5362">
      <w:pPr>
        <w:pStyle w:val="FootnoteText"/>
        <w:tabs>
          <w:tab w:val="right" w:pos="1195"/>
          <w:tab w:val="left" w:pos="1267"/>
          <w:tab w:val="left" w:pos="1742"/>
          <w:tab w:val="left" w:pos="2218"/>
          <w:tab w:val="left" w:pos="2693"/>
        </w:tabs>
        <w:ind w:left="1267" w:right="1260" w:hanging="576"/>
      </w:pPr>
      <w:r>
        <w:tab/>
      </w:r>
      <w:r w:rsidRPr="004C5362">
        <w:rPr>
          <w:rStyle w:val="FootnoteReference"/>
          <w:spacing w:val="4"/>
        </w:rPr>
        <w:footnoteRef/>
      </w:r>
      <w:r w:rsidRPr="004C5362">
        <w:tab/>
        <w:t>Voir le tableau 5 sur le nombre total d</w:t>
      </w:r>
      <w:r>
        <w:t>’</w:t>
      </w:r>
      <w:r w:rsidRPr="004C5362">
        <w:t>ateliers et de conférences de sensibilisation culturelle destinés à éviter les conflits familiaux, que le Centre a présentés en 2017.</w:t>
      </w:r>
    </w:p>
  </w:footnote>
  <w:footnote w:id="11">
    <w:p w14:paraId="07373F80" w14:textId="2C9843C5" w:rsidR="00BB07FC" w:rsidRPr="004C5362" w:rsidRDefault="00BB07FC" w:rsidP="004C5362">
      <w:pPr>
        <w:pStyle w:val="FootnoteText"/>
        <w:tabs>
          <w:tab w:val="right" w:pos="1195"/>
          <w:tab w:val="left" w:pos="1267"/>
          <w:tab w:val="left" w:pos="1742"/>
          <w:tab w:val="left" w:pos="2218"/>
          <w:tab w:val="left" w:pos="2693"/>
        </w:tabs>
        <w:ind w:left="1267" w:right="1260" w:hanging="576"/>
      </w:pPr>
      <w:r>
        <w:tab/>
      </w:r>
      <w:r w:rsidRPr="004C5362">
        <w:rPr>
          <w:rStyle w:val="FootnoteReference"/>
          <w:spacing w:val="4"/>
        </w:rPr>
        <w:footnoteRef/>
      </w:r>
      <w:r w:rsidRPr="004C5362">
        <w:tab/>
        <w:t>Voir annexes, tableau 6 sur les informations concernant les cycles de formation dans le domaine de la lutte contre la traite des personnes organisés par l</w:t>
      </w:r>
      <w:r>
        <w:t>’</w:t>
      </w:r>
      <w:r w:rsidRPr="004C5362">
        <w:t>Institut de formation de la police entre 2016 et 2018.</w:t>
      </w:r>
    </w:p>
  </w:footnote>
  <w:footnote w:id="12">
    <w:p w14:paraId="6D8BB89C" w14:textId="0D70FB82" w:rsidR="00BB07FC" w:rsidRPr="004C5362" w:rsidRDefault="00BB07FC" w:rsidP="004C5362">
      <w:pPr>
        <w:pStyle w:val="FootnoteText"/>
        <w:tabs>
          <w:tab w:val="right" w:pos="1195"/>
          <w:tab w:val="left" w:pos="1267"/>
          <w:tab w:val="left" w:pos="1742"/>
          <w:tab w:val="left" w:pos="2218"/>
          <w:tab w:val="left" w:pos="2693"/>
        </w:tabs>
        <w:ind w:left="1267" w:right="1260" w:hanging="576"/>
      </w:pPr>
      <w:r>
        <w:tab/>
      </w:r>
      <w:r w:rsidRPr="004C5362">
        <w:rPr>
          <w:rStyle w:val="FootnoteReference"/>
          <w:spacing w:val="4"/>
        </w:rPr>
        <w:footnoteRef/>
      </w:r>
      <w:r w:rsidRPr="004C5362">
        <w:tab/>
        <w:t>Voir paragraphe 4 du présent rapport.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B07FC" w:rsidRPr="00B00B61" w14:paraId="1B6E7C61" w14:textId="77777777" w:rsidTr="001A40D9">
      <w:trPr>
        <w:trHeight w:hRule="exact" w:val="864"/>
      </w:trPr>
      <w:tc>
        <w:tcPr>
          <w:tcW w:w="4920" w:type="dxa"/>
          <w:shd w:val="clear" w:color="auto" w:fill="auto"/>
          <w:vAlign w:val="bottom"/>
        </w:tcPr>
        <w:p w14:paraId="19EE0AFF" w14:textId="6AEFA216" w:rsidR="00BB07FC" w:rsidRPr="001A40D9" w:rsidRDefault="00BB07FC" w:rsidP="001A40D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A4BAA">
            <w:rPr>
              <w:b/>
              <w:color w:val="000000"/>
            </w:rPr>
            <w:t>CEDAW/C/MOZ/Q/3-/5/Add.1</w:t>
          </w:r>
          <w:r>
            <w:rPr>
              <w:b/>
              <w:color w:val="000000"/>
            </w:rPr>
            <w:fldChar w:fldCharType="end"/>
          </w:r>
        </w:p>
      </w:tc>
      <w:tc>
        <w:tcPr>
          <w:tcW w:w="4920" w:type="dxa"/>
          <w:shd w:val="clear" w:color="auto" w:fill="auto"/>
          <w:vAlign w:val="bottom"/>
        </w:tcPr>
        <w:p w14:paraId="5C2891CE" w14:textId="77777777" w:rsidR="00BB07FC" w:rsidRDefault="00BB07FC" w:rsidP="001A40D9">
          <w:pPr>
            <w:pStyle w:val="Header"/>
          </w:pPr>
        </w:p>
      </w:tc>
    </w:tr>
  </w:tbl>
  <w:p w14:paraId="78A66855" w14:textId="77777777" w:rsidR="00BB07FC" w:rsidRPr="001A40D9" w:rsidRDefault="00BB07FC" w:rsidP="001A40D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B07FC" w:rsidRPr="00B00B61" w14:paraId="0EDA52F8" w14:textId="77777777" w:rsidTr="001A40D9">
      <w:trPr>
        <w:trHeight w:hRule="exact" w:val="864"/>
      </w:trPr>
      <w:tc>
        <w:tcPr>
          <w:tcW w:w="4920" w:type="dxa"/>
          <w:shd w:val="clear" w:color="auto" w:fill="auto"/>
          <w:vAlign w:val="bottom"/>
        </w:tcPr>
        <w:p w14:paraId="6FAE4D6A" w14:textId="77777777" w:rsidR="00BB07FC" w:rsidRDefault="00BB07FC" w:rsidP="001A40D9">
          <w:pPr>
            <w:pStyle w:val="Header"/>
          </w:pPr>
        </w:p>
      </w:tc>
      <w:tc>
        <w:tcPr>
          <w:tcW w:w="4920" w:type="dxa"/>
          <w:shd w:val="clear" w:color="auto" w:fill="auto"/>
          <w:vAlign w:val="bottom"/>
        </w:tcPr>
        <w:p w14:paraId="0CDCD4BF" w14:textId="155693F9" w:rsidR="00BB07FC" w:rsidRPr="001A40D9" w:rsidRDefault="00BB07FC" w:rsidP="001A40D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A4BAA">
            <w:rPr>
              <w:b/>
              <w:color w:val="000000"/>
            </w:rPr>
            <w:t>CEDAW/C/MOZ/Q/3-/5/Add.1</w:t>
          </w:r>
          <w:r>
            <w:rPr>
              <w:b/>
              <w:color w:val="000000"/>
            </w:rPr>
            <w:fldChar w:fldCharType="end"/>
          </w:r>
        </w:p>
      </w:tc>
    </w:tr>
  </w:tbl>
  <w:p w14:paraId="68ADB4AE" w14:textId="77777777" w:rsidR="00BB07FC" w:rsidRPr="001A40D9" w:rsidRDefault="00BB07FC" w:rsidP="001A40D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BB07FC" w:rsidRPr="00B00B61" w14:paraId="1282568C" w14:textId="77777777" w:rsidTr="001A40D9">
      <w:trPr>
        <w:trHeight w:hRule="exact" w:val="864"/>
      </w:trPr>
      <w:tc>
        <w:tcPr>
          <w:tcW w:w="1267" w:type="dxa"/>
          <w:tcBorders>
            <w:bottom w:val="single" w:sz="4" w:space="0" w:color="auto"/>
          </w:tcBorders>
          <w:shd w:val="clear" w:color="auto" w:fill="auto"/>
          <w:vAlign w:val="bottom"/>
        </w:tcPr>
        <w:p w14:paraId="29527A4E" w14:textId="77777777" w:rsidR="00BB07FC" w:rsidRDefault="00BB07FC" w:rsidP="001A40D9">
          <w:pPr>
            <w:pStyle w:val="Header"/>
            <w:spacing w:after="120"/>
          </w:pPr>
        </w:p>
      </w:tc>
      <w:tc>
        <w:tcPr>
          <w:tcW w:w="2059" w:type="dxa"/>
          <w:tcBorders>
            <w:bottom w:val="single" w:sz="4" w:space="0" w:color="auto"/>
          </w:tcBorders>
          <w:shd w:val="clear" w:color="auto" w:fill="auto"/>
          <w:vAlign w:val="bottom"/>
        </w:tcPr>
        <w:p w14:paraId="5C2AD881" w14:textId="77777777" w:rsidR="00BB07FC" w:rsidRPr="001A40D9" w:rsidRDefault="00BB07FC" w:rsidP="001A40D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2C0A25B" w14:textId="77777777" w:rsidR="00BB07FC" w:rsidRDefault="00BB07FC" w:rsidP="001A40D9">
          <w:pPr>
            <w:pStyle w:val="Header"/>
            <w:spacing w:after="120"/>
          </w:pPr>
        </w:p>
      </w:tc>
      <w:tc>
        <w:tcPr>
          <w:tcW w:w="6466" w:type="dxa"/>
          <w:gridSpan w:val="3"/>
          <w:tcBorders>
            <w:bottom w:val="single" w:sz="4" w:space="0" w:color="auto"/>
          </w:tcBorders>
          <w:shd w:val="clear" w:color="auto" w:fill="auto"/>
          <w:vAlign w:val="bottom"/>
        </w:tcPr>
        <w:p w14:paraId="63216090" w14:textId="042044C7" w:rsidR="00BB07FC" w:rsidRPr="005F50EB" w:rsidRDefault="00BB07FC" w:rsidP="001A40D9">
          <w:pPr>
            <w:spacing w:after="80" w:line="240" w:lineRule="auto"/>
            <w:jc w:val="right"/>
            <w:rPr>
              <w:position w:val="-4"/>
              <w:lang w:val="en-US"/>
            </w:rPr>
          </w:pPr>
          <w:r w:rsidRPr="005F50EB">
            <w:rPr>
              <w:position w:val="-4"/>
              <w:sz w:val="40"/>
              <w:lang w:val="en-US"/>
            </w:rPr>
            <w:t>CEDAW</w:t>
          </w:r>
          <w:r w:rsidRPr="005F50EB">
            <w:rPr>
              <w:position w:val="-4"/>
              <w:lang w:val="en-US"/>
            </w:rPr>
            <w:t>/C/</w:t>
          </w:r>
          <w:r>
            <w:rPr>
              <w:position w:val="-4"/>
              <w:lang w:val="en-US"/>
            </w:rPr>
            <w:t>QAT</w:t>
          </w:r>
          <w:r w:rsidRPr="005F50EB">
            <w:rPr>
              <w:position w:val="-4"/>
              <w:lang w:val="en-US"/>
            </w:rPr>
            <w:t>/Q/</w:t>
          </w:r>
          <w:r>
            <w:rPr>
              <w:position w:val="-4"/>
              <w:lang w:val="en-US"/>
            </w:rPr>
            <w:t>2</w:t>
          </w:r>
          <w:r w:rsidRPr="005F50EB">
            <w:rPr>
              <w:position w:val="-4"/>
              <w:lang w:val="en-US"/>
            </w:rPr>
            <w:t>/Add.1</w:t>
          </w:r>
        </w:p>
      </w:tc>
    </w:tr>
    <w:tr w:rsidR="00BB07FC" w:rsidRPr="001A40D9" w14:paraId="6E3C1AF6" w14:textId="77777777" w:rsidTr="001A40D9">
      <w:trPr>
        <w:trHeight w:hRule="exact" w:val="2880"/>
      </w:trPr>
      <w:tc>
        <w:tcPr>
          <w:tcW w:w="1267" w:type="dxa"/>
          <w:tcBorders>
            <w:top w:val="single" w:sz="4" w:space="0" w:color="auto"/>
            <w:bottom w:val="single" w:sz="12" w:space="0" w:color="auto"/>
          </w:tcBorders>
          <w:shd w:val="clear" w:color="auto" w:fill="auto"/>
        </w:tcPr>
        <w:p w14:paraId="2D3EF15B" w14:textId="77777777" w:rsidR="00BB07FC" w:rsidRPr="001A40D9" w:rsidRDefault="00BB07FC" w:rsidP="001A40D9">
          <w:pPr>
            <w:pStyle w:val="Header"/>
            <w:spacing w:before="120" w:line="240" w:lineRule="auto"/>
            <w:ind w:left="-72"/>
            <w:jc w:val="center"/>
          </w:pPr>
          <w:r>
            <w:t xml:space="preserve">  </w:t>
          </w:r>
          <w:r>
            <w:rPr>
              <w:noProof/>
            </w:rPr>
            <w:drawing>
              <wp:inline distT="0" distB="0" distL="0" distR="0" wp14:anchorId="6C197810" wp14:editId="281FE8A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2BE083F" w14:textId="16ABCF27" w:rsidR="00BB07FC" w:rsidRPr="001A40D9" w:rsidRDefault="00BB07FC" w:rsidP="001A40D9">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2F4F5113" w14:textId="77777777" w:rsidR="00BB07FC" w:rsidRPr="005F50EB" w:rsidRDefault="00BB07FC" w:rsidP="001A40D9">
          <w:pPr>
            <w:pStyle w:val="Header"/>
            <w:spacing w:before="109"/>
            <w:rPr>
              <w:lang w:val="fr-FR"/>
            </w:rPr>
          </w:pPr>
        </w:p>
      </w:tc>
      <w:tc>
        <w:tcPr>
          <w:tcW w:w="3110" w:type="dxa"/>
          <w:tcBorders>
            <w:top w:val="single" w:sz="4" w:space="0" w:color="auto"/>
            <w:bottom w:val="single" w:sz="12" w:space="0" w:color="auto"/>
          </w:tcBorders>
          <w:shd w:val="clear" w:color="auto" w:fill="auto"/>
        </w:tcPr>
        <w:p w14:paraId="10E606DE" w14:textId="77777777" w:rsidR="00BB07FC" w:rsidRPr="005F50EB" w:rsidRDefault="00BB07FC" w:rsidP="001A40D9">
          <w:pPr>
            <w:pStyle w:val="Distribution"/>
            <w:rPr>
              <w:color w:val="000000"/>
              <w:lang w:val="fr-FR"/>
            </w:rPr>
          </w:pPr>
          <w:r w:rsidRPr="005F50EB">
            <w:rPr>
              <w:color w:val="000000"/>
              <w:lang w:val="fr-FR"/>
            </w:rPr>
            <w:t>Distr. générale</w:t>
          </w:r>
        </w:p>
        <w:p w14:paraId="63A238A1" w14:textId="77777777" w:rsidR="00BB07FC" w:rsidRPr="005F50EB" w:rsidRDefault="00BB07FC" w:rsidP="001A40D9">
          <w:pPr>
            <w:pStyle w:val="Publication"/>
            <w:rPr>
              <w:color w:val="000000"/>
              <w:lang w:val="fr-FR"/>
            </w:rPr>
          </w:pPr>
          <w:r w:rsidRPr="005F50EB">
            <w:rPr>
              <w:color w:val="000000"/>
              <w:lang w:val="fr-FR"/>
            </w:rPr>
            <w:t>6 mai 2019</w:t>
          </w:r>
        </w:p>
        <w:p w14:paraId="61636B5A" w14:textId="77777777" w:rsidR="00BB07FC" w:rsidRPr="005F50EB" w:rsidRDefault="00BB07FC" w:rsidP="001A40D9">
          <w:r w:rsidRPr="005F50EB">
            <w:t>Français</w:t>
          </w:r>
        </w:p>
        <w:p w14:paraId="3E1A46FE" w14:textId="427849ED" w:rsidR="00BB07FC" w:rsidRDefault="00BB07FC" w:rsidP="001A40D9">
          <w:pPr>
            <w:pStyle w:val="Original"/>
            <w:rPr>
              <w:color w:val="000000"/>
              <w:lang w:val="fr-FR"/>
            </w:rPr>
          </w:pPr>
          <w:r w:rsidRPr="005F50EB">
            <w:rPr>
              <w:color w:val="000000"/>
              <w:lang w:val="fr-FR"/>
            </w:rPr>
            <w:t>Original</w:t>
          </w:r>
          <w:r>
            <w:rPr>
              <w:color w:val="000000"/>
              <w:lang w:val="fr-FR"/>
            </w:rPr>
            <w:t xml:space="preserve"> : </w:t>
          </w:r>
          <w:r w:rsidRPr="005F50EB">
            <w:rPr>
              <w:color w:val="000000"/>
              <w:lang w:val="fr-FR"/>
            </w:rPr>
            <w:t>arabe</w:t>
          </w:r>
        </w:p>
        <w:p w14:paraId="4CE046C3" w14:textId="77777777" w:rsidR="00BB07FC" w:rsidRPr="00BB07FC" w:rsidRDefault="00BB07FC" w:rsidP="00BB07FC"/>
        <w:p w14:paraId="11225C50" w14:textId="1BB8E350" w:rsidR="00BB07FC" w:rsidRPr="00BB07FC" w:rsidRDefault="00BB07FC" w:rsidP="001A40D9">
          <w:pPr>
            <w:pStyle w:val="Original"/>
            <w:rPr>
              <w:color w:val="000000"/>
              <w:lang w:val="fr-FR"/>
            </w:rPr>
          </w:pPr>
          <w:r>
            <w:rPr>
              <w:color w:val="000000"/>
              <w:lang w:val="fr-FR"/>
            </w:rPr>
            <w:t>A</w:t>
          </w:r>
          <w:r w:rsidRPr="005F50EB">
            <w:rPr>
              <w:color w:val="000000"/>
              <w:lang w:val="fr-FR"/>
            </w:rPr>
            <w:t>nglais</w:t>
          </w:r>
          <w:r>
            <w:rPr>
              <w:color w:val="000000"/>
              <w:lang w:val="fr-FR"/>
            </w:rPr>
            <w:t>, arabe, e</w:t>
          </w:r>
          <w:r w:rsidRPr="005F50EB">
            <w:rPr>
              <w:color w:val="000000"/>
              <w:lang w:val="fr-FR"/>
            </w:rPr>
            <w:t>spagnol</w:t>
          </w:r>
          <w:r>
            <w:rPr>
              <w:color w:val="000000"/>
              <w:lang w:val="fr-FR"/>
            </w:rPr>
            <w:t xml:space="preserve"> et f</w:t>
          </w:r>
          <w:r w:rsidRPr="00BB07FC">
            <w:rPr>
              <w:color w:val="000000"/>
              <w:lang w:val="fr-FR"/>
            </w:rPr>
            <w:t>rançais</w:t>
          </w:r>
          <w:r>
            <w:rPr>
              <w:color w:val="000000"/>
              <w:lang w:val="fr-FR"/>
            </w:rPr>
            <w:t xml:space="preserve">  seulement </w:t>
          </w:r>
        </w:p>
      </w:tc>
    </w:tr>
  </w:tbl>
  <w:p w14:paraId="12E34E86" w14:textId="77777777" w:rsidR="00BB07FC" w:rsidRPr="00BB07FC" w:rsidRDefault="00BB07FC" w:rsidP="001A40D9">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E96"/>
    <w:multiLevelType w:val="hybridMultilevel"/>
    <w:tmpl w:val="3C14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15290"/>
    <w:multiLevelType w:val="hybridMultilevel"/>
    <w:tmpl w:val="44B0871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92F0275"/>
    <w:multiLevelType w:val="hybridMultilevel"/>
    <w:tmpl w:val="3192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3278E"/>
    <w:multiLevelType w:val="hybridMultilevel"/>
    <w:tmpl w:val="BB1A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06B23"/>
    <w:multiLevelType w:val="multilevel"/>
    <w:tmpl w:val="3D1EFB4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4C468B0"/>
    <w:multiLevelType w:val="hybridMultilevel"/>
    <w:tmpl w:val="00DC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F270D"/>
    <w:multiLevelType w:val="hybridMultilevel"/>
    <w:tmpl w:val="B7A6DF7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25612"/>
    <w:multiLevelType w:val="hybridMultilevel"/>
    <w:tmpl w:val="6332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46195"/>
    <w:multiLevelType w:val="hybridMultilevel"/>
    <w:tmpl w:val="C0C27584"/>
    <w:lvl w:ilvl="0" w:tplc="60EA76E8">
      <w:start w:val="56"/>
      <w:numFmt w:val="decimal"/>
      <w:lvlRestart w:val="0"/>
      <w:lvlText w:val="%1."/>
      <w:lvlJc w:val="left"/>
      <w:pPr>
        <w:tabs>
          <w:tab w:val="num" w:pos="475"/>
        </w:tabs>
        <w:ind w:left="0" w:firstLine="0"/>
      </w:pPr>
      <w:rPr>
        <w:rFonts w:hint="default"/>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294EFA"/>
    <w:multiLevelType w:val="hybridMultilevel"/>
    <w:tmpl w:val="476C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A24F8"/>
    <w:multiLevelType w:val="hybridMultilevel"/>
    <w:tmpl w:val="CB8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0769A"/>
    <w:multiLevelType w:val="hybridMultilevel"/>
    <w:tmpl w:val="E622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72802"/>
    <w:multiLevelType w:val="hybridMultilevel"/>
    <w:tmpl w:val="B09C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C45D5"/>
    <w:multiLevelType w:val="hybridMultilevel"/>
    <w:tmpl w:val="BA2C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A5132"/>
    <w:multiLevelType w:val="hybridMultilevel"/>
    <w:tmpl w:val="7438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90FED"/>
    <w:multiLevelType w:val="singleLevel"/>
    <w:tmpl w:val="2BCCB454"/>
    <w:lvl w:ilvl="0">
      <w:start w:val="1"/>
      <w:numFmt w:val="decimal"/>
      <w:lvlRestart w:val="0"/>
      <w:lvlText w:val="%1."/>
      <w:lvlJc w:val="left"/>
      <w:pPr>
        <w:tabs>
          <w:tab w:val="num" w:pos="475"/>
        </w:tabs>
        <w:ind w:left="0" w:firstLine="0"/>
      </w:pPr>
      <w:rPr>
        <w:w w:val="100"/>
      </w:rPr>
    </w:lvl>
  </w:abstractNum>
  <w:abstractNum w:abstractNumId="16" w15:restartNumberingAfterBreak="0">
    <w:nsid w:val="2CC36531"/>
    <w:multiLevelType w:val="hybridMultilevel"/>
    <w:tmpl w:val="C562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C4FA9"/>
    <w:multiLevelType w:val="hybridMultilevel"/>
    <w:tmpl w:val="0BF6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953E2"/>
    <w:multiLevelType w:val="hybridMultilevel"/>
    <w:tmpl w:val="8D6A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85B59"/>
    <w:multiLevelType w:val="hybridMultilevel"/>
    <w:tmpl w:val="79E2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F36E7"/>
    <w:multiLevelType w:val="hybridMultilevel"/>
    <w:tmpl w:val="ECF6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64E17"/>
    <w:multiLevelType w:val="hybridMultilevel"/>
    <w:tmpl w:val="FEDA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F44F0"/>
    <w:multiLevelType w:val="hybridMultilevel"/>
    <w:tmpl w:val="D64A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45AA2"/>
    <w:multiLevelType w:val="hybridMultilevel"/>
    <w:tmpl w:val="6532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316B1"/>
    <w:multiLevelType w:val="hybridMultilevel"/>
    <w:tmpl w:val="8926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9008E2"/>
    <w:multiLevelType w:val="hybridMultilevel"/>
    <w:tmpl w:val="8C6A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20F5B"/>
    <w:multiLevelType w:val="hybridMultilevel"/>
    <w:tmpl w:val="A7D0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40547"/>
    <w:multiLevelType w:val="hybridMultilevel"/>
    <w:tmpl w:val="9626C7B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57E2D"/>
    <w:multiLevelType w:val="singleLevel"/>
    <w:tmpl w:val="96A239BE"/>
    <w:lvl w:ilvl="0">
      <w:start w:val="102"/>
      <w:numFmt w:val="decimal"/>
      <w:lvlRestart w:val="0"/>
      <w:lvlText w:val="%1."/>
      <w:lvlJc w:val="left"/>
      <w:pPr>
        <w:tabs>
          <w:tab w:val="num" w:pos="475"/>
        </w:tabs>
        <w:ind w:left="0" w:firstLine="0"/>
      </w:pPr>
      <w:rPr>
        <w:rFonts w:hint="default"/>
        <w:w w:val="100"/>
      </w:rPr>
    </w:lvl>
  </w:abstractNum>
  <w:abstractNum w:abstractNumId="29" w15:restartNumberingAfterBreak="0">
    <w:nsid w:val="494177AF"/>
    <w:multiLevelType w:val="hybridMultilevel"/>
    <w:tmpl w:val="9CF8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847EAC"/>
    <w:multiLevelType w:val="hybridMultilevel"/>
    <w:tmpl w:val="9B6A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E1469A"/>
    <w:multiLevelType w:val="singleLevel"/>
    <w:tmpl w:val="96A239BE"/>
    <w:lvl w:ilvl="0">
      <w:start w:val="102"/>
      <w:numFmt w:val="decimal"/>
      <w:lvlRestart w:val="0"/>
      <w:lvlText w:val="%1."/>
      <w:lvlJc w:val="left"/>
      <w:pPr>
        <w:tabs>
          <w:tab w:val="num" w:pos="475"/>
        </w:tabs>
        <w:ind w:left="0" w:firstLine="0"/>
      </w:pPr>
      <w:rPr>
        <w:rFonts w:hint="default"/>
        <w:w w:val="100"/>
      </w:rPr>
    </w:lvl>
  </w:abstractNum>
  <w:abstractNum w:abstractNumId="32" w15:restartNumberingAfterBreak="0">
    <w:nsid w:val="5B7674FB"/>
    <w:multiLevelType w:val="hybridMultilevel"/>
    <w:tmpl w:val="206A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B2AAD"/>
    <w:multiLevelType w:val="hybridMultilevel"/>
    <w:tmpl w:val="35BCCA90"/>
    <w:lvl w:ilvl="0" w:tplc="4C62CA36">
      <w:start w:val="1"/>
      <w:numFmt w:val="decimal"/>
      <w:lvlText w:val="%1."/>
      <w:lvlJc w:val="left"/>
      <w:pPr>
        <w:ind w:left="1747" w:hanging="48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34" w15:restartNumberingAfterBreak="0">
    <w:nsid w:val="5EAA6831"/>
    <w:multiLevelType w:val="singleLevel"/>
    <w:tmpl w:val="FBD6CA46"/>
    <w:lvl w:ilvl="0">
      <w:start w:val="56"/>
      <w:numFmt w:val="decimal"/>
      <w:lvlRestart w:val="0"/>
      <w:lvlText w:val="%1."/>
      <w:lvlJc w:val="left"/>
      <w:pPr>
        <w:tabs>
          <w:tab w:val="num" w:pos="475"/>
        </w:tabs>
        <w:ind w:left="0" w:firstLine="0"/>
      </w:pPr>
      <w:rPr>
        <w:rFonts w:hint="default"/>
        <w:w w:val="100"/>
      </w:rPr>
    </w:lvl>
  </w:abstractNum>
  <w:abstractNum w:abstractNumId="35" w15:restartNumberingAfterBreak="0">
    <w:nsid w:val="61460E33"/>
    <w:multiLevelType w:val="hybridMultilevel"/>
    <w:tmpl w:val="DC40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47826"/>
    <w:multiLevelType w:val="hybridMultilevel"/>
    <w:tmpl w:val="4C4A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8337B"/>
    <w:multiLevelType w:val="hybridMultilevel"/>
    <w:tmpl w:val="4B7C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A50D9"/>
    <w:multiLevelType w:val="hybridMultilevel"/>
    <w:tmpl w:val="2456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A27A4"/>
    <w:multiLevelType w:val="hybridMultilevel"/>
    <w:tmpl w:val="EE40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7279FD"/>
    <w:multiLevelType w:val="singleLevel"/>
    <w:tmpl w:val="059A3F26"/>
    <w:lvl w:ilvl="0">
      <w:start w:val="1"/>
      <w:numFmt w:val="decimal"/>
      <w:lvlRestart w:val="0"/>
      <w:lvlText w:val="%1."/>
      <w:lvlJc w:val="left"/>
      <w:pPr>
        <w:tabs>
          <w:tab w:val="num" w:pos="475"/>
        </w:tabs>
        <w:ind w:left="0" w:firstLine="0"/>
      </w:pPr>
      <w:rPr>
        <w:w w:val="100"/>
      </w:rPr>
    </w:lvl>
  </w:abstractNum>
  <w:abstractNum w:abstractNumId="41" w15:restartNumberingAfterBreak="0">
    <w:nsid w:val="6F457AB8"/>
    <w:multiLevelType w:val="hybridMultilevel"/>
    <w:tmpl w:val="7F7C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06AFA"/>
    <w:multiLevelType w:val="hybridMultilevel"/>
    <w:tmpl w:val="4194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C686A"/>
    <w:multiLevelType w:val="hybridMultilevel"/>
    <w:tmpl w:val="0542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22CE3"/>
    <w:multiLevelType w:val="hybridMultilevel"/>
    <w:tmpl w:val="7EC6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
  </w:num>
  <w:num w:numId="4">
    <w:abstractNumId w:val="4"/>
  </w:num>
  <w:num w:numId="5">
    <w:abstractNumId w:val="6"/>
  </w:num>
  <w:num w:numId="6">
    <w:abstractNumId w:val="27"/>
  </w:num>
  <w:num w:numId="7">
    <w:abstractNumId w:val="1"/>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6"/>
  </w:num>
  <w:num w:numId="18">
    <w:abstractNumId w:val="27"/>
  </w:num>
  <w:num w:numId="19">
    <w:abstractNumId w:val="1"/>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6"/>
  </w:num>
  <w:num w:numId="30">
    <w:abstractNumId w:val="41"/>
  </w:num>
  <w:num w:numId="31">
    <w:abstractNumId w:val="9"/>
  </w:num>
  <w:num w:numId="32">
    <w:abstractNumId w:val="2"/>
  </w:num>
  <w:num w:numId="33">
    <w:abstractNumId w:val="12"/>
  </w:num>
  <w:num w:numId="34">
    <w:abstractNumId w:val="14"/>
  </w:num>
  <w:num w:numId="35">
    <w:abstractNumId w:val="37"/>
  </w:num>
  <w:num w:numId="36">
    <w:abstractNumId w:val="7"/>
  </w:num>
  <w:num w:numId="37">
    <w:abstractNumId w:val="22"/>
  </w:num>
  <w:num w:numId="38">
    <w:abstractNumId w:val="11"/>
  </w:num>
  <w:num w:numId="39">
    <w:abstractNumId w:val="18"/>
  </w:num>
  <w:num w:numId="40">
    <w:abstractNumId w:val="5"/>
  </w:num>
  <w:num w:numId="41">
    <w:abstractNumId w:val="24"/>
  </w:num>
  <w:num w:numId="42">
    <w:abstractNumId w:val="35"/>
  </w:num>
  <w:num w:numId="43">
    <w:abstractNumId w:val="29"/>
  </w:num>
  <w:num w:numId="44">
    <w:abstractNumId w:val="32"/>
  </w:num>
  <w:num w:numId="45">
    <w:abstractNumId w:val="44"/>
  </w:num>
  <w:num w:numId="46">
    <w:abstractNumId w:val="19"/>
  </w:num>
  <w:num w:numId="47">
    <w:abstractNumId w:val="23"/>
  </w:num>
  <w:num w:numId="48">
    <w:abstractNumId w:val="21"/>
  </w:num>
  <w:num w:numId="49">
    <w:abstractNumId w:val="0"/>
  </w:num>
  <w:num w:numId="50">
    <w:abstractNumId w:val="10"/>
  </w:num>
  <w:num w:numId="51">
    <w:abstractNumId w:val="3"/>
  </w:num>
  <w:num w:numId="52">
    <w:abstractNumId w:val="39"/>
  </w:num>
  <w:num w:numId="53">
    <w:abstractNumId w:val="26"/>
  </w:num>
  <w:num w:numId="54">
    <w:abstractNumId w:val="17"/>
  </w:num>
  <w:num w:numId="55">
    <w:abstractNumId w:val="30"/>
  </w:num>
  <w:num w:numId="56">
    <w:abstractNumId w:val="13"/>
  </w:num>
  <w:num w:numId="57">
    <w:abstractNumId w:val="36"/>
  </w:num>
  <w:num w:numId="58">
    <w:abstractNumId w:val="42"/>
  </w:num>
  <w:num w:numId="59">
    <w:abstractNumId w:val="25"/>
  </w:num>
  <w:num w:numId="60">
    <w:abstractNumId w:val="38"/>
  </w:num>
  <w:num w:numId="61">
    <w:abstractNumId w:val="43"/>
  </w:num>
  <w:num w:numId="62">
    <w:abstractNumId w:val="20"/>
  </w:num>
  <w:num w:numId="63">
    <w:abstractNumId w:val="15"/>
  </w:num>
  <w:num w:numId="64">
    <w:abstractNumId w:val="33"/>
  </w:num>
  <w:num w:numId="65">
    <w:abstractNumId w:val="15"/>
    <w:lvlOverride w:ilvl="0">
      <w:lvl w:ilvl="0">
        <w:start w:val="1"/>
        <w:numFmt w:val="decimal"/>
        <w:lvlRestart w:val="0"/>
        <w:lvlText w:val="%1."/>
        <w:lvlJc w:val="left"/>
        <w:pPr>
          <w:tabs>
            <w:tab w:val="num" w:pos="475"/>
          </w:tabs>
          <w:ind w:left="0" w:firstLine="0"/>
        </w:pPr>
        <w:rPr>
          <w:w w:val="100"/>
        </w:rPr>
      </w:lvl>
    </w:lvlOverride>
  </w:num>
  <w:num w:numId="66">
    <w:abstractNumId w:val="15"/>
    <w:lvlOverride w:ilvl="0">
      <w:lvl w:ilvl="0">
        <w:start w:val="1"/>
        <w:numFmt w:val="decimal"/>
        <w:lvlRestart w:val="0"/>
        <w:lvlText w:val="%1."/>
        <w:lvlJc w:val="left"/>
        <w:pPr>
          <w:tabs>
            <w:tab w:val="num" w:pos="475"/>
          </w:tabs>
          <w:ind w:left="0" w:firstLine="0"/>
        </w:pPr>
        <w:rPr>
          <w:w w:val="100"/>
        </w:rPr>
      </w:lvl>
    </w:lvlOverride>
  </w:num>
  <w:num w:numId="67">
    <w:abstractNumId w:val="15"/>
    <w:lvlOverride w:ilvl="0">
      <w:lvl w:ilvl="0">
        <w:start w:val="1"/>
        <w:numFmt w:val="decimal"/>
        <w:lvlRestart w:val="0"/>
        <w:lvlText w:val="%1."/>
        <w:lvlJc w:val="left"/>
        <w:pPr>
          <w:tabs>
            <w:tab w:val="num" w:pos="475"/>
          </w:tabs>
          <w:ind w:left="0" w:firstLine="0"/>
        </w:pPr>
        <w:rPr>
          <w:b w:val="0"/>
          <w:w w:val="100"/>
          <w:sz w:val="20"/>
          <w:szCs w:val="20"/>
        </w:rPr>
      </w:lvl>
    </w:lvlOverride>
  </w:num>
  <w:num w:numId="68">
    <w:abstractNumId w:val="40"/>
  </w:num>
  <w:num w:numId="69">
    <w:abstractNumId w:val="40"/>
    <w:lvlOverride w:ilvl="0">
      <w:lvl w:ilvl="0">
        <w:start w:val="1"/>
        <w:numFmt w:val="decimal"/>
        <w:lvlRestart w:val="0"/>
        <w:lvlText w:val="%1."/>
        <w:lvlJc w:val="left"/>
        <w:pPr>
          <w:tabs>
            <w:tab w:val="num" w:pos="475"/>
          </w:tabs>
          <w:ind w:left="0" w:firstLine="0"/>
        </w:pPr>
        <w:rPr>
          <w:w w:val="100"/>
        </w:rPr>
      </w:lvl>
    </w:lvlOverride>
  </w:num>
  <w:num w:numId="70">
    <w:abstractNumId w:val="8"/>
  </w:num>
  <w:num w:numId="71">
    <w:abstractNumId w:val="34"/>
  </w:num>
  <w:num w:numId="72">
    <w:abstractNumId w:val="34"/>
    <w:lvlOverride w:ilvl="0">
      <w:lvl w:ilvl="0">
        <w:start w:val="56"/>
        <w:numFmt w:val="decimal"/>
        <w:lvlRestart w:val="0"/>
        <w:lvlText w:val="%1."/>
        <w:lvlJc w:val="left"/>
        <w:pPr>
          <w:tabs>
            <w:tab w:val="num" w:pos="475"/>
          </w:tabs>
          <w:ind w:left="0" w:firstLine="0"/>
        </w:pPr>
        <w:rPr>
          <w:rFonts w:hint="default"/>
          <w:i w:val="0"/>
          <w:w w:val="100"/>
        </w:rPr>
      </w:lvl>
    </w:lvlOverride>
  </w:num>
  <w:num w:numId="73">
    <w:abstractNumId w:val="28"/>
  </w:num>
  <w:num w:numId="74">
    <w:abstractNumId w:val="3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7393*"/>
    <w:docVar w:name="CreationDt" w:val="5/28/2019 10:13 AM"/>
    <w:docVar w:name="DocCategory" w:val="Doc"/>
    <w:docVar w:name="DocType" w:val="Final"/>
    <w:docVar w:name="DutyStation" w:val="New York"/>
    <w:docVar w:name="FooterJN" w:val="19-07393"/>
    <w:docVar w:name="jobn" w:val="19-07393 (F)"/>
    <w:docVar w:name="jobnDT" w:val="19-07393 (F)   280519"/>
    <w:docVar w:name="jobnDTDT" w:val="19-07393 (F)   280519   280519"/>
    <w:docVar w:name="JobNo" w:val="1907393F"/>
    <w:docVar w:name="JobNo2" w:val="1900000F"/>
    <w:docVar w:name="LocalDrive" w:val="-1"/>
    <w:docVar w:name="OandT" w:val="SBC"/>
    <w:docVar w:name="sss1" w:val="CEDAW/C/MOZ/Q/3-/5/Add.1"/>
    <w:docVar w:name="sss2" w:val="-"/>
    <w:docVar w:name="Symbol1" w:val="CEDAW/C/MOZ/Q/3-/5/Add.1"/>
    <w:docVar w:name="Symbol2" w:val="-"/>
  </w:docVars>
  <w:rsids>
    <w:rsidRoot w:val="00DA4A79"/>
    <w:rsid w:val="00002584"/>
    <w:rsid w:val="000124A6"/>
    <w:rsid w:val="00033B27"/>
    <w:rsid w:val="000538AA"/>
    <w:rsid w:val="000674AB"/>
    <w:rsid w:val="00071D43"/>
    <w:rsid w:val="000743A6"/>
    <w:rsid w:val="00082144"/>
    <w:rsid w:val="00087204"/>
    <w:rsid w:val="000D4E81"/>
    <w:rsid w:val="000D5118"/>
    <w:rsid w:val="00101B18"/>
    <w:rsid w:val="00111448"/>
    <w:rsid w:val="00122A56"/>
    <w:rsid w:val="0012596A"/>
    <w:rsid w:val="001304C7"/>
    <w:rsid w:val="00132EDC"/>
    <w:rsid w:val="00134D11"/>
    <w:rsid w:val="00134FEE"/>
    <w:rsid w:val="00146C6A"/>
    <w:rsid w:val="001503D9"/>
    <w:rsid w:val="00162DE6"/>
    <w:rsid w:val="00166A0D"/>
    <w:rsid w:val="001A2007"/>
    <w:rsid w:val="001A40D9"/>
    <w:rsid w:val="001A4B6B"/>
    <w:rsid w:val="001E18F6"/>
    <w:rsid w:val="001E4B50"/>
    <w:rsid w:val="001F16E1"/>
    <w:rsid w:val="001F6807"/>
    <w:rsid w:val="001F6F6C"/>
    <w:rsid w:val="002011B4"/>
    <w:rsid w:val="00204A3B"/>
    <w:rsid w:val="00206635"/>
    <w:rsid w:val="00206D7B"/>
    <w:rsid w:val="0021144F"/>
    <w:rsid w:val="00211824"/>
    <w:rsid w:val="00212510"/>
    <w:rsid w:val="00212705"/>
    <w:rsid w:val="00215A7F"/>
    <w:rsid w:val="002275DC"/>
    <w:rsid w:val="00234F89"/>
    <w:rsid w:val="00246AE8"/>
    <w:rsid w:val="002478A0"/>
    <w:rsid w:val="002611C7"/>
    <w:rsid w:val="00282769"/>
    <w:rsid w:val="00297AA4"/>
    <w:rsid w:val="002A5E20"/>
    <w:rsid w:val="002B308F"/>
    <w:rsid w:val="002D5472"/>
    <w:rsid w:val="002F46F0"/>
    <w:rsid w:val="002F7BC5"/>
    <w:rsid w:val="00310E03"/>
    <w:rsid w:val="00314ECB"/>
    <w:rsid w:val="00316E0B"/>
    <w:rsid w:val="00324972"/>
    <w:rsid w:val="0033791C"/>
    <w:rsid w:val="00342A22"/>
    <w:rsid w:val="00350C01"/>
    <w:rsid w:val="00361C9C"/>
    <w:rsid w:val="003625D4"/>
    <w:rsid w:val="0036354D"/>
    <w:rsid w:val="00366D21"/>
    <w:rsid w:val="00371522"/>
    <w:rsid w:val="003772D0"/>
    <w:rsid w:val="00392FF5"/>
    <w:rsid w:val="003A2DC1"/>
    <w:rsid w:val="003A675A"/>
    <w:rsid w:val="003B0D0C"/>
    <w:rsid w:val="003C3DDB"/>
    <w:rsid w:val="003D15B5"/>
    <w:rsid w:val="003D2C0C"/>
    <w:rsid w:val="003D6C64"/>
    <w:rsid w:val="003E6418"/>
    <w:rsid w:val="003F61E1"/>
    <w:rsid w:val="00400285"/>
    <w:rsid w:val="00401953"/>
    <w:rsid w:val="00402667"/>
    <w:rsid w:val="00404DFA"/>
    <w:rsid w:val="00440C93"/>
    <w:rsid w:val="00441CD5"/>
    <w:rsid w:val="004443C4"/>
    <w:rsid w:val="004611DB"/>
    <w:rsid w:val="00465317"/>
    <w:rsid w:val="00475339"/>
    <w:rsid w:val="00480B84"/>
    <w:rsid w:val="004945CC"/>
    <w:rsid w:val="004A2216"/>
    <w:rsid w:val="004A5BDE"/>
    <w:rsid w:val="004B1AC9"/>
    <w:rsid w:val="004B22BA"/>
    <w:rsid w:val="004B4592"/>
    <w:rsid w:val="004B64F9"/>
    <w:rsid w:val="004B7F2E"/>
    <w:rsid w:val="004C1A25"/>
    <w:rsid w:val="004C2126"/>
    <w:rsid w:val="004C5362"/>
    <w:rsid w:val="004C636D"/>
    <w:rsid w:val="004D15B5"/>
    <w:rsid w:val="004E4347"/>
    <w:rsid w:val="004E7192"/>
    <w:rsid w:val="004F4CE8"/>
    <w:rsid w:val="00515991"/>
    <w:rsid w:val="005225EC"/>
    <w:rsid w:val="00525097"/>
    <w:rsid w:val="00526B5D"/>
    <w:rsid w:val="00547D6C"/>
    <w:rsid w:val="005509B6"/>
    <w:rsid w:val="00554591"/>
    <w:rsid w:val="00565261"/>
    <w:rsid w:val="00575C86"/>
    <w:rsid w:val="00580808"/>
    <w:rsid w:val="005A3C25"/>
    <w:rsid w:val="005A7961"/>
    <w:rsid w:val="005B28FB"/>
    <w:rsid w:val="005D0529"/>
    <w:rsid w:val="005D5FDA"/>
    <w:rsid w:val="005F1F5F"/>
    <w:rsid w:val="005F50EB"/>
    <w:rsid w:val="005F5FC4"/>
    <w:rsid w:val="00605905"/>
    <w:rsid w:val="00625AC6"/>
    <w:rsid w:val="00625DF6"/>
    <w:rsid w:val="00631B38"/>
    <w:rsid w:val="0063485C"/>
    <w:rsid w:val="0063687D"/>
    <w:rsid w:val="00646413"/>
    <w:rsid w:val="006772E7"/>
    <w:rsid w:val="00690698"/>
    <w:rsid w:val="006A754E"/>
    <w:rsid w:val="006A76C2"/>
    <w:rsid w:val="006B0F1C"/>
    <w:rsid w:val="006B27FC"/>
    <w:rsid w:val="006C1164"/>
    <w:rsid w:val="006D0027"/>
    <w:rsid w:val="006E4A4B"/>
    <w:rsid w:val="007064AB"/>
    <w:rsid w:val="007073D3"/>
    <w:rsid w:val="007126BA"/>
    <w:rsid w:val="00712AE5"/>
    <w:rsid w:val="00723345"/>
    <w:rsid w:val="00735F90"/>
    <w:rsid w:val="0074440B"/>
    <w:rsid w:val="007459AE"/>
    <w:rsid w:val="00747316"/>
    <w:rsid w:val="007531A5"/>
    <w:rsid w:val="00753787"/>
    <w:rsid w:val="00754D89"/>
    <w:rsid w:val="00770162"/>
    <w:rsid w:val="00771C9E"/>
    <w:rsid w:val="00780125"/>
    <w:rsid w:val="007822D0"/>
    <w:rsid w:val="00782E31"/>
    <w:rsid w:val="007863DD"/>
    <w:rsid w:val="00787E62"/>
    <w:rsid w:val="007A7F37"/>
    <w:rsid w:val="007B59D7"/>
    <w:rsid w:val="007E523E"/>
    <w:rsid w:val="007E7A29"/>
    <w:rsid w:val="007F316F"/>
    <w:rsid w:val="008119E1"/>
    <w:rsid w:val="00816D51"/>
    <w:rsid w:val="0082045E"/>
    <w:rsid w:val="008222A3"/>
    <w:rsid w:val="008248B7"/>
    <w:rsid w:val="00843D20"/>
    <w:rsid w:val="008441F5"/>
    <w:rsid w:val="00856433"/>
    <w:rsid w:val="0087076D"/>
    <w:rsid w:val="008726AA"/>
    <w:rsid w:val="0088122A"/>
    <w:rsid w:val="008856F9"/>
    <w:rsid w:val="00894E85"/>
    <w:rsid w:val="008A52A3"/>
    <w:rsid w:val="008C5915"/>
    <w:rsid w:val="008D3C32"/>
    <w:rsid w:val="008E6A09"/>
    <w:rsid w:val="008F3462"/>
    <w:rsid w:val="008F5F56"/>
    <w:rsid w:val="009039ED"/>
    <w:rsid w:val="009138DC"/>
    <w:rsid w:val="00923F07"/>
    <w:rsid w:val="00935932"/>
    <w:rsid w:val="009665FF"/>
    <w:rsid w:val="009779E9"/>
    <w:rsid w:val="00980ABE"/>
    <w:rsid w:val="009921CD"/>
    <w:rsid w:val="00993CB7"/>
    <w:rsid w:val="009967D1"/>
    <w:rsid w:val="009A4BAA"/>
    <w:rsid w:val="009A7F0E"/>
    <w:rsid w:val="009B1476"/>
    <w:rsid w:val="009C69F8"/>
    <w:rsid w:val="009D0EE3"/>
    <w:rsid w:val="00A1561D"/>
    <w:rsid w:val="00A2494D"/>
    <w:rsid w:val="00A26D51"/>
    <w:rsid w:val="00A36332"/>
    <w:rsid w:val="00A44792"/>
    <w:rsid w:val="00A47A62"/>
    <w:rsid w:val="00A536A1"/>
    <w:rsid w:val="00A54B38"/>
    <w:rsid w:val="00A551EB"/>
    <w:rsid w:val="00A845A0"/>
    <w:rsid w:val="00A95525"/>
    <w:rsid w:val="00AA52CF"/>
    <w:rsid w:val="00AA7202"/>
    <w:rsid w:val="00AB0B7D"/>
    <w:rsid w:val="00AC2862"/>
    <w:rsid w:val="00AD1A6C"/>
    <w:rsid w:val="00AD5F2F"/>
    <w:rsid w:val="00AE0372"/>
    <w:rsid w:val="00B00B61"/>
    <w:rsid w:val="00B2132C"/>
    <w:rsid w:val="00B368A1"/>
    <w:rsid w:val="00B371EC"/>
    <w:rsid w:val="00B85287"/>
    <w:rsid w:val="00B858D5"/>
    <w:rsid w:val="00BA22A0"/>
    <w:rsid w:val="00BA37DC"/>
    <w:rsid w:val="00BA5C9F"/>
    <w:rsid w:val="00BB07FC"/>
    <w:rsid w:val="00BB1241"/>
    <w:rsid w:val="00BB4472"/>
    <w:rsid w:val="00BB643E"/>
    <w:rsid w:val="00BC3973"/>
    <w:rsid w:val="00BF5A1B"/>
    <w:rsid w:val="00C120A1"/>
    <w:rsid w:val="00C16B48"/>
    <w:rsid w:val="00C51D17"/>
    <w:rsid w:val="00C66894"/>
    <w:rsid w:val="00C72FFB"/>
    <w:rsid w:val="00C76619"/>
    <w:rsid w:val="00C873B7"/>
    <w:rsid w:val="00C92D4B"/>
    <w:rsid w:val="00CB06FB"/>
    <w:rsid w:val="00CB63C5"/>
    <w:rsid w:val="00CB6576"/>
    <w:rsid w:val="00CB7973"/>
    <w:rsid w:val="00CE27B0"/>
    <w:rsid w:val="00D175D6"/>
    <w:rsid w:val="00D30EED"/>
    <w:rsid w:val="00D371CE"/>
    <w:rsid w:val="00D8758C"/>
    <w:rsid w:val="00D95541"/>
    <w:rsid w:val="00D97DA1"/>
    <w:rsid w:val="00DA2528"/>
    <w:rsid w:val="00DA378B"/>
    <w:rsid w:val="00DA4A79"/>
    <w:rsid w:val="00E2652C"/>
    <w:rsid w:val="00E343A6"/>
    <w:rsid w:val="00E423CB"/>
    <w:rsid w:val="00E61153"/>
    <w:rsid w:val="00E7105F"/>
    <w:rsid w:val="00E74A4A"/>
    <w:rsid w:val="00E83317"/>
    <w:rsid w:val="00EC1595"/>
    <w:rsid w:val="00EC4743"/>
    <w:rsid w:val="00EC5520"/>
    <w:rsid w:val="00ED10EC"/>
    <w:rsid w:val="00ED2F17"/>
    <w:rsid w:val="00ED4542"/>
    <w:rsid w:val="00EE37EC"/>
    <w:rsid w:val="00EF2DFA"/>
    <w:rsid w:val="00F0239F"/>
    <w:rsid w:val="00F02DA4"/>
    <w:rsid w:val="00F06775"/>
    <w:rsid w:val="00F1256D"/>
    <w:rsid w:val="00F42911"/>
    <w:rsid w:val="00F43DBA"/>
    <w:rsid w:val="00F475D7"/>
    <w:rsid w:val="00F47B64"/>
    <w:rsid w:val="00F5012D"/>
    <w:rsid w:val="00F73093"/>
    <w:rsid w:val="00F83144"/>
    <w:rsid w:val="00F83334"/>
    <w:rsid w:val="00F86A9A"/>
    <w:rsid w:val="00F9299E"/>
    <w:rsid w:val="00F96C90"/>
    <w:rsid w:val="00FA0DB6"/>
    <w:rsid w:val="00FA35C0"/>
    <w:rsid w:val="00FA3D05"/>
    <w:rsid w:val="00FA5CC9"/>
    <w:rsid w:val="00FA61EA"/>
    <w:rsid w:val="00FB0A2C"/>
    <w:rsid w:val="00FB3B84"/>
    <w:rsid w:val="00FC202D"/>
    <w:rsid w:val="00FC59F1"/>
    <w:rsid w:val="00FF33A0"/>
    <w:rsid w:val="00FF6F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3314E3"/>
  <w15:chartTrackingRefBased/>
  <w15:docId w15:val="{9A4523CE-24BF-4562-B0A3-D01F62BD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317"/>
    <w:pPr>
      <w:spacing w:after="0" w:line="240" w:lineRule="exact"/>
    </w:pPr>
    <w:rPr>
      <w:rFonts w:ascii="Times New Roman"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465317"/>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65317"/>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65317"/>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65317"/>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65317"/>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65317"/>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65317"/>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65317"/>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65317"/>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65317"/>
    <w:pPr>
      <w:keepNext/>
      <w:keepLines/>
      <w:suppressAutoHyphens/>
      <w:spacing w:line="270" w:lineRule="exact"/>
      <w:outlineLvl w:val="0"/>
    </w:pPr>
    <w:rPr>
      <w:b/>
      <w:sz w:val="24"/>
    </w:rPr>
  </w:style>
  <w:style w:type="paragraph" w:customStyle="1" w:styleId="HCH">
    <w:name w:val="_ H _CH"/>
    <w:basedOn w:val="H1"/>
    <w:next w:val="Normal"/>
    <w:qFormat/>
    <w:rsid w:val="00465317"/>
    <w:pPr>
      <w:spacing w:line="300" w:lineRule="exact"/>
    </w:pPr>
    <w:rPr>
      <w:spacing w:val="-2"/>
      <w:sz w:val="28"/>
    </w:rPr>
  </w:style>
  <w:style w:type="paragraph" w:customStyle="1" w:styleId="HM">
    <w:name w:val="_ H __M"/>
    <w:basedOn w:val="HCH"/>
    <w:next w:val="Normal"/>
    <w:qFormat/>
    <w:rsid w:val="00465317"/>
    <w:pPr>
      <w:spacing w:line="360" w:lineRule="exact"/>
    </w:pPr>
    <w:rPr>
      <w:spacing w:val="-3"/>
      <w:w w:val="99"/>
      <w:sz w:val="34"/>
    </w:rPr>
  </w:style>
  <w:style w:type="paragraph" w:customStyle="1" w:styleId="H23">
    <w:name w:val="_ H_2/3"/>
    <w:basedOn w:val="H1"/>
    <w:next w:val="SingleTxt"/>
    <w:qFormat/>
    <w:rsid w:val="00465317"/>
    <w:pPr>
      <w:spacing w:line="240" w:lineRule="exact"/>
      <w:outlineLvl w:val="1"/>
    </w:pPr>
    <w:rPr>
      <w:spacing w:val="2"/>
      <w:sz w:val="20"/>
    </w:rPr>
  </w:style>
  <w:style w:type="paragraph" w:customStyle="1" w:styleId="H4">
    <w:name w:val="_ H_4"/>
    <w:basedOn w:val="Normal"/>
    <w:next w:val="Normal"/>
    <w:qFormat/>
    <w:rsid w:val="00465317"/>
    <w:pPr>
      <w:keepNext/>
      <w:keepLines/>
      <w:tabs>
        <w:tab w:val="right" w:pos="360"/>
      </w:tabs>
      <w:suppressAutoHyphens/>
      <w:outlineLvl w:val="3"/>
    </w:pPr>
    <w:rPr>
      <w:i/>
      <w:spacing w:val="3"/>
    </w:rPr>
  </w:style>
  <w:style w:type="paragraph" w:customStyle="1" w:styleId="H56">
    <w:name w:val="_ H_5/6"/>
    <w:basedOn w:val="Normal"/>
    <w:next w:val="Normal"/>
    <w:qFormat/>
    <w:rsid w:val="00465317"/>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65317"/>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65317"/>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65317"/>
    <w:pPr>
      <w:spacing w:line="540" w:lineRule="exact"/>
    </w:pPr>
    <w:rPr>
      <w:spacing w:val="-8"/>
      <w:w w:val="96"/>
      <w:sz w:val="57"/>
    </w:rPr>
  </w:style>
  <w:style w:type="paragraph" w:customStyle="1" w:styleId="SS">
    <w:name w:val="__S_S"/>
    <w:basedOn w:val="HCH"/>
    <w:next w:val="Normal"/>
    <w:qFormat/>
    <w:rsid w:val="00465317"/>
    <w:pPr>
      <w:ind w:left="1267" w:right="1267"/>
    </w:pPr>
  </w:style>
  <w:style w:type="paragraph" w:customStyle="1" w:styleId="SingleTxt">
    <w:name w:val="__Single Txt"/>
    <w:basedOn w:val="Normal"/>
    <w:qFormat/>
    <w:rsid w:val="00465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65317"/>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4653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465317"/>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46531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65317"/>
    <w:rPr>
      <w:rFonts w:ascii="Tahoma" w:hAnsi="Tahoma" w:cs="Tahoma"/>
      <w:spacing w:val="4"/>
      <w:w w:val="103"/>
      <w:kern w:val="14"/>
      <w:sz w:val="16"/>
      <w:szCs w:val="16"/>
      <w:lang w:val="fr-CA" w:eastAsia="en-US"/>
    </w:rPr>
  </w:style>
  <w:style w:type="paragraph" w:customStyle="1" w:styleId="Bullet1">
    <w:name w:val="Bullet 1"/>
    <w:basedOn w:val="Normal"/>
    <w:qFormat/>
    <w:rsid w:val="00465317"/>
    <w:pPr>
      <w:numPr>
        <w:numId w:val="17"/>
      </w:numPr>
      <w:spacing w:after="120"/>
      <w:ind w:right="1267"/>
      <w:jc w:val="both"/>
    </w:pPr>
  </w:style>
  <w:style w:type="paragraph" w:customStyle="1" w:styleId="Bullet2">
    <w:name w:val="Bullet 2"/>
    <w:basedOn w:val="Normal"/>
    <w:qFormat/>
    <w:rsid w:val="00465317"/>
    <w:pPr>
      <w:numPr>
        <w:numId w:val="18"/>
      </w:numPr>
      <w:spacing w:after="120"/>
      <w:ind w:right="1264"/>
      <w:jc w:val="both"/>
    </w:pPr>
  </w:style>
  <w:style w:type="paragraph" w:customStyle="1" w:styleId="Bullet3">
    <w:name w:val="Bullet 3"/>
    <w:basedOn w:val="SingleTxt"/>
    <w:qFormat/>
    <w:rsid w:val="00465317"/>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65317"/>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46531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65317"/>
    <w:pPr>
      <w:spacing w:line="210" w:lineRule="exact"/>
    </w:pPr>
    <w:rPr>
      <w:sz w:val="17"/>
      <w:szCs w:val="20"/>
    </w:rPr>
  </w:style>
  <w:style w:type="character" w:customStyle="1" w:styleId="EndnoteTextChar">
    <w:name w:val="Endnote Text Char"/>
    <w:link w:val="EndnoteText"/>
    <w:uiPriority w:val="99"/>
    <w:semiHidden/>
    <w:rsid w:val="00465317"/>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465317"/>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465317"/>
    <w:rPr>
      <w:rFonts w:ascii="Times New Roman" w:hAnsi="Times New Roman" w:cs="Times New Roman"/>
      <w:b/>
      <w:spacing w:val="3"/>
      <w:w w:val="105"/>
      <w:sz w:val="17"/>
      <w:lang w:val="en-US" w:eastAsia="en-US"/>
    </w:rPr>
  </w:style>
  <w:style w:type="character" w:styleId="FootnoteReference">
    <w:name w:val="footnote reference"/>
    <w:semiHidden/>
    <w:rsid w:val="0046531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65317"/>
    <w:pPr>
      <w:spacing w:line="210" w:lineRule="exact"/>
    </w:pPr>
    <w:rPr>
      <w:sz w:val="17"/>
      <w:szCs w:val="20"/>
    </w:rPr>
  </w:style>
  <w:style w:type="character" w:customStyle="1" w:styleId="FootnoteTextChar">
    <w:name w:val="Footnote Text Char"/>
    <w:link w:val="FootnoteText"/>
    <w:rsid w:val="00465317"/>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465317"/>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465317"/>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465317"/>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465317"/>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465317"/>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65317"/>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65317"/>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465317"/>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65317"/>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65317"/>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65317"/>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465317"/>
    <w:rPr>
      <w:sz w:val="14"/>
    </w:rPr>
  </w:style>
  <w:style w:type="paragraph" w:styleId="ListParagraph">
    <w:name w:val="List Paragraph"/>
    <w:basedOn w:val="Normal"/>
    <w:uiPriority w:val="34"/>
    <w:qFormat/>
    <w:rsid w:val="00465317"/>
    <w:pPr>
      <w:ind w:left="720"/>
      <w:contextualSpacing/>
    </w:pPr>
  </w:style>
  <w:style w:type="paragraph" w:styleId="NoSpacing">
    <w:name w:val="No Spacing"/>
    <w:uiPriority w:val="1"/>
    <w:rsid w:val="00465317"/>
    <w:pPr>
      <w:spacing w:after="0" w:line="240" w:lineRule="auto"/>
    </w:pPr>
    <w:rPr>
      <w:rFonts w:ascii="Calibri" w:hAnsi="Calibri" w:cs="Times New Roman"/>
      <w:lang w:val="en-US" w:eastAsia="en-US"/>
    </w:rPr>
  </w:style>
  <w:style w:type="paragraph" w:customStyle="1" w:styleId="Original">
    <w:name w:val="Original"/>
    <w:next w:val="Normal"/>
    <w:autoRedefine/>
    <w:qFormat/>
    <w:rsid w:val="00465317"/>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465317"/>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465317"/>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465317"/>
    <w:pPr>
      <w:tabs>
        <w:tab w:val="right" w:pos="9965"/>
      </w:tabs>
      <w:spacing w:line="210" w:lineRule="exact"/>
    </w:pPr>
    <w:rPr>
      <w:spacing w:val="5"/>
      <w:w w:val="104"/>
      <w:sz w:val="17"/>
    </w:rPr>
  </w:style>
  <w:style w:type="paragraph" w:customStyle="1" w:styleId="SmallX">
    <w:name w:val="SmallX"/>
    <w:basedOn w:val="Small"/>
    <w:next w:val="Normal"/>
    <w:qFormat/>
    <w:rsid w:val="00465317"/>
    <w:pPr>
      <w:spacing w:line="180" w:lineRule="exact"/>
      <w:jc w:val="right"/>
    </w:pPr>
    <w:rPr>
      <w:spacing w:val="6"/>
      <w:w w:val="106"/>
      <w:sz w:val="14"/>
    </w:rPr>
  </w:style>
  <w:style w:type="character" w:styleId="Strong">
    <w:name w:val="Strong"/>
    <w:uiPriority w:val="22"/>
    <w:rsid w:val="00465317"/>
    <w:rPr>
      <w:b/>
      <w:bCs/>
    </w:rPr>
  </w:style>
  <w:style w:type="paragraph" w:customStyle="1" w:styleId="Style1">
    <w:name w:val="Style1"/>
    <w:basedOn w:val="Normal"/>
    <w:qFormat/>
    <w:rsid w:val="00465317"/>
  </w:style>
  <w:style w:type="paragraph" w:customStyle="1" w:styleId="Style2">
    <w:name w:val="Style2"/>
    <w:basedOn w:val="Normal"/>
    <w:autoRedefine/>
    <w:qFormat/>
    <w:rsid w:val="00465317"/>
  </w:style>
  <w:style w:type="paragraph" w:customStyle="1" w:styleId="TitleHCH">
    <w:name w:val="Title_H_CH"/>
    <w:basedOn w:val="H1"/>
    <w:next w:val="Normal"/>
    <w:qFormat/>
    <w:rsid w:val="004653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653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65317"/>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1A40D9"/>
    <w:rPr>
      <w:sz w:val="16"/>
      <w:szCs w:val="16"/>
    </w:rPr>
  </w:style>
  <w:style w:type="paragraph" w:styleId="CommentText">
    <w:name w:val="annotation text"/>
    <w:basedOn w:val="Normal"/>
    <w:link w:val="CommentTextChar"/>
    <w:uiPriority w:val="99"/>
    <w:semiHidden/>
    <w:unhideWhenUsed/>
    <w:rsid w:val="001A40D9"/>
    <w:pPr>
      <w:spacing w:line="240" w:lineRule="auto"/>
    </w:pPr>
    <w:rPr>
      <w:szCs w:val="20"/>
    </w:rPr>
  </w:style>
  <w:style w:type="character" w:customStyle="1" w:styleId="CommentTextChar">
    <w:name w:val="Comment Text Char"/>
    <w:basedOn w:val="DefaultParagraphFont"/>
    <w:link w:val="CommentText"/>
    <w:uiPriority w:val="99"/>
    <w:semiHidden/>
    <w:rsid w:val="001A40D9"/>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A40D9"/>
    <w:rPr>
      <w:b/>
      <w:bCs/>
    </w:rPr>
  </w:style>
  <w:style w:type="character" w:customStyle="1" w:styleId="CommentSubjectChar">
    <w:name w:val="Comment Subject Char"/>
    <w:basedOn w:val="CommentTextChar"/>
    <w:link w:val="CommentSubject"/>
    <w:uiPriority w:val="99"/>
    <w:semiHidden/>
    <w:rsid w:val="001A40D9"/>
    <w:rPr>
      <w:rFonts w:ascii="Times New Roman" w:hAnsi="Times New Roman" w:cs="Times New Roman"/>
      <w:b/>
      <w:bCs/>
      <w:spacing w:val="4"/>
      <w:w w:val="103"/>
      <w:kern w:val="14"/>
      <w:sz w:val="20"/>
      <w:szCs w:val="20"/>
      <w:lang w:val="fr-CA" w:eastAsia="en-US"/>
    </w:rPr>
  </w:style>
  <w:style w:type="numbering" w:customStyle="1" w:styleId="NoList1">
    <w:name w:val="No List1"/>
    <w:next w:val="NoList"/>
    <w:uiPriority w:val="99"/>
    <w:semiHidden/>
    <w:unhideWhenUsed/>
    <w:rsid w:val="00646413"/>
  </w:style>
  <w:style w:type="paragraph" w:customStyle="1" w:styleId="Default">
    <w:name w:val="Default"/>
    <w:rsid w:val="00646413"/>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table" w:styleId="TableGrid">
    <w:name w:val="Table Grid"/>
    <w:basedOn w:val="TableNormal"/>
    <w:rsid w:val="00646413"/>
    <w:pPr>
      <w:spacing w:after="0" w:line="240" w:lineRule="auto"/>
    </w:pPr>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Normal"/>
    <w:next w:val="Normal"/>
    <w:qFormat/>
    <w:rsid w:val="00646413"/>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table" w:customStyle="1" w:styleId="TableGrid1">
    <w:name w:val="Table Grid1"/>
    <w:basedOn w:val="TableNormal"/>
    <w:next w:val="TableGrid"/>
    <w:rsid w:val="003B0D0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362"/>
    <w:rPr>
      <w:color w:val="0000FF"/>
      <w:u w:val="none"/>
    </w:rPr>
  </w:style>
  <w:style w:type="character" w:styleId="FollowedHyperlink">
    <w:name w:val="FollowedHyperlink"/>
    <w:basedOn w:val="DefaultParagraphFont"/>
    <w:uiPriority w:val="99"/>
    <w:semiHidden/>
    <w:unhideWhenUsed/>
    <w:rsid w:val="004C5362"/>
    <w:rPr>
      <w:color w:val="0000FF"/>
      <w:u w:val="none"/>
    </w:rPr>
  </w:style>
  <w:style w:type="character" w:styleId="UnresolvedMention">
    <w:name w:val="Unresolved Mention"/>
    <w:basedOn w:val="DefaultParagraphFont"/>
    <w:uiPriority w:val="99"/>
    <w:semiHidden/>
    <w:unhideWhenUsed/>
    <w:rsid w:val="004C5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CEDAW/C/QAT/2" TargetMode="External"/><Relationship Id="rId2" Type="http://schemas.openxmlformats.org/officeDocument/2006/relationships/hyperlink" Target="https://undocs.org/fr/CEDAW/C/QAT/2" TargetMode="External"/><Relationship Id="rId1" Type="http://schemas.openxmlformats.org/officeDocument/2006/relationships/hyperlink" Target="https://undocs.org/fr/CEDAW/C/QAT/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7259D-DDE4-445C-BEC2-9E48768E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15131</Words>
  <Characters>80804</Characters>
  <Application>Microsoft Office Word</Application>
  <DocSecurity>0</DocSecurity>
  <Lines>1616</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gratien chesneau</dc:creator>
  <cp:keywords/>
  <dc:description/>
  <cp:lastModifiedBy>Carmel-Marie Demesmin</cp:lastModifiedBy>
  <cp:revision>3</cp:revision>
  <cp:lastPrinted>2019-05-29T13:49:00Z</cp:lastPrinted>
  <dcterms:created xsi:type="dcterms:W3CDTF">2019-05-29T13:49:00Z</dcterms:created>
  <dcterms:modified xsi:type="dcterms:W3CDTF">2019-05-29T13:49:00Z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Language">
    <vt:lpwstr>French</vt:lpwstr>
  </property>
  <property fmtid="{D5CDD505-2E9C-101B-9397-08002B2CF9AE}" pid="4" name="JobNo">
    <vt:lpwstr>1907393F</vt:lpwstr>
  </property>
  <property fmtid="{D5CDD505-2E9C-101B-9397-08002B2CF9AE}" pid="5" name="ODSRefJobNo">
    <vt:lpwstr>1913148F</vt:lpwstr>
  </property>
  <property fmtid="{D5CDD505-2E9C-101B-9397-08002B2CF9AE}" pid="6" name="Symbol1">
    <vt:lpwstr>CEDAW/C/QAT/Q/2/Add.1</vt:lpwstr>
  </property>
  <property fmtid="{D5CDD505-2E9C-101B-9397-08002B2CF9AE}" pid="7" name="Symbol2">
    <vt:lpwstr/>
  </property>
  <property fmtid="{D5CDD505-2E9C-101B-9397-08002B2CF9AE}" pid="8" name="Category">
    <vt:lpwstr>Document</vt:lpwstr>
  </property>
  <property fmtid="{D5CDD505-2E9C-101B-9397-08002B2CF9AE}" pid="9" name="Original">
    <vt:lpwstr>Anglais, arabe, espagnol et français  seulement _x000d__x0007_</vt:lpwstr>
  </property>
  <property fmtid="{D5CDD505-2E9C-101B-9397-08002B2CF9AE}" pid="10" name="Release Date">
    <vt:lpwstr/>
  </property>
  <property fmtid="{D5CDD505-2E9C-101B-9397-08002B2CF9AE}" pid="11" name="Title1">
    <vt:lpwstr>Comité pour l’élimination de la discrimination _x000d_</vt:lpwstr>
  </property>
  <property fmtid="{D5CDD505-2E9C-101B-9397-08002B2CF9AE}" pid="12" name="Title2">
    <vt:lpwstr>_x000d_</vt:lpwstr>
  </property>
  <property fmtid="{D5CDD505-2E9C-101B-9397-08002B2CF9AE}" pid="13" name="Title3">
    <vt:lpwstr>à l’égard des femmes_x000d_</vt:lpwstr>
  </property>
  <property fmtid="{D5CDD505-2E9C-101B-9397-08002B2CF9AE}" pid="14" name="Session">
    <vt:lpwstr>Soixante-treizième session_x000d_</vt:lpwstr>
  </property>
  <property fmtid="{D5CDD505-2E9C-101B-9397-08002B2CF9AE}" pid="15" name="Agenda">
    <vt:lpwstr>1er-19 juillet 2019_x000d_</vt:lpwstr>
  </property>
  <property fmtid="{D5CDD505-2E9C-101B-9397-08002B2CF9AE}" pid="16" name="Agenda Title0">
    <vt:lpwstr>Examen des rapports soumis par les États parties en application de l’article 18 de la Convention _x000d_</vt:lpwstr>
  </property>
  <property fmtid="{D5CDD505-2E9C-101B-9397-08002B2CF9AE}" pid="17" name="Title4">
    <vt:lpwstr>		Liste de points et de questions concernant le deuxième rapport périodique du Qatar _x000d_</vt:lpwstr>
  </property>
  <property fmtid="{D5CDD505-2E9C-101B-9397-08002B2CF9AE}" pid="18" name="Title5">
    <vt:lpwstr>		Additif _x000d_</vt:lpwstr>
  </property>
  <property fmtid="{D5CDD505-2E9C-101B-9397-08002B2CF9AE}" pid="19" name="Title6">
    <vt:lpwstr>		Réponses du Qatar à la liste de points et de questions(_x000d_</vt:lpwstr>
  </property>
  <property fmtid="{D5CDD505-2E9C-101B-9397-08002B2CF9AE}" pid="20" name="Comment">
    <vt:lpwstr/>
  </property>
  <property fmtid="{D5CDD505-2E9C-101B-9397-08002B2CF9AE}" pid="21" name="DraftPages">
    <vt:lpwstr> </vt:lpwstr>
  </property>
  <property fmtid="{D5CDD505-2E9C-101B-9397-08002B2CF9AE}" pid="22" name="Operator">
    <vt:lpwstr>cmd</vt:lpwstr>
  </property>
</Properties>
</file>