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11" w:rsidRDefault="00C74F11" w:rsidP="00C74F11">
      <w:pPr>
        <w:spacing w:line="240" w:lineRule="auto"/>
        <w:jc w:val="left"/>
        <w:rPr>
          <w:szCs w:val="6"/>
          <w:rtl/>
        </w:rPr>
        <w:sectPr w:rsidR="00C74F11" w:rsidSect="00C74F1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CC6259" w:rsidRDefault="00CC6259" w:rsidP="00CC625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EG"/>
        </w:rPr>
      </w:pPr>
      <w:r>
        <w:rPr>
          <w:rFonts w:hint="cs"/>
          <w:rtl/>
          <w:lang w:bidi="ar-EG"/>
        </w:rPr>
        <w:lastRenderedPageBreak/>
        <w:t>اللجنة المعنية بالقضاء على التمييز ضد المرأة</w:t>
      </w:r>
    </w:p>
    <w:p w:rsidR="00CC6259" w:rsidRPr="00D10221" w:rsidRDefault="00CC6259" w:rsidP="00CC6259">
      <w:pPr>
        <w:pStyle w:val="SingleTxt"/>
        <w:spacing w:after="0" w:line="120" w:lineRule="exact"/>
        <w:rPr>
          <w:sz w:val="10"/>
          <w:rtl/>
          <w:lang w:bidi="ar-EG"/>
        </w:rPr>
      </w:pPr>
    </w:p>
    <w:p w:rsidR="00CC6259" w:rsidRPr="00D10221" w:rsidRDefault="00CC6259" w:rsidP="00CC6259">
      <w:pPr>
        <w:pStyle w:val="SingleTxt"/>
        <w:spacing w:after="0" w:line="120" w:lineRule="exact"/>
        <w:rPr>
          <w:sz w:val="10"/>
          <w:rtl/>
          <w:lang w:bidi="ar-EG"/>
        </w:rPr>
      </w:pPr>
    </w:p>
    <w:p w:rsidR="00CC6259" w:rsidRPr="00F859E2" w:rsidRDefault="00CC6259" w:rsidP="00CC6259">
      <w:pPr>
        <w:framePr w:w="9792" w:h="432" w:hSpace="187" w:wrap="around" w:hAnchor="page" w:x="1196" w:yAlign="bottom"/>
        <w:spacing w:line="240" w:lineRule="auto"/>
        <w:rPr>
          <w:szCs w:val="10"/>
          <w:rtl/>
        </w:rPr>
      </w:pPr>
    </w:p>
    <w:p w:rsidR="00CC6259" w:rsidRPr="00F859E2" w:rsidRDefault="00CC6259" w:rsidP="00CC6259">
      <w:pPr>
        <w:framePr w:w="9792" w:h="432" w:hSpace="187" w:wrap="around" w:hAnchor="page" w:x="1196" w:yAlign="bottom"/>
        <w:spacing w:line="240" w:lineRule="auto"/>
        <w:rPr>
          <w:szCs w:val="6"/>
          <w:rtl/>
        </w:rPr>
      </w:pPr>
    </w:p>
    <w:p w:rsidR="00CC6259" w:rsidRDefault="00CC6259" w:rsidP="00CC6259">
      <w:pPr>
        <w:framePr w:w="9792" w:h="432" w:hSpace="187" w:wrap="around" w:hAnchor="page" w:x="1196" w:yAlign="bottom"/>
        <w:tabs>
          <w:tab w:val="right" w:pos="1195"/>
          <w:tab w:val="left" w:pos="1267"/>
        </w:tabs>
        <w:spacing w:after="80" w:line="300" w:lineRule="exact"/>
        <w:ind w:left="1267" w:right="1267" w:hanging="547"/>
        <w:rPr>
          <w:sz w:val="17"/>
          <w:szCs w:val="26"/>
          <w:rtl/>
          <w:lang w:bidi="ar-EG"/>
        </w:rPr>
      </w:pPr>
      <w:r>
        <w:rPr>
          <w:noProof/>
          <w:w w:val="100"/>
          <w:vertAlign w:val="superscript"/>
          <w:lang w:eastAsia="zh-CN"/>
        </w:rPr>
        <mc:AlternateContent>
          <mc:Choice Requires="wps">
            <w:drawing>
              <wp:anchor distT="0" distB="0" distL="114300" distR="114300" simplePos="0" relativeHeight="251659264" behindDoc="0" locked="0" layoutInCell="1" allowOverlap="1" wp14:anchorId="12D55250" wp14:editId="1CC38F5F">
                <wp:simplePos x="0" y="0"/>
                <wp:positionH relativeFrom="column">
                  <wp:posOffset>5029200</wp:posOffset>
                </wp:positionH>
                <wp:positionV relativeFrom="paragraph">
                  <wp:posOffset>-12700</wp:posOffset>
                </wp:positionV>
                <wp:extent cx="9144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sidRPr="00794D64">
        <w:rPr>
          <w:rFonts w:hint="cs"/>
          <w:i/>
          <w:iCs/>
          <w:sz w:val="17"/>
          <w:szCs w:val="26"/>
          <w:rtl/>
          <w:lang w:bidi="ar-EG"/>
        </w:rPr>
        <w:t>ملحوظة</w:t>
      </w:r>
      <w:r>
        <w:rPr>
          <w:rFonts w:hint="cs"/>
          <w:sz w:val="17"/>
          <w:szCs w:val="26"/>
          <w:rtl/>
          <w:lang w:bidi="ar-EG"/>
        </w:rPr>
        <w:t>: تصدر هذه الوثيقة باللغات العربية والإنكليزية والفرنسية والإسبانية فقط.</w:t>
      </w:r>
    </w:p>
    <w:p w:rsidR="00CC6259" w:rsidRPr="00F859E2" w:rsidRDefault="00CC6259" w:rsidP="00CC6259">
      <w:pPr>
        <w:framePr w:w="9792" w:h="432" w:hSpace="187" w:wrap="around" w:hAnchor="page" w:x="1196" w:yAlign="bottom"/>
        <w:tabs>
          <w:tab w:val="right" w:pos="1195"/>
          <w:tab w:val="left" w:pos="1267"/>
        </w:tabs>
        <w:spacing w:after="80" w:line="300" w:lineRule="exact"/>
        <w:ind w:left="1267" w:right="1267" w:hanging="547"/>
        <w:rPr>
          <w:sz w:val="17"/>
          <w:szCs w:val="26"/>
          <w:rtl/>
          <w:lang w:bidi="ar-EG"/>
        </w:rPr>
      </w:pPr>
      <w:r>
        <w:rPr>
          <w:rFonts w:hint="cs"/>
          <w:sz w:val="17"/>
          <w:szCs w:val="26"/>
          <w:vertAlign w:val="superscript"/>
          <w:rtl/>
        </w:rPr>
        <w:tab/>
      </w:r>
      <w:r w:rsidRPr="0011665F">
        <w:rPr>
          <w:rFonts w:hint="cs"/>
          <w:sz w:val="17"/>
          <w:szCs w:val="26"/>
          <w:vertAlign w:val="superscript"/>
          <w:rtl/>
        </w:rPr>
        <w:t>(</w:t>
      </w:r>
      <w:r w:rsidRPr="0011665F">
        <w:rPr>
          <w:rFonts w:hint="cs"/>
          <w:sz w:val="17"/>
          <w:szCs w:val="26"/>
          <w:rtl/>
        </w:rPr>
        <w:t>*</w:t>
      </w:r>
      <w:r w:rsidRPr="0011665F">
        <w:rPr>
          <w:rFonts w:hint="cs"/>
          <w:sz w:val="17"/>
          <w:szCs w:val="26"/>
          <w:vertAlign w:val="superscript"/>
          <w:rtl/>
        </w:rPr>
        <w:t>)</w:t>
      </w:r>
      <w:r w:rsidRPr="0011665F">
        <w:rPr>
          <w:rFonts w:hint="cs"/>
          <w:sz w:val="17"/>
          <w:szCs w:val="26"/>
          <w:rtl/>
          <w:lang w:bidi="ar-EG"/>
        </w:rPr>
        <w:tab/>
      </w:r>
      <w:r>
        <w:rPr>
          <w:rFonts w:hint="cs"/>
          <w:sz w:val="17"/>
          <w:szCs w:val="26"/>
          <w:rtl/>
          <w:lang w:bidi="ar-EG"/>
        </w:rPr>
        <w:t>تصدر هذه الوثيقة دون تحرير رسمي.</w:t>
      </w:r>
    </w:p>
    <w:p w:rsidR="00CC6259" w:rsidRDefault="00CC6259" w:rsidP="00CC625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الملاحظات الختامية بشأن التقرير المرحلي الأولي لقطر</w:t>
      </w:r>
    </w:p>
    <w:p w:rsidR="00CC6259" w:rsidRPr="00A47391" w:rsidRDefault="00CC6259" w:rsidP="00CC6259">
      <w:pPr>
        <w:pStyle w:val="H1"/>
        <w:rPr>
          <w:rtl/>
        </w:rPr>
      </w:pPr>
      <w:r w:rsidRPr="00A47391">
        <w:rPr>
          <w:rFonts w:hint="cs"/>
          <w:rtl/>
        </w:rPr>
        <w:tab/>
      </w:r>
      <w:r w:rsidRPr="00A47391">
        <w:rPr>
          <w:rFonts w:hint="cs"/>
          <w:rtl/>
        </w:rPr>
        <w:tab/>
        <w:t>إضافة</w:t>
      </w:r>
    </w:p>
    <w:p w:rsidR="008136D5" w:rsidRPr="0062371F" w:rsidRDefault="008136D5" w:rsidP="0062371F">
      <w:pPr>
        <w:pStyle w:val="SingleTxt"/>
        <w:spacing w:after="0" w:line="120" w:lineRule="exact"/>
        <w:rPr>
          <w:sz w:val="10"/>
          <w:rtl/>
          <w:lang w:bidi="ar-EG"/>
        </w:rPr>
      </w:pPr>
    </w:p>
    <w:p w:rsidR="00CC6259" w:rsidRDefault="008136D5" w:rsidP="0062371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lang w:bidi="ar-EG"/>
        </w:rPr>
        <w:tab/>
      </w:r>
      <w:r>
        <w:rPr>
          <w:lang w:bidi="ar-EG"/>
        </w:rPr>
        <w:tab/>
      </w:r>
      <w:r w:rsidR="00CC6259">
        <w:rPr>
          <w:rFonts w:hint="cs"/>
          <w:rtl/>
          <w:lang w:bidi="ar-EG"/>
        </w:rPr>
        <w:t>معلومات قدمتها قطر في إطار متابعة الملاحظات الختامية*</w:t>
      </w:r>
    </w:p>
    <w:p w:rsidR="00F72BF7" w:rsidRPr="00F72BF7" w:rsidRDefault="00F72BF7" w:rsidP="00F72BF7">
      <w:pPr>
        <w:pStyle w:val="SingleTxt"/>
        <w:spacing w:after="0" w:line="120" w:lineRule="exact"/>
        <w:rPr>
          <w:sz w:val="10"/>
          <w:rtl/>
          <w:lang w:bidi="ar-EG"/>
        </w:rPr>
      </w:pPr>
    </w:p>
    <w:p w:rsidR="00CC6259" w:rsidRPr="00BB691B" w:rsidRDefault="00CC6259" w:rsidP="00CC6259">
      <w:pPr>
        <w:pStyle w:val="SingleTxt"/>
        <w:rPr>
          <w:rtl/>
          <w:lang w:bidi="ar-EG"/>
        </w:rPr>
      </w:pPr>
      <w:r w:rsidRPr="00E27F4F">
        <w:rPr>
          <w:rFonts w:hint="cs"/>
          <w:rtl/>
          <w:lang w:bidi="ar-EG"/>
        </w:rPr>
        <w:t>28 -</w:t>
      </w:r>
      <w:r w:rsidRPr="00BB691B">
        <w:rPr>
          <w:rFonts w:hint="cs"/>
          <w:rtl/>
          <w:lang w:bidi="ar-EG"/>
        </w:rPr>
        <w:tab/>
        <w:t>توصي اللجنة الدولة الطرف بأن:</w:t>
      </w:r>
    </w:p>
    <w:p w:rsidR="00CC6259" w:rsidRPr="00BB691B" w:rsidRDefault="00CC6259" w:rsidP="00CC6259">
      <w:pPr>
        <w:pStyle w:val="SingleTxt"/>
        <w:rPr>
          <w:rtl/>
          <w:lang w:bidi="ar-EG"/>
        </w:rPr>
      </w:pPr>
      <w:r w:rsidRPr="00BB691B">
        <w:rPr>
          <w:rFonts w:hint="cs"/>
          <w:rtl/>
          <w:lang w:bidi="ar-EG"/>
        </w:rPr>
        <w:tab/>
        <w:t>(أ)</w:t>
      </w:r>
      <w:r w:rsidRPr="00BB691B">
        <w:rPr>
          <w:rFonts w:hint="cs"/>
          <w:rtl/>
          <w:lang w:bidi="ar-EG"/>
        </w:rPr>
        <w:tab/>
        <w:t>تتخذ تدابير فورية، بالنظر إلى الانتخابات المقبلة لمجلس الشورى، لضمان أن يكون 30 في المائة على الأقل من الأعضاء المعينين في مجلس الشورى من النساء؛</w:t>
      </w:r>
    </w:p>
    <w:p w:rsidR="00CC6259" w:rsidRPr="00BB691B" w:rsidRDefault="00CC6259" w:rsidP="00CC6259">
      <w:pPr>
        <w:pStyle w:val="SingleTxt"/>
        <w:rPr>
          <w:rtl/>
          <w:lang w:bidi="ar-EG"/>
        </w:rPr>
      </w:pPr>
      <w:r w:rsidRPr="00BB691B">
        <w:rPr>
          <w:rFonts w:hint="cs"/>
          <w:rtl/>
          <w:lang w:bidi="ar-EG"/>
        </w:rPr>
        <w:tab/>
        <w:t>(ب)</w:t>
      </w:r>
      <w:r w:rsidRPr="00BB691B">
        <w:rPr>
          <w:rFonts w:hint="cs"/>
          <w:rtl/>
          <w:lang w:bidi="ar-EG"/>
        </w:rPr>
        <w:tab/>
        <w:t>تعتمد وتنفذ تدابير أخرى، بما في ذلك تدابير خاصة مؤقتة على شكل حصص، مع معايير قياسية وجداول زمنية محددة، لزيادة عدد النساء في الحياة السياسية والحياة العامة، على جميع المستويات وفي جميع المجالات، بما في ذلك في المجالس البلدية المركزية، والوحدات الحكومية المحلية، وفقاً للفقرة 1 من المادة 4 من الاتفاقية، والتوصية العامة للجنة رقم 25 المتعلقة بالتدابير الخاصة المؤقتة؛</w:t>
      </w:r>
    </w:p>
    <w:p w:rsidR="00CC6259" w:rsidRPr="00BB691B" w:rsidRDefault="00CC6259" w:rsidP="008136D5">
      <w:pPr>
        <w:pStyle w:val="SingleTxt"/>
        <w:rPr>
          <w:rtl/>
          <w:lang w:bidi="ar-EG"/>
        </w:rPr>
      </w:pPr>
      <w:r w:rsidRPr="00BB691B">
        <w:rPr>
          <w:rFonts w:hint="cs"/>
          <w:rtl/>
          <w:lang w:bidi="ar-EG"/>
        </w:rPr>
        <w:tab/>
        <w:t>(ج)</w:t>
      </w:r>
      <w:r w:rsidRPr="00BB691B">
        <w:rPr>
          <w:rFonts w:hint="cs"/>
          <w:rtl/>
          <w:lang w:bidi="ar-EG"/>
        </w:rPr>
        <w:tab/>
        <w:t>تتخذ تدابير مناسبة، بما في ذلك إصدار قوانين الانتخابات ذات الصلة، لضمان تخصيص الأحزاب السياسية تمويل كاف للحملات الانتخابية النسائية، ووضع أسس بجداول زمنية محددة، بالإضافة إلى عقوبات، مثل تغريم الأحزاب السياسية في حالة عدم الامتثال؛</w:t>
      </w:r>
    </w:p>
    <w:p w:rsidR="00CC6259" w:rsidRPr="00BB691B" w:rsidRDefault="00CC6259" w:rsidP="00CC6259">
      <w:pPr>
        <w:pStyle w:val="SingleTxt"/>
        <w:rPr>
          <w:rtl/>
          <w:lang w:bidi="ar-EG"/>
        </w:rPr>
      </w:pPr>
      <w:r w:rsidRPr="00BB691B">
        <w:rPr>
          <w:rFonts w:hint="cs"/>
          <w:rtl/>
          <w:lang w:bidi="ar-EG"/>
        </w:rPr>
        <w:tab/>
        <w:t>(د)</w:t>
      </w:r>
      <w:r w:rsidRPr="00BB691B">
        <w:rPr>
          <w:rFonts w:hint="cs"/>
          <w:rtl/>
          <w:lang w:bidi="ar-EG"/>
        </w:rPr>
        <w:tab/>
        <w:t xml:space="preserve">تتخذ جميع التدابير الضرورية لإزالة جميع الحواجز أمام مشاركة المرأة في </w:t>
      </w:r>
      <w:r w:rsidRPr="00BB691B">
        <w:rPr>
          <w:rFonts w:hint="cs"/>
          <w:rtl/>
          <w:lang w:bidi="ar-EG"/>
        </w:rPr>
        <w:lastRenderedPageBreak/>
        <w:t>السلك الدبلوماسي، وزيادة عدد القاضيات، والمدعيات، والمحاميات، وضمان تعيين المرأة في المحكمة العليا وفي محكمة الاستئناف؛</w:t>
      </w:r>
    </w:p>
    <w:p w:rsidR="00CC6259" w:rsidRDefault="00CC6259" w:rsidP="00CC6259">
      <w:pPr>
        <w:pStyle w:val="SingleTxt"/>
        <w:rPr>
          <w:rtl/>
          <w:lang w:bidi="ar-EG"/>
        </w:rPr>
      </w:pPr>
      <w:r w:rsidRPr="00BB691B">
        <w:rPr>
          <w:rFonts w:hint="cs"/>
          <w:rtl/>
          <w:lang w:bidi="ar-EG"/>
        </w:rPr>
        <w:tab/>
        <w:t>(هـ)</w:t>
      </w:r>
      <w:r w:rsidRPr="00BB691B">
        <w:rPr>
          <w:rFonts w:hint="cs"/>
          <w:rtl/>
          <w:lang w:bidi="ar-EG"/>
        </w:rPr>
        <w:tab/>
        <w:t>إزكاء الوعي بأهمية مشاركة النساء في الانتخابات كمرشحات وناخبات، بغية القضاء على المواقف الأبوية التي تعرقل المشاركة السياسية للمرأة</w:t>
      </w:r>
    </w:p>
    <w:p w:rsidR="00CC6259" w:rsidRDefault="00CC6259">
      <w:pPr>
        <w:bidi w:val="0"/>
        <w:spacing w:line="240" w:lineRule="auto"/>
        <w:jc w:val="left"/>
        <w:rPr>
          <w:rtl/>
          <w:lang w:bidi="ar-EG"/>
        </w:rPr>
      </w:pPr>
      <w:r>
        <w:rPr>
          <w:rtl/>
          <w:lang w:bidi="ar-EG"/>
        </w:rPr>
        <w:br w:type="page"/>
      </w:r>
    </w:p>
    <w:p w:rsidR="00C74F11" w:rsidRDefault="00CC6259" w:rsidP="00CC6259">
      <w:pPr>
        <w:pStyle w:val="SingleTxt"/>
        <w:rPr>
          <w:rtl/>
          <w:lang w:bidi="ar-EG"/>
        </w:rPr>
      </w:pPr>
      <w:r>
        <w:rPr>
          <w:rFonts w:hint="cs"/>
          <w:rtl/>
          <w:lang w:bidi="ar-EG"/>
        </w:rPr>
        <w:lastRenderedPageBreak/>
        <w:tab/>
      </w:r>
      <w:r w:rsidRPr="00BB691B">
        <w:rPr>
          <w:rFonts w:hint="cs"/>
          <w:rtl/>
          <w:lang w:bidi="ar-EG"/>
        </w:rPr>
        <w:t>(ب)</w:t>
      </w:r>
      <w:r w:rsidRPr="00BB691B">
        <w:rPr>
          <w:rFonts w:hint="cs"/>
          <w:rtl/>
          <w:lang w:bidi="ar-EG"/>
        </w:rPr>
        <w:tab/>
      </w:r>
      <w:r w:rsidRPr="00CC6259">
        <w:rPr>
          <w:rFonts w:hint="cs"/>
          <w:b/>
          <w:bCs/>
          <w:rtl/>
          <w:lang w:bidi="ar-EG"/>
        </w:rPr>
        <w:t>تعتمد وتنفذ تدابير أخرى، بما في ذلك تدابير خاصة مؤقتة على شكل حصص، مع معايير قياسية وجداول زمنية محددة، لزيادة عدد النساء في الحياة السياسية والحياة العامة، على جميع المستويات وفي جميع المجالات، بما في ذلك في المجالس البلدية المركزية، والوحدات الحكومية المحلية، وفقاً للفقرة 1 من المادة 4 من الاتفاقية، والتوصية العامة للجنة رقم 25 المتعلقة بالتدابير الخاصة المؤقتة؛</w:t>
      </w:r>
    </w:p>
    <w:p w:rsidR="00CC6259" w:rsidRPr="004F0693" w:rsidRDefault="00CC6259" w:rsidP="00CC6259">
      <w:pPr>
        <w:pStyle w:val="SingleTxt"/>
      </w:pPr>
      <w:r w:rsidRPr="004F0693">
        <w:rPr>
          <w:rtl/>
        </w:rPr>
        <w:t>جاءت استراتيجية التنمية الوطنية (2011-2016) بمثابة الآلية والمسار المنهجي لتترجم رؤية قطر الوطنية 2030 إلى واقع ملموس من خلال تحديد أولوياتها من البرامج والمشاريع لضمان مستقبل مستدام ومزدهر لدولة قطر. ومن أهم الاستراتيجيات القطاعية الأربعة عشر التي تضمنتها هذه الاستراتيجية هي استراتيجية قطاع التماسك الأسري وتمكين المرأة (2011-2016)، وتهدف هذه الاستراتيجية إلى المحافظة على أسرة قوية تحظى بالدعم والحماية الاجتماعية، ويكون للمرأة فيها دور فاعل في كافة جوانب الحياة، لا سيما في جانب المشاركة في صنع القرارات الاقتصادية والاجتماعية، وقد حددت هذه الاستراتيجية ثمان نتائج تنموية من بينها: (تمكين أكبر للمرأة). ويندرج ضمن هذا المحور محددين وهما:</w:t>
      </w:r>
      <w:r w:rsidRPr="004F0693">
        <w:rPr>
          <w:b/>
          <w:bCs/>
          <w:rtl/>
        </w:rPr>
        <w:t xml:space="preserve"> زيادة عدد النساء في المناصب القيادية</w:t>
      </w:r>
      <w:r w:rsidRPr="004F0693">
        <w:rPr>
          <w:rtl/>
        </w:rPr>
        <w:t>،</w:t>
      </w:r>
      <w:r w:rsidRPr="004F0693">
        <w:rPr>
          <w:b/>
          <w:bCs/>
          <w:rtl/>
        </w:rPr>
        <w:t xml:space="preserve"> وإنشاء عدد من منظمات المجتمع المدني التي تعزز قضايا المرأة.</w:t>
      </w:r>
    </w:p>
    <w:p w:rsidR="00CC6259" w:rsidRPr="004F0693" w:rsidRDefault="00CC6259" w:rsidP="00CC6259">
      <w:pPr>
        <w:pStyle w:val="SingleTxt"/>
      </w:pPr>
      <w:r w:rsidRPr="004F0693">
        <w:rPr>
          <w:rtl/>
        </w:rPr>
        <w:tab/>
        <w:t>كما تضمنت الاستراتيجيات والخطط الوطنية أهدافا</w:t>
      </w:r>
      <w:r w:rsidR="008136D5">
        <w:rPr>
          <w:rFonts w:hint="cs"/>
          <w:rtl/>
        </w:rPr>
        <w:t>ً</w:t>
      </w:r>
      <w:r w:rsidRPr="004F0693">
        <w:rPr>
          <w:rtl/>
        </w:rPr>
        <w:t xml:space="preserve"> لتعزيز الخدمات المقدمة للمرأة في مجال المشاركة في الحياة السياسية والعامة وصنع القرار، حيث اشتملت خطة الاستراتيجية العامة للأسرة 2011-2016 هدفاً خاصاً لتمكين المرأة في الحياة السياسية وصنع القرار متمثلة بالهدف الاستراتيجي (</w:t>
      </w:r>
      <w:r w:rsidRPr="004F0693">
        <w:rPr>
          <w:b/>
          <w:bCs/>
          <w:rtl/>
        </w:rPr>
        <w:t>تعزيز مشاركة المرأة في صنع القرار وتمكينها من تقلد المناصب القيادية</w:t>
      </w:r>
      <w:r w:rsidRPr="004F0693">
        <w:rPr>
          <w:rtl/>
        </w:rPr>
        <w:t>)، وتضمنت خطتها التنفيذية المعتمدة مجموعة من المشاريع والبرامج المحددة لتنفيذها عبر الجهات الحكومية وغير الحكومية بالدولة، وهي كالآتي:</w:t>
      </w:r>
    </w:p>
    <w:p w:rsidR="00CC6259" w:rsidRPr="004F0693" w:rsidRDefault="00CC6259" w:rsidP="00CC625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Pr="004F0693">
        <w:rPr>
          <w:rtl/>
        </w:rPr>
        <w:t>-</w:t>
      </w:r>
      <w:r>
        <w:rPr>
          <w:rFonts w:hint="cs"/>
          <w:rtl/>
        </w:rPr>
        <w:tab/>
      </w:r>
      <w:r w:rsidRPr="004F0693">
        <w:rPr>
          <w:rtl/>
        </w:rPr>
        <w:t>مشروع رفع جاهزية المرأة للمشاركة في الانتخابات البرلمانية والبلدية.</w:t>
      </w:r>
    </w:p>
    <w:p w:rsidR="00CC6259" w:rsidRPr="004F0693" w:rsidRDefault="00CC6259" w:rsidP="00CC625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Pr="004F0693">
        <w:rPr>
          <w:rtl/>
        </w:rPr>
        <w:t>-</w:t>
      </w:r>
      <w:r>
        <w:rPr>
          <w:rFonts w:hint="cs"/>
          <w:rtl/>
        </w:rPr>
        <w:tab/>
      </w:r>
      <w:r w:rsidRPr="004F0693">
        <w:rPr>
          <w:rtl/>
        </w:rPr>
        <w:t>مشروع زيادة نسبة النساء في المواقع القيادية.</w:t>
      </w:r>
    </w:p>
    <w:p w:rsidR="00CC6259" w:rsidRPr="004F0693" w:rsidRDefault="00CC6259" w:rsidP="00CC625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Pr="004F0693">
        <w:rPr>
          <w:rtl/>
        </w:rPr>
        <w:t>-</w:t>
      </w:r>
      <w:r>
        <w:rPr>
          <w:rFonts w:hint="cs"/>
          <w:rtl/>
        </w:rPr>
        <w:tab/>
      </w:r>
      <w:r w:rsidRPr="004F0693">
        <w:rPr>
          <w:rtl/>
        </w:rPr>
        <w:t>مشروع تعزيز مشاركة المرأة في مؤسسات المجتمع المدني.</w:t>
      </w:r>
    </w:p>
    <w:p w:rsidR="00CC6259" w:rsidRPr="004F0693" w:rsidRDefault="00CC6259" w:rsidP="00CC625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Pr="004F0693">
        <w:rPr>
          <w:rtl/>
        </w:rPr>
        <w:t>-</w:t>
      </w:r>
      <w:r>
        <w:rPr>
          <w:rFonts w:hint="cs"/>
          <w:rtl/>
        </w:rPr>
        <w:tab/>
      </w:r>
      <w:r w:rsidRPr="004F0693">
        <w:rPr>
          <w:rtl/>
        </w:rPr>
        <w:t>المشاركة في الحياة السياسية والعامة</w:t>
      </w:r>
      <w:r w:rsidR="0055473E">
        <w:rPr>
          <w:rFonts w:hint="cs"/>
          <w:rtl/>
        </w:rPr>
        <w:t>.</w:t>
      </w:r>
    </w:p>
    <w:p w:rsidR="00CC6259" w:rsidRPr="004F0693" w:rsidRDefault="00CC6259" w:rsidP="00CC6259">
      <w:pPr>
        <w:pStyle w:val="SingleTxt"/>
        <w:rPr>
          <w:rtl/>
        </w:rPr>
      </w:pPr>
      <w:r w:rsidRPr="00CC6259">
        <w:rPr>
          <w:i/>
          <w:iCs/>
          <w:rtl/>
        </w:rPr>
        <w:t>المصدر</w:t>
      </w:r>
      <w:r w:rsidRPr="004F0693">
        <w:rPr>
          <w:rtl/>
        </w:rPr>
        <w:t>: تقرير التنمية البشرية الرابع لدولة قطر 2015</w:t>
      </w:r>
    </w:p>
    <w:p w:rsidR="00CC6259" w:rsidRPr="004F0693" w:rsidRDefault="00CC6259" w:rsidP="00CC6259">
      <w:pPr>
        <w:jc w:val="both"/>
        <w:rPr>
          <w:sz w:val="28"/>
          <w:szCs w:val="28"/>
          <w:lang w:bidi="ar-QA"/>
        </w:rPr>
      </w:pPr>
    </w:p>
    <w:p w:rsidR="00CC6259" w:rsidRPr="004F0693" w:rsidRDefault="00CC6259" w:rsidP="00CC6259">
      <w:pPr>
        <w:pStyle w:val="SingleTxt"/>
      </w:pPr>
      <w:r>
        <w:rPr>
          <w:rFonts w:hint="cs"/>
          <w:rtl/>
          <w:lang w:bidi="ar-EG"/>
        </w:rPr>
        <w:tab/>
      </w:r>
      <w:r w:rsidRPr="004F0693">
        <w:rPr>
          <w:rtl/>
          <w:lang w:bidi="ar-EG"/>
        </w:rPr>
        <w:t>(ج)</w:t>
      </w:r>
      <w:r>
        <w:rPr>
          <w:rFonts w:hint="cs"/>
          <w:rtl/>
          <w:lang w:bidi="ar-EG"/>
        </w:rPr>
        <w:tab/>
      </w:r>
      <w:r w:rsidRPr="00CC6259">
        <w:rPr>
          <w:b/>
          <w:bCs/>
          <w:rtl/>
          <w:lang w:bidi="ar-EG"/>
        </w:rPr>
        <w:t>تتخذ تدابير مناسبة، بما في ذلك إصدار قوانين الانتخابات ذات الصلة، لضمان تخصيص الأحزاب السياسية تمويل كاف للحملات الانتخابية النسائية، ووضع أسس بجداول زمنية محددة، بالإضافة إلى عقوبات، مثل تغريم الأحزاب السياسية في حالة عدم الامتثال</w:t>
      </w:r>
      <w:r w:rsidRPr="004F0693">
        <w:rPr>
          <w:rtl/>
          <w:lang w:bidi="ar-EG"/>
        </w:rPr>
        <w:t>؛</w:t>
      </w:r>
    </w:p>
    <w:p w:rsidR="00CC6259" w:rsidRPr="004F0693" w:rsidRDefault="00CC6259" w:rsidP="00CC625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Pr="004F0693">
        <w:rPr>
          <w:rtl/>
        </w:rPr>
        <w:t>إن دولة قطر تولي قضايا المرأة أهمية قصوى، وتدعمها لتولي المناصب القيادية والمشاركة في الإدارة العامة للدولة، ويتضمن ذلك مباشرة الحقوق السياسية بما فيها حق الانتخاب والترشح سواء في المجلس البلدي أو مجلس الشورى الذي سيجرى وضع القواعد القانونية والإجرائية التي تحكم الترشح له مستقبلا، بما يتفق مع المعايير الدولية، وعلى نحو خاص الاتفاقيات الدولية التي صد</w:t>
      </w:r>
      <w:r w:rsidR="0055473E">
        <w:rPr>
          <w:rFonts w:hint="cs"/>
          <w:rtl/>
        </w:rPr>
        <w:t>َّ</w:t>
      </w:r>
      <w:r w:rsidRPr="004F0693">
        <w:rPr>
          <w:rtl/>
        </w:rPr>
        <w:t>قت عليها دولة قطر بشأن المرأة، وعلى رأسها اتفاقية القضاء على جميع أشكال التمييز ضد المرأة.</w:t>
      </w:r>
    </w:p>
    <w:p w:rsidR="00CC6259" w:rsidRPr="00CC6259" w:rsidRDefault="00CC6259" w:rsidP="00CC6259">
      <w:pPr>
        <w:spacing w:line="120" w:lineRule="exact"/>
        <w:jc w:val="both"/>
        <w:rPr>
          <w:sz w:val="10"/>
          <w:szCs w:val="28"/>
          <w:rtl/>
          <w:lang w:bidi="ar-QA"/>
        </w:rPr>
      </w:pPr>
    </w:p>
    <w:p w:rsidR="00CC6259" w:rsidRPr="004F0693" w:rsidRDefault="00CC6259" w:rsidP="00CC6259">
      <w:pPr>
        <w:pStyle w:val="SingleTxt"/>
      </w:pPr>
      <w:r>
        <w:rPr>
          <w:rFonts w:hint="cs"/>
          <w:rtl/>
          <w:lang w:bidi="ar-EG"/>
        </w:rPr>
        <w:tab/>
      </w:r>
      <w:r w:rsidRPr="004F0693">
        <w:rPr>
          <w:rtl/>
          <w:lang w:bidi="ar-EG"/>
        </w:rPr>
        <w:t>(د)</w:t>
      </w:r>
      <w:r>
        <w:rPr>
          <w:rFonts w:hint="cs"/>
          <w:rtl/>
          <w:lang w:bidi="ar-EG"/>
        </w:rPr>
        <w:tab/>
      </w:r>
      <w:r w:rsidRPr="00CC6259">
        <w:rPr>
          <w:b/>
          <w:bCs/>
          <w:rtl/>
          <w:lang w:bidi="ar-EG"/>
        </w:rPr>
        <w:t>تتخذ جميع التدابير الضرورية لإزالة جميع الحواجز أمام مشاركة المرأة في السلك الدبلوماسي، وزيادة عدد القاضيات، والمدعيات، والمحاميات، وضمان تعيين المرأة في المحكمة العليا وفي محكمة الاستئناف؛</w:t>
      </w:r>
    </w:p>
    <w:p w:rsidR="00CC6259" w:rsidRPr="004F0693" w:rsidRDefault="00CC6259" w:rsidP="0055473E">
      <w:pPr>
        <w:pStyle w:val="SingleTxt"/>
      </w:pPr>
      <w:r>
        <w:rPr>
          <w:rFonts w:hint="cs"/>
          <w:rtl/>
        </w:rPr>
        <w:tab/>
      </w:r>
      <w:r w:rsidRPr="004F0693">
        <w:rPr>
          <w:rtl/>
        </w:rPr>
        <w:t>تعد حقوق المر</w:t>
      </w:r>
      <w:r w:rsidR="0055473E">
        <w:rPr>
          <w:rFonts w:hint="cs"/>
          <w:rtl/>
        </w:rPr>
        <w:t>أ</w:t>
      </w:r>
      <w:r w:rsidRPr="004F0693">
        <w:rPr>
          <w:rtl/>
        </w:rPr>
        <w:t>ة أحد أهم العناصر الأساسية في تطبيق المبادئ العامة لحقوق الانسان بدولة قطر. حيث تحرص الدولة على تمكين المرأة من ممارسة كافة حقوقها وضمان تكريس ذلك من خلال الدستور والتشريعات والاتفاقيات والمواثيق الدولية والإقليمية، باعتبارها أحد العوامل التي لا غنى عنها لتحقيق التنمية المستدامة الشاملة على كافة الأصعدة. ففي المجال الدبلوماسي حققت المرأة القطرية تقدماً كبيراً منذ التحاقها بهذا السلك في عام 1996. حيث بلغت نسبة عدد النساء الملتحقات بالسلك الدبلوماسي بالدولة في الفترة ما بين (1996 -2002) 18 دبلوماسية. في حين ارتفعت هذه النسبة إلى 38 دبلوماسية بحلول العام 2010. وتجدر الإشارة، إلى تضاعف عدد القطريات الملتحقات بالسلك الدبلوماسي من 38 في عام 2010 إلى 65 دبلوماسية في عام 2016. وهو الأمر الذي يدل على وجود الارادة السياسية المتزايدة للعمل على إشراك المرأة في السلك الدبلوماسي.</w:t>
      </w:r>
    </w:p>
    <w:p w:rsidR="00CC6259" w:rsidRDefault="00CC6259" w:rsidP="00CC6259">
      <w:pPr>
        <w:pStyle w:val="SingleTxt"/>
        <w:rPr>
          <w:rtl/>
        </w:rPr>
      </w:pPr>
      <w:r>
        <w:rPr>
          <w:rFonts w:hint="cs"/>
          <w:rtl/>
        </w:rPr>
        <w:tab/>
      </w:r>
      <w:r w:rsidRPr="004F0693">
        <w:rPr>
          <w:rtl/>
        </w:rPr>
        <w:t>هناك ارتفاع في عدد النساء اللاتي يشغلن مناصب قيادية في القطاعين العام والخاص يزيد عن 100 في المئة عن عام الأساس 2008 (</w:t>
      </w:r>
      <w:r w:rsidRPr="004F0693">
        <w:rPr>
          <w:b/>
          <w:bCs/>
          <w:rtl/>
        </w:rPr>
        <w:t>الشكل التالي</w:t>
      </w:r>
      <w:r w:rsidRPr="004F0693">
        <w:rPr>
          <w:rtl/>
        </w:rPr>
        <w:t xml:space="preserve">). كما تشغل النساء 30 في المئة من منصب مدير في مؤسسات المجتمع المدني في قطر (وزارة التخطيط التنموي والاحصاء، 2014). </w:t>
      </w:r>
    </w:p>
    <w:p w:rsidR="00CC6259" w:rsidRDefault="00CC6259" w:rsidP="00CC6259">
      <w:pPr>
        <w:pStyle w:val="SingleTxt"/>
        <w:rPr>
          <w:rtl/>
        </w:rPr>
      </w:pPr>
    </w:p>
    <w:p w:rsidR="00CC6259" w:rsidRDefault="008A37B4" w:rsidP="008A37B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ارتفاع عدد القطريات في المناصب القيادية</w:t>
      </w:r>
    </w:p>
    <w:p w:rsidR="008A37B4" w:rsidRPr="008A37B4" w:rsidRDefault="008A37B4" w:rsidP="008A37B4">
      <w:pPr>
        <w:pStyle w:val="SingleTxt"/>
        <w:spacing w:after="0" w:line="120" w:lineRule="exact"/>
        <w:rPr>
          <w:sz w:val="10"/>
          <w:rtl/>
        </w:rPr>
      </w:pPr>
    </w:p>
    <w:p w:rsidR="008A37B4" w:rsidRPr="008A37B4" w:rsidRDefault="008A37B4" w:rsidP="008A37B4">
      <w:pPr>
        <w:pStyle w:val="SingleTxt"/>
        <w:spacing w:after="0" w:line="120" w:lineRule="exact"/>
        <w:rPr>
          <w:sz w:val="10"/>
          <w:rtl/>
        </w:rPr>
      </w:pPr>
    </w:p>
    <w:p w:rsidR="00CC6259" w:rsidRDefault="008A37B4" w:rsidP="00CC6259">
      <w:pPr>
        <w:pStyle w:val="SingleTxt"/>
        <w:rPr>
          <w:rtl/>
        </w:rPr>
      </w:pPr>
      <w:r w:rsidRPr="008A37B4">
        <w:rPr>
          <w:b/>
          <w:bCs/>
          <w:noProof/>
          <w:sz w:val="28"/>
          <w:szCs w:val="28"/>
          <w:lang w:eastAsia="zh-CN"/>
        </w:rPr>
        <mc:AlternateContent>
          <mc:Choice Requires="wps">
            <w:drawing>
              <wp:anchor distT="0" distB="0" distL="114300" distR="114300" simplePos="0" relativeHeight="251666432" behindDoc="0" locked="0" layoutInCell="1" allowOverlap="1" wp14:anchorId="7007F33C" wp14:editId="7C0B3B41">
                <wp:simplePos x="0" y="0"/>
                <wp:positionH relativeFrom="column">
                  <wp:posOffset>185420</wp:posOffset>
                </wp:positionH>
                <wp:positionV relativeFrom="paragraph">
                  <wp:posOffset>30480</wp:posOffset>
                </wp:positionV>
                <wp:extent cx="381000" cy="2071688"/>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1688"/>
                        </a:xfrm>
                        <a:prstGeom prst="rect">
                          <a:avLst/>
                        </a:prstGeom>
                        <a:solidFill>
                          <a:srgbClr val="FFFFFF"/>
                        </a:solidFill>
                        <a:ln w="9525">
                          <a:noFill/>
                          <a:miter lim="800000"/>
                          <a:headEnd/>
                          <a:tailEnd/>
                        </a:ln>
                      </wps:spPr>
                      <wps:txbx>
                        <w:txbxContent>
                          <w:p w:rsidR="008A37B4" w:rsidRDefault="008A37B4" w:rsidP="008A37B4">
                            <w:pPr>
                              <w:jc w:val="center"/>
                            </w:pPr>
                            <w:r>
                              <w:rPr>
                                <w:rFonts w:hint="cs"/>
                                <w:rtl/>
                              </w:rPr>
                              <w:t>النساء القطريات في مناصب القياة*</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pt;margin-top:2.4pt;width:30pt;height:16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ctFgIAAA4EAAAOAAAAZHJzL2Uyb0RvYy54bWysU8tu2zAQvBfoPxC815JVJHaFyEHq1EWB&#10;9AEk/YAVRVlESS5L0pb8913Sj6TtragOxIpczs7ODm9uJ6PZXvqg0DZ8Pis5k1Zgp+y24d+fNm+W&#10;nIUItgONVjb8IAO/Xb1+dTO6WlY4oO6kZwRiQz26hg8xurooghikgTBDJy0d9ugNRPr126LzMBK6&#10;0UVVltfFiL5zHoUMgXbvj4d8lfH7Xor4te+DjEw3nLjFvPq8tmktVjdQbz24QYkTDfgHFgaUpaIX&#10;qHuIwHZe/QVllPAYsI8zgabAvldC5h6om3n5RzePAziZeyFxgrvIFP4frPiy/+aZ6hq+4MyCoRE9&#10;ySmy9zixKqkzulBT0qOjtDjRNk05dxrcA4ofgVlcD2C38s57HAcJHbGbp5vFi6tHnJBA2vEzdlQG&#10;dhEz0NR7k6QjMRih05QOl8kkKoI23y7nZUkngo6qcjG/Xi5zCajPt50P8aNEw1LQcE+Tz+iwfwgx&#10;sYH6nJKKBdSq2yit84/ftmvt2R7IJZv8ndB/S9OWjQ1/d1VdZWSL6X42kFGRXKyVafiSeBLTvJ3U&#10;+GC7HEdQ+hgTE21P8iRFjtrEqZ0oMWnWYncgoTwe3Uqvi4K0VguSYCSzNjz83IGXnOlPlvROzj4H&#10;/hy05wCsGJA8Hzk7huuYX0Bq3eIdzaFXWaLn4id6ZLqs3OmBJFe//M9Zz8949QsAAP//AwBQSwME&#10;FAAGAAgAAAAhAGLBvp7bAAAABwEAAA8AAABkcnMvZG93bnJldi54bWxMj81OhEAQhO8mvsOkTbwY&#10;d4D9yYoMG2Ki8Sp48NgLvUBkeggzy+Lb23vSY6UqVV9lh8UOaqbJ944NxKsIFHHtmp5bA5/V6+Me&#10;lA/IDQ6OycAPeTjktzcZpo278AfNZWiVlLBP0UAXwphq7euOLPqVG4nFO7nJYhA5tbqZ8CLldtBJ&#10;FO20xZ5locORXjqqv8uzNbBsXfk++qrYYXwqH+bw9VZUG2Pu75biGVSgJfyF4Yov6JAL09GdufFq&#10;MJA8JZI0sJEDYu+v8mhgvY5j0Hmm//PnvwAAAP//AwBQSwECLQAUAAYACAAAACEAtoM4kv4AAADh&#10;AQAAEwAAAAAAAAAAAAAAAAAAAAAAW0NvbnRlbnRfVHlwZXNdLnhtbFBLAQItABQABgAIAAAAIQA4&#10;/SH/1gAAAJQBAAALAAAAAAAAAAAAAAAAAC8BAABfcmVscy8ucmVsc1BLAQItABQABgAIAAAAIQCN&#10;ltctFgIAAA4EAAAOAAAAAAAAAAAAAAAAAC4CAABkcnMvZTJvRG9jLnhtbFBLAQItABQABgAIAAAA&#10;IQBiwb6e2wAAAAcBAAAPAAAAAAAAAAAAAAAAAHAEAABkcnMvZG93bnJldi54bWxQSwUGAAAAAAQA&#10;BADzAAAAeAUAAAAA&#10;" stroked="f">
                <v:textbox style="layout-flow:vertical;mso-layout-flow-alt:bottom-to-top" inset="0,0,0,0">
                  <w:txbxContent>
                    <w:p w:rsidR="008A37B4" w:rsidRDefault="008A37B4" w:rsidP="008A37B4">
                      <w:pPr>
                        <w:jc w:val="center"/>
                      </w:pPr>
                      <w:r>
                        <w:rPr>
                          <w:rFonts w:hint="cs"/>
                          <w:rtl/>
                        </w:rPr>
                        <w:t>النساء القطريات في مناصب القياة*</w:t>
                      </w:r>
                    </w:p>
                  </w:txbxContent>
                </v:textbox>
              </v:shape>
            </w:pict>
          </mc:Fallback>
        </mc:AlternateContent>
      </w:r>
      <w:r w:rsidRPr="008A37B4">
        <w:rPr>
          <w:b/>
          <w:bCs/>
          <w:noProof/>
          <w:sz w:val="28"/>
          <w:szCs w:val="28"/>
          <w:lang w:eastAsia="zh-CN"/>
        </w:rPr>
        <mc:AlternateContent>
          <mc:Choice Requires="wps">
            <w:drawing>
              <wp:anchor distT="0" distB="0" distL="114300" distR="114300" simplePos="0" relativeHeight="251664384" behindDoc="0" locked="0" layoutInCell="1" allowOverlap="1" wp14:anchorId="55ED338F" wp14:editId="07DFD409">
                <wp:simplePos x="0" y="0"/>
                <wp:positionH relativeFrom="column">
                  <wp:posOffset>5624195</wp:posOffset>
                </wp:positionH>
                <wp:positionV relativeFrom="paragraph">
                  <wp:posOffset>25718</wp:posOffset>
                </wp:positionV>
                <wp:extent cx="381000" cy="207168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1688"/>
                        </a:xfrm>
                        <a:prstGeom prst="rect">
                          <a:avLst/>
                        </a:prstGeom>
                        <a:solidFill>
                          <a:srgbClr val="FFFFFF"/>
                        </a:solidFill>
                        <a:ln w="9525">
                          <a:noFill/>
                          <a:miter lim="800000"/>
                          <a:headEnd/>
                          <a:tailEnd/>
                        </a:ln>
                      </wps:spPr>
                      <wps:txbx>
                        <w:txbxContent>
                          <w:p w:rsidR="008A37B4" w:rsidRDefault="008A37B4" w:rsidP="008A37B4">
                            <w:pPr>
                              <w:jc w:val="center"/>
                            </w:pPr>
                            <w:r>
                              <w:rPr>
                                <w:rFonts w:hint="cs"/>
                                <w:rtl/>
                              </w:rPr>
                              <w:t>القوة العاملة النسوية في قطر</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85pt;margin-top:2.05pt;width:30pt;height:1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iuGgIAABcEAAAOAAAAZHJzL2Uyb0RvYy54bWysU9Fu2yAUfZ+0f0C8L3ZctcmsOFWXLtOk&#10;rpvU7gMw4BgNuAxI7Pz9LjhJu+1tmh/QNVzOPffcw+p2NJocpA8KbEPns5ISaTkIZXcN/f68fbek&#10;JERmBdNgZUOPMtDb9ds3q8HVsoIetJCeIIgN9eAa2sfo6qIIvJeGhRk4afGwA29YxF+/K4RnA6Ib&#10;XVRleVMM4IXzwGUIuHs/HdJ1xu86yePXrgsyEt1Q5Bbz6vPaprVYr1i988z1ip9osH9gYZiyWPQC&#10;dc8iI3uv/oIyinsI0MUZB1NA1ykucw/Yzbz8o5unnjmZe0FxgrvIFP4fLH88fPNEiYZelQtKLDM4&#10;pGc5RvIBRlIlfQYXakx7cpgYR9zGOedeg3sA/iMQC5ue2Z288x6GXjKB/ObpZvHq6oQTEkg7fAGB&#10;Zdg+QgYaO2+SeCgHQXSc0/Eym0SF4+bVcl6WeMLxqCoX85vlMpdg9fm28yF+kmBIChrqcfYZnR0e&#10;QkxsWH1OScUCaCW2Suv843ftRntyYOiTbf5O6L+laUuGhr6/rq4zsoV0P1vIqIg+1so0dIk8kWne&#10;Tmp8tCLHkSk9xchE25M8SZFJmzi2Y55E1i5J14I4ol4eJtviM8MgrdUClRjQtQ0NP/fMS0r0Z4uy&#10;J4ufA38O2nPALO8BzR8pmcJNzE8hKWDhDsfRqazUS/ETS3RfFvD0UpK9X//nrJf3vP4FAAD//wMA&#10;UEsDBBQABgAIAAAAIQAH1piq3QAAAAkBAAAPAAAAZHJzL2Rvd25yZXYueG1sTI9BT4NAFITvJv6H&#10;zTPxYuyCpS0ij4aYaLwKHnrcsq9AZN8Sdkvx37s96XEyk5lv8v1iBjHT5HrLCPEqAkHcWN1zi/BV&#10;vz2mIJxXrNVgmRB+yMG+uL3JVabthT9prnwrQgm7TCF03o+ZlK7pyCi3siNx8E52MsoHObVST+oS&#10;ys0gn6JoK43qOSx0aqTXjprv6mwQlo2tPkZXl1sVn6qH2R/eyzpBvL9byhcQnhb/F4YrfkCHIjAd&#10;7Zm1EwNCmm52IYqQxCCC/5xc9RFhvY4SkEUu/z8ofgEAAP//AwBQSwECLQAUAAYACAAAACEAtoM4&#10;kv4AAADhAQAAEwAAAAAAAAAAAAAAAAAAAAAAW0NvbnRlbnRfVHlwZXNdLnhtbFBLAQItABQABgAI&#10;AAAAIQA4/SH/1gAAAJQBAAALAAAAAAAAAAAAAAAAAC8BAABfcmVscy8ucmVsc1BLAQItABQABgAI&#10;AAAAIQAhbQiuGgIAABcEAAAOAAAAAAAAAAAAAAAAAC4CAABkcnMvZTJvRG9jLnhtbFBLAQItABQA&#10;BgAIAAAAIQAH1piq3QAAAAkBAAAPAAAAAAAAAAAAAAAAAHQEAABkcnMvZG93bnJldi54bWxQSwUG&#10;AAAAAAQABADzAAAAfgUAAAAA&#10;" stroked="f">
                <v:textbox style="layout-flow:vertical;mso-layout-flow-alt:bottom-to-top" inset="0,0,0,0">
                  <w:txbxContent>
                    <w:p w:rsidR="008A37B4" w:rsidRDefault="008A37B4" w:rsidP="008A37B4">
                      <w:pPr>
                        <w:jc w:val="center"/>
                      </w:pPr>
                      <w:r>
                        <w:rPr>
                          <w:rFonts w:hint="cs"/>
                          <w:rtl/>
                        </w:rPr>
                        <w:t>القوة العاملة النسوية في قطر</w:t>
                      </w:r>
                    </w:p>
                  </w:txbxContent>
                </v:textbox>
              </v:shape>
            </w:pict>
          </mc:Fallback>
        </mc:AlternateContent>
      </w:r>
      <w:r w:rsidRPr="004F0693">
        <w:rPr>
          <w:noProof/>
          <w:lang w:eastAsia="zh-CN"/>
        </w:rPr>
        <w:drawing>
          <wp:anchor distT="0" distB="0" distL="114300" distR="114300" simplePos="0" relativeHeight="251662336" behindDoc="0" locked="0" layoutInCell="1" allowOverlap="1" wp14:anchorId="30D62401" wp14:editId="222FFFD3">
            <wp:simplePos x="0" y="0"/>
            <wp:positionH relativeFrom="column">
              <wp:posOffset>185420</wp:posOffset>
            </wp:positionH>
            <wp:positionV relativeFrom="paragraph">
              <wp:posOffset>25400</wp:posOffset>
            </wp:positionV>
            <wp:extent cx="5819775" cy="2076450"/>
            <wp:effectExtent l="0" t="0" r="0" b="0"/>
            <wp:wrapNone/>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8A37B4" w:rsidRDefault="008A37B4" w:rsidP="00CC6259">
      <w:pPr>
        <w:pStyle w:val="SingleTxt"/>
        <w:rPr>
          <w:rtl/>
        </w:rPr>
      </w:pPr>
    </w:p>
    <w:p w:rsidR="008A37B4" w:rsidRDefault="008A37B4" w:rsidP="00CC6259">
      <w:pPr>
        <w:pStyle w:val="SingleTxt"/>
        <w:rPr>
          <w:rtl/>
        </w:rPr>
      </w:pPr>
    </w:p>
    <w:p w:rsidR="00CC6259" w:rsidRDefault="00CC6259" w:rsidP="00CC6259">
      <w:pPr>
        <w:pStyle w:val="SingleTxt"/>
        <w:rPr>
          <w:rtl/>
        </w:rPr>
      </w:pPr>
    </w:p>
    <w:p w:rsidR="00CC6259" w:rsidRPr="004F0693" w:rsidRDefault="00CC6259" w:rsidP="00CC6259">
      <w:pPr>
        <w:pStyle w:val="SingleTxt"/>
        <w:rPr>
          <w:lang w:bidi="ar-QA"/>
        </w:rPr>
      </w:pPr>
    </w:p>
    <w:p w:rsidR="00CC6259" w:rsidRPr="004F0693" w:rsidRDefault="00CC6259" w:rsidP="00CC6259">
      <w:pPr>
        <w:jc w:val="both"/>
        <w:rPr>
          <w:sz w:val="28"/>
          <w:szCs w:val="28"/>
          <w:rtl/>
          <w:lang w:bidi="ar-QA"/>
        </w:rPr>
      </w:pPr>
    </w:p>
    <w:p w:rsidR="00CC6259" w:rsidRPr="004F0693" w:rsidRDefault="00CC6259" w:rsidP="00CC6259">
      <w:pPr>
        <w:jc w:val="both"/>
        <w:rPr>
          <w:sz w:val="28"/>
          <w:szCs w:val="28"/>
        </w:rPr>
      </w:pPr>
    </w:p>
    <w:p w:rsidR="00892257" w:rsidRDefault="00892257" w:rsidP="0055473E">
      <w:pPr>
        <w:pStyle w:val="FootnoteText"/>
        <w:tabs>
          <w:tab w:val="clear" w:pos="418"/>
          <w:tab w:val="right" w:pos="662"/>
          <w:tab w:val="left" w:pos="763"/>
          <w:tab w:val="left" w:pos="1210"/>
          <w:tab w:val="left" w:pos="1685"/>
          <w:tab w:val="left" w:pos="2174"/>
          <w:tab w:val="left" w:pos="2650"/>
        </w:tabs>
        <w:spacing w:after="80"/>
        <w:ind w:left="763" w:right="0" w:hanging="763"/>
        <w:rPr>
          <w:rtl/>
        </w:rPr>
      </w:pPr>
      <w:r>
        <w:rPr>
          <w:rFonts w:hint="cs"/>
          <w:rtl/>
        </w:rPr>
        <w:tab/>
        <w:t>*</w:t>
      </w:r>
      <w:r>
        <w:rPr>
          <w:rFonts w:hint="cs"/>
          <w:rtl/>
        </w:rPr>
        <w:tab/>
        <w:t>المشرع</w:t>
      </w:r>
      <w:r w:rsidR="0055473E">
        <w:rPr>
          <w:rFonts w:hint="cs"/>
          <w:rtl/>
        </w:rPr>
        <w:t>ون</w:t>
      </w:r>
      <w:r>
        <w:rPr>
          <w:rFonts w:hint="cs"/>
          <w:rtl/>
        </w:rPr>
        <w:t xml:space="preserve"> وكبار المسؤولين والمديرين.</w:t>
      </w:r>
    </w:p>
    <w:p w:rsidR="00CC6259" w:rsidRPr="004F0693" w:rsidRDefault="008A37B4" w:rsidP="00892257">
      <w:pPr>
        <w:pStyle w:val="FootnoteText"/>
        <w:tabs>
          <w:tab w:val="clear" w:pos="418"/>
          <w:tab w:val="right" w:pos="662"/>
          <w:tab w:val="left" w:pos="763"/>
          <w:tab w:val="left" w:pos="1210"/>
          <w:tab w:val="left" w:pos="1685"/>
          <w:tab w:val="left" w:pos="2174"/>
          <w:tab w:val="left" w:pos="2650"/>
        </w:tabs>
        <w:spacing w:after="80"/>
        <w:ind w:left="763" w:right="0" w:hanging="763"/>
        <w:rPr>
          <w:sz w:val="28"/>
          <w:szCs w:val="28"/>
        </w:rPr>
      </w:pPr>
      <w:r>
        <w:rPr>
          <w:rFonts w:hint="cs"/>
          <w:sz w:val="28"/>
          <w:szCs w:val="28"/>
          <w:rtl/>
        </w:rPr>
        <w:tab/>
      </w:r>
      <w:r w:rsidR="00892257">
        <w:rPr>
          <w:rFonts w:hint="cs"/>
          <w:sz w:val="28"/>
          <w:szCs w:val="28"/>
          <w:rtl/>
        </w:rPr>
        <w:tab/>
      </w:r>
      <w:r>
        <w:rPr>
          <w:rFonts w:hint="cs"/>
          <w:sz w:val="28"/>
          <w:szCs w:val="28"/>
          <w:rtl/>
        </w:rPr>
        <w:t>مصدر البيانات: وزارة التخطيط التنموي والإحصاء.</w:t>
      </w:r>
    </w:p>
    <w:p w:rsidR="00CC6259" w:rsidRPr="00892257" w:rsidRDefault="00CC6259" w:rsidP="00892257">
      <w:pPr>
        <w:spacing w:line="120" w:lineRule="exact"/>
        <w:jc w:val="both"/>
        <w:rPr>
          <w:b/>
          <w:bCs/>
          <w:sz w:val="10"/>
          <w:szCs w:val="28"/>
          <w:rtl/>
          <w:lang w:bidi="ar-QA"/>
        </w:rPr>
      </w:pPr>
    </w:p>
    <w:p w:rsidR="00892257" w:rsidRPr="00892257" w:rsidRDefault="00892257" w:rsidP="00892257">
      <w:pPr>
        <w:spacing w:line="120" w:lineRule="exact"/>
        <w:jc w:val="both"/>
        <w:rPr>
          <w:b/>
          <w:bCs/>
          <w:sz w:val="10"/>
          <w:szCs w:val="28"/>
          <w:rtl/>
          <w:lang w:bidi="ar-QA"/>
        </w:rPr>
      </w:pPr>
    </w:p>
    <w:p w:rsidR="00892257" w:rsidRPr="00892257" w:rsidRDefault="00892257" w:rsidP="00892257">
      <w:pPr>
        <w:spacing w:line="120" w:lineRule="exact"/>
        <w:jc w:val="both"/>
        <w:rPr>
          <w:b/>
          <w:bCs/>
          <w:sz w:val="10"/>
          <w:szCs w:val="28"/>
          <w:rtl/>
          <w:lang w:bidi="ar-QA"/>
        </w:rPr>
      </w:pPr>
    </w:p>
    <w:p w:rsidR="00CC6259" w:rsidRPr="004F0693" w:rsidRDefault="00892257" w:rsidP="0055473E">
      <w:pPr>
        <w:pStyle w:val="SingleTxt"/>
      </w:pPr>
      <w:r>
        <w:rPr>
          <w:rFonts w:hint="cs"/>
          <w:rtl/>
        </w:rPr>
        <w:tab/>
      </w:r>
      <w:r w:rsidR="00CC6259" w:rsidRPr="004F0693">
        <w:rPr>
          <w:rtl/>
        </w:rPr>
        <w:t>مسيرة السنوات الماضية تبين بشكل جلي وجود إرادة سياسية داعمة لتمكين المرأة القطرية وتعزيز مشاركتها على مستوى صنع القرار في الحكومة وتجسد ذلك من خلال تعيين عدد من الإناث في مواقع صنع القرار منها تعيين أول وزيرة للتعليم والتعليم العالي في دولة قطر من سنة 2003 إلى سنة 2009، ووزيرة للصحة في الفترة 2008 إلى 2009. وسابقا تولت المرأة القطرية وزيرة الاتصالات وتكنولوجيا المعلومات، ورئيس المجلس الأعلى لشؤون الأسرة، ونائب رئيس المجلس الأعلى للتعليم، ورئيس جامعة قطر، كما تتولى المرأة القطرية حالياً مناصب قيادية عليا كوزيرة الصحة ورئيس مجلس أمناء هيئة متاحف قطر، ورئيس مؤسسة قطر للتربية والعلوم وتنمية المجتمع. كما تشارك العديد من الإناث في مجالس إدارة المجالس العليا والمؤسسات والهيئات الحكومية، إضافة إلى مشاركتها في عضوية اللجان الدائمة التي تقوم بوضع السياسات والاستراتيجيات كاللجنة الدائمة للسكان، واللجان المؤقتة التي تقوم بوضع التشريعات المختلفة.</w:t>
      </w:r>
    </w:p>
    <w:p w:rsidR="00CC6259" w:rsidRPr="004F0693" w:rsidRDefault="00892257" w:rsidP="00552B56">
      <w:pPr>
        <w:pStyle w:val="SingleTxt"/>
      </w:pPr>
      <w:r>
        <w:rPr>
          <w:rFonts w:hint="cs"/>
          <w:rtl/>
        </w:rPr>
        <w:tab/>
      </w:r>
      <w:r w:rsidR="00CC6259" w:rsidRPr="004F0693">
        <w:rPr>
          <w:rtl/>
        </w:rPr>
        <w:t xml:space="preserve">واستطاعت المرأة القطرية أن تشغل بعض الوظائف الدبلوماسية في وزارة الخارجية، وقد شهد مطلع سنة 2010 تعيين أول قطرية برتبة سفير وفي عام 2011 تم تعيين سفيرة (المندوب الدائم لدولة قطر في جنيف)، وفي عام 2013 تم تعيين سفيرة في كرواتيا. كما تشغل المرأة القطرية مناصب دبلوماسية </w:t>
      </w:r>
      <w:r w:rsidR="00552B56">
        <w:rPr>
          <w:rFonts w:hint="cs"/>
          <w:rtl/>
        </w:rPr>
        <w:t>أ</w:t>
      </w:r>
      <w:r w:rsidR="00CC6259" w:rsidRPr="004F0693">
        <w:rPr>
          <w:rtl/>
        </w:rPr>
        <w:t>خرى في بعثات الدولة في الخارج ، بالإضافة إلى عضوية النساء في العديد من المنظمات الدولية، لا سيما تلك العاملة في مجال حقوق الإنسان والتنمية الاجتماعية منها على سبيل المثال:</w:t>
      </w:r>
    </w:p>
    <w:p w:rsidR="00CC6259" w:rsidRPr="004F0693" w:rsidRDefault="00892257" w:rsidP="0089225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00CC6259" w:rsidRPr="004F0693">
        <w:rPr>
          <w:rtl/>
        </w:rPr>
        <w:t>•</w:t>
      </w:r>
      <w:r>
        <w:rPr>
          <w:rFonts w:hint="cs"/>
          <w:rtl/>
        </w:rPr>
        <w:tab/>
      </w:r>
      <w:r w:rsidR="00CC6259" w:rsidRPr="004F0693">
        <w:rPr>
          <w:rtl/>
        </w:rPr>
        <w:t>المقرر الخاص المعني بالإعاقة في الأمم المتحدة - السابق.</w:t>
      </w:r>
    </w:p>
    <w:p w:rsidR="00CC6259" w:rsidRPr="004F0693" w:rsidRDefault="00892257" w:rsidP="0089225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00CC6259" w:rsidRPr="004F0693">
        <w:rPr>
          <w:rtl/>
        </w:rPr>
        <w:t>•</w:t>
      </w:r>
      <w:r>
        <w:rPr>
          <w:rFonts w:hint="cs"/>
          <w:rtl/>
        </w:rPr>
        <w:tab/>
      </w:r>
      <w:r w:rsidR="00CC6259" w:rsidRPr="004F0693">
        <w:rPr>
          <w:rtl/>
        </w:rPr>
        <w:t>المبعوث الخاص للأمين العام لجامعة الدول العربية لشؤون الإغاثة الإنسانية.</w:t>
      </w:r>
    </w:p>
    <w:p w:rsidR="00CC6259" w:rsidRPr="004F0693" w:rsidRDefault="00892257" w:rsidP="0089225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00CC6259" w:rsidRPr="004F0693">
        <w:rPr>
          <w:rtl/>
        </w:rPr>
        <w:t>•</w:t>
      </w:r>
      <w:r>
        <w:rPr>
          <w:rFonts w:hint="cs"/>
          <w:rtl/>
        </w:rPr>
        <w:tab/>
      </w:r>
      <w:r w:rsidR="00CC6259" w:rsidRPr="004F0693">
        <w:rPr>
          <w:rtl/>
        </w:rPr>
        <w:t>عضوا في لجنة الأمم المتحدة لحقوق الطفل - السابق.</w:t>
      </w:r>
    </w:p>
    <w:p w:rsidR="00CC6259" w:rsidRPr="004F0693" w:rsidRDefault="00892257" w:rsidP="0089225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00CC6259" w:rsidRPr="004F0693">
        <w:rPr>
          <w:rtl/>
        </w:rPr>
        <w:t>•</w:t>
      </w:r>
      <w:r>
        <w:rPr>
          <w:rFonts w:hint="cs"/>
          <w:rtl/>
        </w:rPr>
        <w:tab/>
      </w:r>
      <w:r w:rsidR="00CC6259" w:rsidRPr="004F0693">
        <w:rPr>
          <w:rtl/>
        </w:rPr>
        <w:t>عضو لجنة الرصد الدولية لاتفاقية حقوق الأشخاص ذوي الإعاقة حرص دولة قطر - السابق.</w:t>
      </w:r>
    </w:p>
    <w:p w:rsidR="00CC6259" w:rsidRPr="004F0693" w:rsidRDefault="00892257" w:rsidP="00552B5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sidR="00CC6259" w:rsidRPr="004F0693">
        <w:rPr>
          <w:rtl/>
        </w:rPr>
        <w:t>•</w:t>
      </w:r>
      <w:r>
        <w:rPr>
          <w:rFonts w:hint="cs"/>
          <w:rtl/>
        </w:rPr>
        <w:tab/>
      </w:r>
      <w:r w:rsidR="00CC6259" w:rsidRPr="004F0693">
        <w:rPr>
          <w:rtl/>
        </w:rPr>
        <w:t>عضو لجنة القضاء على التمييز ضد المرأة بالأمم المتحدة</w:t>
      </w:r>
      <w:r w:rsidR="00552B56">
        <w:rPr>
          <w:rFonts w:hint="cs"/>
          <w:rtl/>
        </w:rPr>
        <w:t xml:space="preserve"> </w:t>
      </w:r>
      <w:r w:rsidR="00CC6259" w:rsidRPr="004F0693">
        <w:rPr>
          <w:rtl/>
        </w:rPr>
        <w:t>(السيداو).</w:t>
      </w:r>
    </w:p>
    <w:p w:rsidR="00CC6259" w:rsidRDefault="00892257" w:rsidP="00892257">
      <w:pPr>
        <w:pStyle w:val="SingleTxt"/>
        <w:rPr>
          <w:rtl/>
        </w:rPr>
      </w:pPr>
      <w:r>
        <w:rPr>
          <w:rFonts w:hint="cs"/>
          <w:rtl/>
        </w:rPr>
        <w:tab/>
      </w:r>
      <w:r w:rsidR="00CC6259" w:rsidRPr="004F0693">
        <w:rPr>
          <w:rtl/>
        </w:rPr>
        <w:t>بلغت نسبة الإناث نحو 13.7 في المائة من إجمالي المحامين القطريين في سنة 2011، وهي نسبة مشجعة، حيث أن أول امرأة قطرية عملت في سلك المحاماة كانت سنة 2000. كما دخلت المرأة في سنة 2010 مهن القضاة والنيابة العامة كما أنها تشارك وبصورة واضحة في العديد من إدارات وزارة الداخلية مثل إدارة المرور والدوريات وإدارة الجوازات.</w:t>
      </w:r>
    </w:p>
    <w:p w:rsidR="00892257" w:rsidRPr="00892257" w:rsidRDefault="00892257" w:rsidP="00892257">
      <w:pPr>
        <w:pStyle w:val="SingleTxt"/>
        <w:spacing w:after="0" w:line="120" w:lineRule="exact"/>
        <w:rPr>
          <w:sz w:val="10"/>
          <w:rtl/>
        </w:rPr>
      </w:pPr>
    </w:p>
    <w:p w:rsidR="00CC6259" w:rsidRDefault="00892257" w:rsidP="008922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CC6259" w:rsidRPr="004F0693">
        <w:rPr>
          <w:rtl/>
        </w:rPr>
        <w:t>القطريون في النيابة العامة ومهن القضاء ومساعديهم والمحاماة حسب الجنس</w:t>
      </w:r>
    </w:p>
    <w:p w:rsidR="00892257" w:rsidRPr="00892257" w:rsidRDefault="00892257" w:rsidP="00892257">
      <w:pPr>
        <w:spacing w:line="120" w:lineRule="exact"/>
        <w:jc w:val="center"/>
        <w:rPr>
          <w:color w:val="000000"/>
          <w:sz w:val="10"/>
          <w:szCs w:val="32"/>
          <w:rtl/>
        </w:rPr>
      </w:pPr>
    </w:p>
    <w:tbl>
      <w:tblPr>
        <w:bidiVisual/>
        <w:tblW w:w="7320" w:type="dxa"/>
        <w:jc w:val="center"/>
        <w:tblCellMar>
          <w:left w:w="0" w:type="dxa"/>
          <w:right w:w="0" w:type="dxa"/>
        </w:tblCellMar>
        <w:tblLook w:val="0000" w:firstRow="0" w:lastRow="0" w:firstColumn="0" w:lastColumn="0" w:noHBand="0" w:noVBand="0"/>
      </w:tblPr>
      <w:tblGrid>
        <w:gridCol w:w="549"/>
        <w:gridCol w:w="1281"/>
        <w:gridCol w:w="915"/>
        <w:gridCol w:w="791"/>
        <w:gridCol w:w="124"/>
        <w:gridCol w:w="915"/>
        <w:gridCol w:w="815"/>
        <w:gridCol w:w="100"/>
        <w:gridCol w:w="915"/>
        <w:gridCol w:w="915"/>
      </w:tblGrid>
      <w:tr w:rsidR="00CC6259" w:rsidRPr="00892257" w:rsidTr="00D84153">
        <w:trPr>
          <w:cantSplit/>
          <w:trHeight w:val="199"/>
          <w:tblHeader/>
          <w:jc w:val="center"/>
        </w:trPr>
        <w:tc>
          <w:tcPr>
            <w:tcW w:w="549" w:type="dxa"/>
            <w:vMerge w:val="restart"/>
            <w:tcBorders>
              <w:top w:val="single" w:sz="4" w:space="0" w:color="auto"/>
            </w:tcBorders>
            <w:shd w:val="clear" w:color="auto" w:fill="auto"/>
            <w:vAlign w:val="bottom"/>
          </w:tcPr>
          <w:p w:rsidR="00CC6259" w:rsidRPr="00892257" w:rsidRDefault="00CC6259" w:rsidP="00D84153">
            <w:pPr>
              <w:jc w:val="both"/>
              <w:rPr>
                <w:i/>
                <w:iCs/>
                <w:color w:val="000000"/>
                <w:sz w:val="28"/>
                <w:szCs w:val="28"/>
                <w:rtl/>
              </w:rPr>
            </w:pPr>
          </w:p>
        </w:tc>
        <w:tc>
          <w:tcPr>
            <w:tcW w:w="1281" w:type="dxa"/>
            <w:vMerge w:val="restart"/>
            <w:tcBorders>
              <w:top w:val="single" w:sz="4" w:space="0" w:color="auto"/>
            </w:tcBorders>
            <w:shd w:val="clear" w:color="auto" w:fill="auto"/>
            <w:vAlign w:val="bottom"/>
          </w:tcPr>
          <w:p w:rsidR="00CC6259" w:rsidRPr="00892257" w:rsidRDefault="00CC6259" w:rsidP="00D84153">
            <w:pPr>
              <w:jc w:val="both"/>
              <w:rPr>
                <w:i/>
                <w:iCs/>
                <w:color w:val="000000"/>
                <w:sz w:val="28"/>
                <w:szCs w:val="28"/>
                <w:rtl/>
              </w:rPr>
            </w:pPr>
            <w:r w:rsidRPr="00892257">
              <w:rPr>
                <w:i/>
                <w:iCs/>
                <w:color w:val="000000"/>
                <w:sz w:val="28"/>
                <w:szCs w:val="28"/>
                <w:rtl/>
              </w:rPr>
              <w:t>البيان</w:t>
            </w:r>
          </w:p>
        </w:tc>
        <w:tc>
          <w:tcPr>
            <w:tcW w:w="1830" w:type="dxa"/>
            <w:gridSpan w:val="3"/>
            <w:tcBorders>
              <w:top w:val="single" w:sz="4" w:space="0" w:color="auto"/>
            </w:tcBorders>
            <w:shd w:val="clear" w:color="auto" w:fill="auto"/>
            <w:vAlign w:val="bottom"/>
          </w:tcPr>
          <w:p w:rsidR="00CC6259" w:rsidRPr="00892257" w:rsidRDefault="00CC6259" w:rsidP="0062371F">
            <w:pPr>
              <w:jc w:val="center"/>
              <w:rPr>
                <w:i/>
                <w:iCs/>
                <w:color w:val="000000"/>
                <w:sz w:val="28"/>
                <w:szCs w:val="28"/>
                <w:rtl/>
              </w:rPr>
            </w:pPr>
            <w:r w:rsidRPr="00892257">
              <w:rPr>
                <w:i/>
                <w:iCs/>
                <w:color w:val="000000"/>
                <w:sz w:val="28"/>
                <w:szCs w:val="28"/>
                <w:rtl/>
              </w:rPr>
              <w:t>2009</w:t>
            </w:r>
          </w:p>
        </w:tc>
        <w:tc>
          <w:tcPr>
            <w:tcW w:w="1830" w:type="dxa"/>
            <w:gridSpan w:val="3"/>
            <w:tcBorders>
              <w:top w:val="single" w:sz="4" w:space="0" w:color="auto"/>
            </w:tcBorders>
            <w:shd w:val="clear" w:color="auto" w:fill="auto"/>
            <w:vAlign w:val="bottom"/>
          </w:tcPr>
          <w:p w:rsidR="00CC6259" w:rsidRPr="00892257" w:rsidRDefault="00CC6259" w:rsidP="0062371F">
            <w:pPr>
              <w:jc w:val="center"/>
              <w:rPr>
                <w:i/>
                <w:iCs/>
                <w:color w:val="000000"/>
                <w:sz w:val="28"/>
                <w:szCs w:val="28"/>
                <w:rtl/>
              </w:rPr>
            </w:pPr>
            <w:r w:rsidRPr="00892257">
              <w:rPr>
                <w:i/>
                <w:iCs/>
                <w:color w:val="000000"/>
                <w:sz w:val="28"/>
                <w:szCs w:val="28"/>
                <w:rtl/>
              </w:rPr>
              <w:t>2010</w:t>
            </w:r>
          </w:p>
        </w:tc>
        <w:tc>
          <w:tcPr>
            <w:tcW w:w="1830" w:type="dxa"/>
            <w:gridSpan w:val="2"/>
            <w:tcBorders>
              <w:top w:val="single" w:sz="4" w:space="0" w:color="auto"/>
              <w:bottom w:val="single" w:sz="4" w:space="0" w:color="auto"/>
            </w:tcBorders>
            <w:shd w:val="clear" w:color="auto" w:fill="auto"/>
            <w:vAlign w:val="bottom"/>
          </w:tcPr>
          <w:p w:rsidR="00CC6259" w:rsidRPr="00892257" w:rsidRDefault="00CC6259" w:rsidP="0062371F">
            <w:pPr>
              <w:jc w:val="center"/>
              <w:rPr>
                <w:i/>
                <w:iCs/>
                <w:color w:val="000000"/>
                <w:sz w:val="28"/>
                <w:szCs w:val="28"/>
                <w:rtl/>
              </w:rPr>
            </w:pPr>
            <w:r w:rsidRPr="00892257">
              <w:rPr>
                <w:i/>
                <w:iCs/>
                <w:color w:val="000000"/>
                <w:sz w:val="28"/>
                <w:szCs w:val="28"/>
                <w:rtl/>
              </w:rPr>
              <w:t>2011</w:t>
            </w:r>
          </w:p>
        </w:tc>
      </w:tr>
      <w:tr w:rsidR="00CC6259" w:rsidRPr="00892257" w:rsidTr="00D84153">
        <w:trPr>
          <w:cantSplit/>
          <w:trHeight w:val="198"/>
          <w:tblHeader/>
          <w:jc w:val="center"/>
        </w:trPr>
        <w:tc>
          <w:tcPr>
            <w:tcW w:w="549" w:type="dxa"/>
            <w:vMerge/>
            <w:tcBorders>
              <w:bottom w:val="single" w:sz="12" w:space="0" w:color="auto"/>
            </w:tcBorders>
            <w:shd w:val="clear" w:color="auto" w:fill="auto"/>
            <w:vAlign w:val="bottom"/>
          </w:tcPr>
          <w:p w:rsidR="00CC6259" w:rsidRPr="00892257" w:rsidRDefault="00CC6259" w:rsidP="00D84153">
            <w:pPr>
              <w:jc w:val="both"/>
              <w:rPr>
                <w:i/>
                <w:iCs/>
                <w:color w:val="000000"/>
                <w:sz w:val="28"/>
                <w:szCs w:val="28"/>
                <w:rtl/>
              </w:rPr>
            </w:pPr>
          </w:p>
        </w:tc>
        <w:tc>
          <w:tcPr>
            <w:tcW w:w="1281" w:type="dxa"/>
            <w:vMerge/>
            <w:tcBorders>
              <w:bottom w:val="single" w:sz="12" w:space="0" w:color="auto"/>
            </w:tcBorders>
            <w:shd w:val="clear" w:color="auto" w:fill="auto"/>
            <w:vAlign w:val="bottom"/>
          </w:tcPr>
          <w:p w:rsidR="00CC6259" w:rsidRPr="00892257" w:rsidRDefault="00CC6259" w:rsidP="00D84153">
            <w:pPr>
              <w:jc w:val="both"/>
              <w:rPr>
                <w:i/>
                <w:iCs/>
                <w:color w:val="000000"/>
                <w:sz w:val="28"/>
                <w:szCs w:val="28"/>
                <w:rtl/>
              </w:rPr>
            </w:pPr>
          </w:p>
        </w:tc>
        <w:tc>
          <w:tcPr>
            <w:tcW w:w="915" w:type="dxa"/>
            <w:tcBorders>
              <w:top w:val="single" w:sz="4" w:space="0" w:color="auto"/>
              <w:bottom w:val="single" w:sz="12" w:space="0" w:color="auto"/>
            </w:tcBorders>
            <w:shd w:val="clear" w:color="auto" w:fill="auto"/>
            <w:vAlign w:val="bottom"/>
          </w:tcPr>
          <w:p w:rsidR="00CC6259" w:rsidRPr="00892257" w:rsidRDefault="00CC6259" w:rsidP="00D84153">
            <w:pPr>
              <w:jc w:val="both"/>
              <w:rPr>
                <w:i/>
                <w:iCs/>
                <w:color w:val="000000"/>
                <w:sz w:val="28"/>
                <w:szCs w:val="28"/>
                <w:rtl/>
              </w:rPr>
            </w:pPr>
            <w:r w:rsidRPr="00892257">
              <w:rPr>
                <w:i/>
                <w:iCs/>
                <w:color w:val="000000"/>
                <w:sz w:val="28"/>
                <w:szCs w:val="28"/>
                <w:rtl/>
              </w:rPr>
              <w:t>الإناث</w:t>
            </w:r>
          </w:p>
        </w:tc>
        <w:tc>
          <w:tcPr>
            <w:tcW w:w="791" w:type="dxa"/>
            <w:tcBorders>
              <w:top w:val="single" w:sz="4" w:space="0" w:color="auto"/>
              <w:bottom w:val="single" w:sz="12" w:space="0" w:color="auto"/>
            </w:tcBorders>
            <w:shd w:val="clear" w:color="auto" w:fill="auto"/>
            <w:vAlign w:val="bottom"/>
          </w:tcPr>
          <w:p w:rsidR="00CC6259" w:rsidRPr="00892257" w:rsidRDefault="00CC6259" w:rsidP="00D84153">
            <w:pPr>
              <w:jc w:val="both"/>
              <w:rPr>
                <w:i/>
                <w:iCs/>
                <w:color w:val="000000"/>
                <w:sz w:val="28"/>
                <w:szCs w:val="28"/>
                <w:rtl/>
              </w:rPr>
            </w:pPr>
            <w:r w:rsidRPr="00892257">
              <w:rPr>
                <w:i/>
                <w:iCs/>
                <w:color w:val="000000"/>
                <w:sz w:val="28"/>
                <w:szCs w:val="28"/>
                <w:rtl/>
              </w:rPr>
              <w:t>الذكور</w:t>
            </w:r>
          </w:p>
        </w:tc>
        <w:tc>
          <w:tcPr>
            <w:tcW w:w="124" w:type="dxa"/>
            <w:tcBorders>
              <w:bottom w:val="single" w:sz="12" w:space="0" w:color="auto"/>
            </w:tcBorders>
            <w:shd w:val="clear" w:color="auto" w:fill="auto"/>
            <w:vAlign w:val="bottom"/>
          </w:tcPr>
          <w:p w:rsidR="00CC6259" w:rsidRPr="00892257" w:rsidRDefault="00CC6259" w:rsidP="00D84153">
            <w:pPr>
              <w:jc w:val="both"/>
              <w:rPr>
                <w:i/>
                <w:iCs/>
                <w:color w:val="000000"/>
                <w:sz w:val="28"/>
                <w:szCs w:val="28"/>
                <w:rtl/>
              </w:rPr>
            </w:pPr>
          </w:p>
        </w:tc>
        <w:tc>
          <w:tcPr>
            <w:tcW w:w="915" w:type="dxa"/>
            <w:tcBorders>
              <w:top w:val="single" w:sz="4" w:space="0" w:color="auto"/>
              <w:bottom w:val="single" w:sz="12" w:space="0" w:color="auto"/>
            </w:tcBorders>
            <w:shd w:val="clear" w:color="auto" w:fill="auto"/>
            <w:vAlign w:val="bottom"/>
          </w:tcPr>
          <w:p w:rsidR="00CC6259" w:rsidRPr="00892257" w:rsidRDefault="00CC6259" w:rsidP="00D84153">
            <w:pPr>
              <w:jc w:val="both"/>
              <w:rPr>
                <w:i/>
                <w:iCs/>
                <w:color w:val="000000"/>
                <w:sz w:val="28"/>
                <w:szCs w:val="28"/>
                <w:rtl/>
              </w:rPr>
            </w:pPr>
            <w:r w:rsidRPr="00892257">
              <w:rPr>
                <w:i/>
                <w:iCs/>
                <w:color w:val="000000"/>
                <w:sz w:val="28"/>
                <w:szCs w:val="28"/>
                <w:rtl/>
              </w:rPr>
              <w:t>الإناث</w:t>
            </w:r>
          </w:p>
        </w:tc>
        <w:tc>
          <w:tcPr>
            <w:tcW w:w="815" w:type="dxa"/>
            <w:tcBorders>
              <w:top w:val="single" w:sz="4" w:space="0" w:color="auto"/>
              <w:bottom w:val="single" w:sz="12" w:space="0" w:color="auto"/>
            </w:tcBorders>
            <w:shd w:val="clear" w:color="auto" w:fill="auto"/>
            <w:vAlign w:val="bottom"/>
          </w:tcPr>
          <w:p w:rsidR="00CC6259" w:rsidRPr="00892257" w:rsidRDefault="00CC6259" w:rsidP="00D84153">
            <w:pPr>
              <w:jc w:val="both"/>
              <w:rPr>
                <w:i/>
                <w:iCs/>
                <w:color w:val="000000"/>
                <w:sz w:val="28"/>
                <w:szCs w:val="28"/>
                <w:rtl/>
              </w:rPr>
            </w:pPr>
            <w:r w:rsidRPr="00892257">
              <w:rPr>
                <w:i/>
                <w:iCs/>
                <w:color w:val="000000"/>
                <w:sz w:val="28"/>
                <w:szCs w:val="28"/>
                <w:rtl/>
              </w:rPr>
              <w:t>الذكور</w:t>
            </w:r>
          </w:p>
        </w:tc>
        <w:tc>
          <w:tcPr>
            <w:tcW w:w="100" w:type="dxa"/>
            <w:tcBorders>
              <w:bottom w:val="single" w:sz="12" w:space="0" w:color="auto"/>
            </w:tcBorders>
            <w:shd w:val="clear" w:color="auto" w:fill="auto"/>
            <w:vAlign w:val="bottom"/>
          </w:tcPr>
          <w:p w:rsidR="00CC6259" w:rsidRPr="00892257" w:rsidRDefault="00CC6259" w:rsidP="00D84153">
            <w:pPr>
              <w:jc w:val="both"/>
              <w:rPr>
                <w:i/>
                <w:iCs/>
                <w:color w:val="000000"/>
                <w:sz w:val="28"/>
                <w:szCs w:val="28"/>
                <w:rtl/>
              </w:rPr>
            </w:pPr>
          </w:p>
        </w:tc>
        <w:tc>
          <w:tcPr>
            <w:tcW w:w="915" w:type="dxa"/>
            <w:tcBorders>
              <w:top w:val="single" w:sz="4" w:space="0" w:color="auto"/>
              <w:bottom w:val="single" w:sz="12" w:space="0" w:color="auto"/>
            </w:tcBorders>
            <w:shd w:val="clear" w:color="auto" w:fill="auto"/>
            <w:vAlign w:val="bottom"/>
          </w:tcPr>
          <w:p w:rsidR="00CC6259" w:rsidRPr="00892257" w:rsidRDefault="00CC6259" w:rsidP="00D84153">
            <w:pPr>
              <w:jc w:val="both"/>
              <w:rPr>
                <w:i/>
                <w:iCs/>
                <w:color w:val="000000"/>
                <w:sz w:val="28"/>
                <w:szCs w:val="28"/>
                <w:rtl/>
              </w:rPr>
            </w:pPr>
            <w:r w:rsidRPr="00892257">
              <w:rPr>
                <w:i/>
                <w:iCs/>
                <w:color w:val="000000"/>
                <w:sz w:val="28"/>
                <w:szCs w:val="28"/>
                <w:rtl/>
              </w:rPr>
              <w:t>الإناث</w:t>
            </w:r>
          </w:p>
        </w:tc>
        <w:tc>
          <w:tcPr>
            <w:tcW w:w="915" w:type="dxa"/>
            <w:tcBorders>
              <w:top w:val="single" w:sz="4" w:space="0" w:color="auto"/>
              <w:bottom w:val="single" w:sz="12" w:space="0" w:color="auto"/>
            </w:tcBorders>
            <w:shd w:val="clear" w:color="auto" w:fill="auto"/>
            <w:vAlign w:val="bottom"/>
          </w:tcPr>
          <w:p w:rsidR="00CC6259" w:rsidRPr="00892257" w:rsidRDefault="00CC6259" w:rsidP="00D84153">
            <w:pPr>
              <w:jc w:val="both"/>
              <w:rPr>
                <w:i/>
                <w:iCs/>
                <w:color w:val="000000"/>
                <w:sz w:val="28"/>
                <w:szCs w:val="28"/>
                <w:rtl/>
              </w:rPr>
            </w:pPr>
            <w:r w:rsidRPr="00892257">
              <w:rPr>
                <w:i/>
                <w:iCs/>
                <w:color w:val="000000"/>
                <w:sz w:val="28"/>
                <w:szCs w:val="28"/>
                <w:rtl/>
              </w:rPr>
              <w:t>الذكور</w:t>
            </w:r>
          </w:p>
        </w:tc>
      </w:tr>
      <w:tr w:rsidR="00CC6259" w:rsidRPr="00892257" w:rsidTr="00D84153">
        <w:trPr>
          <w:cantSplit/>
          <w:trHeight w:hRule="exact" w:val="115"/>
          <w:tblHeader/>
          <w:jc w:val="center"/>
        </w:trPr>
        <w:tc>
          <w:tcPr>
            <w:tcW w:w="549" w:type="dxa"/>
            <w:tcBorders>
              <w:top w:val="single" w:sz="12" w:space="0" w:color="auto"/>
            </w:tcBorders>
            <w:shd w:val="clear" w:color="auto" w:fill="auto"/>
            <w:vAlign w:val="bottom"/>
          </w:tcPr>
          <w:p w:rsidR="00CC6259" w:rsidRPr="00892257" w:rsidRDefault="00CC6259" w:rsidP="00D84153">
            <w:pPr>
              <w:jc w:val="both"/>
              <w:rPr>
                <w:color w:val="000000"/>
                <w:sz w:val="28"/>
                <w:szCs w:val="28"/>
                <w:rtl/>
              </w:rPr>
            </w:pPr>
          </w:p>
        </w:tc>
        <w:tc>
          <w:tcPr>
            <w:tcW w:w="1281" w:type="dxa"/>
            <w:tcBorders>
              <w:top w:val="single" w:sz="12" w:space="0" w:color="auto"/>
            </w:tcBorders>
            <w:shd w:val="clear" w:color="auto" w:fill="auto"/>
            <w:vAlign w:val="bottom"/>
          </w:tcPr>
          <w:p w:rsidR="00CC6259" w:rsidRPr="00892257" w:rsidRDefault="00CC6259" w:rsidP="00D84153">
            <w:pPr>
              <w:jc w:val="both"/>
              <w:rPr>
                <w:color w:val="000000"/>
                <w:sz w:val="28"/>
                <w:szCs w:val="28"/>
                <w:rtl/>
              </w:rPr>
            </w:pPr>
          </w:p>
        </w:tc>
        <w:tc>
          <w:tcPr>
            <w:tcW w:w="915" w:type="dxa"/>
            <w:tcBorders>
              <w:top w:val="single" w:sz="12" w:space="0" w:color="auto"/>
            </w:tcBorders>
            <w:shd w:val="clear" w:color="auto" w:fill="auto"/>
            <w:vAlign w:val="bottom"/>
          </w:tcPr>
          <w:p w:rsidR="00CC6259" w:rsidRPr="00892257" w:rsidRDefault="00CC6259" w:rsidP="00D84153">
            <w:pPr>
              <w:jc w:val="both"/>
              <w:rPr>
                <w:color w:val="000000"/>
                <w:sz w:val="28"/>
                <w:szCs w:val="28"/>
                <w:rtl/>
              </w:rPr>
            </w:pPr>
          </w:p>
        </w:tc>
        <w:tc>
          <w:tcPr>
            <w:tcW w:w="915" w:type="dxa"/>
            <w:gridSpan w:val="2"/>
            <w:tcBorders>
              <w:top w:val="single" w:sz="12" w:space="0" w:color="auto"/>
            </w:tcBorders>
            <w:shd w:val="clear" w:color="auto" w:fill="auto"/>
            <w:vAlign w:val="bottom"/>
          </w:tcPr>
          <w:p w:rsidR="00CC6259" w:rsidRPr="00892257" w:rsidRDefault="00CC6259" w:rsidP="00D84153">
            <w:pPr>
              <w:jc w:val="both"/>
              <w:rPr>
                <w:color w:val="000000"/>
                <w:sz w:val="28"/>
                <w:szCs w:val="28"/>
                <w:rtl/>
              </w:rPr>
            </w:pPr>
          </w:p>
        </w:tc>
        <w:tc>
          <w:tcPr>
            <w:tcW w:w="915" w:type="dxa"/>
            <w:tcBorders>
              <w:top w:val="single" w:sz="12" w:space="0" w:color="auto"/>
            </w:tcBorders>
            <w:shd w:val="clear" w:color="auto" w:fill="auto"/>
            <w:vAlign w:val="bottom"/>
          </w:tcPr>
          <w:p w:rsidR="00CC6259" w:rsidRPr="00892257" w:rsidRDefault="00CC6259" w:rsidP="00D84153">
            <w:pPr>
              <w:jc w:val="both"/>
              <w:rPr>
                <w:color w:val="000000"/>
                <w:sz w:val="28"/>
                <w:szCs w:val="28"/>
                <w:rtl/>
              </w:rPr>
            </w:pPr>
          </w:p>
        </w:tc>
        <w:tc>
          <w:tcPr>
            <w:tcW w:w="915" w:type="dxa"/>
            <w:gridSpan w:val="2"/>
            <w:tcBorders>
              <w:top w:val="single" w:sz="12" w:space="0" w:color="auto"/>
            </w:tcBorders>
            <w:shd w:val="clear" w:color="auto" w:fill="auto"/>
            <w:vAlign w:val="bottom"/>
          </w:tcPr>
          <w:p w:rsidR="00CC6259" w:rsidRPr="00892257" w:rsidRDefault="00CC6259" w:rsidP="00D84153">
            <w:pPr>
              <w:jc w:val="both"/>
              <w:rPr>
                <w:color w:val="000000"/>
                <w:sz w:val="28"/>
                <w:szCs w:val="28"/>
                <w:rtl/>
              </w:rPr>
            </w:pPr>
          </w:p>
        </w:tc>
        <w:tc>
          <w:tcPr>
            <w:tcW w:w="915" w:type="dxa"/>
            <w:tcBorders>
              <w:top w:val="single" w:sz="12" w:space="0" w:color="auto"/>
            </w:tcBorders>
            <w:shd w:val="clear" w:color="auto" w:fill="auto"/>
            <w:vAlign w:val="bottom"/>
          </w:tcPr>
          <w:p w:rsidR="00CC6259" w:rsidRPr="00892257" w:rsidRDefault="00CC6259" w:rsidP="00D84153">
            <w:pPr>
              <w:jc w:val="both"/>
              <w:rPr>
                <w:color w:val="000000"/>
                <w:sz w:val="28"/>
                <w:szCs w:val="28"/>
                <w:rtl/>
              </w:rPr>
            </w:pPr>
          </w:p>
        </w:tc>
        <w:tc>
          <w:tcPr>
            <w:tcW w:w="915" w:type="dxa"/>
            <w:tcBorders>
              <w:top w:val="single" w:sz="12" w:space="0" w:color="auto"/>
            </w:tcBorders>
            <w:shd w:val="clear" w:color="auto" w:fill="auto"/>
            <w:vAlign w:val="bottom"/>
          </w:tcPr>
          <w:p w:rsidR="00CC6259" w:rsidRPr="00892257" w:rsidRDefault="00CC6259" w:rsidP="00D84153">
            <w:pPr>
              <w:jc w:val="both"/>
              <w:rPr>
                <w:color w:val="000000"/>
                <w:sz w:val="28"/>
                <w:szCs w:val="28"/>
                <w:rtl/>
              </w:rPr>
            </w:pPr>
          </w:p>
        </w:tc>
      </w:tr>
      <w:tr w:rsidR="00CC6259" w:rsidRPr="00892257" w:rsidTr="00D84153">
        <w:trPr>
          <w:cantSplit/>
          <w:jc w:val="center"/>
        </w:trPr>
        <w:tc>
          <w:tcPr>
            <w:tcW w:w="549"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1</w:t>
            </w:r>
          </w:p>
        </w:tc>
        <w:tc>
          <w:tcPr>
            <w:tcW w:w="1281"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أعضاء النيابة</w:t>
            </w:r>
          </w:p>
        </w:tc>
        <w:tc>
          <w:tcPr>
            <w:tcW w:w="915"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2</w:t>
            </w:r>
          </w:p>
        </w:tc>
        <w:tc>
          <w:tcPr>
            <w:tcW w:w="915" w:type="dxa"/>
            <w:gridSpan w:val="2"/>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62</w:t>
            </w:r>
          </w:p>
        </w:tc>
        <w:tc>
          <w:tcPr>
            <w:tcW w:w="915"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3</w:t>
            </w:r>
          </w:p>
        </w:tc>
        <w:tc>
          <w:tcPr>
            <w:tcW w:w="915" w:type="dxa"/>
            <w:gridSpan w:val="2"/>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96</w:t>
            </w:r>
          </w:p>
        </w:tc>
        <w:tc>
          <w:tcPr>
            <w:tcW w:w="915"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3</w:t>
            </w:r>
          </w:p>
        </w:tc>
        <w:tc>
          <w:tcPr>
            <w:tcW w:w="915"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78</w:t>
            </w:r>
          </w:p>
        </w:tc>
      </w:tr>
      <w:tr w:rsidR="00CC6259" w:rsidRPr="00892257" w:rsidTr="00D84153">
        <w:trPr>
          <w:cantSplit/>
          <w:jc w:val="center"/>
        </w:trPr>
        <w:tc>
          <w:tcPr>
            <w:tcW w:w="549"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2</w:t>
            </w:r>
          </w:p>
        </w:tc>
        <w:tc>
          <w:tcPr>
            <w:tcW w:w="1281"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القضاة</w:t>
            </w:r>
          </w:p>
        </w:tc>
        <w:tc>
          <w:tcPr>
            <w:tcW w:w="915"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صفر</w:t>
            </w:r>
          </w:p>
        </w:tc>
        <w:tc>
          <w:tcPr>
            <w:tcW w:w="915" w:type="dxa"/>
            <w:gridSpan w:val="2"/>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97</w:t>
            </w:r>
          </w:p>
        </w:tc>
        <w:tc>
          <w:tcPr>
            <w:tcW w:w="915"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2</w:t>
            </w:r>
          </w:p>
        </w:tc>
        <w:tc>
          <w:tcPr>
            <w:tcW w:w="915" w:type="dxa"/>
            <w:gridSpan w:val="2"/>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103</w:t>
            </w:r>
          </w:p>
        </w:tc>
        <w:tc>
          <w:tcPr>
            <w:tcW w:w="915"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2</w:t>
            </w:r>
          </w:p>
        </w:tc>
        <w:tc>
          <w:tcPr>
            <w:tcW w:w="915" w:type="dxa"/>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200</w:t>
            </w:r>
          </w:p>
        </w:tc>
      </w:tr>
      <w:tr w:rsidR="00CC6259" w:rsidRPr="00892257" w:rsidTr="00D84153">
        <w:trPr>
          <w:cantSplit/>
          <w:jc w:val="center"/>
        </w:trPr>
        <w:tc>
          <w:tcPr>
            <w:tcW w:w="549" w:type="dxa"/>
            <w:tcBorders>
              <w:bottom w:val="single" w:sz="12" w:space="0" w:color="auto"/>
            </w:tcBorders>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3</w:t>
            </w:r>
          </w:p>
        </w:tc>
        <w:tc>
          <w:tcPr>
            <w:tcW w:w="1281" w:type="dxa"/>
            <w:tcBorders>
              <w:bottom w:val="single" w:sz="12" w:space="0" w:color="auto"/>
            </w:tcBorders>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المحاماة</w:t>
            </w:r>
          </w:p>
        </w:tc>
        <w:tc>
          <w:tcPr>
            <w:tcW w:w="915" w:type="dxa"/>
            <w:tcBorders>
              <w:bottom w:val="single" w:sz="12" w:space="0" w:color="auto"/>
            </w:tcBorders>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14</w:t>
            </w:r>
          </w:p>
        </w:tc>
        <w:tc>
          <w:tcPr>
            <w:tcW w:w="915" w:type="dxa"/>
            <w:gridSpan w:val="2"/>
            <w:tcBorders>
              <w:bottom w:val="single" w:sz="12" w:space="0" w:color="auto"/>
            </w:tcBorders>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84</w:t>
            </w:r>
          </w:p>
        </w:tc>
        <w:tc>
          <w:tcPr>
            <w:tcW w:w="915" w:type="dxa"/>
            <w:tcBorders>
              <w:bottom w:val="single" w:sz="12" w:space="0" w:color="auto"/>
            </w:tcBorders>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18</w:t>
            </w:r>
          </w:p>
        </w:tc>
        <w:tc>
          <w:tcPr>
            <w:tcW w:w="915" w:type="dxa"/>
            <w:gridSpan w:val="2"/>
            <w:tcBorders>
              <w:bottom w:val="single" w:sz="12" w:space="0" w:color="auto"/>
            </w:tcBorders>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99</w:t>
            </w:r>
          </w:p>
        </w:tc>
        <w:tc>
          <w:tcPr>
            <w:tcW w:w="915" w:type="dxa"/>
            <w:tcBorders>
              <w:bottom w:val="single" w:sz="12" w:space="0" w:color="auto"/>
            </w:tcBorders>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17</w:t>
            </w:r>
          </w:p>
        </w:tc>
        <w:tc>
          <w:tcPr>
            <w:tcW w:w="915" w:type="dxa"/>
            <w:tcBorders>
              <w:bottom w:val="single" w:sz="12" w:space="0" w:color="auto"/>
            </w:tcBorders>
            <w:shd w:val="clear" w:color="auto" w:fill="auto"/>
            <w:vAlign w:val="bottom"/>
          </w:tcPr>
          <w:p w:rsidR="00CC6259" w:rsidRPr="00892257" w:rsidRDefault="00CC6259" w:rsidP="00D84153">
            <w:pPr>
              <w:jc w:val="both"/>
              <w:rPr>
                <w:color w:val="000000"/>
                <w:sz w:val="28"/>
                <w:szCs w:val="28"/>
                <w:rtl/>
              </w:rPr>
            </w:pPr>
            <w:r w:rsidRPr="00892257">
              <w:rPr>
                <w:color w:val="000000"/>
                <w:sz w:val="28"/>
                <w:szCs w:val="28"/>
                <w:rtl/>
              </w:rPr>
              <w:t>107</w:t>
            </w:r>
          </w:p>
        </w:tc>
      </w:tr>
    </w:tbl>
    <w:p w:rsidR="00CC6259" w:rsidRPr="00F72BF7" w:rsidRDefault="00CC6259" w:rsidP="00F72BF7">
      <w:pPr>
        <w:spacing w:line="120" w:lineRule="exact"/>
        <w:jc w:val="both"/>
        <w:rPr>
          <w:b/>
          <w:bCs/>
          <w:sz w:val="10"/>
          <w:szCs w:val="28"/>
          <w:rtl/>
          <w:lang w:val="fr-CH"/>
        </w:rPr>
      </w:pPr>
    </w:p>
    <w:p w:rsidR="00F72BF7" w:rsidRPr="00F72BF7" w:rsidRDefault="00F72BF7" w:rsidP="00F72BF7">
      <w:pPr>
        <w:spacing w:line="120" w:lineRule="exact"/>
        <w:jc w:val="both"/>
        <w:rPr>
          <w:b/>
          <w:bCs/>
          <w:sz w:val="10"/>
          <w:szCs w:val="28"/>
          <w:rtl/>
          <w:lang w:val="fr-CH"/>
        </w:rPr>
      </w:pPr>
    </w:p>
    <w:p w:rsidR="00CC6259" w:rsidRPr="004F0693" w:rsidRDefault="00892257" w:rsidP="00892257">
      <w:pPr>
        <w:pStyle w:val="SingleTxt"/>
        <w:rPr>
          <w:rtl/>
        </w:rPr>
      </w:pPr>
      <w:r>
        <w:rPr>
          <w:rFonts w:hint="cs"/>
          <w:rtl/>
          <w:lang w:bidi="ar-EG"/>
        </w:rPr>
        <w:tab/>
      </w:r>
      <w:r w:rsidR="00CC6259" w:rsidRPr="004F0693">
        <w:rPr>
          <w:rtl/>
          <w:lang w:bidi="ar-EG"/>
        </w:rPr>
        <w:t>(هـ)</w:t>
      </w:r>
      <w:r>
        <w:rPr>
          <w:rFonts w:hint="cs"/>
          <w:rtl/>
          <w:lang w:bidi="ar-EG"/>
        </w:rPr>
        <w:tab/>
      </w:r>
      <w:r w:rsidR="00CC6259" w:rsidRPr="00892257">
        <w:rPr>
          <w:b/>
          <w:bCs/>
          <w:rtl/>
          <w:lang w:bidi="ar-EG"/>
        </w:rPr>
        <w:t>إزكاء الوعي بأهمية مشاركة النساء في الانتخابات كمرشحات وناخبات، بغية القضاء على المواقف الأبوية التي تعرقل المشاركة السياسية للمرأة.</w:t>
      </w:r>
    </w:p>
    <w:p w:rsidR="00CC6259" w:rsidRPr="004F0693" w:rsidRDefault="00892257" w:rsidP="00892257">
      <w:pPr>
        <w:pStyle w:val="SingleTxt"/>
        <w:rPr>
          <w:rtl/>
        </w:rPr>
      </w:pPr>
      <w:r>
        <w:rPr>
          <w:rFonts w:hint="cs"/>
          <w:rtl/>
        </w:rPr>
        <w:tab/>
      </w:r>
      <w:r w:rsidR="00CC6259" w:rsidRPr="004F0693">
        <w:rPr>
          <w:rtl/>
        </w:rPr>
        <w:t xml:space="preserve">تولي دولة قطر اهتماما بالغا بتوعية </w:t>
      </w:r>
      <w:r w:rsidR="00552B56">
        <w:rPr>
          <w:rFonts w:hint="cs"/>
          <w:rtl/>
        </w:rPr>
        <w:t>أ</w:t>
      </w:r>
      <w:r w:rsidR="00CC6259" w:rsidRPr="004F0693">
        <w:rPr>
          <w:rtl/>
        </w:rPr>
        <w:t>فراد المجتمع وخاصة النساء لتشجيعهم على المشاركة في الحياة العامة والسياسية، فقد قامت الادارات المختصة بوزارة التنمية الإدارية والعمل والشؤون الاجتماعية في عام 2015 بتنفيذ 27 برنامجا توع</w:t>
      </w:r>
      <w:r w:rsidR="00552B56">
        <w:rPr>
          <w:rFonts w:hint="cs"/>
          <w:rtl/>
        </w:rPr>
        <w:t>و</w:t>
      </w:r>
      <w:r w:rsidR="00CC6259" w:rsidRPr="004F0693">
        <w:rPr>
          <w:rtl/>
        </w:rPr>
        <w:t xml:space="preserve">يا عقدت في </w:t>
      </w:r>
      <w:r w:rsidR="00552B56">
        <w:rPr>
          <w:rFonts w:hint="cs"/>
          <w:rtl/>
        </w:rPr>
        <w:t>أ</w:t>
      </w:r>
      <w:r w:rsidR="00CC6259" w:rsidRPr="004F0693">
        <w:rPr>
          <w:rtl/>
        </w:rPr>
        <w:t xml:space="preserve">ماكن تجمع النساء كقاعة قطر الخيرية وفي بعض المدارس المستقلة وقاعة المجلس في كتارا. </w:t>
      </w:r>
    </w:p>
    <w:p w:rsidR="00CC6259" w:rsidRPr="004F0693" w:rsidRDefault="00892257" w:rsidP="00552B56">
      <w:pPr>
        <w:pStyle w:val="SingleTxt"/>
        <w:rPr>
          <w:rtl/>
        </w:rPr>
      </w:pPr>
      <w:r>
        <w:rPr>
          <w:rFonts w:hint="cs"/>
          <w:rtl/>
        </w:rPr>
        <w:tab/>
      </w:r>
      <w:r w:rsidR="00CC6259" w:rsidRPr="004F0693">
        <w:rPr>
          <w:rtl/>
        </w:rPr>
        <w:t xml:space="preserve">كما تم تنفيذ برنامج تدريبي توعوي بعنوان المرأة القيادية حضره 82 متدربة من مختلف الجهات بالدولة، وفي هذا السياق تم تنفيذ برنامج تدريبي توعوي بعنوان </w:t>
      </w:r>
      <w:r w:rsidR="007A55A4">
        <w:rPr>
          <w:rFonts w:hint="cs"/>
          <w:rtl/>
        </w:rPr>
        <w:t>”</w:t>
      </w:r>
      <w:r w:rsidR="00CC6259" w:rsidRPr="004F0693">
        <w:rPr>
          <w:rtl/>
        </w:rPr>
        <w:t>ا</w:t>
      </w:r>
      <w:r w:rsidR="00552B56">
        <w:rPr>
          <w:rFonts w:hint="cs"/>
          <w:rtl/>
        </w:rPr>
        <w:t>ُ</w:t>
      </w:r>
      <w:r w:rsidR="00CC6259" w:rsidRPr="004F0693">
        <w:rPr>
          <w:rtl/>
        </w:rPr>
        <w:t>سرتي حياتي</w:t>
      </w:r>
      <w:r w:rsidR="007A55A4">
        <w:rPr>
          <w:rFonts w:hint="cs"/>
          <w:rtl/>
        </w:rPr>
        <w:t>“</w:t>
      </w:r>
      <w:r w:rsidR="00CC6259" w:rsidRPr="004F0693">
        <w:rPr>
          <w:rtl/>
        </w:rPr>
        <w:t xml:space="preserve"> ب</w:t>
      </w:r>
      <w:r w:rsidR="00552B56">
        <w:rPr>
          <w:rFonts w:hint="cs"/>
          <w:rtl/>
        </w:rPr>
        <w:t>أ</w:t>
      </w:r>
      <w:r w:rsidR="00CC6259" w:rsidRPr="004F0693">
        <w:rPr>
          <w:rtl/>
        </w:rPr>
        <w:t xml:space="preserve">حد المدارس المستقلة وفي مسرح قطر الوطني، وبرنامج آخر بعنوان </w:t>
      </w:r>
      <w:r>
        <w:rPr>
          <w:rFonts w:hint="cs"/>
          <w:rtl/>
        </w:rPr>
        <w:t>”</w:t>
      </w:r>
      <w:r w:rsidR="00CC6259" w:rsidRPr="004F0693">
        <w:rPr>
          <w:rtl/>
        </w:rPr>
        <w:t>دور القيم في مواجهة النزاعات ال</w:t>
      </w:r>
      <w:r w:rsidR="00552B56">
        <w:rPr>
          <w:rFonts w:hint="cs"/>
          <w:rtl/>
        </w:rPr>
        <w:t>أ</w:t>
      </w:r>
      <w:r w:rsidR="00CC6259" w:rsidRPr="004F0693">
        <w:rPr>
          <w:rtl/>
        </w:rPr>
        <w:t>سرية والقبلية</w:t>
      </w:r>
      <w:r>
        <w:rPr>
          <w:rFonts w:hint="cs"/>
          <w:rtl/>
        </w:rPr>
        <w:t xml:space="preserve">“ </w:t>
      </w:r>
      <w:r w:rsidR="00CC6259" w:rsidRPr="004F0693">
        <w:rPr>
          <w:rtl/>
        </w:rPr>
        <w:t>تم تقديم</w:t>
      </w:r>
      <w:r w:rsidR="00552B56">
        <w:rPr>
          <w:rFonts w:hint="cs"/>
          <w:rtl/>
        </w:rPr>
        <w:t>ه</w:t>
      </w:r>
      <w:r w:rsidR="00CC6259" w:rsidRPr="004F0693">
        <w:rPr>
          <w:rtl/>
        </w:rPr>
        <w:t xml:space="preserve"> على مراحل متعددة، وبرنامج توعوي</w:t>
      </w:r>
      <w:r>
        <w:rPr>
          <w:rFonts w:hint="cs"/>
          <w:rtl/>
        </w:rPr>
        <w:t xml:space="preserve"> </w:t>
      </w:r>
      <w:r>
        <w:rPr>
          <w:rFonts w:hint="eastAsia"/>
          <w:rtl/>
        </w:rPr>
        <w:t>”</w:t>
      </w:r>
      <w:r w:rsidR="00CC6259" w:rsidRPr="004F0693">
        <w:rPr>
          <w:rtl/>
        </w:rPr>
        <w:t>رفقا بالقوارير</w:t>
      </w:r>
      <w:r>
        <w:rPr>
          <w:rFonts w:hint="cs"/>
          <w:rtl/>
        </w:rPr>
        <w:t>“</w:t>
      </w:r>
      <w:r w:rsidR="00CC6259" w:rsidRPr="004F0693">
        <w:rPr>
          <w:rtl/>
        </w:rPr>
        <w:t xml:space="preserve">، وبرنامج </w:t>
      </w:r>
      <w:r w:rsidR="007A55A4">
        <w:rPr>
          <w:rFonts w:hint="cs"/>
          <w:rtl/>
        </w:rPr>
        <w:t>”</w:t>
      </w:r>
      <w:r w:rsidR="00CC6259" w:rsidRPr="004F0693">
        <w:rPr>
          <w:rtl/>
        </w:rPr>
        <w:t>المرأة القيادية</w:t>
      </w:r>
      <w:r w:rsidR="007A55A4">
        <w:rPr>
          <w:rFonts w:hint="cs"/>
          <w:rtl/>
        </w:rPr>
        <w:t>“</w:t>
      </w:r>
      <w:r w:rsidR="00CC6259" w:rsidRPr="004F0693">
        <w:rPr>
          <w:rtl/>
        </w:rPr>
        <w:t xml:space="preserve"> في </w:t>
      </w:r>
      <w:r w:rsidR="00552B56">
        <w:rPr>
          <w:rFonts w:hint="cs"/>
          <w:rtl/>
        </w:rPr>
        <w:t>أ</w:t>
      </w:r>
      <w:r w:rsidR="00CC6259" w:rsidRPr="004F0693">
        <w:rPr>
          <w:rtl/>
        </w:rPr>
        <w:t xml:space="preserve">ماكن متعددة بالدولة، وبرنامج </w:t>
      </w:r>
      <w:r w:rsidR="007A55A4">
        <w:rPr>
          <w:rFonts w:hint="cs"/>
          <w:rtl/>
        </w:rPr>
        <w:t>”</w:t>
      </w:r>
      <w:r w:rsidR="00CC6259" w:rsidRPr="004F0693">
        <w:rPr>
          <w:rtl/>
        </w:rPr>
        <w:t>المساواة كيف ومتى وأين</w:t>
      </w:r>
      <w:r w:rsidR="007A55A4">
        <w:rPr>
          <w:rFonts w:hint="cs"/>
          <w:rtl/>
        </w:rPr>
        <w:t>“</w:t>
      </w:r>
      <w:r w:rsidR="00CC6259" w:rsidRPr="004F0693">
        <w:rPr>
          <w:rtl/>
        </w:rPr>
        <w:t>.</w:t>
      </w:r>
    </w:p>
    <w:p w:rsidR="00CC6259" w:rsidRPr="004F0693" w:rsidRDefault="00892257" w:rsidP="00892257">
      <w:pPr>
        <w:pStyle w:val="SingleTxt"/>
        <w:rPr>
          <w:rtl/>
        </w:rPr>
      </w:pPr>
      <w:r>
        <w:rPr>
          <w:rFonts w:hint="cs"/>
          <w:rtl/>
        </w:rPr>
        <w:tab/>
      </w:r>
      <w:r w:rsidR="00CC6259" w:rsidRPr="004F0693">
        <w:rPr>
          <w:rtl/>
        </w:rPr>
        <w:t xml:space="preserve">كما قامت الادارات المختصة بتنفيذ 4 فلاشات توعوية عن المرأة القيادية، وتم تنفيذ 6 اعلانات في الشوارع والمشاركة في 5 مؤتمرات تخص المرأة وتشجعها على الانخراط في الحياة العامة والسياسية. </w:t>
      </w:r>
    </w:p>
    <w:p w:rsidR="00CC6259" w:rsidRPr="004F0693" w:rsidRDefault="00892257" w:rsidP="00552B56">
      <w:pPr>
        <w:pStyle w:val="SingleTxt"/>
        <w:rPr>
          <w:rtl/>
        </w:rPr>
      </w:pPr>
      <w:r>
        <w:rPr>
          <w:rFonts w:hint="cs"/>
          <w:rtl/>
        </w:rPr>
        <w:tab/>
      </w:r>
      <w:r w:rsidR="00CC6259" w:rsidRPr="004F0693">
        <w:rPr>
          <w:rtl/>
        </w:rPr>
        <w:t>اهتمت دولة قطر بتهيئة المناخ المناسب للمرأة القطرية للانخراط في الحياة السياسية والعامة بزيادة عدد الحضانات إلى 133 حضانة في نهاية عام 2015 ووفرت لهن كافة س</w:t>
      </w:r>
      <w:r w:rsidR="00552B56">
        <w:rPr>
          <w:rFonts w:hint="cs"/>
          <w:rtl/>
        </w:rPr>
        <w:t>ُ</w:t>
      </w:r>
      <w:r w:rsidR="00CC6259" w:rsidRPr="004F0693">
        <w:rPr>
          <w:rtl/>
        </w:rPr>
        <w:t>بل التعليم والصحة ال</w:t>
      </w:r>
      <w:r w:rsidR="00552B56">
        <w:rPr>
          <w:rFonts w:hint="cs"/>
          <w:rtl/>
        </w:rPr>
        <w:t>أ</w:t>
      </w:r>
      <w:r w:rsidR="00CC6259" w:rsidRPr="004F0693">
        <w:rPr>
          <w:rtl/>
        </w:rPr>
        <w:t xml:space="preserve">مر الذي ارتفعت معه المشاركة السياسية والعامة للمرأة القطرية </w:t>
      </w:r>
      <w:r w:rsidR="00552B56" w:rsidRPr="004F0693">
        <w:rPr>
          <w:rtl/>
        </w:rPr>
        <w:t>كما</w:t>
      </w:r>
      <w:r w:rsidR="00552B56">
        <w:rPr>
          <w:rFonts w:hint="cs"/>
          <w:rtl/>
        </w:rPr>
        <w:t> أ</w:t>
      </w:r>
      <w:r w:rsidR="00CC6259" w:rsidRPr="004F0693">
        <w:rPr>
          <w:rtl/>
        </w:rPr>
        <w:t>شرنا في الفقرتين (</w:t>
      </w:r>
      <w:r w:rsidR="00552B56">
        <w:rPr>
          <w:rFonts w:hint="cs"/>
          <w:rtl/>
        </w:rPr>
        <w:t>أ</w:t>
      </w:r>
      <w:r w:rsidR="00CC6259" w:rsidRPr="004F0693">
        <w:rPr>
          <w:rtl/>
        </w:rPr>
        <w:t xml:space="preserve">) و (د). </w:t>
      </w:r>
    </w:p>
    <w:p w:rsidR="00CC6259" w:rsidRPr="00892257" w:rsidRDefault="00CC6259" w:rsidP="00892257">
      <w:pPr>
        <w:spacing w:line="120" w:lineRule="exact"/>
        <w:jc w:val="both"/>
        <w:rPr>
          <w:b/>
          <w:bCs/>
          <w:sz w:val="10"/>
          <w:szCs w:val="28"/>
          <w:rtl/>
          <w:lang w:val="fr-CH" w:bidi="ar-QA"/>
        </w:rPr>
      </w:pPr>
    </w:p>
    <w:p w:rsidR="00CC6259" w:rsidRPr="004F0693" w:rsidRDefault="00CC6259" w:rsidP="00892257">
      <w:pPr>
        <w:pStyle w:val="SingleTxt"/>
        <w:jc w:val="left"/>
        <w:rPr>
          <w:b/>
          <w:bCs/>
          <w:sz w:val="32"/>
          <w:szCs w:val="32"/>
          <w:rtl/>
        </w:rPr>
      </w:pPr>
      <w:r w:rsidRPr="00892257">
        <w:rPr>
          <w:b/>
          <w:bCs/>
          <w:rtl/>
        </w:rPr>
        <w:t>المادة</w:t>
      </w:r>
      <w:r w:rsidR="00892257" w:rsidRPr="00892257">
        <w:rPr>
          <w:rFonts w:hint="cs"/>
          <w:b/>
          <w:bCs/>
          <w:rtl/>
        </w:rPr>
        <w:t xml:space="preserve"> </w:t>
      </w:r>
      <w:r w:rsidRPr="00892257">
        <w:rPr>
          <w:b/>
          <w:bCs/>
          <w:rtl/>
        </w:rPr>
        <w:t>(38)</w:t>
      </w:r>
      <w:r w:rsidR="00892257">
        <w:rPr>
          <w:rFonts w:hint="cs"/>
          <w:rtl/>
        </w:rPr>
        <w:br/>
      </w:r>
      <w:r w:rsidRPr="004F0693">
        <w:rPr>
          <w:b/>
          <w:bCs/>
          <w:sz w:val="32"/>
          <w:szCs w:val="32"/>
          <w:rtl/>
        </w:rPr>
        <w:t>نص المادة:</w:t>
      </w:r>
    </w:p>
    <w:p w:rsidR="00CC6259" w:rsidRPr="004F0693" w:rsidRDefault="00892257" w:rsidP="00892257">
      <w:pPr>
        <w:pStyle w:val="SingleTxt"/>
        <w:rPr>
          <w:sz w:val="32"/>
          <w:szCs w:val="32"/>
          <w:lang w:val="fr-CH"/>
        </w:rPr>
      </w:pPr>
      <w:r>
        <w:rPr>
          <w:rFonts w:hint="cs"/>
          <w:rtl/>
        </w:rPr>
        <w:t>38 -</w:t>
      </w:r>
      <w:r>
        <w:rPr>
          <w:rFonts w:hint="cs"/>
          <w:rtl/>
        </w:rPr>
        <w:tab/>
      </w:r>
      <w:r w:rsidR="00CC6259" w:rsidRPr="004F0693">
        <w:rPr>
          <w:rtl/>
        </w:rPr>
        <w:t>بينما</w:t>
      </w:r>
      <w:r w:rsidR="00CC6259" w:rsidRPr="004F0693">
        <w:rPr>
          <w:lang w:val="fr-CH"/>
        </w:rPr>
        <w:t xml:space="preserve"> </w:t>
      </w:r>
      <w:r w:rsidR="00CC6259" w:rsidRPr="004F0693">
        <w:rPr>
          <w:rtl/>
        </w:rPr>
        <w:t>تُذكِّر</w:t>
      </w:r>
      <w:r w:rsidR="00CC6259" w:rsidRPr="004F0693">
        <w:rPr>
          <w:lang w:val="fr-CH"/>
        </w:rPr>
        <w:t xml:space="preserve"> </w:t>
      </w:r>
      <w:r w:rsidR="00CC6259" w:rsidRPr="004F0693">
        <w:rPr>
          <w:rtl/>
        </w:rPr>
        <w:t>اللجنة</w:t>
      </w:r>
      <w:r w:rsidR="00CC6259" w:rsidRPr="004F0693">
        <w:rPr>
          <w:lang w:val="fr-CH"/>
        </w:rPr>
        <w:t xml:space="preserve"> </w:t>
      </w:r>
      <w:r w:rsidR="00CC6259" w:rsidRPr="004F0693">
        <w:rPr>
          <w:rtl/>
        </w:rPr>
        <w:t>بتوصيتها</w:t>
      </w:r>
      <w:r w:rsidR="00CC6259" w:rsidRPr="004F0693">
        <w:rPr>
          <w:lang w:val="fr-CH"/>
        </w:rPr>
        <w:t xml:space="preserve"> </w:t>
      </w:r>
      <w:r w:rsidR="00CC6259" w:rsidRPr="004F0693">
        <w:rPr>
          <w:rtl/>
        </w:rPr>
        <w:t>العامة</w:t>
      </w:r>
      <w:r w:rsidR="00CC6259" w:rsidRPr="004F0693">
        <w:rPr>
          <w:lang w:val="fr-CH"/>
        </w:rPr>
        <w:t xml:space="preserve"> </w:t>
      </w:r>
      <w:r w:rsidR="00CC6259" w:rsidRPr="004F0693">
        <w:rPr>
          <w:rtl/>
        </w:rPr>
        <w:t>رقم</w:t>
      </w:r>
      <w:r w:rsidR="00CC6259" w:rsidRPr="004F0693">
        <w:rPr>
          <w:lang w:val="fr-CH"/>
        </w:rPr>
        <w:t xml:space="preserve"> </w:t>
      </w:r>
      <w:r w:rsidR="00CC6259" w:rsidRPr="004F0693">
        <w:rPr>
          <w:rtl/>
        </w:rPr>
        <w:t>٢٦</w:t>
      </w:r>
      <w:r w:rsidR="00CC6259" w:rsidRPr="004F0693">
        <w:rPr>
          <w:lang w:val="fr-CH"/>
        </w:rPr>
        <w:t xml:space="preserve"> </w:t>
      </w:r>
      <w:r w:rsidR="00CC6259" w:rsidRPr="004F0693">
        <w:rPr>
          <w:rtl/>
        </w:rPr>
        <w:t>المتعلقة</w:t>
      </w:r>
      <w:r w:rsidR="00CC6259" w:rsidRPr="004F0693">
        <w:rPr>
          <w:lang w:val="fr-CH"/>
        </w:rPr>
        <w:t xml:space="preserve"> </w:t>
      </w:r>
      <w:r w:rsidR="00CC6259" w:rsidRPr="004F0693">
        <w:rPr>
          <w:rtl/>
        </w:rPr>
        <w:t>بالعاملات</w:t>
      </w:r>
      <w:r w:rsidR="00CC6259" w:rsidRPr="004F0693">
        <w:rPr>
          <w:lang w:val="fr-CH"/>
        </w:rPr>
        <w:t xml:space="preserve"> </w:t>
      </w:r>
      <w:r w:rsidR="00CC6259" w:rsidRPr="004F0693">
        <w:rPr>
          <w:rtl/>
        </w:rPr>
        <w:t>المهاجرات،</w:t>
      </w:r>
      <w:r w:rsidR="00CC6259" w:rsidRPr="004F0693">
        <w:rPr>
          <w:lang w:val="fr-CH"/>
        </w:rPr>
        <w:t xml:space="preserve"> </w:t>
      </w:r>
      <w:r w:rsidR="00CC6259" w:rsidRPr="004F0693">
        <w:rPr>
          <w:rtl/>
        </w:rPr>
        <w:t>فإﻧﻬا</w:t>
      </w:r>
      <w:r>
        <w:rPr>
          <w:rFonts w:hint="cs"/>
          <w:rtl/>
        </w:rPr>
        <w:t xml:space="preserve"> </w:t>
      </w:r>
      <w:r w:rsidR="00CC6259" w:rsidRPr="004F0693">
        <w:rPr>
          <w:sz w:val="32"/>
          <w:szCs w:val="32"/>
          <w:rtl/>
        </w:rPr>
        <w:t>تطالب</w:t>
      </w:r>
      <w:r w:rsidR="00CC6259" w:rsidRPr="004F0693">
        <w:rPr>
          <w:sz w:val="32"/>
          <w:szCs w:val="32"/>
          <w:lang w:val="fr-CH"/>
        </w:rPr>
        <w:t xml:space="preserve"> </w:t>
      </w:r>
      <w:r w:rsidR="00CC6259" w:rsidRPr="004F0693">
        <w:rPr>
          <w:sz w:val="32"/>
          <w:szCs w:val="32"/>
          <w:rtl/>
        </w:rPr>
        <w:t>الدولة</w:t>
      </w:r>
      <w:r w:rsidR="00CC6259" w:rsidRPr="004F0693">
        <w:rPr>
          <w:sz w:val="32"/>
          <w:szCs w:val="32"/>
          <w:lang w:val="fr-CH"/>
        </w:rPr>
        <w:t xml:space="preserve"> </w:t>
      </w:r>
      <w:r w:rsidR="00CC6259" w:rsidRPr="004F0693">
        <w:rPr>
          <w:sz w:val="32"/>
          <w:szCs w:val="32"/>
          <w:rtl/>
        </w:rPr>
        <w:t>الطرف</w:t>
      </w:r>
      <w:r w:rsidR="00CC6259" w:rsidRPr="004F0693">
        <w:rPr>
          <w:sz w:val="32"/>
          <w:szCs w:val="32"/>
          <w:lang w:val="fr-CH"/>
        </w:rPr>
        <w:t xml:space="preserve"> </w:t>
      </w:r>
      <w:r w:rsidR="00CC6259" w:rsidRPr="004F0693">
        <w:rPr>
          <w:sz w:val="32"/>
          <w:szCs w:val="32"/>
          <w:rtl/>
        </w:rPr>
        <w:t>بأن</w:t>
      </w:r>
      <w:r w:rsidR="00CC6259" w:rsidRPr="004F0693">
        <w:rPr>
          <w:sz w:val="32"/>
          <w:szCs w:val="32"/>
          <w:lang w:val="fr-CH"/>
        </w:rPr>
        <w:t>:</w:t>
      </w:r>
    </w:p>
    <w:p w:rsidR="00CC6259" w:rsidRPr="004F0693" w:rsidRDefault="00892257" w:rsidP="00FD29C7">
      <w:pPr>
        <w:pStyle w:val="SingleTxt"/>
        <w:rPr>
          <w:lang w:val="fr-CH"/>
        </w:rPr>
      </w:pPr>
      <w:r>
        <w:rPr>
          <w:rFonts w:hint="cs"/>
          <w:rtl/>
        </w:rPr>
        <w:tab/>
      </w:r>
      <w:r w:rsidR="00CC6259" w:rsidRPr="004F0693">
        <w:rPr>
          <w:rtl/>
        </w:rPr>
        <w:t>(</w:t>
      </w:r>
      <w:r>
        <w:rPr>
          <w:rFonts w:hint="cs"/>
          <w:rtl/>
        </w:rPr>
        <w:t>أ</w:t>
      </w:r>
      <w:r w:rsidR="00CC6259" w:rsidRPr="004F0693">
        <w:rPr>
          <w:rtl/>
        </w:rPr>
        <w:t>)</w:t>
      </w:r>
      <w:r>
        <w:rPr>
          <w:rFonts w:hint="cs"/>
          <w:rtl/>
        </w:rPr>
        <w:tab/>
      </w:r>
      <w:r w:rsidR="00CC6259" w:rsidRPr="004F0693">
        <w:rPr>
          <w:rtl/>
        </w:rPr>
        <w:t>تعتمد</w:t>
      </w:r>
      <w:r w:rsidR="00CC6259" w:rsidRPr="004F0693">
        <w:rPr>
          <w:lang w:val="fr-CH"/>
        </w:rPr>
        <w:t xml:space="preserve"> </w:t>
      </w:r>
      <w:r w:rsidR="00CC6259" w:rsidRPr="004F0693">
        <w:rPr>
          <w:rtl/>
        </w:rPr>
        <w:t>قانوناً</w:t>
      </w:r>
      <w:r w:rsidR="00CC6259" w:rsidRPr="004F0693">
        <w:rPr>
          <w:lang w:val="fr-CH"/>
        </w:rPr>
        <w:t xml:space="preserve"> </w:t>
      </w:r>
      <w:r w:rsidR="00CC6259" w:rsidRPr="004F0693">
        <w:rPr>
          <w:rtl/>
        </w:rPr>
        <w:t>بشأن</w:t>
      </w:r>
      <w:r w:rsidR="00CC6259" w:rsidRPr="004F0693">
        <w:rPr>
          <w:lang w:val="fr-CH"/>
        </w:rPr>
        <w:t xml:space="preserve"> </w:t>
      </w:r>
      <w:r w:rsidR="00CC6259" w:rsidRPr="004F0693">
        <w:rPr>
          <w:rtl/>
        </w:rPr>
        <w:t>خادمات</w:t>
      </w:r>
      <w:r w:rsidR="00CC6259" w:rsidRPr="004F0693">
        <w:rPr>
          <w:lang w:val="fr-CH"/>
        </w:rPr>
        <w:t xml:space="preserve"> </w:t>
      </w:r>
      <w:r w:rsidR="00CC6259" w:rsidRPr="004F0693">
        <w:rPr>
          <w:rtl/>
        </w:rPr>
        <w:t>المنازل،</w:t>
      </w:r>
      <w:r w:rsidR="00CC6259" w:rsidRPr="004F0693">
        <w:rPr>
          <w:lang w:val="fr-CH"/>
        </w:rPr>
        <w:t xml:space="preserve"> </w:t>
      </w:r>
      <w:r w:rsidR="00CC6259" w:rsidRPr="004F0693">
        <w:rPr>
          <w:rtl/>
        </w:rPr>
        <w:t>وتعدل</w:t>
      </w:r>
      <w:r w:rsidR="00CC6259" w:rsidRPr="004F0693">
        <w:rPr>
          <w:lang w:val="fr-CH"/>
        </w:rPr>
        <w:t xml:space="preserve"> </w:t>
      </w:r>
      <w:r w:rsidR="00CC6259" w:rsidRPr="004F0693">
        <w:rPr>
          <w:rtl/>
        </w:rPr>
        <w:t>قانون</w:t>
      </w:r>
      <w:r w:rsidR="00CC6259" w:rsidRPr="004F0693">
        <w:rPr>
          <w:lang w:val="fr-CH"/>
        </w:rPr>
        <w:t xml:space="preserve"> </w:t>
      </w:r>
      <w:r w:rsidR="00CC6259" w:rsidRPr="004F0693">
        <w:rPr>
          <w:rtl/>
        </w:rPr>
        <w:t>العمل</w:t>
      </w:r>
      <w:r w:rsidR="00CC6259" w:rsidRPr="004F0693">
        <w:rPr>
          <w:lang w:val="fr-CH"/>
        </w:rPr>
        <w:t xml:space="preserve"> </w:t>
      </w:r>
      <w:r w:rsidR="00CC6259" w:rsidRPr="004F0693">
        <w:rPr>
          <w:rtl/>
        </w:rPr>
        <w:t>لسنة</w:t>
      </w:r>
      <w:r w:rsidR="00CC6259" w:rsidRPr="004F0693">
        <w:rPr>
          <w:lang w:val="fr-CH"/>
        </w:rPr>
        <w:t xml:space="preserve"> </w:t>
      </w:r>
      <w:r w:rsidR="00CC6259" w:rsidRPr="004F0693">
        <w:rPr>
          <w:rtl/>
        </w:rPr>
        <w:t>٢٠٠٤</w:t>
      </w:r>
      <w:r w:rsidR="00FD29C7">
        <w:rPr>
          <w:rFonts w:hint="cs"/>
          <w:rtl/>
        </w:rPr>
        <w:t xml:space="preserve"> </w:t>
      </w:r>
      <w:r w:rsidR="00CC6259" w:rsidRPr="004F0693">
        <w:rPr>
          <w:rtl/>
        </w:rPr>
        <w:t>لضمان</w:t>
      </w:r>
      <w:r w:rsidR="00CC6259" w:rsidRPr="004F0693">
        <w:rPr>
          <w:lang w:val="fr-CH"/>
        </w:rPr>
        <w:t xml:space="preserve"> </w:t>
      </w:r>
      <w:r w:rsidR="00CC6259" w:rsidRPr="004F0693">
        <w:rPr>
          <w:rtl/>
        </w:rPr>
        <w:t>أن</w:t>
      </w:r>
      <w:r w:rsidR="00CC6259" w:rsidRPr="004F0693">
        <w:rPr>
          <w:lang w:val="fr-CH"/>
        </w:rPr>
        <w:t xml:space="preserve"> </w:t>
      </w:r>
      <w:r w:rsidR="00CC6259" w:rsidRPr="004F0693">
        <w:rPr>
          <w:rtl/>
        </w:rPr>
        <w:t>يكفل</w:t>
      </w:r>
      <w:r w:rsidR="00CC6259" w:rsidRPr="004F0693">
        <w:rPr>
          <w:lang w:val="fr-CH"/>
        </w:rPr>
        <w:t xml:space="preserve"> </w:t>
      </w:r>
      <w:r w:rsidR="00CC6259" w:rsidRPr="004F0693">
        <w:rPr>
          <w:rtl/>
        </w:rPr>
        <w:t>حماية</w:t>
      </w:r>
      <w:r w:rsidR="00CC6259" w:rsidRPr="004F0693">
        <w:rPr>
          <w:lang w:val="fr-CH"/>
        </w:rPr>
        <w:t xml:space="preserve"> </w:t>
      </w:r>
      <w:r w:rsidR="00CC6259" w:rsidRPr="004F0693">
        <w:rPr>
          <w:rtl/>
        </w:rPr>
        <w:t>خادمات</w:t>
      </w:r>
      <w:r w:rsidR="00CC6259" w:rsidRPr="004F0693">
        <w:rPr>
          <w:lang w:val="fr-CH"/>
        </w:rPr>
        <w:t xml:space="preserve"> </w:t>
      </w:r>
      <w:r w:rsidR="00CC6259" w:rsidRPr="004F0693">
        <w:rPr>
          <w:rtl/>
        </w:rPr>
        <w:t>المنازل</w:t>
      </w:r>
      <w:r w:rsidR="00CC6259" w:rsidRPr="004F0693">
        <w:rPr>
          <w:lang w:val="fr-CH"/>
        </w:rPr>
        <w:t xml:space="preserve"> </w:t>
      </w:r>
      <w:r w:rsidR="00CC6259" w:rsidRPr="004F0693">
        <w:rPr>
          <w:rtl/>
        </w:rPr>
        <w:t>إلى</w:t>
      </w:r>
      <w:r w:rsidR="00CC6259" w:rsidRPr="004F0693">
        <w:rPr>
          <w:lang w:val="fr-CH"/>
        </w:rPr>
        <w:t xml:space="preserve"> </w:t>
      </w:r>
      <w:r w:rsidR="00CC6259" w:rsidRPr="004F0693">
        <w:rPr>
          <w:rtl/>
        </w:rPr>
        <w:t>جانب</w:t>
      </w:r>
      <w:r w:rsidR="00CC6259" w:rsidRPr="004F0693">
        <w:rPr>
          <w:lang w:val="fr-CH"/>
        </w:rPr>
        <w:t xml:space="preserve"> </w:t>
      </w:r>
      <w:r w:rsidR="00CC6259" w:rsidRPr="004F0693">
        <w:rPr>
          <w:rtl/>
        </w:rPr>
        <w:t>فئات</w:t>
      </w:r>
      <w:r w:rsidR="00CC6259" w:rsidRPr="004F0693">
        <w:rPr>
          <w:lang w:val="fr-CH"/>
        </w:rPr>
        <w:t xml:space="preserve"> </w:t>
      </w:r>
      <w:r w:rsidR="00CC6259" w:rsidRPr="004F0693">
        <w:rPr>
          <w:rtl/>
        </w:rPr>
        <w:t>العمال</w:t>
      </w:r>
      <w:r w:rsidR="00CC6259" w:rsidRPr="004F0693">
        <w:rPr>
          <w:lang w:val="fr-CH"/>
        </w:rPr>
        <w:t xml:space="preserve"> </w:t>
      </w:r>
      <w:r w:rsidR="00CC6259" w:rsidRPr="004F0693">
        <w:rPr>
          <w:rtl/>
        </w:rPr>
        <w:t>الأخرى؛</w:t>
      </w:r>
    </w:p>
    <w:p w:rsidR="00CC6259" w:rsidRPr="004F0693" w:rsidRDefault="00892257" w:rsidP="00892257">
      <w:pPr>
        <w:pStyle w:val="SingleTxt"/>
        <w:rPr>
          <w:lang w:val="fr-CH"/>
        </w:rPr>
      </w:pPr>
      <w:r>
        <w:rPr>
          <w:rFonts w:hint="cs"/>
          <w:rtl/>
        </w:rPr>
        <w:tab/>
      </w:r>
      <w:r w:rsidR="00CC6259" w:rsidRPr="004F0693">
        <w:rPr>
          <w:rtl/>
        </w:rPr>
        <w:t>(ب)</w:t>
      </w:r>
      <w:r>
        <w:rPr>
          <w:rFonts w:hint="cs"/>
          <w:rtl/>
        </w:rPr>
        <w:tab/>
      </w:r>
      <w:r w:rsidR="00CC6259" w:rsidRPr="004F0693">
        <w:rPr>
          <w:rtl/>
        </w:rPr>
        <w:t>تتخذ</w:t>
      </w:r>
      <w:r w:rsidR="00CC6259" w:rsidRPr="004F0693">
        <w:rPr>
          <w:lang w:val="fr-CH"/>
        </w:rPr>
        <w:t xml:space="preserve"> </w:t>
      </w:r>
      <w:r w:rsidR="00CC6259" w:rsidRPr="004F0693">
        <w:rPr>
          <w:rtl/>
        </w:rPr>
        <w:t>خطوات</w:t>
      </w:r>
      <w:r w:rsidR="00CC6259" w:rsidRPr="004F0693">
        <w:rPr>
          <w:lang w:val="fr-CH"/>
        </w:rPr>
        <w:t xml:space="preserve"> </w:t>
      </w:r>
      <w:r w:rsidR="00CC6259" w:rsidRPr="004F0693">
        <w:rPr>
          <w:rtl/>
        </w:rPr>
        <w:t>فورية</w:t>
      </w:r>
      <w:r w:rsidR="00CC6259" w:rsidRPr="004F0693">
        <w:rPr>
          <w:lang w:val="fr-CH"/>
        </w:rPr>
        <w:t xml:space="preserve"> </w:t>
      </w:r>
      <w:r w:rsidR="00CC6259" w:rsidRPr="004F0693">
        <w:rPr>
          <w:rtl/>
        </w:rPr>
        <w:t>لإلغاء</w:t>
      </w:r>
      <w:r w:rsidR="00CC6259" w:rsidRPr="004F0693">
        <w:rPr>
          <w:lang w:val="fr-CH"/>
        </w:rPr>
        <w:t xml:space="preserve"> </w:t>
      </w:r>
      <w:r w:rsidR="00CC6259" w:rsidRPr="004F0693">
        <w:rPr>
          <w:rtl/>
        </w:rPr>
        <w:t>نظام</w:t>
      </w:r>
      <w:r w:rsidR="00CC6259" w:rsidRPr="004F0693">
        <w:rPr>
          <w:lang w:val="fr-CH"/>
        </w:rPr>
        <w:t xml:space="preserve"> </w:t>
      </w:r>
      <w:r w:rsidR="00CC6259" w:rsidRPr="004F0693">
        <w:rPr>
          <w:rtl/>
        </w:rPr>
        <w:t>الكفالة،</w:t>
      </w:r>
      <w:r w:rsidR="00CC6259" w:rsidRPr="004F0693">
        <w:rPr>
          <w:lang w:val="fr-CH"/>
        </w:rPr>
        <w:t xml:space="preserve"> </w:t>
      </w:r>
      <w:r w:rsidR="00CC6259" w:rsidRPr="004F0693">
        <w:rPr>
          <w:rtl/>
        </w:rPr>
        <w:t>وإلغاء</w:t>
      </w:r>
      <w:r w:rsidR="00CC6259" w:rsidRPr="004F0693">
        <w:rPr>
          <w:lang w:val="fr-CH"/>
        </w:rPr>
        <w:t xml:space="preserve"> </w:t>
      </w:r>
      <w:r w:rsidR="00CC6259" w:rsidRPr="004F0693">
        <w:rPr>
          <w:rtl/>
        </w:rPr>
        <w:t>الأحكام</w:t>
      </w:r>
      <w:r w:rsidR="00CC6259" w:rsidRPr="004F0693">
        <w:rPr>
          <w:lang w:val="fr-CH"/>
        </w:rPr>
        <w:t xml:space="preserve"> </w:t>
      </w:r>
      <w:r w:rsidR="00CC6259" w:rsidRPr="004F0693">
        <w:rPr>
          <w:rtl/>
        </w:rPr>
        <w:t>التي</w:t>
      </w:r>
      <w:r w:rsidR="00CC6259" w:rsidRPr="004F0693">
        <w:rPr>
          <w:lang w:val="fr-CH"/>
        </w:rPr>
        <w:t xml:space="preserve"> </w:t>
      </w:r>
      <w:r w:rsidR="00CC6259" w:rsidRPr="004F0693">
        <w:rPr>
          <w:rtl/>
        </w:rPr>
        <w:t>تفرض عقوبات</w:t>
      </w:r>
      <w:r w:rsidR="00CC6259" w:rsidRPr="004F0693">
        <w:rPr>
          <w:lang w:val="fr-CH"/>
        </w:rPr>
        <w:t xml:space="preserve"> </w:t>
      </w:r>
      <w:r w:rsidR="00CC6259" w:rsidRPr="004F0693">
        <w:rPr>
          <w:rtl/>
        </w:rPr>
        <w:t>جنائية</w:t>
      </w:r>
      <w:r w:rsidR="00CC6259" w:rsidRPr="004F0693">
        <w:rPr>
          <w:lang w:val="fr-CH"/>
        </w:rPr>
        <w:t xml:space="preserve"> </w:t>
      </w:r>
      <w:r w:rsidR="00CC6259" w:rsidRPr="004F0693">
        <w:rPr>
          <w:rtl/>
        </w:rPr>
        <w:t>في</w:t>
      </w:r>
      <w:r w:rsidR="00CC6259" w:rsidRPr="004F0693">
        <w:rPr>
          <w:lang w:val="fr-CH"/>
        </w:rPr>
        <w:t xml:space="preserve"> </w:t>
      </w:r>
      <w:r w:rsidR="00CC6259" w:rsidRPr="004F0693">
        <w:rPr>
          <w:rtl/>
        </w:rPr>
        <w:t>حالة</w:t>
      </w:r>
      <w:r w:rsidR="00CC6259" w:rsidRPr="004F0693">
        <w:rPr>
          <w:lang w:val="fr-CH"/>
        </w:rPr>
        <w:t xml:space="preserve"> </w:t>
      </w:r>
      <w:r w:rsidR="00CC6259" w:rsidRPr="004F0693">
        <w:rPr>
          <w:rtl/>
        </w:rPr>
        <w:t>الفرار،</w:t>
      </w:r>
      <w:r w:rsidR="00CC6259" w:rsidRPr="004F0693">
        <w:rPr>
          <w:lang w:val="fr-CH"/>
        </w:rPr>
        <w:t xml:space="preserve"> </w:t>
      </w:r>
      <w:r w:rsidR="00CC6259" w:rsidRPr="004F0693">
        <w:rPr>
          <w:rtl/>
        </w:rPr>
        <w:t>وتلتمس</w:t>
      </w:r>
      <w:r w:rsidR="00CC6259" w:rsidRPr="004F0693">
        <w:rPr>
          <w:lang w:val="fr-CH"/>
        </w:rPr>
        <w:t xml:space="preserve"> </w:t>
      </w:r>
      <w:r w:rsidR="00CC6259" w:rsidRPr="004F0693">
        <w:rPr>
          <w:rtl/>
        </w:rPr>
        <w:t>مساعدة</w:t>
      </w:r>
      <w:r w:rsidR="00CC6259" w:rsidRPr="004F0693">
        <w:rPr>
          <w:lang w:val="fr-CH"/>
        </w:rPr>
        <w:t xml:space="preserve"> </w:t>
      </w:r>
      <w:r w:rsidR="00CC6259" w:rsidRPr="004F0693">
        <w:rPr>
          <w:rtl/>
        </w:rPr>
        <w:t>تقنية</w:t>
      </w:r>
      <w:r w:rsidR="00CC6259" w:rsidRPr="004F0693">
        <w:rPr>
          <w:lang w:val="fr-CH"/>
        </w:rPr>
        <w:t xml:space="preserve"> </w:t>
      </w:r>
      <w:r w:rsidR="00CC6259" w:rsidRPr="004F0693">
        <w:rPr>
          <w:rtl/>
        </w:rPr>
        <w:t>من</w:t>
      </w:r>
      <w:r w:rsidR="00CC6259" w:rsidRPr="004F0693">
        <w:rPr>
          <w:lang w:val="fr-CH"/>
        </w:rPr>
        <w:t xml:space="preserve"> </w:t>
      </w:r>
      <w:r w:rsidR="00CC6259" w:rsidRPr="004F0693">
        <w:rPr>
          <w:rtl/>
        </w:rPr>
        <w:t>منظمة</w:t>
      </w:r>
      <w:r w:rsidR="00CC6259" w:rsidRPr="004F0693">
        <w:rPr>
          <w:lang w:val="fr-CH"/>
        </w:rPr>
        <w:t xml:space="preserve"> </w:t>
      </w:r>
      <w:r w:rsidR="00CC6259" w:rsidRPr="004F0693">
        <w:rPr>
          <w:rtl/>
        </w:rPr>
        <w:t>العمل</w:t>
      </w:r>
      <w:r w:rsidR="00CC6259" w:rsidRPr="004F0693">
        <w:rPr>
          <w:lang w:val="fr-CH"/>
        </w:rPr>
        <w:t xml:space="preserve"> </w:t>
      </w:r>
      <w:r w:rsidR="00CC6259" w:rsidRPr="004F0693">
        <w:rPr>
          <w:rtl/>
        </w:rPr>
        <w:t>الدولية</w:t>
      </w:r>
      <w:r w:rsidR="00CC6259" w:rsidRPr="004F0693">
        <w:rPr>
          <w:lang w:val="fr-CH"/>
        </w:rPr>
        <w:t xml:space="preserve"> </w:t>
      </w:r>
      <w:r w:rsidR="00CC6259" w:rsidRPr="004F0693">
        <w:rPr>
          <w:rtl/>
        </w:rPr>
        <w:t>عند الضرورة؛</w:t>
      </w:r>
    </w:p>
    <w:p w:rsidR="00CC6259" w:rsidRPr="004F0693" w:rsidRDefault="00892257" w:rsidP="00892257">
      <w:pPr>
        <w:pStyle w:val="SingleTxt"/>
        <w:rPr>
          <w:lang w:val="fr-CH"/>
        </w:rPr>
      </w:pPr>
      <w:r>
        <w:rPr>
          <w:rFonts w:hint="cs"/>
          <w:rtl/>
        </w:rPr>
        <w:tab/>
      </w:r>
      <w:r w:rsidR="00CC6259" w:rsidRPr="004F0693">
        <w:rPr>
          <w:rtl/>
        </w:rPr>
        <w:t>(ج)</w:t>
      </w:r>
      <w:r>
        <w:rPr>
          <w:rFonts w:hint="cs"/>
          <w:rtl/>
        </w:rPr>
        <w:tab/>
      </w:r>
      <w:r w:rsidR="00CC6259" w:rsidRPr="004F0693">
        <w:rPr>
          <w:rtl/>
        </w:rPr>
        <w:t>تجري</w:t>
      </w:r>
      <w:r w:rsidR="00CC6259" w:rsidRPr="004F0693">
        <w:rPr>
          <w:lang w:val="fr-CH"/>
        </w:rPr>
        <w:t xml:space="preserve"> </w:t>
      </w:r>
      <w:r w:rsidR="00CC6259" w:rsidRPr="004F0693">
        <w:rPr>
          <w:rtl/>
        </w:rPr>
        <w:t>عمليات</w:t>
      </w:r>
      <w:r w:rsidR="00CC6259" w:rsidRPr="004F0693">
        <w:rPr>
          <w:lang w:val="fr-CH"/>
        </w:rPr>
        <w:t xml:space="preserve"> </w:t>
      </w:r>
      <w:r w:rsidR="00CC6259" w:rsidRPr="004F0693">
        <w:rPr>
          <w:rtl/>
        </w:rPr>
        <w:t>تفتيش</w:t>
      </w:r>
      <w:r w:rsidR="00CC6259" w:rsidRPr="004F0693">
        <w:rPr>
          <w:lang w:val="fr-CH"/>
        </w:rPr>
        <w:t xml:space="preserve"> </w:t>
      </w:r>
      <w:r w:rsidR="00CC6259" w:rsidRPr="004F0693">
        <w:rPr>
          <w:rtl/>
        </w:rPr>
        <w:t>في</w:t>
      </w:r>
      <w:r w:rsidR="00CC6259" w:rsidRPr="004F0693">
        <w:rPr>
          <w:lang w:val="fr-CH"/>
        </w:rPr>
        <w:t xml:space="preserve"> </w:t>
      </w:r>
      <w:r w:rsidR="00CC6259" w:rsidRPr="004F0693">
        <w:rPr>
          <w:rtl/>
        </w:rPr>
        <w:t>أماكن</w:t>
      </w:r>
      <w:r w:rsidR="00CC6259" w:rsidRPr="004F0693">
        <w:rPr>
          <w:lang w:val="fr-CH"/>
        </w:rPr>
        <w:t xml:space="preserve"> </w:t>
      </w:r>
      <w:r w:rsidR="00CC6259" w:rsidRPr="004F0693">
        <w:rPr>
          <w:rtl/>
        </w:rPr>
        <w:t>العمل</w:t>
      </w:r>
      <w:r w:rsidR="00CC6259" w:rsidRPr="004F0693">
        <w:rPr>
          <w:lang w:val="fr-CH"/>
        </w:rPr>
        <w:t xml:space="preserve"> </w:t>
      </w:r>
      <w:r w:rsidR="00CC6259" w:rsidRPr="004F0693">
        <w:rPr>
          <w:rtl/>
        </w:rPr>
        <w:t>حيثما</w:t>
      </w:r>
      <w:r w:rsidR="00CC6259" w:rsidRPr="004F0693">
        <w:rPr>
          <w:lang w:val="fr-CH"/>
        </w:rPr>
        <w:t xml:space="preserve"> </w:t>
      </w:r>
      <w:r w:rsidR="00CC6259" w:rsidRPr="004F0693">
        <w:rPr>
          <w:rtl/>
        </w:rPr>
        <w:t>يشكو</w:t>
      </w:r>
      <w:r w:rsidR="00CC6259" w:rsidRPr="004F0693">
        <w:rPr>
          <w:lang w:val="fr-CH"/>
        </w:rPr>
        <w:t xml:space="preserve"> </w:t>
      </w:r>
      <w:r w:rsidR="00CC6259" w:rsidRPr="004F0693">
        <w:rPr>
          <w:rtl/>
        </w:rPr>
        <w:t>العمال</w:t>
      </w:r>
      <w:r w:rsidR="00CC6259" w:rsidRPr="004F0693">
        <w:rPr>
          <w:lang w:val="fr-CH"/>
        </w:rPr>
        <w:t xml:space="preserve"> </w:t>
      </w:r>
      <w:r w:rsidR="00CC6259" w:rsidRPr="004F0693">
        <w:rPr>
          <w:rtl/>
        </w:rPr>
        <w:t>المهاجرون، بمن</w:t>
      </w:r>
      <w:r w:rsidR="00CC6259" w:rsidRPr="004F0693">
        <w:rPr>
          <w:lang w:val="fr-CH"/>
        </w:rPr>
        <w:t xml:space="preserve"> </w:t>
      </w:r>
      <w:r w:rsidR="00CC6259" w:rsidRPr="004F0693">
        <w:rPr>
          <w:rtl/>
        </w:rPr>
        <w:t>فيهم</w:t>
      </w:r>
      <w:r w:rsidR="00CC6259" w:rsidRPr="004F0693">
        <w:rPr>
          <w:lang w:val="fr-CH"/>
        </w:rPr>
        <w:t xml:space="preserve"> </w:t>
      </w:r>
      <w:r w:rsidR="00CC6259" w:rsidRPr="004F0693">
        <w:rPr>
          <w:rtl/>
        </w:rPr>
        <w:t>خادمات</w:t>
      </w:r>
      <w:r w:rsidR="00CC6259" w:rsidRPr="004F0693">
        <w:rPr>
          <w:lang w:val="fr-CH"/>
        </w:rPr>
        <w:t xml:space="preserve"> </w:t>
      </w:r>
      <w:r w:rsidR="00CC6259" w:rsidRPr="004F0693">
        <w:rPr>
          <w:rtl/>
        </w:rPr>
        <w:t>المنازل،</w:t>
      </w:r>
      <w:r w:rsidR="00CC6259" w:rsidRPr="004F0693">
        <w:rPr>
          <w:lang w:val="fr-CH"/>
        </w:rPr>
        <w:t xml:space="preserve"> </w:t>
      </w:r>
      <w:r w:rsidR="00CC6259" w:rsidRPr="004F0693">
        <w:rPr>
          <w:rtl/>
        </w:rPr>
        <w:t>من</w:t>
      </w:r>
      <w:r w:rsidR="00CC6259" w:rsidRPr="004F0693">
        <w:rPr>
          <w:lang w:val="fr-CH"/>
        </w:rPr>
        <w:t xml:space="preserve"> </w:t>
      </w:r>
      <w:r w:rsidR="00CC6259" w:rsidRPr="004F0693">
        <w:rPr>
          <w:rtl/>
        </w:rPr>
        <w:t>الانتهاكات،</w:t>
      </w:r>
      <w:r w:rsidR="00CC6259" w:rsidRPr="004F0693">
        <w:rPr>
          <w:lang w:val="fr-CH"/>
        </w:rPr>
        <w:t xml:space="preserve"> </w:t>
      </w:r>
      <w:r w:rsidR="00CC6259" w:rsidRPr="004F0693">
        <w:rPr>
          <w:rtl/>
        </w:rPr>
        <w:t>وتجري</w:t>
      </w:r>
      <w:r w:rsidR="00CC6259" w:rsidRPr="004F0693">
        <w:rPr>
          <w:lang w:val="fr-CH"/>
        </w:rPr>
        <w:t xml:space="preserve"> </w:t>
      </w:r>
      <w:r w:rsidR="00CC6259" w:rsidRPr="004F0693">
        <w:rPr>
          <w:rtl/>
        </w:rPr>
        <w:t>تحقيقاً</w:t>
      </w:r>
      <w:r w:rsidR="00CC6259" w:rsidRPr="004F0693">
        <w:rPr>
          <w:lang w:val="fr-CH"/>
        </w:rPr>
        <w:t xml:space="preserve"> </w:t>
      </w:r>
      <w:r w:rsidR="00CC6259" w:rsidRPr="004F0693">
        <w:rPr>
          <w:rtl/>
        </w:rPr>
        <w:t>بصورة</w:t>
      </w:r>
      <w:r w:rsidR="00CC6259" w:rsidRPr="004F0693">
        <w:rPr>
          <w:lang w:val="fr-CH"/>
        </w:rPr>
        <w:t xml:space="preserve"> </w:t>
      </w:r>
      <w:r w:rsidR="00CC6259" w:rsidRPr="004F0693">
        <w:rPr>
          <w:rtl/>
        </w:rPr>
        <w:t>منتظمة</w:t>
      </w:r>
      <w:r w:rsidR="00CC6259" w:rsidRPr="004F0693">
        <w:rPr>
          <w:lang w:val="fr-CH"/>
        </w:rPr>
        <w:t xml:space="preserve"> </w:t>
      </w:r>
      <w:r w:rsidR="00CC6259" w:rsidRPr="004F0693">
        <w:rPr>
          <w:rtl/>
        </w:rPr>
        <w:t>في</w:t>
      </w:r>
      <w:r w:rsidR="00CC6259" w:rsidRPr="004F0693">
        <w:rPr>
          <w:lang w:val="fr-CH"/>
        </w:rPr>
        <w:t xml:space="preserve"> </w:t>
      </w:r>
      <w:r w:rsidR="00CC6259" w:rsidRPr="004F0693">
        <w:rPr>
          <w:rtl/>
        </w:rPr>
        <w:t>جميع ادعاءات</w:t>
      </w:r>
      <w:r w:rsidR="00CC6259" w:rsidRPr="004F0693">
        <w:rPr>
          <w:lang w:val="fr-CH"/>
        </w:rPr>
        <w:t xml:space="preserve"> </w:t>
      </w:r>
      <w:r w:rsidR="00CC6259" w:rsidRPr="004F0693">
        <w:rPr>
          <w:rtl/>
        </w:rPr>
        <w:t>الاستغلال</w:t>
      </w:r>
      <w:r w:rsidR="00CC6259" w:rsidRPr="004F0693">
        <w:rPr>
          <w:lang w:val="fr-CH"/>
        </w:rPr>
        <w:t xml:space="preserve"> </w:t>
      </w:r>
      <w:r w:rsidR="00CC6259" w:rsidRPr="004F0693">
        <w:rPr>
          <w:rtl/>
        </w:rPr>
        <w:t>والاعتداء</w:t>
      </w:r>
      <w:r w:rsidR="00CC6259" w:rsidRPr="004F0693">
        <w:rPr>
          <w:lang w:val="fr-CH"/>
        </w:rPr>
        <w:t xml:space="preserve"> </w:t>
      </w:r>
      <w:r w:rsidR="00CC6259" w:rsidRPr="004F0693">
        <w:rPr>
          <w:rtl/>
        </w:rPr>
        <w:t>والعنف</w:t>
      </w:r>
      <w:r w:rsidR="00CC6259" w:rsidRPr="004F0693">
        <w:rPr>
          <w:lang w:val="fr-CH"/>
        </w:rPr>
        <w:t xml:space="preserve"> </w:t>
      </w:r>
      <w:r w:rsidR="00CC6259" w:rsidRPr="004F0693">
        <w:rPr>
          <w:rtl/>
        </w:rPr>
        <w:t>ضد</w:t>
      </w:r>
      <w:r w:rsidR="00CC6259" w:rsidRPr="004F0693">
        <w:rPr>
          <w:lang w:val="fr-CH"/>
        </w:rPr>
        <w:t xml:space="preserve"> </w:t>
      </w:r>
      <w:r w:rsidR="00CC6259" w:rsidRPr="004F0693">
        <w:rPr>
          <w:rtl/>
        </w:rPr>
        <w:t>خادمات</w:t>
      </w:r>
      <w:r w:rsidR="00CC6259" w:rsidRPr="004F0693">
        <w:rPr>
          <w:lang w:val="fr-CH"/>
        </w:rPr>
        <w:t xml:space="preserve"> </w:t>
      </w:r>
      <w:r w:rsidR="00CC6259" w:rsidRPr="004F0693">
        <w:rPr>
          <w:rtl/>
        </w:rPr>
        <w:t>المنازل</w:t>
      </w:r>
      <w:r w:rsidR="00CC6259" w:rsidRPr="004F0693">
        <w:rPr>
          <w:lang w:val="fr-CH"/>
        </w:rPr>
        <w:t xml:space="preserve"> </w:t>
      </w:r>
      <w:r w:rsidR="00CC6259" w:rsidRPr="004F0693">
        <w:rPr>
          <w:rtl/>
        </w:rPr>
        <w:t>المهاجرات،</w:t>
      </w:r>
      <w:r w:rsidR="00CC6259" w:rsidRPr="004F0693">
        <w:rPr>
          <w:lang w:val="fr-CH"/>
        </w:rPr>
        <w:t xml:space="preserve"> </w:t>
      </w:r>
      <w:r w:rsidR="00CC6259" w:rsidRPr="004F0693">
        <w:rPr>
          <w:rtl/>
        </w:rPr>
        <w:t>وتقاضي أصحاب</w:t>
      </w:r>
      <w:r w:rsidR="00CC6259" w:rsidRPr="004F0693">
        <w:rPr>
          <w:lang w:val="fr-CH"/>
        </w:rPr>
        <w:t xml:space="preserve"> </w:t>
      </w:r>
      <w:r w:rsidR="00CC6259" w:rsidRPr="004F0693">
        <w:rPr>
          <w:rtl/>
        </w:rPr>
        <w:t>العمل</w:t>
      </w:r>
      <w:r w:rsidR="00CC6259" w:rsidRPr="004F0693">
        <w:rPr>
          <w:lang w:val="fr-CH"/>
        </w:rPr>
        <w:t xml:space="preserve"> </w:t>
      </w:r>
      <w:r w:rsidR="00CC6259" w:rsidRPr="004F0693">
        <w:rPr>
          <w:rtl/>
        </w:rPr>
        <w:t>ووكلاءهم</w:t>
      </w:r>
      <w:r w:rsidR="00CC6259" w:rsidRPr="004F0693">
        <w:rPr>
          <w:lang w:val="fr-CH"/>
        </w:rPr>
        <w:t xml:space="preserve"> </w:t>
      </w:r>
      <w:r w:rsidR="00CC6259" w:rsidRPr="004F0693">
        <w:rPr>
          <w:rtl/>
        </w:rPr>
        <w:t>المتعسفين</w:t>
      </w:r>
      <w:r w:rsidR="00CC6259" w:rsidRPr="004F0693">
        <w:rPr>
          <w:lang w:val="fr-CH"/>
        </w:rPr>
        <w:t xml:space="preserve"> </w:t>
      </w:r>
      <w:r w:rsidR="00CC6259" w:rsidRPr="004F0693">
        <w:rPr>
          <w:rtl/>
        </w:rPr>
        <w:t>أو</w:t>
      </w:r>
      <w:r w:rsidR="00CC6259" w:rsidRPr="004F0693">
        <w:rPr>
          <w:lang w:val="fr-CH"/>
        </w:rPr>
        <w:t xml:space="preserve"> </w:t>
      </w:r>
      <w:r w:rsidR="00CC6259" w:rsidRPr="004F0693">
        <w:rPr>
          <w:rtl/>
        </w:rPr>
        <w:t>المستغلين،</w:t>
      </w:r>
      <w:r w:rsidR="00CC6259" w:rsidRPr="004F0693">
        <w:rPr>
          <w:lang w:val="fr-CH"/>
        </w:rPr>
        <w:t xml:space="preserve"> </w:t>
      </w:r>
      <w:r w:rsidR="00CC6259" w:rsidRPr="004F0693">
        <w:rPr>
          <w:rtl/>
        </w:rPr>
        <w:t>وتوقّع</w:t>
      </w:r>
      <w:r w:rsidR="00CC6259" w:rsidRPr="004F0693">
        <w:rPr>
          <w:lang w:val="fr-CH"/>
        </w:rPr>
        <w:t xml:space="preserve"> </w:t>
      </w:r>
      <w:r w:rsidR="00CC6259" w:rsidRPr="004F0693">
        <w:rPr>
          <w:rtl/>
        </w:rPr>
        <w:t>عليهم</w:t>
      </w:r>
      <w:r w:rsidR="00CC6259" w:rsidRPr="004F0693">
        <w:rPr>
          <w:lang w:val="fr-CH"/>
        </w:rPr>
        <w:t xml:space="preserve"> </w:t>
      </w:r>
      <w:r w:rsidR="00CC6259" w:rsidRPr="004F0693">
        <w:rPr>
          <w:rtl/>
        </w:rPr>
        <w:t>العقاب</w:t>
      </w:r>
      <w:r w:rsidR="00CC6259" w:rsidRPr="004F0693">
        <w:rPr>
          <w:lang w:val="fr-CH"/>
        </w:rPr>
        <w:t xml:space="preserve"> </w:t>
      </w:r>
      <w:r w:rsidR="00CC6259" w:rsidRPr="004F0693">
        <w:rPr>
          <w:rtl/>
        </w:rPr>
        <w:t>المناسب؛</w:t>
      </w:r>
    </w:p>
    <w:p w:rsidR="00CC6259" w:rsidRPr="004F0693" w:rsidRDefault="00892257" w:rsidP="00892257">
      <w:pPr>
        <w:pStyle w:val="SingleTxt"/>
        <w:rPr>
          <w:lang w:val="fr-CH"/>
        </w:rPr>
      </w:pPr>
      <w:r>
        <w:rPr>
          <w:rFonts w:hint="cs"/>
          <w:rtl/>
        </w:rPr>
        <w:tab/>
      </w:r>
      <w:r w:rsidR="00CC6259" w:rsidRPr="004F0693">
        <w:rPr>
          <w:rtl/>
        </w:rPr>
        <w:t>(د)</w:t>
      </w:r>
      <w:r>
        <w:rPr>
          <w:rFonts w:hint="cs"/>
          <w:rtl/>
        </w:rPr>
        <w:tab/>
      </w:r>
      <w:r w:rsidR="00CC6259" w:rsidRPr="004F0693">
        <w:rPr>
          <w:rtl/>
        </w:rPr>
        <w:t>ترصد</w:t>
      </w:r>
      <w:r w:rsidR="00CC6259" w:rsidRPr="004F0693">
        <w:rPr>
          <w:lang w:val="fr-CH"/>
        </w:rPr>
        <w:t xml:space="preserve"> </w:t>
      </w:r>
      <w:r w:rsidR="00CC6259" w:rsidRPr="004F0693">
        <w:rPr>
          <w:rtl/>
        </w:rPr>
        <w:t>امتثال</w:t>
      </w:r>
      <w:r w:rsidR="00CC6259" w:rsidRPr="004F0693">
        <w:rPr>
          <w:lang w:val="fr-CH"/>
        </w:rPr>
        <w:t xml:space="preserve"> </w:t>
      </w:r>
      <w:r w:rsidR="00CC6259" w:rsidRPr="004F0693">
        <w:rPr>
          <w:rtl/>
        </w:rPr>
        <w:t>صاحب</w:t>
      </w:r>
      <w:r w:rsidR="00CC6259" w:rsidRPr="004F0693">
        <w:rPr>
          <w:lang w:val="fr-CH"/>
        </w:rPr>
        <w:t xml:space="preserve"> </w:t>
      </w:r>
      <w:r w:rsidR="00CC6259" w:rsidRPr="004F0693">
        <w:rPr>
          <w:rtl/>
        </w:rPr>
        <w:t>العمل</w:t>
      </w:r>
      <w:r w:rsidR="00CC6259" w:rsidRPr="004F0693">
        <w:rPr>
          <w:lang w:val="fr-CH"/>
        </w:rPr>
        <w:t xml:space="preserve"> </w:t>
      </w:r>
      <w:r w:rsidR="00CC6259" w:rsidRPr="004F0693">
        <w:rPr>
          <w:rtl/>
        </w:rPr>
        <w:t>للمادة</w:t>
      </w:r>
      <w:r w:rsidR="00CC6259" w:rsidRPr="004F0693">
        <w:rPr>
          <w:lang w:val="fr-CH"/>
        </w:rPr>
        <w:t xml:space="preserve"> </w:t>
      </w:r>
      <w:r w:rsidR="00CC6259" w:rsidRPr="004F0693">
        <w:rPr>
          <w:rtl/>
        </w:rPr>
        <w:t>٩</w:t>
      </w:r>
      <w:r w:rsidR="00CC6259" w:rsidRPr="004F0693">
        <w:rPr>
          <w:lang w:val="fr-CH"/>
        </w:rPr>
        <w:t xml:space="preserve"> </w:t>
      </w:r>
      <w:r w:rsidR="00CC6259" w:rsidRPr="004F0693">
        <w:rPr>
          <w:rtl/>
        </w:rPr>
        <w:t>من</w:t>
      </w:r>
      <w:r w:rsidR="00CC6259" w:rsidRPr="004F0693">
        <w:rPr>
          <w:lang w:val="fr-CH"/>
        </w:rPr>
        <w:t xml:space="preserve"> </w:t>
      </w:r>
      <w:r w:rsidR="00CC6259" w:rsidRPr="004F0693">
        <w:rPr>
          <w:rtl/>
        </w:rPr>
        <w:t>قانون</w:t>
      </w:r>
      <w:r w:rsidR="00CC6259" w:rsidRPr="004F0693">
        <w:rPr>
          <w:lang w:val="fr-CH"/>
        </w:rPr>
        <w:t xml:space="preserve"> </w:t>
      </w:r>
      <w:r w:rsidR="00CC6259" w:rsidRPr="004F0693">
        <w:rPr>
          <w:rtl/>
        </w:rPr>
        <w:t>تنظيم</w:t>
      </w:r>
      <w:r w:rsidR="00CC6259" w:rsidRPr="004F0693">
        <w:rPr>
          <w:lang w:val="fr-CH"/>
        </w:rPr>
        <w:t xml:space="preserve"> </w:t>
      </w:r>
      <w:r w:rsidR="00CC6259" w:rsidRPr="004F0693">
        <w:rPr>
          <w:rtl/>
        </w:rPr>
        <w:t>دخول</w:t>
      </w:r>
      <w:r w:rsidR="00CC6259" w:rsidRPr="004F0693">
        <w:rPr>
          <w:lang w:val="fr-CH"/>
        </w:rPr>
        <w:t xml:space="preserve"> </w:t>
      </w:r>
      <w:r w:rsidR="00CC6259" w:rsidRPr="004F0693">
        <w:rPr>
          <w:rtl/>
        </w:rPr>
        <w:t>وخروج الوافدين وإقامتهم</w:t>
      </w:r>
      <w:r w:rsidR="00CC6259" w:rsidRPr="004F0693">
        <w:rPr>
          <w:lang w:val="fr-CH"/>
        </w:rPr>
        <w:t xml:space="preserve"> </w:t>
      </w:r>
      <w:r w:rsidR="00CC6259" w:rsidRPr="004F0693">
        <w:rPr>
          <w:rtl/>
        </w:rPr>
        <w:t>وكفالتهم،</w:t>
      </w:r>
      <w:r w:rsidR="00CC6259" w:rsidRPr="004F0693">
        <w:rPr>
          <w:lang w:val="fr-CH"/>
        </w:rPr>
        <w:t xml:space="preserve"> </w:t>
      </w:r>
      <w:r w:rsidR="00CC6259" w:rsidRPr="004F0693">
        <w:rPr>
          <w:rtl/>
        </w:rPr>
        <w:t>والتي</w:t>
      </w:r>
      <w:r w:rsidR="00CC6259" w:rsidRPr="004F0693">
        <w:rPr>
          <w:lang w:val="fr-CH"/>
        </w:rPr>
        <w:t xml:space="preserve"> </w:t>
      </w:r>
      <w:r w:rsidR="00CC6259" w:rsidRPr="004F0693">
        <w:rPr>
          <w:rtl/>
        </w:rPr>
        <w:t>تطالب</w:t>
      </w:r>
      <w:r w:rsidR="00CC6259" w:rsidRPr="004F0693">
        <w:rPr>
          <w:lang w:val="fr-CH"/>
        </w:rPr>
        <w:t xml:space="preserve"> </w:t>
      </w:r>
      <w:r w:rsidR="00CC6259" w:rsidRPr="004F0693">
        <w:rPr>
          <w:rtl/>
        </w:rPr>
        <w:t>الكفيل</w:t>
      </w:r>
      <w:r w:rsidR="00CC6259" w:rsidRPr="004F0693">
        <w:rPr>
          <w:lang w:val="fr-CH"/>
        </w:rPr>
        <w:t xml:space="preserve"> </w:t>
      </w:r>
      <w:r w:rsidR="00CC6259" w:rsidRPr="004F0693">
        <w:rPr>
          <w:rtl/>
        </w:rPr>
        <w:t>بإعادة</w:t>
      </w:r>
      <w:r w:rsidR="00CC6259" w:rsidRPr="004F0693">
        <w:rPr>
          <w:lang w:val="fr-CH"/>
        </w:rPr>
        <w:t xml:space="preserve"> </w:t>
      </w:r>
      <w:r w:rsidR="00CC6259" w:rsidRPr="004F0693">
        <w:rPr>
          <w:rtl/>
        </w:rPr>
        <w:t>جوازات</w:t>
      </w:r>
      <w:r w:rsidR="00CC6259" w:rsidRPr="004F0693">
        <w:rPr>
          <w:lang w:val="fr-CH"/>
        </w:rPr>
        <w:t xml:space="preserve"> </w:t>
      </w:r>
      <w:r w:rsidR="00CC6259" w:rsidRPr="004F0693">
        <w:rPr>
          <w:rtl/>
        </w:rPr>
        <w:t>السفر</w:t>
      </w:r>
      <w:r w:rsidR="00CC6259" w:rsidRPr="004F0693">
        <w:rPr>
          <w:lang w:val="fr-CH"/>
        </w:rPr>
        <w:t xml:space="preserve"> </w:t>
      </w:r>
      <w:r w:rsidR="00CC6259" w:rsidRPr="004F0693">
        <w:rPr>
          <w:rtl/>
        </w:rPr>
        <w:t>للعمال المهاجرين،</w:t>
      </w:r>
      <w:r w:rsidR="00CC6259" w:rsidRPr="004F0693">
        <w:rPr>
          <w:lang w:val="fr-CH"/>
        </w:rPr>
        <w:t xml:space="preserve"> </w:t>
      </w:r>
      <w:r w:rsidR="00CC6259" w:rsidRPr="004F0693">
        <w:rPr>
          <w:rtl/>
        </w:rPr>
        <w:t>ومعاقبة</w:t>
      </w:r>
      <w:r w:rsidR="00CC6259" w:rsidRPr="004F0693">
        <w:rPr>
          <w:lang w:val="fr-CH"/>
        </w:rPr>
        <w:t xml:space="preserve"> </w:t>
      </w:r>
      <w:r w:rsidR="00CC6259" w:rsidRPr="004F0693">
        <w:rPr>
          <w:rtl/>
        </w:rPr>
        <w:t>أصحاب</w:t>
      </w:r>
      <w:r w:rsidR="00CC6259" w:rsidRPr="004F0693">
        <w:rPr>
          <w:lang w:val="fr-CH"/>
        </w:rPr>
        <w:t xml:space="preserve"> </w:t>
      </w:r>
      <w:r w:rsidR="00CC6259" w:rsidRPr="004F0693">
        <w:rPr>
          <w:rtl/>
        </w:rPr>
        <w:t>العمل</w:t>
      </w:r>
      <w:r w:rsidR="00CC6259" w:rsidRPr="004F0693">
        <w:rPr>
          <w:lang w:val="fr-CH"/>
        </w:rPr>
        <w:t xml:space="preserve"> </w:t>
      </w:r>
      <w:r w:rsidR="00CC6259" w:rsidRPr="004F0693">
        <w:rPr>
          <w:rtl/>
        </w:rPr>
        <w:t>الذين</w:t>
      </w:r>
      <w:r w:rsidR="00CC6259" w:rsidRPr="004F0693">
        <w:rPr>
          <w:lang w:val="fr-CH"/>
        </w:rPr>
        <w:t xml:space="preserve"> </w:t>
      </w:r>
      <w:r w:rsidR="00CC6259" w:rsidRPr="004F0693">
        <w:rPr>
          <w:rtl/>
        </w:rPr>
        <w:t>يخالفون</w:t>
      </w:r>
      <w:r w:rsidR="00CC6259" w:rsidRPr="004F0693">
        <w:rPr>
          <w:lang w:val="fr-CH"/>
        </w:rPr>
        <w:t xml:space="preserve"> </w:t>
      </w:r>
      <w:r w:rsidR="00CC6259" w:rsidRPr="004F0693">
        <w:rPr>
          <w:rtl/>
        </w:rPr>
        <w:t>هذا</w:t>
      </w:r>
      <w:r w:rsidR="00CC6259" w:rsidRPr="004F0693">
        <w:rPr>
          <w:lang w:val="fr-CH"/>
        </w:rPr>
        <w:t xml:space="preserve"> </w:t>
      </w:r>
      <w:r w:rsidR="00CC6259" w:rsidRPr="004F0693">
        <w:rPr>
          <w:rtl/>
        </w:rPr>
        <w:t>الحكم؛</w:t>
      </w:r>
    </w:p>
    <w:p w:rsidR="00CC6259" w:rsidRPr="004F0693" w:rsidRDefault="00892257" w:rsidP="00892257">
      <w:pPr>
        <w:pStyle w:val="SingleTxt"/>
        <w:rPr>
          <w:lang w:val="fr-CH"/>
        </w:rPr>
      </w:pPr>
      <w:r>
        <w:rPr>
          <w:rFonts w:hint="cs"/>
          <w:rtl/>
        </w:rPr>
        <w:tab/>
      </w:r>
      <w:r w:rsidR="00CC6259" w:rsidRPr="004F0693">
        <w:rPr>
          <w:rtl/>
        </w:rPr>
        <w:t>(ه</w:t>
      </w:r>
      <w:r>
        <w:rPr>
          <w:rFonts w:hint="cs"/>
          <w:rtl/>
        </w:rPr>
        <w:t>ـ</w:t>
      </w:r>
      <w:r w:rsidR="00CC6259" w:rsidRPr="004F0693">
        <w:rPr>
          <w:rtl/>
        </w:rPr>
        <w:t>)</w:t>
      </w:r>
      <w:r>
        <w:rPr>
          <w:rFonts w:hint="cs"/>
          <w:rtl/>
        </w:rPr>
        <w:tab/>
      </w:r>
      <w:r w:rsidR="00CC6259" w:rsidRPr="004F0693">
        <w:rPr>
          <w:rtl/>
        </w:rPr>
        <w:t>تضمن</w:t>
      </w:r>
      <w:r w:rsidR="00CC6259" w:rsidRPr="004F0693">
        <w:rPr>
          <w:lang w:val="fr-CH"/>
        </w:rPr>
        <w:t xml:space="preserve"> </w:t>
      </w:r>
      <w:r w:rsidR="00CC6259" w:rsidRPr="004F0693">
        <w:rPr>
          <w:rtl/>
        </w:rPr>
        <w:t>حصول</w:t>
      </w:r>
      <w:r w:rsidR="00CC6259" w:rsidRPr="004F0693">
        <w:rPr>
          <w:lang w:val="fr-CH"/>
        </w:rPr>
        <w:t xml:space="preserve"> </w:t>
      </w:r>
      <w:r w:rsidR="00CC6259" w:rsidRPr="004F0693">
        <w:rPr>
          <w:rtl/>
        </w:rPr>
        <w:t>العاملات</w:t>
      </w:r>
      <w:r w:rsidR="00CC6259" w:rsidRPr="004F0693">
        <w:rPr>
          <w:lang w:val="fr-CH"/>
        </w:rPr>
        <w:t xml:space="preserve"> </w:t>
      </w:r>
      <w:r w:rsidR="00CC6259" w:rsidRPr="004F0693">
        <w:rPr>
          <w:rtl/>
        </w:rPr>
        <w:t>المهاجرات</w:t>
      </w:r>
      <w:r w:rsidR="00CC6259" w:rsidRPr="004F0693">
        <w:rPr>
          <w:lang w:val="fr-CH"/>
        </w:rPr>
        <w:t xml:space="preserve"> </w:t>
      </w:r>
      <w:r w:rsidR="00CC6259" w:rsidRPr="004F0693">
        <w:rPr>
          <w:rtl/>
        </w:rPr>
        <w:t>على</w:t>
      </w:r>
      <w:r w:rsidR="00CC6259" w:rsidRPr="004F0693">
        <w:rPr>
          <w:lang w:val="fr-CH"/>
        </w:rPr>
        <w:t xml:space="preserve"> </w:t>
      </w:r>
      <w:r w:rsidR="00CC6259" w:rsidRPr="004F0693">
        <w:rPr>
          <w:rtl/>
        </w:rPr>
        <w:t>المعونة</w:t>
      </w:r>
      <w:r w:rsidR="00CC6259" w:rsidRPr="004F0693">
        <w:rPr>
          <w:lang w:val="fr-CH"/>
        </w:rPr>
        <w:t xml:space="preserve"> </w:t>
      </w:r>
      <w:r w:rsidR="00CC6259" w:rsidRPr="004F0693">
        <w:rPr>
          <w:rtl/>
        </w:rPr>
        <w:t>القانونية</w:t>
      </w:r>
      <w:r w:rsidR="00CC6259" w:rsidRPr="004F0693">
        <w:rPr>
          <w:lang w:val="fr-CH"/>
        </w:rPr>
        <w:t xml:space="preserve"> </w:t>
      </w:r>
      <w:r w:rsidR="00CC6259" w:rsidRPr="004F0693">
        <w:rPr>
          <w:rtl/>
        </w:rPr>
        <w:t>وآليات</w:t>
      </w:r>
      <w:r w:rsidR="00CC6259" w:rsidRPr="004F0693">
        <w:rPr>
          <w:lang w:val="fr-CH"/>
        </w:rPr>
        <w:t xml:space="preserve"> </w:t>
      </w:r>
      <w:r w:rsidR="00CC6259" w:rsidRPr="004F0693">
        <w:rPr>
          <w:rtl/>
        </w:rPr>
        <w:t>تقديم الشكاوى،</w:t>
      </w:r>
      <w:r w:rsidR="00CC6259" w:rsidRPr="004F0693">
        <w:rPr>
          <w:lang w:val="fr-CH"/>
        </w:rPr>
        <w:t xml:space="preserve"> </w:t>
      </w:r>
      <w:r w:rsidR="00CC6259" w:rsidRPr="004F0693">
        <w:rPr>
          <w:rtl/>
        </w:rPr>
        <w:t>وتوفر</w:t>
      </w:r>
      <w:r w:rsidR="00CC6259" w:rsidRPr="004F0693">
        <w:rPr>
          <w:lang w:val="fr-CH"/>
        </w:rPr>
        <w:t xml:space="preserve"> </w:t>
      </w:r>
      <w:r w:rsidR="00CC6259" w:rsidRPr="004F0693">
        <w:rPr>
          <w:rtl/>
        </w:rPr>
        <w:t>للعاملات</w:t>
      </w:r>
      <w:r w:rsidR="00CC6259" w:rsidRPr="004F0693">
        <w:rPr>
          <w:lang w:val="fr-CH"/>
        </w:rPr>
        <w:t xml:space="preserve"> </w:t>
      </w:r>
      <w:r w:rsidR="00CC6259" w:rsidRPr="004F0693">
        <w:rPr>
          <w:rtl/>
        </w:rPr>
        <w:t>المهاجرات</w:t>
      </w:r>
      <w:r w:rsidR="00CC6259" w:rsidRPr="004F0693">
        <w:rPr>
          <w:lang w:val="fr-CH"/>
        </w:rPr>
        <w:t xml:space="preserve"> </w:t>
      </w:r>
      <w:r w:rsidR="00CC6259" w:rsidRPr="004F0693">
        <w:rPr>
          <w:rtl/>
        </w:rPr>
        <w:t>مدعيات</w:t>
      </w:r>
      <w:r w:rsidR="00CC6259" w:rsidRPr="004F0693">
        <w:rPr>
          <w:lang w:val="fr-CH"/>
        </w:rPr>
        <w:t xml:space="preserve"> </w:t>
      </w:r>
      <w:r w:rsidR="00CC6259" w:rsidRPr="004F0693">
        <w:rPr>
          <w:rtl/>
        </w:rPr>
        <w:t>التعر</w:t>
      </w:r>
      <w:r w:rsidR="00FD29C7">
        <w:rPr>
          <w:rFonts w:hint="cs"/>
          <w:rtl/>
        </w:rPr>
        <w:t>َّ</w:t>
      </w:r>
      <w:r w:rsidR="00CC6259" w:rsidRPr="004F0693">
        <w:rPr>
          <w:rtl/>
        </w:rPr>
        <w:t>ض</w:t>
      </w:r>
      <w:r w:rsidR="00CC6259" w:rsidRPr="004F0693">
        <w:rPr>
          <w:lang w:val="fr-CH"/>
        </w:rPr>
        <w:t xml:space="preserve"> </w:t>
      </w:r>
      <w:r w:rsidR="00CC6259" w:rsidRPr="004F0693">
        <w:rPr>
          <w:rtl/>
        </w:rPr>
        <w:t>للاعتداء</w:t>
      </w:r>
      <w:r w:rsidR="00CC6259" w:rsidRPr="004F0693">
        <w:rPr>
          <w:lang w:val="fr-CH"/>
        </w:rPr>
        <w:t xml:space="preserve"> </w:t>
      </w:r>
      <w:r w:rsidR="00CC6259" w:rsidRPr="004F0693">
        <w:rPr>
          <w:rtl/>
        </w:rPr>
        <w:t>والاستغلال</w:t>
      </w:r>
      <w:r w:rsidR="00CC6259" w:rsidRPr="004F0693">
        <w:rPr>
          <w:lang w:val="fr-CH"/>
        </w:rPr>
        <w:t xml:space="preserve"> </w:t>
      </w:r>
      <w:r w:rsidR="00CC6259" w:rsidRPr="004F0693">
        <w:rPr>
          <w:rtl/>
        </w:rPr>
        <w:t>فرص الوصول</w:t>
      </w:r>
      <w:r w:rsidR="00CC6259" w:rsidRPr="004F0693">
        <w:rPr>
          <w:lang w:val="fr-CH"/>
        </w:rPr>
        <w:t xml:space="preserve"> </w:t>
      </w:r>
      <w:r w:rsidR="00CC6259" w:rsidRPr="004F0693">
        <w:rPr>
          <w:rtl/>
        </w:rPr>
        <w:t>الفوري</w:t>
      </w:r>
      <w:r w:rsidR="00CC6259" w:rsidRPr="004F0693">
        <w:rPr>
          <w:lang w:val="fr-CH"/>
        </w:rPr>
        <w:t xml:space="preserve"> </w:t>
      </w:r>
      <w:r w:rsidR="00CC6259" w:rsidRPr="004F0693">
        <w:rPr>
          <w:rtl/>
        </w:rPr>
        <w:t>إلى</w:t>
      </w:r>
      <w:r w:rsidR="00CC6259" w:rsidRPr="004F0693">
        <w:rPr>
          <w:lang w:val="fr-CH"/>
        </w:rPr>
        <w:t xml:space="preserve"> </w:t>
      </w:r>
      <w:r w:rsidR="00CC6259" w:rsidRPr="004F0693">
        <w:rPr>
          <w:rtl/>
        </w:rPr>
        <w:t>الملاجئ</w:t>
      </w:r>
      <w:r w:rsidR="00CC6259" w:rsidRPr="004F0693">
        <w:rPr>
          <w:lang w:val="fr-CH"/>
        </w:rPr>
        <w:t xml:space="preserve"> </w:t>
      </w:r>
      <w:r w:rsidR="00CC6259" w:rsidRPr="004F0693">
        <w:rPr>
          <w:rtl/>
        </w:rPr>
        <w:t>وخدمات</w:t>
      </w:r>
      <w:r w:rsidR="00CC6259" w:rsidRPr="004F0693">
        <w:rPr>
          <w:lang w:val="fr-CH"/>
        </w:rPr>
        <w:t xml:space="preserve"> </w:t>
      </w:r>
      <w:r w:rsidR="00CC6259" w:rsidRPr="004F0693">
        <w:rPr>
          <w:rtl/>
        </w:rPr>
        <w:t>التأهيل؛</w:t>
      </w:r>
    </w:p>
    <w:p w:rsidR="00CC6259" w:rsidRPr="004F0693" w:rsidRDefault="00892257" w:rsidP="00FD29C7">
      <w:pPr>
        <w:pStyle w:val="SingleTxt"/>
        <w:rPr>
          <w:rtl/>
        </w:rPr>
      </w:pPr>
      <w:r>
        <w:rPr>
          <w:rFonts w:hint="cs"/>
          <w:rtl/>
        </w:rPr>
        <w:tab/>
      </w:r>
      <w:r w:rsidR="00CC6259" w:rsidRPr="004F0693">
        <w:rPr>
          <w:rtl/>
        </w:rPr>
        <w:t>(و)</w:t>
      </w:r>
      <w:r>
        <w:rPr>
          <w:rFonts w:hint="cs"/>
          <w:rtl/>
        </w:rPr>
        <w:tab/>
      </w:r>
      <w:r w:rsidR="00CC6259" w:rsidRPr="004F0693">
        <w:rPr>
          <w:rtl/>
        </w:rPr>
        <w:t>تنظر</w:t>
      </w:r>
      <w:r w:rsidR="00CC6259" w:rsidRPr="004F0693">
        <w:rPr>
          <w:lang w:val="fr-CH"/>
        </w:rPr>
        <w:t xml:space="preserve"> </w:t>
      </w:r>
      <w:r w:rsidR="00CC6259" w:rsidRPr="004F0693">
        <w:rPr>
          <w:rtl/>
        </w:rPr>
        <w:t>في</w:t>
      </w:r>
      <w:r w:rsidR="00CC6259" w:rsidRPr="004F0693">
        <w:rPr>
          <w:lang w:val="fr-CH"/>
        </w:rPr>
        <w:t xml:space="preserve"> </w:t>
      </w:r>
      <w:r w:rsidR="00CC6259" w:rsidRPr="004F0693">
        <w:rPr>
          <w:rtl/>
        </w:rPr>
        <w:t>التصديق</w:t>
      </w:r>
      <w:r w:rsidR="00CC6259" w:rsidRPr="004F0693">
        <w:rPr>
          <w:lang w:val="fr-CH"/>
        </w:rPr>
        <w:t xml:space="preserve"> </w:t>
      </w:r>
      <w:r w:rsidR="00CC6259" w:rsidRPr="004F0693">
        <w:rPr>
          <w:rtl/>
        </w:rPr>
        <w:t>على</w:t>
      </w:r>
      <w:r w:rsidR="00CC6259" w:rsidRPr="004F0693">
        <w:rPr>
          <w:lang w:val="fr-CH"/>
        </w:rPr>
        <w:t xml:space="preserve"> </w:t>
      </w:r>
      <w:r w:rsidR="00CC6259" w:rsidRPr="004F0693">
        <w:rPr>
          <w:rtl/>
        </w:rPr>
        <w:t>اتفاقية</w:t>
      </w:r>
      <w:r w:rsidR="00CC6259" w:rsidRPr="004F0693">
        <w:rPr>
          <w:lang w:val="fr-CH"/>
        </w:rPr>
        <w:t xml:space="preserve"> </w:t>
      </w:r>
      <w:r w:rsidR="00CC6259" w:rsidRPr="004F0693">
        <w:rPr>
          <w:rtl/>
        </w:rPr>
        <w:t>العمال</w:t>
      </w:r>
      <w:r w:rsidR="007A55A4">
        <w:rPr>
          <w:rFonts w:hint="cs"/>
          <w:rtl/>
        </w:rPr>
        <w:t xml:space="preserve"> المنزليين</w:t>
      </w:r>
      <w:r w:rsidR="00CC6259" w:rsidRPr="004F0693">
        <w:rPr>
          <w:rtl/>
        </w:rPr>
        <w:t>،</w:t>
      </w:r>
      <w:r w:rsidR="00FD29C7">
        <w:rPr>
          <w:rFonts w:hint="cs"/>
          <w:rtl/>
        </w:rPr>
        <w:t xml:space="preserve"> (</w:t>
      </w:r>
      <w:r w:rsidR="00CC6259" w:rsidRPr="004F0693">
        <w:rPr>
          <w:rtl/>
        </w:rPr>
        <w:t>٢٠١١</w:t>
      </w:r>
      <w:r w:rsidR="00CC6259" w:rsidRPr="004F0693">
        <w:rPr>
          <w:lang w:val="fr-CH"/>
        </w:rPr>
        <w:t xml:space="preserve"> (</w:t>
      </w:r>
      <w:r w:rsidR="00CC6259" w:rsidRPr="004F0693">
        <w:rPr>
          <w:rtl/>
        </w:rPr>
        <w:t>رقم</w:t>
      </w:r>
      <w:r w:rsidR="00CC6259" w:rsidRPr="004F0693">
        <w:rPr>
          <w:lang w:val="fr-CH"/>
        </w:rPr>
        <w:t xml:space="preserve"> </w:t>
      </w:r>
      <w:r w:rsidR="00CC6259" w:rsidRPr="004F0693">
        <w:rPr>
          <w:rtl/>
        </w:rPr>
        <w:t>١٨٩ لمنظمة</w:t>
      </w:r>
      <w:r w:rsidR="00CC6259" w:rsidRPr="004F0693">
        <w:rPr>
          <w:lang w:val="fr-CH"/>
        </w:rPr>
        <w:t xml:space="preserve"> </w:t>
      </w:r>
      <w:r w:rsidR="00CC6259" w:rsidRPr="004F0693">
        <w:rPr>
          <w:rtl/>
        </w:rPr>
        <w:t>العمل</w:t>
      </w:r>
      <w:r w:rsidR="00CC6259" w:rsidRPr="004F0693">
        <w:rPr>
          <w:lang w:val="fr-CH"/>
        </w:rPr>
        <w:t xml:space="preserve"> </w:t>
      </w:r>
      <w:r w:rsidR="00CC6259" w:rsidRPr="004F0693">
        <w:rPr>
          <w:rtl/>
        </w:rPr>
        <w:t>الدولية؛</w:t>
      </w:r>
    </w:p>
    <w:p w:rsidR="00CC6259" w:rsidRPr="00892257" w:rsidRDefault="00CC6259" w:rsidP="00892257">
      <w:pPr>
        <w:pStyle w:val="SingleTxt"/>
        <w:spacing w:after="0" w:line="120" w:lineRule="exact"/>
        <w:rPr>
          <w:sz w:val="10"/>
          <w:rtl/>
        </w:rPr>
      </w:pPr>
    </w:p>
    <w:p w:rsidR="00CC6259" w:rsidRPr="004F0693" w:rsidRDefault="00CC6259" w:rsidP="00FD29C7">
      <w:pPr>
        <w:pStyle w:val="SingleTxt"/>
        <w:rPr>
          <w:rtl/>
        </w:rPr>
      </w:pPr>
      <w:r w:rsidRPr="0062371F">
        <w:rPr>
          <w:b/>
          <w:bCs/>
          <w:rtl/>
        </w:rPr>
        <w:t>الردود:</w:t>
      </w:r>
    </w:p>
    <w:p w:rsidR="00CC6259" w:rsidRPr="004F0693" w:rsidRDefault="00892257" w:rsidP="0089225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00CC6259" w:rsidRPr="004F0693">
        <w:rPr>
          <w:rtl/>
        </w:rPr>
        <w:t>بينما تذكر اللجنة بتوصيتها رقم (26) المتعلقة بالعاملات المهاجرات، فإنها تطالب الدولة الطرف بأن:</w:t>
      </w:r>
    </w:p>
    <w:p w:rsidR="00CC6259" w:rsidRPr="004F0693" w:rsidRDefault="00892257" w:rsidP="003C6C42">
      <w:pPr>
        <w:pStyle w:val="SingleTxt"/>
      </w:pPr>
      <w:r>
        <w:rPr>
          <w:rFonts w:hint="cs"/>
          <w:rtl/>
        </w:rPr>
        <w:tab/>
      </w:r>
      <w:r w:rsidR="00CC6259" w:rsidRPr="004F0693">
        <w:rPr>
          <w:rtl/>
        </w:rPr>
        <w:t>(أ)</w:t>
      </w:r>
      <w:r w:rsidR="003C6C42">
        <w:rPr>
          <w:rFonts w:hint="cs"/>
          <w:rtl/>
        </w:rPr>
        <w:tab/>
      </w:r>
      <w:r w:rsidR="00CC6259" w:rsidRPr="00892257">
        <w:rPr>
          <w:b/>
          <w:bCs/>
          <w:rtl/>
        </w:rPr>
        <w:t>تعتمد قانونا بشأن خادمات المنازل، وتعدل قانون العمل لسنة 2004 لضمان أن يكفل حماية خادمات المنازل إلى جانب فئات العمال الأخرى:</w:t>
      </w:r>
    </w:p>
    <w:p w:rsidR="00CC6259" w:rsidRPr="004F0693" w:rsidRDefault="00892257" w:rsidP="0089225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sidR="00CC6259" w:rsidRPr="004F0693">
        <w:rPr>
          <w:rtl/>
        </w:rPr>
        <w:t xml:space="preserve">إن دولة قطر تدرك مدى ضرورة الاهتمام بإعادة تنظيم عملية استقدام وتنظيم عمل العمالة المنزلية، كي تتفق مع المستجدات الداخلية وتتلاءم مع الاحتياجات الخاصة بالمواطنين من هذه الفئة من العمالة، وبما يستجيب للتطورات التي طرأت على المستوى الدولي في هذا المجال، وعلى رأسها إقرار منظمة العمل الدولية للاتفاقية الخاصة بالعمل اللائق للعمال المنزليين والتوصية الخاصة بها، وذلك خلال انعقاد الدورة (100) لمؤتمر العمل الدولي، في </w:t>
      </w:r>
      <w:r w:rsidR="00FD29C7">
        <w:rPr>
          <w:rFonts w:hint="cs"/>
          <w:rtl/>
        </w:rPr>
        <w:t>آيار/</w:t>
      </w:r>
      <w:r w:rsidR="00CC6259" w:rsidRPr="004F0693">
        <w:rPr>
          <w:rtl/>
        </w:rPr>
        <w:t>مايو 2011.</w:t>
      </w:r>
    </w:p>
    <w:p w:rsidR="00CC6259" w:rsidRPr="004F0693" w:rsidRDefault="00892257" w:rsidP="00FD29C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CC6259" w:rsidRPr="004F0693">
        <w:rPr>
          <w:rtl/>
        </w:rPr>
        <w:t>وعلى ضوء ذلك يتم حاليا در</w:t>
      </w:r>
      <w:r w:rsidR="00FD29C7">
        <w:rPr>
          <w:rFonts w:hint="cs"/>
          <w:rtl/>
        </w:rPr>
        <w:t>ا</w:t>
      </w:r>
      <w:r w:rsidR="00CC6259" w:rsidRPr="004F0693">
        <w:rPr>
          <w:rtl/>
        </w:rPr>
        <w:t>سة مشروع القانون الخاص بالعمال المنزليين ليتوافق مع أحكام الاتفاقية ومعايير العمل الدولية وما</w:t>
      </w:r>
      <w:r w:rsidR="00FD29C7">
        <w:rPr>
          <w:rFonts w:hint="cs"/>
          <w:rtl/>
        </w:rPr>
        <w:t xml:space="preserve"> </w:t>
      </w:r>
      <w:r w:rsidR="00CC6259" w:rsidRPr="004F0693">
        <w:rPr>
          <w:rtl/>
        </w:rPr>
        <w:t>زال مشروع القانون قيد الاجراءات التشريعية.</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sidR="00CC6259" w:rsidRPr="004F0693">
        <w:rPr>
          <w:rtl/>
        </w:rPr>
        <w:t>أما عن القواعد التي تحكم تشغيل العمال المنزليين حاليا، فبالرغم من خروج هذه الفئة عن نطاق تطبيق قانون العمل، إلا أنها تخضع لأحكام القانون المدني، كما ينظم العلاقة التعاقدية مع صاحب العمل العقود النموذجية الملحقة بالاتفاقيات الثنائية، والتي وقعتها دولة قطر مع الدول المرسلة للعمالة.</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CC6259" w:rsidRPr="004F0693">
        <w:rPr>
          <w:rtl/>
        </w:rPr>
        <w:t>وتقوم وزارة التنمية الإدارية والعمل والشؤون الاجتماعية بالتصديق على عقود المستخدمين بالمنازل بالرغم من عدم خضوعهم لأحكام قانون العمل القطري وذلك للمحافظة على حقوقهم المنصوصة في تلك العقود، كما تقوم الوزارة بمتابعة عمل مكاتب استقدام العمالة المنزلية والتفتيش عليها بصوره دورية ومفاجئة للتحقق من عدم استغلال هذه العمالة والحفاظ على حقوقهم، وقد تم اغلاق عدد من مكاتب استقدام للعمالة المنزلية بسبب مخالفتهم لأحكام قانون العمل والقرار الوزاري المنظم لعمل تلك المكاتب.</w:t>
      </w:r>
    </w:p>
    <w:p w:rsidR="00CC6259" w:rsidRPr="004F0693" w:rsidRDefault="003C6C42" w:rsidP="003C6C42">
      <w:pPr>
        <w:pStyle w:val="SingleTxt"/>
        <w:rPr>
          <w:rtl/>
        </w:rPr>
      </w:pPr>
      <w:r>
        <w:rPr>
          <w:rFonts w:hint="cs"/>
          <w:rtl/>
        </w:rPr>
        <w:tab/>
      </w:r>
      <w:r w:rsidR="00CC6259" w:rsidRPr="004F0693">
        <w:rPr>
          <w:rtl/>
        </w:rPr>
        <w:t>(ب)</w:t>
      </w:r>
      <w:r>
        <w:rPr>
          <w:rFonts w:hint="cs"/>
          <w:rtl/>
        </w:rPr>
        <w:tab/>
      </w:r>
      <w:r w:rsidR="00CC6259" w:rsidRPr="003C6C42">
        <w:rPr>
          <w:b/>
          <w:bCs/>
          <w:rtl/>
        </w:rPr>
        <w:t>تتخذ خطوات فورية لإلغاء نظام الكفالة، وإلغاء الأحكام التي تفرض عقوبات جنائية في حالة الفرار، وتلتمس مساعدة تقنية من منظمة العمل الدولية عند الضرورة:</w:t>
      </w:r>
    </w:p>
    <w:p w:rsidR="00CC6259" w:rsidRPr="004F0693" w:rsidRDefault="003C6C42" w:rsidP="00FD29C7">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CC6259" w:rsidRPr="004F0693">
        <w:rPr>
          <w:rtl/>
        </w:rPr>
        <w:t xml:space="preserve">لقد صدر القانون رقم (21) لسنة 2015 بتنظيم دخول وخروج الوافدين وإقامتهم، بتاريخ 27/10/2015، وبموجب هذا القانون فقد تم إلغاء نظام الكفالة والاستعاضة عنه بعقد العمل، بالإضافة إلى إلغاء مسمى </w:t>
      </w:r>
      <w:r w:rsidR="007A55A4">
        <w:rPr>
          <w:rFonts w:hint="cs"/>
          <w:rtl/>
        </w:rPr>
        <w:t>”</w:t>
      </w:r>
      <w:r w:rsidR="00CC6259" w:rsidRPr="004F0693">
        <w:rPr>
          <w:rtl/>
        </w:rPr>
        <w:t>رب العمل</w:t>
      </w:r>
      <w:r w:rsidR="007A55A4">
        <w:rPr>
          <w:rFonts w:hint="cs"/>
          <w:rtl/>
        </w:rPr>
        <w:t>“</w:t>
      </w:r>
      <w:r w:rsidR="00CC6259" w:rsidRPr="004F0693">
        <w:rPr>
          <w:rtl/>
        </w:rPr>
        <w:t xml:space="preserve">، واعتماد مسمى </w:t>
      </w:r>
      <w:r w:rsidR="007A55A4">
        <w:rPr>
          <w:rFonts w:hint="cs"/>
          <w:rtl/>
        </w:rPr>
        <w:t>”</w:t>
      </w:r>
      <w:r w:rsidR="00CC6259" w:rsidRPr="004F0693">
        <w:rPr>
          <w:rtl/>
        </w:rPr>
        <w:t>صاحب العمل</w:t>
      </w:r>
      <w:r w:rsidR="007A55A4">
        <w:rPr>
          <w:rFonts w:hint="cs"/>
          <w:rtl/>
        </w:rPr>
        <w:t>“</w:t>
      </w:r>
      <w:r w:rsidR="00CC6259" w:rsidRPr="004F0693">
        <w:rPr>
          <w:rtl/>
        </w:rPr>
        <w:t xml:space="preserve">، حيث يجيز القانون الجديد انتقال العامل الوافد إلى صاحب عمل آخر بعد انتهاء عقد العمل محدد المدة، علما بأن الحد الأقصى للعقد محدد المدة هو خمس سنوات وفقا لما تقضي به المادة (40) من قانون العمل، </w:t>
      </w:r>
      <w:r w:rsidR="00FD29C7" w:rsidRPr="004F0693">
        <w:rPr>
          <w:rtl/>
        </w:rPr>
        <w:t>أما</w:t>
      </w:r>
      <w:r w:rsidR="00FD29C7">
        <w:rPr>
          <w:rFonts w:hint="cs"/>
          <w:rtl/>
        </w:rPr>
        <w:t> </w:t>
      </w:r>
      <w:r w:rsidR="00CC6259" w:rsidRPr="004F0693">
        <w:rPr>
          <w:rtl/>
        </w:rPr>
        <w:t>بالنسبة للعقود غير محددة المدة فإن القانون قد أجاز انتقال العامل الوافد إلى عمل جديد بعد مضي خمس سنوات من التعيين.</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CC6259" w:rsidRPr="004F0693">
        <w:rPr>
          <w:rtl/>
        </w:rPr>
        <w:t>وقد تضمن القانون أيضا إلغاء مأذونية الخروج، بحيث يتم السماح للعامل بطلب التصريح بالخروج من الجهة الحكومية المختصة دون الرجوع لصاحب العمل.</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00CC6259" w:rsidRPr="004F0693">
        <w:rPr>
          <w:rtl/>
        </w:rPr>
        <w:t>وسوف يدخل القانون حيز النفاذ ويتم تطبيقه بعد سنة من تاريخ نشره في الجريدة الرسمية، علما بأنه قد ن</w:t>
      </w:r>
      <w:r w:rsidR="00FD29C7">
        <w:rPr>
          <w:rFonts w:hint="cs"/>
          <w:rtl/>
        </w:rPr>
        <w:t>ُ</w:t>
      </w:r>
      <w:r w:rsidR="00CC6259" w:rsidRPr="004F0693">
        <w:rPr>
          <w:rtl/>
        </w:rPr>
        <w:t>شر بالعدد (19) لسنة 2015، بتاريخ 13/12/2015.</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lang w:bidi="ar-QA"/>
        </w:rPr>
        <w:tab/>
      </w:r>
      <w:r>
        <w:rPr>
          <w:rFonts w:hint="eastAsia"/>
          <w:rtl/>
          <w:lang w:bidi="ar-QA"/>
        </w:rPr>
        <w:t>•</w:t>
      </w:r>
      <w:r>
        <w:rPr>
          <w:rFonts w:hint="eastAsia"/>
          <w:rtl/>
          <w:lang w:bidi="ar-QA"/>
        </w:rPr>
        <w:tab/>
      </w:r>
      <w:r w:rsidR="00CC6259" w:rsidRPr="004F0693">
        <w:rPr>
          <w:rtl/>
          <w:lang w:bidi="ar-QA"/>
        </w:rPr>
        <w:t>أما بالنسبة لالتماس المساعدة من منظمة العمل الدولية، فإن دولة قطر لديها حاليا مشروعاً للتعاون الفني مع منظمة العمل الدولية، يتضمن التعاون في المسائل الخاصة بحماية حقوق العمال.</w:t>
      </w:r>
    </w:p>
    <w:p w:rsidR="00CC6259" w:rsidRPr="004F0693" w:rsidRDefault="003C6C42" w:rsidP="003C6C42">
      <w:pPr>
        <w:pStyle w:val="SingleTxt"/>
        <w:rPr>
          <w:rtl/>
          <w:lang w:bidi="ar-QA"/>
        </w:rPr>
      </w:pPr>
      <w:r>
        <w:rPr>
          <w:rFonts w:hint="cs"/>
          <w:rtl/>
          <w:lang w:bidi="ar-QA"/>
        </w:rPr>
        <w:tab/>
      </w:r>
      <w:r w:rsidR="00CC6259" w:rsidRPr="004F0693">
        <w:rPr>
          <w:rtl/>
          <w:lang w:bidi="ar-QA"/>
        </w:rPr>
        <w:t>(ج)</w:t>
      </w:r>
      <w:r>
        <w:rPr>
          <w:rFonts w:hint="cs"/>
          <w:rtl/>
          <w:lang w:bidi="ar-QA"/>
        </w:rPr>
        <w:tab/>
      </w:r>
      <w:r w:rsidR="00CC6259" w:rsidRPr="003C6C42">
        <w:rPr>
          <w:b/>
          <w:bCs/>
          <w:rtl/>
          <w:lang w:bidi="ar-QA"/>
        </w:rPr>
        <w:t>تجري عمليات تفتيش في أماكن العمل حيثما يشكو العمال المهاجرون، بمن فيهم خادمات المنازل من الانتهاكات، وتجري تحقيقاً بصورة منتظمة في جميع ادعاءات الاستغلال والاعتداء والعنف ضد خادمات المنازل المهاجرات، وتقاضي أصحاب العمل ووكلاءهم المتعسفين أو المستغلين، وتوقع عليهم العقاب المناسب</w:t>
      </w:r>
      <w:r w:rsidR="00CC6259" w:rsidRPr="004F0693">
        <w:rPr>
          <w:rtl/>
          <w:lang w:bidi="ar-QA"/>
        </w:rPr>
        <w:t>:</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Fonts w:hint="eastAsia"/>
          <w:rtl/>
        </w:rPr>
        <w:tab/>
      </w:r>
      <w:r w:rsidR="00CC6259" w:rsidRPr="004F0693">
        <w:rPr>
          <w:rtl/>
        </w:rPr>
        <w:t>تولي دولة قطر اهتماما بالغا بمهمة تفتيش العمل، لضمان إنفاذ القوانين التي توفر الحماية للعمال المتواجدين بالدولة، ونتيجة لهذا الاهتمام فإن عدد مفتشي العمل في ازدياد مستمر بشكل ملحوظ، حيث وصل عددهم إلى (294) مفتشا، وقد جاءت الحاجة إلى زيادة عدد المفتشين نتيجة لزيادة عدد الشركات والمنشآت الخاضعة للتفتيش، بسبب النمو الاقتصادي السريع وما نتج عنه من توسع في الحركة العمرانية والمشاريع الاستثمارية</w:t>
      </w:r>
      <w:r w:rsidR="00CC6259" w:rsidRPr="004F0693">
        <w:t>.</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CC6259" w:rsidRPr="004F0693">
        <w:rPr>
          <w:rtl/>
        </w:rPr>
        <w:t>إن الدولة دائمة السعي لتعزيز كفاءة تفتيش العمل، عن طريق اتخاذ خطوات متلاحقة في هذا الشأن، ولقد عززت هذه الخطوات بشكل كبير دور تفتيش العمل بالوزارة، ونتيجة لذلك فقد تمكنت إدارة تفتيش العمل من التوسع جغرافيا</w:t>
      </w:r>
      <w:r w:rsidR="00CC6259" w:rsidRPr="004F0693">
        <w:t>.</w:t>
      </w:r>
    </w:p>
    <w:p w:rsidR="00CC6259" w:rsidRPr="004F0693" w:rsidRDefault="003C6C42" w:rsidP="00207B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CC6259" w:rsidRPr="004F0693">
        <w:rPr>
          <w:rtl/>
        </w:rPr>
        <w:t>وبهدف رفع كفاءة إدارة تفتيش العمل وضمان قيام مفتشي العمل بدورهم أثناء الزيارة التفتيشية على أكمل وجه، فقد تم توفير أجهزة ك</w:t>
      </w:r>
      <w:r w:rsidR="00207BF6">
        <w:rPr>
          <w:rFonts w:hint="cs"/>
          <w:rtl/>
        </w:rPr>
        <w:t>ا</w:t>
      </w:r>
      <w:r w:rsidR="00CC6259" w:rsidRPr="004F0693">
        <w:rPr>
          <w:rtl/>
        </w:rPr>
        <w:t>فية حديثة التقنية تمك</w:t>
      </w:r>
      <w:r w:rsidR="00207BF6">
        <w:rPr>
          <w:rFonts w:hint="cs"/>
          <w:rtl/>
        </w:rPr>
        <w:t>ِّ</w:t>
      </w:r>
      <w:r w:rsidR="00CC6259" w:rsidRPr="004F0693">
        <w:rPr>
          <w:rtl/>
        </w:rPr>
        <w:t>ن المفتش من إدخال المعلومات وإرسال التقارير مباشرة من موقع التفتيش في الشركة أو المؤسسة، وقد ساهم هذا الإجراء كثيراً في اختصار الوقت والجهد للمفتش خلافاً ما كان عليه في السابق، حيث كان يقوم بإدخال البيانات والمعلومات وكتابة التقرير يدويا عند عودته إلى مكتبه</w:t>
      </w:r>
      <w:r w:rsidR="00207BF6">
        <w:rPr>
          <w:rFonts w:hint="cs"/>
          <w:rtl/>
        </w:rPr>
        <w:t>،</w:t>
      </w:r>
      <w:r w:rsidR="00207BF6" w:rsidRPr="004F0693">
        <w:rPr>
          <w:rtl/>
        </w:rPr>
        <w:t xml:space="preserve"> </w:t>
      </w:r>
      <w:r w:rsidR="00CC6259" w:rsidRPr="004F0693">
        <w:rPr>
          <w:rtl/>
        </w:rPr>
        <w:t>ونتيجة لهذه التقنية، يستطيع المفتش حاليا أن يتنقل لعدة مواقع عمل و</w:t>
      </w:r>
      <w:r w:rsidR="00207BF6">
        <w:rPr>
          <w:rFonts w:hint="cs"/>
          <w:rtl/>
        </w:rPr>
        <w:t>أ</w:t>
      </w:r>
      <w:r w:rsidR="00CC6259" w:rsidRPr="004F0693">
        <w:rPr>
          <w:rtl/>
        </w:rPr>
        <w:t>ن يدخل البيانات والمعلومات ويرسل التقارير مباشرة من مكان أو موقع الزيارة التفتيشية، كما يجري حاليا التنسيق مع الجهات المعنية للعمل على ربط تلك الأجهزة بنظام الخرائط الخاص بالدولة، لتسهيل الوصول إلى المنشآت الخاضعة للتفتيش بكل سرعة ودقة.</w:t>
      </w:r>
    </w:p>
    <w:p w:rsidR="00CC6259" w:rsidRDefault="00CC6259" w:rsidP="003C6C42">
      <w:pPr>
        <w:pStyle w:val="SingleTxt"/>
        <w:rPr>
          <w:rtl/>
        </w:rPr>
      </w:pPr>
      <w:r w:rsidRPr="004F0693">
        <w:rPr>
          <w:rtl/>
        </w:rPr>
        <w:t>والجدول أدناه إحصائية بالزيارات التفتيشية حسب نوع ونتيجة التفتيش لعام 2015:</w:t>
      </w:r>
    </w:p>
    <w:p w:rsidR="003C6C42" w:rsidRPr="003C6C42" w:rsidRDefault="003C6C42" w:rsidP="003C6C42">
      <w:pPr>
        <w:pStyle w:val="SingleTxt"/>
        <w:spacing w:after="0" w:line="120" w:lineRule="exact"/>
        <w:rPr>
          <w:sz w:val="10"/>
          <w:rtl/>
        </w:rPr>
      </w:pPr>
    </w:p>
    <w:tbl>
      <w:tblPr>
        <w:bidiVisual/>
        <w:tblW w:w="8582" w:type="dxa"/>
        <w:tblInd w:w="1260" w:type="dxa"/>
        <w:tblLayout w:type="fixed"/>
        <w:tblCellMar>
          <w:left w:w="0" w:type="dxa"/>
          <w:right w:w="0" w:type="dxa"/>
        </w:tblCellMar>
        <w:tblLook w:val="0000" w:firstRow="0" w:lastRow="0" w:firstColumn="0" w:lastColumn="0" w:noHBand="0" w:noVBand="0"/>
      </w:tblPr>
      <w:tblGrid>
        <w:gridCol w:w="2145"/>
        <w:gridCol w:w="2146"/>
        <w:gridCol w:w="2145"/>
        <w:gridCol w:w="2146"/>
      </w:tblGrid>
      <w:tr w:rsidR="003C6C42" w:rsidRPr="003C6C42" w:rsidTr="0062371F">
        <w:trPr>
          <w:cantSplit/>
          <w:tblHeader/>
        </w:trPr>
        <w:tc>
          <w:tcPr>
            <w:tcW w:w="2145" w:type="dxa"/>
            <w:tcBorders>
              <w:top w:val="single" w:sz="4" w:space="0" w:color="auto"/>
              <w:bottom w:val="single" w:sz="12" w:space="0" w:color="auto"/>
            </w:tcBorders>
            <w:shd w:val="clear" w:color="auto" w:fill="C6D9F1" w:themeFill="text2" w:themeFillTint="33"/>
            <w:vAlign w:val="bottom"/>
          </w:tcPr>
          <w:p w:rsidR="003C6C42" w:rsidRPr="003C6C42" w:rsidRDefault="003C6C42" w:rsidP="00207BF6">
            <w:pPr>
              <w:tabs>
                <w:tab w:val="left" w:pos="288"/>
                <w:tab w:val="left" w:pos="576"/>
                <w:tab w:val="left" w:pos="864"/>
                <w:tab w:val="left" w:pos="1152"/>
              </w:tabs>
              <w:spacing w:before="80" w:after="80" w:line="240" w:lineRule="exact"/>
              <w:ind w:right="40"/>
              <w:rPr>
                <w:i/>
                <w:iCs/>
                <w:sz w:val="16"/>
                <w:szCs w:val="24"/>
                <w:rtl/>
              </w:rPr>
            </w:pPr>
            <w:r>
              <w:rPr>
                <w:rFonts w:hint="cs"/>
                <w:i/>
                <w:iCs/>
                <w:sz w:val="16"/>
                <w:szCs w:val="24"/>
                <w:rtl/>
              </w:rPr>
              <w:t>نوع ونت</w:t>
            </w:r>
            <w:r w:rsidR="00207BF6">
              <w:rPr>
                <w:rFonts w:hint="cs"/>
                <w:i/>
                <w:iCs/>
                <w:sz w:val="16"/>
                <w:szCs w:val="24"/>
                <w:rtl/>
              </w:rPr>
              <w:t>ي</w:t>
            </w:r>
            <w:r>
              <w:rPr>
                <w:rFonts w:hint="cs"/>
                <w:i/>
                <w:iCs/>
                <w:sz w:val="16"/>
                <w:szCs w:val="24"/>
                <w:rtl/>
              </w:rPr>
              <w:t>جة التفتيش</w:t>
            </w:r>
          </w:p>
        </w:tc>
        <w:tc>
          <w:tcPr>
            <w:tcW w:w="2146" w:type="dxa"/>
            <w:tcBorders>
              <w:top w:val="single" w:sz="4" w:space="0" w:color="auto"/>
              <w:bottom w:val="single" w:sz="12" w:space="0" w:color="auto"/>
            </w:tcBorders>
            <w:shd w:val="clear" w:color="auto" w:fill="C6D9F1" w:themeFill="text2" w:themeFillTint="33"/>
            <w:vAlign w:val="bottom"/>
          </w:tcPr>
          <w:p w:rsidR="003C6C42" w:rsidRPr="003C6C42" w:rsidRDefault="003C6C42" w:rsidP="003C6C42">
            <w:pPr>
              <w:tabs>
                <w:tab w:val="left" w:pos="288"/>
                <w:tab w:val="left" w:pos="576"/>
                <w:tab w:val="left" w:pos="864"/>
                <w:tab w:val="left" w:pos="1152"/>
              </w:tabs>
              <w:spacing w:before="80" w:after="80" w:line="240" w:lineRule="exact"/>
              <w:ind w:right="144"/>
              <w:rPr>
                <w:i/>
                <w:iCs/>
                <w:sz w:val="16"/>
                <w:szCs w:val="24"/>
                <w:rtl/>
              </w:rPr>
            </w:pPr>
            <w:r>
              <w:rPr>
                <w:rFonts w:hint="cs"/>
                <w:i/>
                <w:iCs/>
                <w:sz w:val="16"/>
                <w:szCs w:val="24"/>
                <w:rtl/>
              </w:rPr>
              <w:t>التفتيش العمالي</w:t>
            </w:r>
          </w:p>
        </w:tc>
        <w:tc>
          <w:tcPr>
            <w:tcW w:w="2145" w:type="dxa"/>
            <w:tcBorders>
              <w:top w:val="single" w:sz="4" w:space="0" w:color="auto"/>
              <w:bottom w:val="single" w:sz="12" w:space="0" w:color="auto"/>
            </w:tcBorders>
            <w:shd w:val="clear" w:color="auto" w:fill="C6D9F1" w:themeFill="text2" w:themeFillTint="33"/>
            <w:vAlign w:val="bottom"/>
          </w:tcPr>
          <w:p w:rsidR="003C6C42" w:rsidRPr="003C6C42" w:rsidRDefault="003C6C42" w:rsidP="003C6C42">
            <w:pPr>
              <w:tabs>
                <w:tab w:val="left" w:pos="288"/>
                <w:tab w:val="left" w:pos="576"/>
                <w:tab w:val="left" w:pos="864"/>
                <w:tab w:val="left" w:pos="1152"/>
              </w:tabs>
              <w:spacing w:before="80" w:after="80" w:line="240" w:lineRule="exact"/>
              <w:ind w:right="144"/>
              <w:rPr>
                <w:i/>
                <w:iCs/>
                <w:sz w:val="16"/>
                <w:szCs w:val="24"/>
                <w:rtl/>
              </w:rPr>
            </w:pPr>
            <w:r>
              <w:rPr>
                <w:rFonts w:hint="cs"/>
                <w:i/>
                <w:iCs/>
                <w:sz w:val="16"/>
                <w:szCs w:val="24"/>
                <w:rtl/>
              </w:rPr>
              <w:t>تفتيش الصحة والسلامة</w:t>
            </w:r>
          </w:p>
        </w:tc>
        <w:tc>
          <w:tcPr>
            <w:tcW w:w="2146" w:type="dxa"/>
            <w:tcBorders>
              <w:top w:val="single" w:sz="4" w:space="0" w:color="auto"/>
              <w:bottom w:val="single" w:sz="12" w:space="0" w:color="auto"/>
            </w:tcBorders>
            <w:shd w:val="clear" w:color="auto" w:fill="C6D9F1" w:themeFill="text2" w:themeFillTint="33"/>
            <w:vAlign w:val="bottom"/>
          </w:tcPr>
          <w:p w:rsidR="003C6C42" w:rsidRPr="003C6C42" w:rsidRDefault="003C6C42" w:rsidP="003C6C42">
            <w:pPr>
              <w:tabs>
                <w:tab w:val="left" w:pos="288"/>
                <w:tab w:val="left" w:pos="576"/>
                <w:tab w:val="left" w:pos="864"/>
                <w:tab w:val="left" w:pos="1152"/>
              </w:tabs>
              <w:spacing w:before="80" w:after="80" w:line="240" w:lineRule="exact"/>
              <w:ind w:right="144"/>
              <w:rPr>
                <w:i/>
                <w:iCs/>
                <w:sz w:val="16"/>
                <w:szCs w:val="24"/>
                <w:rtl/>
              </w:rPr>
            </w:pPr>
            <w:r>
              <w:rPr>
                <w:rFonts w:hint="cs"/>
                <w:i/>
                <w:iCs/>
                <w:sz w:val="16"/>
                <w:szCs w:val="24"/>
                <w:rtl/>
              </w:rPr>
              <w:t>إجمالي الزيارات</w:t>
            </w:r>
          </w:p>
        </w:tc>
      </w:tr>
      <w:tr w:rsidR="003C6C42" w:rsidRPr="003C6C42" w:rsidTr="003C6C42">
        <w:trPr>
          <w:cantSplit/>
          <w:trHeight w:hRule="exact" w:val="115"/>
          <w:tblHeader/>
        </w:trPr>
        <w:tc>
          <w:tcPr>
            <w:tcW w:w="2145" w:type="dxa"/>
            <w:tcBorders>
              <w:top w:val="single" w:sz="12" w:space="0" w:color="auto"/>
            </w:tcBorders>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40"/>
              <w:rPr>
                <w:sz w:val="16"/>
                <w:szCs w:val="24"/>
                <w:rtl/>
              </w:rPr>
            </w:pPr>
          </w:p>
        </w:tc>
        <w:tc>
          <w:tcPr>
            <w:tcW w:w="2146" w:type="dxa"/>
            <w:tcBorders>
              <w:top w:val="single" w:sz="12" w:space="0" w:color="auto"/>
            </w:tcBorders>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p>
        </w:tc>
        <w:tc>
          <w:tcPr>
            <w:tcW w:w="2145" w:type="dxa"/>
            <w:tcBorders>
              <w:top w:val="single" w:sz="12" w:space="0" w:color="auto"/>
            </w:tcBorders>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p>
        </w:tc>
        <w:tc>
          <w:tcPr>
            <w:tcW w:w="2146" w:type="dxa"/>
            <w:tcBorders>
              <w:top w:val="single" w:sz="12" w:space="0" w:color="auto"/>
            </w:tcBorders>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p>
        </w:tc>
      </w:tr>
      <w:tr w:rsidR="003C6C42" w:rsidRPr="003C6C42" w:rsidTr="003C6C42">
        <w:trPr>
          <w:cantSplit/>
        </w:trPr>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40"/>
              <w:rPr>
                <w:sz w:val="16"/>
                <w:szCs w:val="24"/>
                <w:rtl/>
              </w:rPr>
            </w:pPr>
            <w:r>
              <w:rPr>
                <w:rFonts w:hint="cs"/>
                <w:sz w:val="16"/>
                <w:szCs w:val="24"/>
                <w:rtl/>
              </w:rPr>
              <w:t>مقبول</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768 23</w:t>
            </w:r>
          </w:p>
        </w:tc>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799 11</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567 35</w:t>
            </w:r>
          </w:p>
        </w:tc>
      </w:tr>
      <w:tr w:rsidR="003C6C42" w:rsidRPr="003C6C42" w:rsidTr="003C6C42">
        <w:trPr>
          <w:cantSplit/>
        </w:trPr>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40"/>
              <w:rPr>
                <w:sz w:val="16"/>
                <w:szCs w:val="24"/>
                <w:rtl/>
              </w:rPr>
            </w:pPr>
            <w:r>
              <w:rPr>
                <w:rFonts w:hint="cs"/>
                <w:sz w:val="16"/>
                <w:szCs w:val="24"/>
                <w:rtl/>
              </w:rPr>
              <w:t>تنبيه بإزالة مخالفة</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419 11</w:t>
            </w:r>
          </w:p>
        </w:tc>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45 8</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877 19</w:t>
            </w:r>
          </w:p>
        </w:tc>
      </w:tr>
      <w:tr w:rsidR="003C6C42" w:rsidRPr="003C6C42" w:rsidTr="003C6C42">
        <w:trPr>
          <w:cantSplit/>
        </w:trPr>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40"/>
              <w:rPr>
                <w:sz w:val="16"/>
                <w:szCs w:val="24"/>
                <w:rtl/>
              </w:rPr>
            </w:pPr>
            <w:r>
              <w:rPr>
                <w:rFonts w:hint="cs"/>
                <w:sz w:val="16"/>
                <w:szCs w:val="24"/>
                <w:rtl/>
              </w:rPr>
              <w:t>حظر</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731</w:t>
            </w:r>
          </w:p>
        </w:tc>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177</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908</w:t>
            </w:r>
          </w:p>
        </w:tc>
      </w:tr>
      <w:tr w:rsidR="003C6C42" w:rsidRPr="003C6C42" w:rsidTr="003C6C42">
        <w:trPr>
          <w:cantSplit/>
        </w:trPr>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40"/>
              <w:rPr>
                <w:sz w:val="16"/>
                <w:szCs w:val="24"/>
                <w:rtl/>
              </w:rPr>
            </w:pPr>
            <w:r>
              <w:rPr>
                <w:rFonts w:hint="cs"/>
                <w:sz w:val="16"/>
                <w:szCs w:val="24"/>
                <w:rtl/>
              </w:rPr>
              <w:t>محضر</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318</w:t>
            </w:r>
          </w:p>
        </w:tc>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342</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660</w:t>
            </w:r>
          </w:p>
        </w:tc>
      </w:tr>
      <w:tr w:rsidR="003C6C42" w:rsidRPr="003C6C42" w:rsidTr="003C6C42">
        <w:trPr>
          <w:cantSplit/>
        </w:trPr>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40"/>
              <w:rPr>
                <w:sz w:val="16"/>
                <w:szCs w:val="24"/>
                <w:rtl/>
              </w:rPr>
            </w:pPr>
            <w:r>
              <w:rPr>
                <w:rFonts w:hint="cs"/>
                <w:sz w:val="16"/>
                <w:szCs w:val="24"/>
                <w:rtl/>
              </w:rPr>
              <w:t>إجمالي الزيارات التفتيشية</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236 36</w:t>
            </w:r>
          </w:p>
        </w:tc>
        <w:tc>
          <w:tcPr>
            <w:tcW w:w="2145"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776 20</w:t>
            </w:r>
          </w:p>
        </w:tc>
        <w:tc>
          <w:tcPr>
            <w:tcW w:w="2146" w:type="dxa"/>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012 57</w:t>
            </w:r>
          </w:p>
        </w:tc>
      </w:tr>
      <w:tr w:rsidR="003C6C42" w:rsidRPr="003C6C42" w:rsidTr="0062371F">
        <w:trPr>
          <w:cantSplit/>
        </w:trPr>
        <w:tc>
          <w:tcPr>
            <w:tcW w:w="2145" w:type="dxa"/>
            <w:tcBorders>
              <w:bottom w:val="single" w:sz="12" w:space="0" w:color="auto"/>
            </w:tcBorders>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40"/>
              <w:rPr>
                <w:sz w:val="16"/>
                <w:szCs w:val="24"/>
                <w:rtl/>
              </w:rPr>
            </w:pPr>
            <w:r>
              <w:rPr>
                <w:rFonts w:hint="cs"/>
                <w:sz w:val="16"/>
                <w:szCs w:val="24"/>
                <w:rtl/>
              </w:rPr>
              <w:t>عدد المنشآت لتلك الزيارات</w:t>
            </w:r>
          </w:p>
        </w:tc>
        <w:tc>
          <w:tcPr>
            <w:tcW w:w="2146" w:type="dxa"/>
            <w:tcBorders>
              <w:bottom w:val="single" w:sz="12" w:space="0" w:color="auto"/>
            </w:tcBorders>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652 23</w:t>
            </w:r>
          </w:p>
        </w:tc>
        <w:tc>
          <w:tcPr>
            <w:tcW w:w="2145" w:type="dxa"/>
            <w:tcBorders>
              <w:bottom w:val="single" w:sz="12" w:space="0" w:color="auto"/>
            </w:tcBorders>
            <w:shd w:val="clear" w:color="auto" w:fill="auto"/>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r>
              <w:rPr>
                <w:rFonts w:hint="cs"/>
                <w:sz w:val="16"/>
                <w:szCs w:val="24"/>
                <w:rtl/>
              </w:rPr>
              <w:t>471 4</w:t>
            </w:r>
          </w:p>
        </w:tc>
        <w:tc>
          <w:tcPr>
            <w:tcW w:w="2146" w:type="dxa"/>
            <w:tcBorders>
              <w:bottom w:val="single" w:sz="12" w:space="0" w:color="auto"/>
            </w:tcBorders>
            <w:shd w:val="clear" w:color="auto" w:fill="948A54" w:themeFill="background2" w:themeFillShade="80"/>
            <w:vAlign w:val="bottom"/>
          </w:tcPr>
          <w:p w:rsidR="003C6C42" w:rsidRPr="003C6C42" w:rsidRDefault="003C6C42" w:rsidP="003C6C42">
            <w:pPr>
              <w:tabs>
                <w:tab w:val="left" w:pos="288"/>
                <w:tab w:val="left" w:pos="576"/>
                <w:tab w:val="left" w:pos="864"/>
                <w:tab w:val="left" w:pos="1152"/>
              </w:tabs>
              <w:spacing w:before="40" w:after="80" w:line="240" w:lineRule="exact"/>
              <w:ind w:right="144"/>
              <w:rPr>
                <w:sz w:val="16"/>
                <w:szCs w:val="24"/>
                <w:rtl/>
              </w:rPr>
            </w:pPr>
          </w:p>
        </w:tc>
      </w:tr>
    </w:tbl>
    <w:p w:rsidR="003C6C42" w:rsidRPr="00F72BF7" w:rsidRDefault="003C6C42" w:rsidP="00F72BF7">
      <w:pPr>
        <w:pStyle w:val="SingleTxt"/>
        <w:spacing w:after="0" w:line="120" w:lineRule="exact"/>
        <w:rPr>
          <w:sz w:val="10"/>
          <w:rtl/>
        </w:rPr>
      </w:pPr>
    </w:p>
    <w:p w:rsidR="00CC6259" w:rsidRPr="004F0693" w:rsidRDefault="003C6C42" w:rsidP="003C6C42">
      <w:pPr>
        <w:pStyle w:val="SingleTxt"/>
        <w:rPr>
          <w:lang w:bidi="ar-QA"/>
        </w:rPr>
      </w:pPr>
      <w:r>
        <w:rPr>
          <w:rFonts w:hint="cs"/>
          <w:rtl/>
          <w:lang w:bidi="ar-QA"/>
        </w:rPr>
        <w:tab/>
      </w:r>
      <w:r w:rsidR="00CC6259" w:rsidRPr="004F0693">
        <w:rPr>
          <w:rtl/>
          <w:lang w:bidi="ar-QA"/>
        </w:rPr>
        <w:t>(د)</w:t>
      </w:r>
      <w:r>
        <w:rPr>
          <w:rFonts w:hint="cs"/>
          <w:rtl/>
          <w:lang w:bidi="ar-QA"/>
        </w:rPr>
        <w:tab/>
      </w:r>
      <w:r w:rsidR="00CC6259" w:rsidRPr="003C6C42">
        <w:rPr>
          <w:b/>
          <w:bCs/>
          <w:rtl/>
          <w:lang w:bidi="ar-QA"/>
        </w:rPr>
        <w:t>ترصد امتثال صاحب العمل للمادة (9) من قانون تنظيم دخول وخروج الوافدين وإقامتهم وكفالتهم، والتي تطالب الكفيل بإعادة جوازات السفر للعمال المهاجرين ومعاقبة أصحاب العمل الذين يخالفون هذا الحكم:</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 xml:space="preserve">إن المادة 8 من القانون رقم 21 لسنة 2015 بتنظيم دخول وخروج الوافدين وإقامتهم، تلزم صاحب العمل بتسليم العامل جواز أو وثيقة سفره عقب الانتهاء من إجراءات الإقامة أو تجديدها. </w:t>
      </w:r>
    </w:p>
    <w:p w:rsidR="00CC6259" w:rsidRPr="004F0693" w:rsidRDefault="003C6C42" w:rsidP="00207BF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وقد قضى هذا القانون في المادة (39) منه بتجريم احتجاز جواز سفر العامل الوافد، وفرض غرامة مالية تصل الى (</w:t>
      </w:r>
      <w:r w:rsidR="00207BF6">
        <w:rPr>
          <w:rFonts w:hint="cs"/>
          <w:rtl/>
          <w:lang w:bidi="ar-QA"/>
        </w:rPr>
        <w:t>000 25</w:t>
      </w:r>
      <w:r w:rsidR="00CC6259" w:rsidRPr="004F0693">
        <w:rPr>
          <w:rtl/>
          <w:lang w:bidi="ar-QA"/>
        </w:rPr>
        <w:t xml:space="preserve">) ريال على صاحب العمل المخالف. </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 xml:space="preserve">كما أن القرار الوزاري رقم 18 لسنة 2014 بتحديد اشتراطات ومواصفات السكن المناسب للعمال الوافدين، قد قضى بتخصيص أماكن آمنة يتوافر فيها مخازن قابلة للقفل بحيث يستطيع العمال الوصول إليها بحرية، وحفظ وثائقهم وممتلكاتهم الشخصية، بما في ذلك جوازات سفر العمال. </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cs"/>
          <w:rtl/>
          <w:lang w:bidi="ar-QA"/>
        </w:rPr>
        <w:tab/>
      </w:r>
      <w:r w:rsidR="00CC6259" w:rsidRPr="004F0693">
        <w:rPr>
          <w:rtl/>
          <w:lang w:bidi="ar-QA"/>
        </w:rPr>
        <w:t>ومن الناحية العملية، يوجد تنسيق بين كل من وزارة التنمية الادارية والعمل والشؤون الاجتماعية، ووزارة الداخلية، لضمان عدم احتجاز جوازات سفر العمال.</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علما بأن إدارة حقوق الانسان بوزارة الداخلية قد تلقت في عام 2015 عدد (168) شكوى بشأن حجز جواز سفر، وأحيلت ج</w:t>
      </w:r>
      <w:r>
        <w:rPr>
          <w:rtl/>
          <w:lang w:bidi="ar-QA"/>
        </w:rPr>
        <w:t>ميعها إلى النيابة العامة لاتخاذ</w:t>
      </w:r>
      <w:r>
        <w:rPr>
          <w:rFonts w:hint="cs"/>
          <w:rtl/>
          <w:lang w:bidi="ar-QA"/>
        </w:rPr>
        <w:t> </w:t>
      </w:r>
      <w:r w:rsidR="00CC6259" w:rsidRPr="004F0693">
        <w:rPr>
          <w:rtl/>
          <w:lang w:bidi="ar-QA"/>
        </w:rPr>
        <w:t>إجراءاتها.</w:t>
      </w:r>
    </w:p>
    <w:p w:rsidR="00CC6259" w:rsidRPr="004F0693" w:rsidRDefault="003C6C42" w:rsidP="003C6C42">
      <w:pPr>
        <w:pStyle w:val="SingleTxt"/>
        <w:rPr>
          <w:rtl/>
          <w:lang w:bidi="ar-QA"/>
        </w:rPr>
      </w:pPr>
      <w:r>
        <w:rPr>
          <w:rFonts w:hint="cs"/>
          <w:rtl/>
          <w:lang w:bidi="ar-QA"/>
        </w:rPr>
        <w:tab/>
      </w:r>
      <w:r w:rsidR="00CC6259" w:rsidRPr="004F0693">
        <w:rPr>
          <w:rtl/>
          <w:lang w:bidi="ar-QA"/>
        </w:rPr>
        <w:t>(هـ)</w:t>
      </w:r>
      <w:r>
        <w:rPr>
          <w:rFonts w:hint="cs"/>
          <w:rtl/>
          <w:lang w:bidi="ar-QA"/>
        </w:rPr>
        <w:tab/>
      </w:r>
      <w:r w:rsidR="00CC6259" w:rsidRPr="003C6C42">
        <w:rPr>
          <w:b/>
          <w:bCs/>
          <w:rtl/>
          <w:lang w:bidi="ar-QA"/>
        </w:rPr>
        <w:t>تضمن حصول العاملات المهاجرات على المعونة القانونية وآليات تقديم الشكاوى، وتوفر للعاملات المهاجرات مدعيات التعر</w:t>
      </w:r>
      <w:r w:rsidR="00207BF6">
        <w:rPr>
          <w:rFonts w:hint="cs"/>
          <w:b/>
          <w:bCs/>
          <w:rtl/>
          <w:lang w:bidi="ar-QA"/>
        </w:rPr>
        <w:t>ُّ</w:t>
      </w:r>
      <w:r w:rsidR="00CC6259" w:rsidRPr="003C6C42">
        <w:rPr>
          <w:b/>
          <w:bCs/>
          <w:rtl/>
          <w:lang w:bidi="ar-QA"/>
        </w:rPr>
        <w:t>ض للاعتداء والاستغلال فرص الوصول الفوري إلى الملاجئ وخدمات التأهيل:</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إن دولة قطر لديها آلية جيدة وفعالة في التعامل مع شكاوى العمالة الوافدة وتيسير الوصول إليها، فتتـم تسوية الشكاوى بين أصحاب العمل والعمال عن طريق الجهات المختصة.</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وبالرغم من عدم خضوع فئة العاملات المنزليات لقانون العمل، إلا أن قسم الشكاوى في إدارة حقوق الإنسان بوزارة الداخلية لا يدخر جهدا</w:t>
      </w:r>
      <w:r w:rsidR="00112860">
        <w:rPr>
          <w:rFonts w:hint="cs"/>
          <w:rtl/>
          <w:lang w:bidi="ar-QA"/>
        </w:rPr>
        <w:t>ً</w:t>
      </w:r>
      <w:r w:rsidR="00CC6259" w:rsidRPr="004F0693">
        <w:rPr>
          <w:rtl/>
          <w:lang w:bidi="ar-QA"/>
        </w:rPr>
        <w:t xml:space="preserve"> في سبيل تقديم الإرشاد والتوجيه وتبصير مراجعي الإدارة من المشتكين بالطرق القانونية، أمام الجهات الإدارية أو القضائية لاستيفاء استحقاقاتهم وتأمين حقوقهم.</w:t>
      </w:r>
    </w:p>
    <w:p w:rsidR="00CC6259" w:rsidRPr="004F0693" w:rsidRDefault="003C6C42" w:rsidP="003C6C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هذا إلى جانب نهج آخر اعتمدته كل من إدارة العلاقات العامة والإدارة العامة لجوازات المنافذ وشؤون الوافدين بوزارة الداخلية في التواصل مع الجاليات الأجنبية لتبصيرها بحقوق رعاياها من العمال الوافدين والتزاماتهم بموجب قانون العمل، وقانون تنظيم دخول وخروج الوافدين وإقامتهم وكفالتهم، بالإضافة إلى تواصل أقسام الشرطة المجتمعية مع الشركات والمسؤولين التنفيذيين فيها بما يترتب عليهم من التزامات لحماية حقوق العمالة الوافدة، وذلك في إطار المسؤولية الاجتماعية للشركات.</w:t>
      </w:r>
    </w:p>
    <w:p w:rsidR="00CC6259" w:rsidRPr="004F0693" w:rsidRDefault="003C6C42" w:rsidP="0011286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وبالإضافة إلى ما سبق، فإن اللجنة الوطنية لحقوق الإنسان تقوم بدورها في تلقي الشكاوى المتعلقة بحقوق هذه الفئة من العمال، والتنسيق مع الجهات المعنية للرد عليها، واستيفاء حقوق هؤلاء العمال.</w:t>
      </w:r>
    </w:p>
    <w:p w:rsidR="00CC6259" w:rsidRPr="004F0693" w:rsidRDefault="003C6C42" w:rsidP="0011286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علما بأن الدولة قد أنشأت مكتبا في المحاكم، يتبع وزارة التنمية الإدارية والعمل والشؤون الاجتماعية، لتقديم يد العون للعمال الراغبين في رفع دعاوى ضد أصحاب العمل لاستيفاء حقوقهم، وتقديم المساعدة القانونية لهم، مع توفير مترجمين يتحدثون باللغات التي يتحدث بها أغلب العمال بالدولة، وذلك دون أي رسوم يتحملها العامل.</w:t>
      </w:r>
    </w:p>
    <w:p w:rsidR="00CC6259" w:rsidRPr="004F0693" w:rsidRDefault="003C6C42" w:rsidP="003C6C42">
      <w:pPr>
        <w:pStyle w:val="SingleTxt"/>
        <w:rPr>
          <w:rtl/>
          <w:lang w:bidi="ar-QA"/>
        </w:rPr>
      </w:pPr>
      <w:r>
        <w:rPr>
          <w:rFonts w:hint="cs"/>
          <w:rtl/>
          <w:lang w:bidi="ar-QA"/>
        </w:rPr>
        <w:tab/>
      </w:r>
      <w:r w:rsidR="00CC6259" w:rsidRPr="004F0693">
        <w:rPr>
          <w:rtl/>
          <w:lang w:bidi="ar-QA"/>
        </w:rPr>
        <w:t>(و)</w:t>
      </w:r>
      <w:r>
        <w:rPr>
          <w:rFonts w:hint="cs"/>
          <w:rtl/>
          <w:lang w:bidi="ar-QA"/>
        </w:rPr>
        <w:tab/>
      </w:r>
      <w:r w:rsidR="00CC6259" w:rsidRPr="003C6C42">
        <w:rPr>
          <w:b/>
          <w:bCs/>
          <w:rtl/>
          <w:lang w:bidi="ar-QA"/>
        </w:rPr>
        <w:t>تنظر في التصديق على اتفاقية العمال المنزليين (2011)، رقم 189، لمنظمة العمل الدولية:</w:t>
      </w:r>
    </w:p>
    <w:p w:rsidR="00CC6259" w:rsidRDefault="003C6C42" w:rsidP="007A55A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QA"/>
        </w:rPr>
      </w:pPr>
      <w:r>
        <w:rPr>
          <w:rFonts w:hint="cs"/>
          <w:rtl/>
          <w:lang w:bidi="ar-QA"/>
        </w:rPr>
        <w:tab/>
      </w:r>
      <w:r>
        <w:rPr>
          <w:rFonts w:hint="eastAsia"/>
          <w:rtl/>
          <w:lang w:bidi="ar-QA"/>
        </w:rPr>
        <w:t>•</w:t>
      </w:r>
      <w:r>
        <w:rPr>
          <w:rFonts w:hint="eastAsia"/>
          <w:rtl/>
          <w:lang w:bidi="ar-QA"/>
        </w:rPr>
        <w:tab/>
      </w:r>
      <w:r w:rsidR="00CC6259" w:rsidRPr="004F0693">
        <w:rPr>
          <w:rtl/>
          <w:lang w:bidi="ar-QA"/>
        </w:rPr>
        <w:t>كما سبقت الإشارة أعلاه، فإن الدولة تقوم حاليا بدارسة مشروع القانون الخاص بالعمال المنزليين ليتوافق مع أحكام الاتفاقية ومعايير العمل الدولية وما</w:t>
      </w:r>
      <w:r w:rsidR="00112860">
        <w:rPr>
          <w:rFonts w:hint="cs"/>
          <w:rtl/>
          <w:lang w:bidi="ar-QA"/>
        </w:rPr>
        <w:t xml:space="preserve"> </w:t>
      </w:r>
      <w:bookmarkStart w:id="2" w:name="TmpSave"/>
      <w:bookmarkEnd w:id="2"/>
      <w:r w:rsidR="00CC6259" w:rsidRPr="004F0693">
        <w:rPr>
          <w:rtl/>
          <w:lang w:bidi="ar-QA"/>
        </w:rPr>
        <w:t>زال مشروع القانون قيد الاجراءات التشريعية، وبعد صدور القانون سوف يتم دراسة ملاءمة دراسة الاتفاقية.</w:t>
      </w:r>
    </w:p>
    <w:p w:rsidR="007A55A4" w:rsidRPr="007A55A4" w:rsidRDefault="007A55A4" w:rsidP="007A55A4">
      <w:pPr>
        <w:pStyle w:val="SingleTxt"/>
        <w:tabs>
          <w:tab w:val="clear" w:pos="1930"/>
          <w:tab w:val="clear" w:pos="2592"/>
          <w:tab w:val="clear" w:pos="3254"/>
          <w:tab w:val="clear" w:pos="3917"/>
          <w:tab w:val="clear" w:pos="4579"/>
          <w:tab w:val="clear" w:pos="5242"/>
          <w:tab w:val="clear" w:pos="5904"/>
          <w:tab w:val="clear" w:pos="6566"/>
          <w:tab w:val="right" w:pos="1757"/>
        </w:tabs>
        <w:spacing w:after="0" w:line="240" w:lineRule="auto"/>
        <w:ind w:left="1930" w:right="1267" w:hanging="662"/>
      </w:pPr>
      <w:r>
        <w:rPr>
          <w:rFonts w:hint="cs"/>
          <w:noProof/>
          <w:w w:val="100"/>
          <w:lang w:eastAsia="zh-CN"/>
        </w:rPr>
        <mc:AlternateContent>
          <mc:Choice Requires="wps">
            <w:drawing>
              <wp:anchor distT="0" distB="0" distL="114300" distR="114300" simplePos="0" relativeHeight="251667456" behindDoc="0" locked="0" layoutInCell="1" allowOverlap="1" wp14:anchorId="2A7E4542" wp14:editId="4933C945">
                <wp:simplePos x="0" y="0"/>
                <wp:positionH relativeFrom="column">
                  <wp:posOffset>2623820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CHSU7NoBAAAMBAAADgAAAAAAAAAAAAAAAAAuAgAAZHJzL2Uyb0RvYy54bWxQSwECLQAUAAYACAAA&#10;ACEAZdKW2t8AAAAJAQAADwAAAAAAAAAAAAAAAAA0BAAAZHJzL2Rvd25yZXYueG1sUEsFBgAAAAAE&#10;AAQA8wAAAEAFAAAAAA==&#10;" strokecolor="#010000" strokeweight=".25pt"/>
            </w:pict>
          </mc:Fallback>
        </mc:AlternateContent>
      </w:r>
    </w:p>
    <w:sectPr w:rsidR="007A55A4" w:rsidRPr="007A55A4" w:rsidSect="00C74F11">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9T12:13:00Z" w:initials="Start">
    <w:p w:rsidR="00C74F11" w:rsidRDefault="00C74F1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NO&gt;&gt;N1627425A&lt;&lt;ODS JOB NO</w:t>
      </w:r>
      <w:r>
        <w:rPr>
          <w:rtl/>
        </w:rPr>
        <w:t>&gt;&gt;</w:t>
      </w:r>
    </w:p>
    <w:p w:rsidR="00C74F11" w:rsidRDefault="00C74F11">
      <w:pPr>
        <w:pStyle w:val="CommentText"/>
        <w:rPr>
          <w:rtl/>
        </w:rPr>
      </w:pPr>
      <w:r>
        <w:rPr>
          <w:rtl/>
        </w:rPr>
        <w:t>&lt;&lt;</w:t>
      </w:r>
      <w:r>
        <w:t>ODS DOC SYMBOL1&gt;&gt;CEDAW/C/QAT/CO/1/Add.1&lt;&lt;ODS DOC SYMBOL1</w:t>
      </w:r>
      <w:r>
        <w:rPr>
          <w:rtl/>
        </w:rPr>
        <w:t>&gt;&gt;</w:t>
      </w:r>
    </w:p>
    <w:p w:rsidR="00C74F11" w:rsidRDefault="00C74F1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18" w:rsidRDefault="00951018" w:rsidP="00693CF9">
      <w:pPr>
        <w:spacing w:line="240" w:lineRule="auto"/>
      </w:pPr>
      <w:r>
        <w:separator/>
      </w:r>
    </w:p>
  </w:endnote>
  <w:endnote w:type="continuationSeparator" w:id="0">
    <w:p w:rsidR="00951018" w:rsidRDefault="0095101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4F11" w:rsidTr="00C74F11">
      <w:tc>
        <w:tcPr>
          <w:tcW w:w="5028" w:type="dxa"/>
          <w:shd w:val="clear" w:color="auto" w:fill="auto"/>
        </w:tcPr>
        <w:p w:rsidR="00C74F11" w:rsidRPr="00C74F11" w:rsidRDefault="00C74F11" w:rsidP="00C74F11">
          <w:pPr>
            <w:pStyle w:val="Footer"/>
            <w:rPr>
              <w:w w:val="103"/>
            </w:rPr>
          </w:pPr>
          <w:r>
            <w:rPr>
              <w:w w:val="103"/>
            </w:rPr>
            <w:fldChar w:fldCharType="begin"/>
          </w:r>
          <w:r>
            <w:rPr>
              <w:w w:val="103"/>
            </w:rPr>
            <w:instrText xml:space="preserve"> PAGE  \* Arabic  \* MERGEFORMAT </w:instrText>
          </w:r>
          <w:r>
            <w:rPr>
              <w:w w:val="103"/>
            </w:rPr>
            <w:fldChar w:fldCharType="separate"/>
          </w:r>
          <w:r w:rsidR="00944CF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4CFB">
            <w:rPr>
              <w:noProof/>
              <w:w w:val="103"/>
            </w:rPr>
            <w:t>2</w:t>
          </w:r>
          <w:r>
            <w:rPr>
              <w:w w:val="103"/>
            </w:rPr>
            <w:fldChar w:fldCharType="end"/>
          </w:r>
        </w:p>
      </w:tc>
      <w:tc>
        <w:tcPr>
          <w:tcW w:w="5028" w:type="dxa"/>
          <w:shd w:val="clear" w:color="auto" w:fill="auto"/>
        </w:tcPr>
        <w:p w:rsidR="00C74F11" w:rsidRPr="00C74F11" w:rsidRDefault="00C74F11" w:rsidP="00C74F1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6009C">
            <w:rPr>
              <w:b w:val="0"/>
              <w:w w:val="103"/>
            </w:rPr>
            <w:t>16-14973</w:t>
          </w:r>
          <w:r>
            <w:rPr>
              <w:b w:val="0"/>
              <w:w w:val="103"/>
            </w:rPr>
            <w:fldChar w:fldCharType="end"/>
          </w:r>
        </w:p>
      </w:tc>
    </w:tr>
  </w:tbl>
  <w:p w:rsidR="00C74F11" w:rsidRPr="00C74F11" w:rsidRDefault="00C74F11" w:rsidP="00C74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4F11" w:rsidTr="00C74F11">
      <w:tc>
        <w:tcPr>
          <w:tcW w:w="5028" w:type="dxa"/>
          <w:shd w:val="clear" w:color="auto" w:fill="auto"/>
        </w:tcPr>
        <w:p w:rsidR="00C74F11" w:rsidRPr="00C74F11" w:rsidRDefault="00C74F11" w:rsidP="00C74F1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6009C">
            <w:rPr>
              <w:b w:val="0"/>
              <w:w w:val="103"/>
            </w:rPr>
            <w:t>16-14973</w:t>
          </w:r>
          <w:r>
            <w:rPr>
              <w:b w:val="0"/>
              <w:w w:val="103"/>
            </w:rPr>
            <w:fldChar w:fldCharType="end"/>
          </w:r>
        </w:p>
      </w:tc>
      <w:tc>
        <w:tcPr>
          <w:tcW w:w="5028" w:type="dxa"/>
          <w:shd w:val="clear" w:color="auto" w:fill="auto"/>
        </w:tcPr>
        <w:p w:rsidR="00C74F11" w:rsidRPr="00C74F11" w:rsidRDefault="00C74F11" w:rsidP="00C74F11">
          <w:pPr>
            <w:pStyle w:val="Footer"/>
            <w:jc w:val="left"/>
            <w:rPr>
              <w:w w:val="103"/>
            </w:rPr>
          </w:pPr>
          <w:r>
            <w:rPr>
              <w:w w:val="103"/>
            </w:rPr>
            <w:fldChar w:fldCharType="begin"/>
          </w:r>
          <w:r>
            <w:rPr>
              <w:w w:val="103"/>
            </w:rPr>
            <w:instrText xml:space="preserve"> PAGE  \* Arabic  \* MERGEFORMAT </w:instrText>
          </w:r>
          <w:r>
            <w:rPr>
              <w:w w:val="103"/>
            </w:rPr>
            <w:fldChar w:fldCharType="separate"/>
          </w:r>
          <w:r w:rsidR="00E6009C">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009C">
            <w:rPr>
              <w:noProof/>
              <w:w w:val="103"/>
            </w:rPr>
            <w:t>12</w:t>
          </w:r>
          <w:r>
            <w:rPr>
              <w:w w:val="103"/>
            </w:rPr>
            <w:fldChar w:fldCharType="end"/>
          </w:r>
        </w:p>
      </w:tc>
    </w:tr>
  </w:tbl>
  <w:p w:rsidR="00C74F11" w:rsidRPr="00C74F11" w:rsidRDefault="00C74F11" w:rsidP="00C74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C74F11" w:rsidTr="00C74F11">
      <w:trPr>
        <w:jc w:val="right"/>
      </w:trPr>
      <w:tc>
        <w:tcPr>
          <w:tcW w:w="3888" w:type="dxa"/>
        </w:tcPr>
        <w:p w:rsidR="00C74F11" w:rsidRDefault="00C74F11" w:rsidP="00C74F11">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6F99D443" wp14:editId="7B70F4EA">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QAT/CO/1/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QAT/CO/1/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3770A879" wp14:editId="77FC005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C74F11" w:rsidRDefault="00C74F11" w:rsidP="00877FF8">
          <w:pPr>
            <w:pStyle w:val="ReleaseDate"/>
          </w:pPr>
          <w:r>
            <w:t>090916    0</w:t>
          </w:r>
          <w:r w:rsidR="00877FF8">
            <w:t>8</w:t>
          </w:r>
          <w:r>
            <w:t xml:space="preserve">0916    </w:t>
          </w:r>
          <w:r w:rsidR="00944CFB">
            <w:fldChar w:fldCharType="begin"/>
          </w:r>
          <w:r w:rsidR="00944CFB">
            <w:instrText xml:space="preserve"> DOCVARIABLE "jobn" \* MERGEFORMAT </w:instrText>
          </w:r>
          <w:r w:rsidR="00944CFB">
            <w:fldChar w:fldCharType="separate"/>
          </w:r>
          <w:r w:rsidR="00E6009C">
            <w:t>16-14973 (A)</w:t>
          </w:r>
          <w:r w:rsidR="00944CFB">
            <w:fldChar w:fldCharType="end"/>
          </w:r>
        </w:p>
        <w:p w:rsidR="00C74F11" w:rsidRPr="00C74F11" w:rsidRDefault="00C74F11" w:rsidP="00C74F11">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6009C">
            <w:rPr>
              <w:rFonts w:ascii="Barcode 3 of 9 by request" w:hAnsi="Barcode 3 of 9 by request"/>
              <w:sz w:val="24"/>
            </w:rPr>
            <w:t>*1614973*</w:t>
          </w:r>
          <w:r>
            <w:rPr>
              <w:rFonts w:ascii="Barcode 3 of 9 by request" w:hAnsi="Barcode 3 of 9 by request"/>
              <w:sz w:val="24"/>
            </w:rPr>
            <w:fldChar w:fldCharType="end"/>
          </w:r>
        </w:p>
      </w:tc>
    </w:tr>
  </w:tbl>
  <w:p w:rsidR="00C74F11" w:rsidRPr="00C74F11" w:rsidRDefault="00C74F11" w:rsidP="00C74F11">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18" w:rsidRDefault="00951018" w:rsidP="00693CF9">
      <w:pPr>
        <w:spacing w:line="240" w:lineRule="auto"/>
      </w:pPr>
      <w:r>
        <w:separator/>
      </w:r>
    </w:p>
  </w:footnote>
  <w:footnote w:type="continuationSeparator" w:id="0">
    <w:p w:rsidR="00951018" w:rsidRDefault="00951018"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3"/>
      <w:gridCol w:w="4987"/>
    </w:tblGrid>
    <w:tr w:rsidR="00C74F11" w:rsidTr="00C74F11">
      <w:trPr>
        <w:trHeight w:hRule="exact" w:val="864"/>
        <w:jc w:val="center"/>
      </w:trPr>
      <w:tc>
        <w:tcPr>
          <w:tcW w:w="4925" w:type="dxa"/>
          <w:shd w:val="clear" w:color="auto" w:fill="auto"/>
          <w:vAlign w:val="bottom"/>
        </w:tcPr>
        <w:p w:rsidR="00C74F11" w:rsidRDefault="00C74F11" w:rsidP="00C74F11">
          <w:pPr>
            <w:pStyle w:val="Header"/>
            <w:bidi/>
          </w:pPr>
        </w:p>
      </w:tc>
      <w:tc>
        <w:tcPr>
          <w:tcW w:w="5028" w:type="dxa"/>
          <w:shd w:val="clear" w:color="auto" w:fill="auto"/>
          <w:vAlign w:val="bottom"/>
        </w:tcPr>
        <w:p w:rsidR="00C74F11" w:rsidRPr="00C74F11" w:rsidRDefault="00C74F11" w:rsidP="00C74F1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6009C">
            <w:rPr>
              <w:w w:val="103"/>
            </w:rPr>
            <w:t>CEDAW/C/QAT/CO/1/Add.1</w:t>
          </w:r>
          <w:r>
            <w:rPr>
              <w:w w:val="103"/>
            </w:rPr>
            <w:fldChar w:fldCharType="end"/>
          </w:r>
        </w:p>
      </w:tc>
    </w:tr>
  </w:tbl>
  <w:p w:rsidR="00C74F11" w:rsidRPr="00C74F11" w:rsidRDefault="00C74F11" w:rsidP="00C74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5"/>
      <w:gridCol w:w="4955"/>
    </w:tblGrid>
    <w:tr w:rsidR="00C74F11" w:rsidTr="00C74F11">
      <w:trPr>
        <w:trHeight w:hRule="exact" w:val="864"/>
        <w:jc w:val="center"/>
      </w:trPr>
      <w:tc>
        <w:tcPr>
          <w:tcW w:w="4925" w:type="dxa"/>
          <w:shd w:val="clear" w:color="auto" w:fill="auto"/>
          <w:vAlign w:val="bottom"/>
        </w:tcPr>
        <w:p w:rsidR="00C74F11" w:rsidRPr="00C74F11" w:rsidRDefault="00C74F11" w:rsidP="00C74F1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6009C">
            <w:rPr>
              <w:w w:val="103"/>
            </w:rPr>
            <w:t>CEDAW/C/QAT/CO/1/Add.1</w:t>
          </w:r>
          <w:r>
            <w:rPr>
              <w:w w:val="103"/>
            </w:rPr>
            <w:fldChar w:fldCharType="end"/>
          </w:r>
        </w:p>
      </w:tc>
      <w:tc>
        <w:tcPr>
          <w:tcW w:w="5028" w:type="dxa"/>
          <w:shd w:val="clear" w:color="auto" w:fill="auto"/>
          <w:vAlign w:val="bottom"/>
        </w:tcPr>
        <w:p w:rsidR="00C74F11" w:rsidRDefault="00C74F11" w:rsidP="00C74F11">
          <w:pPr>
            <w:pStyle w:val="Header"/>
          </w:pPr>
        </w:p>
      </w:tc>
    </w:tr>
  </w:tbl>
  <w:p w:rsidR="00C74F11" w:rsidRPr="00C74F11" w:rsidRDefault="00C74F11" w:rsidP="00C74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74F11" w:rsidTr="00C74F11">
      <w:trPr>
        <w:gridAfter w:val="1"/>
        <w:wAfter w:w="18" w:type="dxa"/>
        <w:trHeight w:hRule="exact" w:val="864"/>
      </w:trPr>
      <w:tc>
        <w:tcPr>
          <w:tcW w:w="1282" w:type="dxa"/>
          <w:tcBorders>
            <w:bottom w:val="single" w:sz="4" w:space="0" w:color="auto"/>
          </w:tcBorders>
          <w:shd w:val="clear" w:color="auto" w:fill="auto"/>
          <w:vAlign w:val="bottom"/>
        </w:tcPr>
        <w:p w:rsidR="00C74F11" w:rsidRDefault="00C74F11" w:rsidP="00C74F11">
          <w:pPr>
            <w:pStyle w:val="Header"/>
            <w:spacing w:after="120"/>
          </w:pPr>
        </w:p>
      </w:tc>
      <w:tc>
        <w:tcPr>
          <w:tcW w:w="1786" w:type="dxa"/>
          <w:tcBorders>
            <w:bottom w:val="single" w:sz="4" w:space="0" w:color="auto"/>
          </w:tcBorders>
          <w:shd w:val="clear" w:color="auto" w:fill="auto"/>
          <w:vAlign w:val="bottom"/>
        </w:tcPr>
        <w:p w:rsidR="00C74F11" w:rsidRPr="00C74F11" w:rsidRDefault="00C74F11" w:rsidP="00C74F1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74F11" w:rsidRDefault="00C74F11" w:rsidP="00C74F11">
          <w:pPr>
            <w:pStyle w:val="Header"/>
            <w:spacing w:after="120"/>
          </w:pPr>
        </w:p>
      </w:tc>
      <w:tc>
        <w:tcPr>
          <w:tcW w:w="6523" w:type="dxa"/>
          <w:gridSpan w:val="3"/>
          <w:tcBorders>
            <w:bottom w:val="single" w:sz="4" w:space="0" w:color="auto"/>
          </w:tcBorders>
          <w:shd w:val="clear" w:color="auto" w:fill="auto"/>
          <w:vAlign w:val="bottom"/>
        </w:tcPr>
        <w:p w:rsidR="00C74F11" w:rsidRPr="00C74F11" w:rsidRDefault="00C74F11" w:rsidP="00C74F11">
          <w:pPr>
            <w:spacing w:line="380" w:lineRule="exact"/>
            <w:jc w:val="right"/>
          </w:pPr>
          <w:r>
            <w:rPr>
              <w:sz w:val="40"/>
            </w:rPr>
            <w:t>CEDAW</w:t>
          </w:r>
          <w:r>
            <w:t>/C/QAT/CO/1/Add.1</w:t>
          </w:r>
        </w:p>
      </w:tc>
    </w:tr>
    <w:tr w:rsidR="00C74F11" w:rsidRPr="00C74F11" w:rsidTr="00C74F11">
      <w:trPr>
        <w:trHeight w:hRule="exact" w:val="2880"/>
      </w:trPr>
      <w:tc>
        <w:tcPr>
          <w:tcW w:w="1282" w:type="dxa"/>
          <w:tcBorders>
            <w:top w:val="single" w:sz="4" w:space="0" w:color="auto"/>
            <w:bottom w:val="single" w:sz="12" w:space="0" w:color="auto"/>
          </w:tcBorders>
          <w:shd w:val="clear" w:color="auto" w:fill="auto"/>
        </w:tcPr>
        <w:p w:rsidR="00C74F11" w:rsidRDefault="00C74F11" w:rsidP="00C74F11">
          <w:pPr>
            <w:pStyle w:val="Header"/>
            <w:spacing w:before="120"/>
            <w:jc w:val="center"/>
          </w:pPr>
          <w:r>
            <w:t xml:space="preserve"> </w:t>
          </w:r>
          <w:r>
            <w:rPr>
              <w:noProof/>
              <w:lang w:eastAsia="zh-CN"/>
            </w:rPr>
            <w:drawing>
              <wp:inline distT="0" distB="0" distL="0" distR="0" wp14:anchorId="377E98E6" wp14:editId="0EBC79D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C74F11" w:rsidRPr="00C74F11" w:rsidRDefault="00C74F11" w:rsidP="00C74F11">
          <w:pPr>
            <w:pStyle w:val="Header"/>
            <w:spacing w:before="120"/>
            <w:jc w:val="center"/>
          </w:pPr>
        </w:p>
      </w:tc>
      <w:tc>
        <w:tcPr>
          <w:tcW w:w="5227" w:type="dxa"/>
          <w:gridSpan w:val="3"/>
          <w:tcBorders>
            <w:top w:val="single" w:sz="4" w:space="0" w:color="auto"/>
            <w:bottom w:val="single" w:sz="12" w:space="0" w:color="auto"/>
          </w:tcBorders>
          <w:shd w:val="clear" w:color="auto" w:fill="auto"/>
        </w:tcPr>
        <w:p w:rsidR="00C74F11" w:rsidRPr="00C74F11" w:rsidRDefault="00C74F11" w:rsidP="00C74F11">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C74F11" w:rsidRPr="00C74F11" w:rsidRDefault="00C74F11" w:rsidP="00C74F11">
          <w:pPr>
            <w:pStyle w:val="Header"/>
            <w:spacing w:before="109"/>
          </w:pPr>
        </w:p>
      </w:tc>
      <w:tc>
        <w:tcPr>
          <w:tcW w:w="3100" w:type="dxa"/>
          <w:gridSpan w:val="2"/>
          <w:tcBorders>
            <w:top w:val="single" w:sz="4" w:space="0" w:color="auto"/>
            <w:bottom w:val="single" w:sz="12" w:space="0" w:color="auto"/>
          </w:tcBorders>
          <w:shd w:val="clear" w:color="auto" w:fill="auto"/>
        </w:tcPr>
        <w:p w:rsidR="00C74F11" w:rsidRDefault="00C74F11" w:rsidP="00C74F11">
          <w:pPr>
            <w:pStyle w:val="Distribution"/>
            <w:bidi w:val="0"/>
            <w:spacing w:before="240"/>
          </w:pPr>
          <w:r>
            <w:t>Distr.: General</w:t>
          </w:r>
        </w:p>
        <w:p w:rsidR="00C74F11" w:rsidRDefault="00C74F11" w:rsidP="00C74F11">
          <w:pPr>
            <w:pStyle w:val="Publication"/>
            <w:bidi w:val="0"/>
          </w:pPr>
          <w:r>
            <w:t>30 August 2016</w:t>
          </w:r>
        </w:p>
        <w:p w:rsidR="00C74F11" w:rsidRDefault="00C74F11" w:rsidP="00C74F11">
          <w:pPr>
            <w:bidi w:val="0"/>
            <w:spacing w:line="240" w:lineRule="exact"/>
            <w:jc w:val="left"/>
          </w:pPr>
        </w:p>
        <w:p w:rsidR="00C74F11" w:rsidRDefault="00C74F11" w:rsidP="00C74F11">
          <w:pPr>
            <w:pStyle w:val="Original"/>
            <w:bidi w:val="0"/>
          </w:pPr>
          <w:r>
            <w:t>Original: Arabic</w:t>
          </w:r>
        </w:p>
        <w:p w:rsidR="00C74F11" w:rsidRPr="00C74F11" w:rsidRDefault="00C74F11" w:rsidP="00C74F11">
          <w:pPr>
            <w:bidi w:val="0"/>
            <w:spacing w:line="240" w:lineRule="exact"/>
            <w:jc w:val="left"/>
          </w:pPr>
        </w:p>
      </w:tc>
    </w:tr>
  </w:tbl>
  <w:p w:rsidR="00C74F11" w:rsidRPr="00C74F11" w:rsidRDefault="00C74F11" w:rsidP="00C74F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4973*"/>
    <w:docVar w:name="CreationDt" w:val="09/09/2016 12:13 PM"/>
    <w:docVar w:name="DocCategory" w:val="Doc"/>
    <w:docVar w:name="DocType" w:val="Final"/>
    <w:docVar w:name="DutyStation" w:val="New York"/>
    <w:docVar w:name="FooterJN" w:val="16-14973"/>
    <w:docVar w:name="jobn" w:val="16-14973 (A)"/>
    <w:docVar w:name="jobnDT" w:val="16-14973 (A)   090916"/>
    <w:docVar w:name="jobnDTDT" w:val="16-14973 (A)   090916   090916"/>
    <w:docVar w:name="JobNo" w:val="1614973A"/>
    <w:docVar w:name="LocalDrive" w:val="0"/>
    <w:docVar w:name="OandT" w:val=" "/>
    <w:docVar w:name="PaperSize" w:val="Letter"/>
    <w:docVar w:name="sss1" w:val="CEDAW/C/QAT/CO/1/Add.1"/>
    <w:docVar w:name="sss2" w:val="-"/>
    <w:docVar w:name="Symbol1" w:val="CEDAW/C/QAT/CO/1/Add.1"/>
    <w:docVar w:name="Symbol2" w:val="-"/>
  </w:docVars>
  <w:rsids>
    <w:rsidRoot w:val="00951018"/>
    <w:rsid w:val="000020C4"/>
    <w:rsid w:val="0000693B"/>
    <w:rsid w:val="000170D3"/>
    <w:rsid w:val="0002744A"/>
    <w:rsid w:val="000311C9"/>
    <w:rsid w:val="00042425"/>
    <w:rsid w:val="00047F6A"/>
    <w:rsid w:val="00051318"/>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2860"/>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27B3"/>
    <w:rsid w:val="001B59EE"/>
    <w:rsid w:val="001C6531"/>
    <w:rsid w:val="001D1606"/>
    <w:rsid w:val="001E2BD4"/>
    <w:rsid w:val="001E5A5A"/>
    <w:rsid w:val="001E5A7A"/>
    <w:rsid w:val="001F6786"/>
    <w:rsid w:val="0020295C"/>
    <w:rsid w:val="00207BF6"/>
    <w:rsid w:val="00212285"/>
    <w:rsid w:val="002141DD"/>
    <w:rsid w:val="0022189C"/>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B2828"/>
    <w:rsid w:val="003C4B86"/>
    <w:rsid w:val="003C6C42"/>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B549E"/>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2B56"/>
    <w:rsid w:val="005545BB"/>
    <w:rsid w:val="0055473E"/>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2371F"/>
    <w:rsid w:val="00631D41"/>
    <w:rsid w:val="006564CE"/>
    <w:rsid w:val="00663F64"/>
    <w:rsid w:val="0068436E"/>
    <w:rsid w:val="00685439"/>
    <w:rsid w:val="006905A9"/>
    <w:rsid w:val="00692B46"/>
    <w:rsid w:val="00692C45"/>
    <w:rsid w:val="00692FDB"/>
    <w:rsid w:val="00693CF9"/>
    <w:rsid w:val="00696B7A"/>
    <w:rsid w:val="00697957"/>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55A4"/>
    <w:rsid w:val="007A6DD9"/>
    <w:rsid w:val="007B3DC8"/>
    <w:rsid w:val="007B5729"/>
    <w:rsid w:val="007C7274"/>
    <w:rsid w:val="007D489C"/>
    <w:rsid w:val="007D60E0"/>
    <w:rsid w:val="007D6B8D"/>
    <w:rsid w:val="007E32B9"/>
    <w:rsid w:val="007F4848"/>
    <w:rsid w:val="00802997"/>
    <w:rsid w:val="0081284F"/>
    <w:rsid w:val="008136D5"/>
    <w:rsid w:val="00814843"/>
    <w:rsid w:val="008170DE"/>
    <w:rsid w:val="00820B87"/>
    <w:rsid w:val="00830E32"/>
    <w:rsid w:val="00845A14"/>
    <w:rsid w:val="0085331D"/>
    <w:rsid w:val="00853F0F"/>
    <w:rsid w:val="008569BB"/>
    <w:rsid w:val="00861BB3"/>
    <w:rsid w:val="008624AF"/>
    <w:rsid w:val="008700DF"/>
    <w:rsid w:val="00873A11"/>
    <w:rsid w:val="00873AF9"/>
    <w:rsid w:val="00877FF8"/>
    <w:rsid w:val="00881022"/>
    <w:rsid w:val="0088317F"/>
    <w:rsid w:val="00887330"/>
    <w:rsid w:val="008913BC"/>
    <w:rsid w:val="00892257"/>
    <w:rsid w:val="008A37B4"/>
    <w:rsid w:val="008A3FCA"/>
    <w:rsid w:val="008D1ACB"/>
    <w:rsid w:val="008D1C04"/>
    <w:rsid w:val="008E739A"/>
    <w:rsid w:val="008E7421"/>
    <w:rsid w:val="008F04A0"/>
    <w:rsid w:val="008F3D2C"/>
    <w:rsid w:val="008F419C"/>
    <w:rsid w:val="008F5850"/>
    <w:rsid w:val="008F64A7"/>
    <w:rsid w:val="0090012B"/>
    <w:rsid w:val="0090351F"/>
    <w:rsid w:val="00911CE7"/>
    <w:rsid w:val="009124C9"/>
    <w:rsid w:val="00914215"/>
    <w:rsid w:val="00944CFB"/>
    <w:rsid w:val="00951018"/>
    <w:rsid w:val="009532EE"/>
    <w:rsid w:val="00956E02"/>
    <w:rsid w:val="009570F4"/>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1FE1"/>
    <w:rsid w:val="00A56F63"/>
    <w:rsid w:val="00A6077A"/>
    <w:rsid w:val="00A62932"/>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17E1F"/>
    <w:rsid w:val="00C23C58"/>
    <w:rsid w:val="00C25A2D"/>
    <w:rsid w:val="00C260F8"/>
    <w:rsid w:val="00C3050C"/>
    <w:rsid w:val="00C32889"/>
    <w:rsid w:val="00C34B99"/>
    <w:rsid w:val="00C359AA"/>
    <w:rsid w:val="00C37A9C"/>
    <w:rsid w:val="00C40CC8"/>
    <w:rsid w:val="00C43FBE"/>
    <w:rsid w:val="00C449C6"/>
    <w:rsid w:val="00C44AA1"/>
    <w:rsid w:val="00C52142"/>
    <w:rsid w:val="00C564B0"/>
    <w:rsid w:val="00C61F0B"/>
    <w:rsid w:val="00C6283F"/>
    <w:rsid w:val="00C6582C"/>
    <w:rsid w:val="00C71487"/>
    <w:rsid w:val="00C74F11"/>
    <w:rsid w:val="00C7606D"/>
    <w:rsid w:val="00C814A5"/>
    <w:rsid w:val="00C82932"/>
    <w:rsid w:val="00C84B2B"/>
    <w:rsid w:val="00C855F6"/>
    <w:rsid w:val="00C96573"/>
    <w:rsid w:val="00CA1C73"/>
    <w:rsid w:val="00CA286A"/>
    <w:rsid w:val="00CA4791"/>
    <w:rsid w:val="00CA7205"/>
    <w:rsid w:val="00CC04B5"/>
    <w:rsid w:val="00CC6259"/>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57C04"/>
    <w:rsid w:val="00E6009C"/>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47BA"/>
    <w:rsid w:val="00F32228"/>
    <w:rsid w:val="00F32E4A"/>
    <w:rsid w:val="00F36D8C"/>
    <w:rsid w:val="00F45283"/>
    <w:rsid w:val="00F4710F"/>
    <w:rsid w:val="00F53DA5"/>
    <w:rsid w:val="00F57DED"/>
    <w:rsid w:val="00F72BF7"/>
    <w:rsid w:val="00F90A71"/>
    <w:rsid w:val="00F923A5"/>
    <w:rsid w:val="00F93545"/>
    <w:rsid w:val="00F96337"/>
    <w:rsid w:val="00F96FBA"/>
    <w:rsid w:val="00FB0C1B"/>
    <w:rsid w:val="00FB2B5B"/>
    <w:rsid w:val="00FB4E06"/>
    <w:rsid w:val="00FB6C6C"/>
    <w:rsid w:val="00FC0835"/>
    <w:rsid w:val="00FC3483"/>
    <w:rsid w:val="00FC4D68"/>
    <w:rsid w:val="00FC56D7"/>
    <w:rsid w:val="00FD29C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C74F11"/>
    <w:pPr>
      <w:spacing w:line="240" w:lineRule="auto"/>
    </w:pPr>
    <w:rPr>
      <w:szCs w:val="20"/>
    </w:rPr>
  </w:style>
  <w:style w:type="character" w:customStyle="1" w:styleId="CommentTextChar">
    <w:name w:val="Comment Text Char"/>
    <w:basedOn w:val="DefaultParagraphFont"/>
    <w:link w:val="CommentText"/>
    <w:rsid w:val="00C74F11"/>
    <w:rPr>
      <w:w w:val="103"/>
      <w:kern w:val="14"/>
    </w:rPr>
  </w:style>
  <w:style w:type="paragraph" w:styleId="CommentSubject">
    <w:name w:val="annotation subject"/>
    <w:basedOn w:val="CommentText"/>
    <w:next w:val="CommentText"/>
    <w:link w:val="CommentSubjectChar"/>
    <w:rsid w:val="00C74F11"/>
    <w:rPr>
      <w:b/>
      <w:bCs/>
    </w:rPr>
  </w:style>
  <w:style w:type="character" w:customStyle="1" w:styleId="CommentSubjectChar">
    <w:name w:val="Comment Subject Char"/>
    <w:basedOn w:val="CommentTextChar"/>
    <w:link w:val="CommentSubject"/>
    <w:rsid w:val="00C74F11"/>
    <w:rPr>
      <w:b/>
      <w:bCs/>
      <w:w w:val="103"/>
      <w:kern w:val="14"/>
    </w:rPr>
  </w:style>
  <w:style w:type="paragraph" w:customStyle="1" w:styleId="SMG">
    <w:name w:val="__S_M_G"/>
    <w:basedOn w:val="Normal"/>
    <w:next w:val="Normal"/>
    <w:rsid w:val="00CC6259"/>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character" w:customStyle="1" w:styleId="hps">
    <w:name w:val="hps"/>
    <w:basedOn w:val="DefaultParagraphFont"/>
    <w:rsid w:val="00CC6259"/>
  </w:style>
  <w:style w:type="character" w:customStyle="1" w:styleId="shorttext">
    <w:name w:val="short_text"/>
    <w:basedOn w:val="DefaultParagraphFont"/>
    <w:rsid w:val="00CC6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C74F11"/>
    <w:pPr>
      <w:spacing w:line="240" w:lineRule="auto"/>
    </w:pPr>
    <w:rPr>
      <w:szCs w:val="20"/>
    </w:rPr>
  </w:style>
  <w:style w:type="character" w:customStyle="1" w:styleId="CommentTextChar">
    <w:name w:val="Comment Text Char"/>
    <w:basedOn w:val="DefaultParagraphFont"/>
    <w:link w:val="CommentText"/>
    <w:rsid w:val="00C74F11"/>
    <w:rPr>
      <w:w w:val="103"/>
      <w:kern w:val="14"/>
    </w:rPr>
  </w:style>
  <w:style w:type="paragraph" w:styleId="CommentSubject">
    <w:name w:val="annotation subject"/>
    <w:basedOn w:val="CommentText"/>
    <w:next w:val="CommentText"/>
    <w:link w:val="CommentSubjectChar"/>
    <w:rsid w:val="00C74F11"/>
    <w:rPr>
      <w:b/>
      <w:bCs/>
    </w:rPr>
  </w:style>
  <w:style w:type="character" w:customStyle="1" w:styleId="CommentSubjectChar">
    <w:name w:val="Comment Subject Char"/>
    <w:basedOn w:val="CommentTextChar"/>
    <w:link w:val="CommentSubject"/>
    <w:rsid w:val="00C74F11"/>
    <w:rPr>
      <w:b/>
      <w:bCs/>
      <w:w w:val="103"/>
      <w:kern w:val="14"/>
    </w:rPr>
  </w:style>
  <w:style w:type="paragraph" w:customStyle="1" w:styleId="SMG">
    <w:name w:val="__S_M_G"/>
    <w:basedOn w:val="Normal"/>
    <w:next w:val="Normal"/>
    <w:rsid w:val="00CC6259"/>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character" w:customStyle="1" w:styleId="hps">
    <w:name w:val="hps"/>
    <w:basedOn w:val="DefaultParagraphFont"/>
    <w:rsid w:val="00CC6259"/>
  </w:style>
  <w:style w:type="character" w:customStyle="1" w:styleId="shorttext">
    <w:name w:val="short_text"/>
    <w:basedOn w:val="DefaultParagraphFont"/>
    <w:rsid w:val="00CC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82538158339963"/>
          <c:y val="8.1927330968612946E-2"/>
          <c:w val="0.74405205446880107"/>
          <c:h val="0.79814847425222002"/>
        </c:manualLayout>
      </c:layout>
      <c:barChart>
        <c:barDir val="col"/>
        <c:grouping val="clustered"/>
        <c:varyColors val="0"/>
        <c:ser>
          <c:idx val="0"/>
          <c:order val="0"/>
          <c:tx>
            <c:strRef>
              <c:f>Sheet1!$A$2</c:f>
              <c:strCache>
                <c:ptCount val="1"/>
                <c:pt idx="0">
                  <c:v>Qatari women in leadership positions</c:v>
                </c:pt>
              </c:strCache>
            </c:strRef>
          </c:tx>
          <c:spPr>
            <a:solidFill>
              <a:srgbClr val="BEA4D4"/>
            </a:solidFill>
          </c:spPr>
          <c:invertIfNegative val="0"/>
          <c:dLbls>
            <c:numFmt formatCode="#,##0" sourceLinked="0"/>
            <c:spPr>
              <a:noFill/>
              <a:ln w="25370">
                <a:noFill/>
              </a:ln>
            </c:spPr>
            <c:txPr>
              <a:bodyPr/>
              <a:lstStyle/>
              <a:p>
                <a:pPr>
                  <a:defRPr b="0">
                    <a:solidFill>
                      <a:schemeClr val="tx1"/>
                    </a:solidFill>
                  </a:defRPr>
                </a:pPr>
                <a:endParaRPr lang="en-US"/>
              </a:p>
            </c:txPr>
            <c:dLblPos val="ctr"/>
            <c:showLegendKey val="0"/>
            <c:showVal val="1"/>
            <c:showCatName val="0"/>
            <c:showSerName val="0"/>
            <c:showPercent val="0"/>
            <c:showBubbleSize val="0"/>
            <c:showLeaderLines val="0"/>
          </c:dLbls>
          <c:cat>
            <c:strRef>
              <c:f>Sheet1!$B$1:$G$1</c:f>
              <c:strCache>
                <c:ptCount val="6"/>
                <c:pt idx="0">
                  <c:v>2008</c:v>
                </c:pt>
                <c:pt idx="1">
                  <c:v>2010</c:v>
                </c:pt>
                <c:pt idx="2">
                  <c:v>2011</c:v>
                </c:pt>
                <c:pt idx="3">
                  <c:v>2012</c:v>
                </c:pt>
                <c:pt idx="4">
                  <c:v>2013</c:v>
                </c:pt>
                <c:pt idx="5">
                  <c:v>2014</c:v>
                </c:pt>
              </c:strCache>
            </c:strRef>
          </c:cat>
          <c:val>
            <c:numRef>
              <c:f>Sheet1!$B$2:$G$2</c:f>
              <c:numCache>
                <c:formatCode>General</c:formatCode>
                <c:ptCount val="6"/>
                <c:pt idx="0">
                  <c:v>799</c:v>
                </c:pt>
                <c:pt idx="1">
                  <c:v>1004</c:v>
                </c:pt>
                <c:pt idx="2">
                  <c:v>1002</c:v>
                </c:pt>
                <c:pt idx="3">
                  <c:v>1598</c:v>
                </c:pt>
                <c:pt idx="4">
                  <c:v>1704</c:v>
                </c:pt>
                <c:pt idx="5">
                  <c:v>1826</c:v>
                </c:pt>
              </c:numCache>
            </c:numRef>
          </c:val>
        </c:ser>
        <c:dLbls>
          <c:showLegendKey val="0"/>
          <c:showVal val="0"/>
          <c:showCatName val="0"/>
          <c:showSerName val="0"/>
          <c:showPercent val="0"/>
          <c:showBubbleSize val="0"/>
        </c:dLbls>
        <c:gapWidth val="150"/>
        <c:axId val="251484032"/>
        <c:axId val="251485568"/>
      </c:barChart>
      <c:lineChart>
        <c:grouping val="standard"/>
        <c:varyColors val="0"/>
        <c:ser>
          <c:idx val="1"/>
          <c:order val="1"/>
          <c:tx>
            <c:strRef>
              <c:f>Sheet1!$A$4</c:f>
              <c:strCache>
                <c:ptCount val="1"/>
                <c:pt idx="0">
                  <c:v>% Rate Qatari Female Leaders</c:v>
                </c:pt>
              </c:strCache>
            </c:strRef>
          </c:tx>
          <c:spPr>
            <a:ln>
              <a:solidFill>
                <a:srgbClr val="7B359B"/>
              </a:solidFill>
            </a:ln>
          </c:spPr>
          <c:marker>
            <c:symbol val="none"/>
          </c:marker>
          <c:dLbls>
            <c:dLbl>
              <c:idx val="0"/>
              <c:layout>
                <c:manualLayout>
                  <c:x val="-3.484320557491289E-2"/>
                  <c:y val="-3.8338658146964855E-2"/>
                </c:manualLayout>
              </c:layout>
              <c:numFmt formatCode="#,##0.0" sourceLinked="0"/>
              <c:spPr/>
              <c:txPr>
                <a:bodyPr/>
                <a:lstStyle/>
                <a:p>
                  <a:pPr>
                    <a:defRPr/>
                  </a:pPr>
                  <a:endParaRPr lang="en-US"/>
                </a:p>
              </c:txPr>
              <c:dLblPos val="r"/>
              <c:showLegendKey val="0"/>
              <c:showVal val="1"/>
              <c:showCatName val="0"/>
              <c:showSerName val="0"/>
              <c:showPercent val="0"/>
              <c:showBubbleSize val="0"/>
            </c:dLbl>
            <c:dLbl>
              <c:idx val="1"/>
              <c:layout>
                <c:manualLayout>
                  <c:x val="-2.3228803716608595E-2"/>
                  <c:y val="-2.9818956336528223E-2"/>
                </c:manualLayout>
              </c:layout>
              <c:numFmt formatCode="#,##0.0" sourceLinked="0"/>
              <c:spPr/>
              <c:txPr>
                <a:bodyPr/>
                <a:lstStyle/>
                <a:p>
                  <a:pPr>
                    <a:defRPr/>
                  </a:pPr>
                  <a:endParaRPr lang="en-US"/>
                </a:p>
              </c:txPr>
              <c:dLblPos val="r"/>
              <c:showLegendKey val="0"/>
              <c:showVal val="1"/>
              <c:showCatName val="0"/>
              <c:showSerName val="0"/>
              <c:showPercent val="0"/>
              <c:showBubbleSize val="0"/>
            </c:dLbl>
            <c:dLbl>
              <c:idx val="2"/>
              <c:layout>
                <c:manualLayout>
                  <c:x val="-2.7874564459930227E-2"/>
                  <c:y val="-5.1118210862619771E-2"/>
                </c:manualLayout>
              </c:layout>
              <c:numFmt formatCode="#,##0.0" sourceLinked="0"/>
              <c:spPr/>
              <c:txPr>
                <a:bodyPr/>
                <a:lstStyle/>
                <a:p>
                  <a:pPr>
                    <a:defRPr/>
                  </a:pPr>
                  <a:endParaRPr lang="en-US"/>
                </a:p>
              </c:txPr>
              <c:dLblPos val="r"/>
              <c:showLegendKey val="0"/>
              <c:showVal val="1"/>
              <c:showCatName val="0"/>
              <c:showSerName val="0"/>
              <c:showPercent val="0"/>
              <c:showBubbleSize val="0"/>
            </c:dLbl>
            <c:dLbl>
              <c:idx val="3"/>
              <c:layout>
                <c:manualLayout>
                  <c:x val="-2.7874564459930314E-2"/>
                  <c:y val="-4.6858359957401494E-2"/>
                </c:manualLayout>
              </c:layout>
              <c:numFmt formatCode="#,##0.0" sourceLinked="0"/>
              <c:spPr/>
              <c:txPr>
                <a:bodyPr/>
                <a:lstStyle/>
                <a:p>
                  <a:pPr>
                    <a:defRPr/>
                  </a:pPr>
                  <a:endParaRPr lang="en-US"/>
                </a:p>
              </c:txPr>
              <c:dLblPos val="r"/>
              <c:showLegendKey val="0"/>
              <c:showVal val="1"/>
              <c:showCatName val="0"/>
              <c:showSerName val="0"/>
              <c:showPercent val="0"/>
              <c:showBubbleSize val="0"/>
            </c:dLbl>
            <c:numFmt formatCode="#,##0.0" sourceLinked="0"/>
            <c:spPr>
              <a:noFill/>
              <a:ln w="25370">
                <a:noFill/>
              </a:ln>
            </c:spPr>
            <c:showLegendKey val="0"/>
            <c:showVal val="1"/>
            <c:showCatName val="0"/>
            <c:showSerName val="0"/>
            <c:showPercent val="0"/>
            <c:showBubbleSize val="0"/>
            <c:showLeaderLines val="0"/>
          </c:dLbls>
          <c:cat>
            <c:strRef>
              <c:f>Sheet1!$B$1:$G$1</c:f>
              <c:strCache>
                <c:ptCount val="6"/>
                <c:pt idx="0">
                  <c:v>2008</c:v>
                </c:pt>
                <c:pt idx="1">
                  <c:v>2010</c:v>
                </c:pt>
                <c:pt idx="2">
                  <c:v>2011</c:v>
                </c:pt>
                <c:pt idx="3">
                  <c:v>2012</c:v>
                </c:pt>
                <c:pt idx="4">
                  <c:v>2013</c:v>
                </c:pt>
                <c:pt idx="5">
                  <c:v>2014</c:v>
                </c:pt>
              </c:strCache>
            </c:strRef>
          </c:cat>
          <c:val>
            <c:numRef>
              <c:f>Sheet1!$B$4:$G$4</c:f>
              <c:numCache>
                <c:formatCode>General</c:formatCode>
                <c:ptCount val="6"/>
                <c:pt idx="0">
                  <c:v>3.2</c:v>
                </c:pt>
                <c:pt idx="1">
                  <c:v>4</c:v>
                </c:pt>
                <c:pt idx="2">
                  <c:v>4</c:v>
                </c:pt>
                <c:pt idx="3">
                  <c:v>5.9</c:v>
                </c:pt>
                <c:pt idx="4">
                  <c:v>6.6</c:v>
                </c:pt>
                <c:pt idx="5">
                  <c:v>7.2</c:v>
                </c:pt>
              </c:numCache>
            </c:numRef>
          </c:val>
          <c:smooth val="0"/>
        </c:ser>
        <c:dLbls>
          <c:showLegendKey val="0"/>
          <c:showVal val="0"/>
          <c:showCatName val="0"/>
          <c:showSerName val="0"/>
          <c:showPercent val="0"/>
          <c:showBubbleSize val="0"/>
        </c:dLbls>
        <c:marker val="1"/>
        <c:smooth val="0"/>
        <c:axId val="251499648"/>
        <c:axId val="251501184"/>
      </c:lineChart>
      <c:catAx>
        <c:axId val="251484032"/>
        <c:scaling>
          <c:orientation val="minMax"/>
        </c:scaling>
        <c:delete val="0"/>
        <c:axPos val="b"/>
        <c:numFmt formatCode="General" sourceLinked="1"/>
        <c:majorTickMark val="out"/>
        <c:minorTickMark val="none"/>
        <c:tickLblPos val="nextTo"/>
        <c:crossAx val="251485568"/>
        <c:crosses val="autoZero"/>
        <c:auto val="1"/>
        <c:lblAlgn val="ctr"/>
        <c:lblOffset val="100"/>
        <c:noMultiLvlLbl val="0"/>
      </c:catAx>
      <c:valAx>
        <c:axId val="251485568"/>
        <c:scaling>
          <c:orientation val="minMax"/>
          <c:max val="1800"/>
          <c:min val="0"/>
        </c:scaling>
        <c:delete val="0"/>
        <c:axPos val="l"/>
        <c:majorGridlines>
          <c:spPr>
            <a:ln w="12685">
              <a:solidFill>
                <a:srgbClr val="ADADAD"/>
              </a:solidFill>
              <a:prstDash val="dash"/>
            </a:ln>
          </c:spPr>
        </c:majorGridlines>
        <c:numFmt formatCode="#,##0" sourceLinked="0"/>
        <c:majorTickMark val="out"/>
        <c:minorTickMark val="none"/>
        <c:tickLblPos val="nextTo"/>
        <c:crossAx val="251484032"/>
        <c:crosses val="autoZero"/>
        <c:crossBetween val="between"/>
        <c:majorUnit val="400"/>
      </c:valAx>
      <c:catAx>
        <c:axId val="251499648"/>
        <c:scaling>
          <c:orientation val="minMax"/>
        </c:scaling>
        <c:delete val="1"/>
        <c:axPos val="b"/>
        <c:majorTickMark val="out"/>
        <c:minorTickMark val="none"/>
        <c:tickLblPos val="nextTo"/>
        <c:crossAx val="251501184"/>
        <c:crosses val="autoZero"/>
        <c:auto val="1"/>
        <c:lblAlgn val="ctr"/>
        <c:lblOffset val="100"/>
        <c:noMultiLvlLbl val="0"/>
      </c:catAx>
      <c:valAx>
        <c:axId val="251501184"/>
        <c:scaling>
          <c:orientation val="minMax"/>
        </c:scaling>
        <c:delete val="0"/>
        <c:axPos val="r"/>
        <c:numFmt formatCode="General" sourceLinked="1"/>
        <c:majorTickMark val="out"/>
        <c:minorTickMark val="none"/>
        <c:tickLblPos val="nextTo"/>
        <c:crossAx val="251499648"/>
        <c:crosses val="max"/>
        <c:crossBetween val="between"/>
      </c:valAx>
      <c:spPr>
        <a:solidFill>
          <a:srgbClr val="F9F7FB"/>
        </a:solidFill>
      </c:spPr>
    </c:plotArea>
    <c:plotVisOnly val="1"/>
    <c:dispBlanksAs val="gap"/>
    <c:showDLblsOverMax val="0"/>
  </c:chart>
  <c:spPr>
    <a:solidFill>
      <a:srgbClr val="E8E1EF"/>
    </a:solidFill>
    <a:ln>
      <a:noFill/>
    </a:ln>
  </c:spPr>
  <c:txPr>
    <a:bodyPr/>
    <a:lstStyle/>
    <a:p>
      <a:pPr>
        <a:defRPr>
          <a:latin typeface="Calibri" panose="020F0502020204030204"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0.00929</cdr:x>
      <cdr:y>0.02556</cdr:y>
    </cdr:from>
    <cdr:to>
      <cdr:x>0.06794</cdr:x>
      <cdr:y>0.88818</cdr:y>
    </cdr:to>
    <cdr:sp macro="" textlink="">
      <cdr:nvSpPr>
        <cdr:cNvPr id="2" name="TextBox 3"/>
        <cdr:cNvSpPr txBox="1"/>
      </cdr:nvSpPr>
      <cdr:spPr>
        <a:xfrm xmlns:a="http://schemas.openxmlformats.org/drawingml/2006/main" rot="16200000">
          <a:off x="-1074753" y="1201745"/>
          <a:ext cx="2571750" cy="3206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100"/>
            <a:t>Qatari females in leadership positions*</a:t>
          </a:r>
        </a:p>
      </cdr:txBody>
    </cdr:sp>
  </cdr:relSizeAnchor>
  <cdr:relSizeAnchor xmlns:cdr="http://schemas.openxmlformats.org/drawingml/2006/chartDrawing">
    <cdr:from>
      <cdr:x>0.92567</cdr:x>
      <cdr:y>0.04579</cdr:y>
    </cdr:from>
    <cdr:to>
      <cdr:x>0.98432</cdr:x>
      <cdr:y>0.85623</cdr:y>
    </cdr:to>
    <cdr:sp macro="" textlink="">
      <cdr:nvSpPr>
        <cdr:cNvPr id="3" name="TextBox 3"/>
        <cdr:cNvSpPr txBox="1"/>
      </cdr:nvSpPr>
      <cdr:spPr>
        <a:xfrm xmlns:a="http://schemas.openxmlformats.org/drawingml/2006/main" rot="16200000">
          <a:off x="4013192" y="1184283"/>
          <a:ext cx="2416175" cy="3206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100"/>
            <a:t>Qatari females  workforce</a:t>
          </a:r>
        </a:p>
      </cdr:txBody>
    </cdr:sp>
  </cdr:relSizeAnchor>
  <cdr:relSizeAnchor xmlns:cdr="http://schemas.openxmlformats.org/drawingml/2006/chartDrawing">
    <cdr:from>
      <cdr:x>0.86411</cdr:x>
      <cdr:y>0.02556</cdr:y>
    </cdr:from>
    <cdr:to>
      <cdr:x>0.94599</cdr:x>
      <cdr:y>0.11821</cdr:y>
    </cdr:to>
    <cdr:sp macro="" textlink="">
      <cdr:nvSpPr>
        <cdr:cNvPr id="4" name="TextBox 3"/>
        <cdr:cNvSpPr txBox="1"/>
      </cdr:nvSpPr>
      <cdr:spPr>
        <a:xfrm xmlns:a="http://schemas.openxmlformats.org/drawingml/2006/main">
          <a:off x="4724399" y="76200"/>
          <a:ext cx="4476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a:latin typeface="Calibri" panose="020F0502020204030204" pitchFamily="34"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DD5A8-400B-4C5E-ADF8-0AE1105D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Mahmoud Moaz</dc:creator>
  <cp:lastModifiedBy>Administrator</cp:lastModifiedBy>
  <cp:revision>11</cp:revision>
  <cp:lastPrinted>2016-09-09T21:28:00Z</cp:lastPrinted>
  <dcterms:created xsi:type="dcterms:W3CDTF">2016-09-09T19:58:00Z</dcterms:created>
  <dcterms:modified xsi:type="dcterms:W3CDTF">2016-09-09T22:52:00Z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1614973</vt:lpwstr>
  </property>
  <property fmtid="{D5CDD505-2E9C-101B-9397-08002B2CF9AE}" pid="3" name="ODSRefJobNo">
    <vt:lpwstr>1627425A</vt:lpwstr>
  </property>
  <property fmtid="{D5CDD505-2E9C-101B-9397-08002B2CF9AE}" pid="4" name="Symbol1">
    <vt:lpwstr>CEDAW/C/QAT/CO/1/Add.1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August 2016</vt:lpwstr>
  </property>
  <property fmtid="{D5CDD505-2E9C-101B-9397-08002B2CF9AE}" pid="9" name="Original">
    <vt:lpwstr>Arabic</vt:lpwstr>
  </property>
  <property fmtid="{D5CDD505-2E9C-101B-9397-08002B2CF9AE}" pid="10" name="Release Date">
    <vt:lpwstr>090916</vt:lpwstr>
  </property>
  <property fmtid="{D5CDD505-2E9C-101B-9397-08002B2CF9AE}" pid="11" name="Comment">
    <vt:lpwstr>THANK YOU</vt:lpwstr>
  </property>
  <property fmtid="{D5CDD505-2E9C-101B-9397-08002B2CF9AE}" pid="12" name="DraftPages">
    <vt:lpwstr>FINAL BASED ON ARABIC VERSION</vt:lpwstr>
  </property>
  <property fmtid="{D5CDD505-2E9C-101B-9397-08002B2CF9AE}" pid="13" name="Operator">
    <vt:lpwstr>MOMEN</vt:lpwstr>
  </property>
</Properties>
</file>