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613B0D55" w14:textId="77777777" w:rsidTr="00D21089">
        <w:trPr>
          <w:trHeight w:val="851"/>
        </w:trPr>
        <w:tc>
          <w:tcPr>
            <w:tcW w:w="1259" w:type="dxa"/>
            <w:tcBorders>
              <w:top w:val="nil"/>
              <w:left w:val="nil"/>
              <w:bottom w:val="single" w:sz="4" w:space="0" w:color="auto"/>
              <w:right w:val="nil"/>
            </w:tcBorders>
          </w:tcPr>
          <w:p w14:paraId="68C651DB"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1B3F364C"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312BF20" w14:textId="77777777" w:rsidR="006F0959" w:rsidRDefault="00263BCB" w:rsidP="00263BCB">
            <w:pPr>
              <w:spacing w:after="20" w:line="240" w:lineRule="atLeast"/>
              <w:jc w:val="right"/>
            </w:pPr>
            <w:r w:rsidRPr="00263BCB">
              <w:rPr>
                <w:sz w:val="40"/>
              </w:rPr>
              <w:t>CRC</w:t>
            </w:r>
            <w:r>
              <w:t>/C/MKD/3-6</w:t>
            </w:r>
          </w:p>
        </w:tc>
      </w:tr>
      <w:tr w:rsidR="006F0959" w14:paraId="64DF802B" w14:textId="77777777" w:rsidTr="00D21089">
        <w:trPr>
          <w:trHeight w:val="2835"/>
        </w:trPr>
        <w:tc>
          <w:tcPr>
            <w:tcW w:w="1259" w:type="dxa"/>
            <w:tcBorders>
              <w:top w:val="single" w:sz="4" w:space="0" w:color="auto"/>
              <w:left w:val="nil"/>
              <w:bottom w:val="single" w:sz="12" w:space="0" w:color="auto"/>
              <w:right w:val="nil"/>
            </w:tcBorders>
          </w:tcPr>
          <w:p w14:paraId="317B667F" w14:textId="77777777" w:rsidR="006F0959" w:rsidRDefault="006F0959" w:rsidP="00D21089">
            <w:pPr>
              <w:spacing w:before="120"/>
              <w:jc w:val="center"/>
            </w:pPr>
            <w:r>
              <w:rPr>
                <w:noProof/>
                <w:lang w:eastAsia="en-GB"/>
              </w:rPr>
              <w:drawing>
                <wp:inline distT="0" distB="0" distL="0" distR="0" wp14:anchorId="0B8F7B4A" wp14:editId="1A7974A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617F033"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3F66BB1B" w14:textId="77777777" w:rsidR="006F0959" w:rsidRDefault="00263BCB" w:rsidP="00263BCB">
            <w:pPr>
              <w:spacing w:before="240"/>
            </w:pPr>
            <w:r>
              <w:t>Distr.: General</w:t>
            </w:r>
          </w:p>
          <w:p w14:paraId="6324C7D5" w14:textId="515CDD7F" w:rsidR="00263BCB" w:rsidRDefault="00263BCB" w:rsidP="00263BCB">
            <w:r>
              <w:t>2</w:t>
            </w:r>
            <w:r w:rsidR="00850473">
              <w:t>3</w:t>
            </w:r>
            <w:r>
              <w:t xml:space="preserve"> November 2020</w:t>
            </w:r>
          </w:p>
          <w:p w14:paraId="15132C18" w14:textId="77777777" w:rsidR="00263BCB" w:rsidRDefault="00263BCB" w:rsidP="00263BCB"/>
          <w:p w14:paraId="20E1D26F" w14:textId="77777777" w:rsidR="00263BCB" w:rsidRDefault="00263BCB" w:rsidP="00263BCB">
            <w:r>
              <w:t>Original: English</w:t>
            </w:r>
          </w:p>
          <w:p w14:paraId="1B8F55E9" w14:textId="1252AA25" w:rsidR="00263BCB" w:rsidRDefault="00263BCB" w:rsidP="00263BCB">
            <w:pPr>
              <w:spacing w:line="240" w:lineRule="atLeast"/>
            </w:pPr>
            <w:r w:rsidRPr="005D213B">
              <w:t>English, French and Spanish only</w:t>
            </w:r>
          </w:p>
        </w:tc>
      </w:tr>
    </w:tbl>
    <w:p w14:paraId="21861E58" w14:textId="77777777" w:rsidR="00263BCB" w:rsidRDefault="00263BCB" w:rsidP="00263BCB">
      <w:pPr>
        <w:spacing w:before="120"/>
        <w:rPr>
          <w:b/>
          <w:sz w:val="24"/>
        </w:rPr>
      </w:pPr>
      <w:r>
        <w:rPr>
          <w:b/>
          <w:sz w:val="24"/>
        </w:rPr>
        <w:t>Committee on the Rights of the Child</w:t>
      </w:r>
    </w:p>
    <w:p w14:paraId="3146C8D9" w14:textId="77777777" w:rsidR="00263BCB" w:rsidRPr="00263BCB" w:rsidRDefault="00263BCB" w:rsidP="00263BCB">
      <w:pPr>
        <w:pStyle w:val="HMG"/>
        <w:rPr>
          <w:sz w:val="36"/>
          <w:szCs w:val="22"/>
        </w:rPr>
      </w:pPr>
      <w:r w:rsidRPr="005D213B">
        <w:tab/>
      </w:r>
      <w:r w:rsidRPr="005D213B">
        <w:tab/>
        <w:t>Combined third to sixth reports submitted by North Macedonia under articl</w:t>
      </w:r>
      <w:r>
        <w:t>e 44 of the Convention, due in 2017</w:t>
      </w:r>
      <w:r w:rsidRPr="0091270C">
        <w:rPr>
          <w:rStyle w:val="FootnoteReference"/>
          <w:b w:val="0"/>
          <w:bCs/>
          <w:sz w:val="20"/>
          <w:vertAlign w:val="baseline"/>
        </w:rPr>
        <w:footnoteReference w:customMarkFollows="1" w:id="1"/>
        <w:t>*</w:t>
      </w:r>
      <w:bookmarkStart w:id="0" w:name="_GoBack"/>
      <w:bookmarkEnd w:id="0"/>
    </w:p>
    <w:p w14:paraId="0393ED20" w14:textId="77777777" w:rsidR="00263BCB" w:rsidRDefault="00263BCB" w:rsidP="00263BCB">
      <w:pPr>
        <w:pStyle w:val="SingleTxtG"/>
        <w:spacing w:line="240" w:lineRule="atLeast"/>
        <w:jc w:val="right"/>
      </w:pPr>
      <w:r w:rsidRPr="005D213B">
        <w:t>[Date received</w:t>
      </w:r>
      <w:r>
        <w:t>:</w:t>
      </w:r>
      <w:r w:rsidRPr="005D213B">
        <w:t xml:space="preserve"> 12 March 2019]</w:t>
      </w:r>
    </w:p>
    <w:p w14:paraId="5CFC9241" w14:textId="77777777" w:rsidR="00263BCB" w:rsidRDefault="00263BCB" w:rsidP="00263BCB">
      <w:pPr>
        <w:spacing w:after="200" w:line="276" w:lineRule="auto"/>
        <w:rPr>
          <w:rFonts w:eastAsiaTheme="minorHAnsi"/>
        </w:rPr>
      </w:pPr>
      <w:r>
        <w:br w:type="page"/>
      </w:r>
    </w:p>
    <w:p w14:paraId="6083B934" w14:textId="3A3D4444" w:rsidR="00263BCB" w:rsidRPr="005D213B" w:rsidRDefault="001472DC" w:rsidP="00263BCB">
      <w:pPr>
        <w:pStyle w:val="HChG"/>
      </w:pPr>
      <w:r>
        <w:lastRenderedPageBreak/>
        <w:tab/>
      </w:r>
      <w:r>
        <w:tab/>
      </w:r>
      <w:bookmarkStart w:id="1" w:name="_Toc56781403"/>
      <w:r w:rsidR="00263BCB" w:rsidRPr="005D213B">
        <w:t>List of abbreviations</w:t>
      </w:r>
      <w:bookmarkEnd w:id="1"/>
    </w:p>
    <w:p w14:paraId="3864E7D1"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CEF</w:t>
      </w:r>
      <w:r w:rsidRPr="00263BCB">
        <w:rPr>
          <w:rFonts w:eastAsiaTheme="minorHAnsi"/>
          <w:lang w:eastAsia="en-US"/>
        </w:rPr>
        <w:tab/>
      </w:r>
      <w:r w:rsidRPr="00263BCB">
        <w:rPr>
          <w:rFonts w:eastAsiaTheme="minorHAnsi"/>
          <w:lang w:eastAsia="en-US"/>
        </w:rPr>
        <w:tab/>
        <w:t>Correctional-Educational Facility</w:t>
      </w:r>
    </w:p>
    <w:p w14:paraId="121E144C"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EC</w:t>
      </w:r>
      <w:r w:rsidRPr="00263BCB">
        <w:rPr>
          <w:rFonts w:eastAsiaTheme="minorHAnsi"/>
          <w:lang w:eastAsia="en-US"/>
        </w:rPr>
        <w:tab/>
      </w:r>
      <w:r w:rsidRPr="00263BCB">
        <w:rPr>
          <w:rFonts w:eastAsiaTheme="minorHAnsi"/>
          <w:lang w:eastAsia="en-US"/>
        </w:rPr>
        <w:tab/>
        <w:t xml:space="preserve">European Commission </w:t>
      </w:r>
    </w:p>
    <w:p w14:paraId="26FD5325"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EU</w:t>
      </w:r>
      <w:r w:rsidRPr="00263BCB">
        <w:rPr>
          <w:rFonts w:eastAsiaTheme="minorHAnsi"/>
          <w:lang w:eastAsia="en-US"/>
        </w:rPr>
        <w:tab/>
      </w:r>
      <w:r w:rsidRPr="00263BCB">
        <w:rPr>
          <w:rFonts w:eastAsiaTheme="minorHAnsi"/>
          <w:lang w:eastAsia="en-US"/>
        </w:rPr>
        <w:tab/>
        <w:t xml:space="preserve">European Union </w:t>
      </w:r>
    </w:p>
    <w:p w14:paraId="5F6B7A5F"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VTHB</w:t>
      </w:r>
      <w:r w:rsidRPr="00263BCB">
        <w:rPr>
          <w:rFonts w:eastAsiaTheme="minorHAnsi"/>
          <w:lang w:eastAsia="en-US"/>
        </w:rPr>
        <w:tab/>
      </w:r>
      <w:r w:rsidRPr="00263BCB">
        <w:rPr>
          <w:rFonts w:eastAsiaTheme="minorHAnsi"/>
          <w:lang w:eastAsia="en-US"/>
        </w:rPr>
        <w:tab/>
        <w:t xml:space="preserve">Victims of trafficking in human beings </w:t>
      </w:r>
    </w:p>
    <w:p w14:paraId="394276BD"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PI</w:t>
      </w:r>
      <w:r w:rsidRPr="00263BCB">
        <w:rPr>
          <w:rFonts w:eastAsiaTheme="minorHAnsi"/>
          <w:lang w:eastAsia="en-US"/>
        </w:rPr>
        <w:tab/>
      </w:r>
      <w:r w:rsidRPr="00263BCB">
        <w:rPr>
          <w:rFonts w:eastAsiaTheme="minorHAnsi"/>
          <w:lang w:eastAsia="en-US"/>
        </w:rPr>
        <w:tab/>
        <w:t xml:space="preserve">Public Institution </w:t>
      </w:r>
    </w:p>
    <w:p w14:paraId="45D1FD89"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CME</w:t>
      </w:r>
      <w:r w:rsidRPr="00263BCB">
        <w:rPr>
          <w:rFonts w:eastAsiaTheme="minorHAnsi"/>
          <w:lang w:eastAsia="en-US"/>
        </w:rPr>
        <w:tab/>
      </w:r>
      <w:r w:rsidRPr="00263BCB">
        <w:rPr>
          <w:rFonts w:eastAsiaTheme="minorHAnsi"/>
          <w:lang w:eastAsia="en-US"/>
        </w:rPr>
        <w:tab/>
        <w:t xml:space="preserve">Continued medical education </w:t>
      </w:r>
    </w:p>
    <w:p w14:paraId="23F8588C"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CF</w:t>
      </w:r>
      <w:r w:rsidRPr="00263BCB">
        <w:rPr>
          <w:rFonts w:eastAsiaTheme="minorHAnsi"/>
          <w:lang w:eastAsia="en-US"/>
        </w:rPr>
        <w:tab/>
      </w:r>
      <w:r w:rsidRPr="00263BCB">
        <w:rPr>
          <w:rFonts w:eastAsiaTheme="minorHAnsi"/>
          <w:lang w:eastAsia="en-US"/>
        </w:rPr>
        <w:tab/>
        <w:t>Correctional Facility (Prison)</w:t>
      </w:r>
    </w:p>
    <w:p w14:paraId="0969BC4B"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MoI</w:t>
      </w:r>
      <w:r w:rsidRPr="00263BCB">
        <w:rPr>
          <w:rFonts w:eastAsiaTheme="minorHAnsi"/>
          <w:lang w:eastAsia="en-US"/>
        </w:rPr>
        <w:tab/>
      </w:r>
      <w:r w:rsidRPr="00263BCB">
        <w:rPr>
          <w:rFonts w:eastAsiaTheme="minorHAnsi"/>
          <w:lang w:eastAsia="en-US"/>
        </w:rPr>
        <w:tab/>
        <w:t>Ministry of the Interior</w:t>
      </w:r>
    </w:p>
    <w:p w14:paraId="38693D06" w14:textId="5B70B134"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MH</w:t>
      </w:r>
      <w:r w:rsidRPr="00263BCB">
        <w:rPr>
          <w:rFonts w:eastAsiaTheme="minorHAnsi"/>
          <w:lang w:eastAsia="en-US"/>
        </w:rPr>
        <w:tab/>
      </w:r>
      <w:r w:rsidRPr="00263BCB">
        <w:rPr>
          <w:rFonts w:eastAsiaTheme="minorHAnsi"/>
          <w:lang w:eastAsia="en-US"/>
        </w:rPr>
        <w:tab/>
        <w:t>Ministry of Health</w:t>
      </w:r>
    </w:p>
    <w:p w14:paraId="3856D65D"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MES</w:t>
      </w:r>
      <w:r w:rsidRPr="00263BCB">
        <w:rPr>
          <w:rFonts w:eastAsiaTheme="minorHAnsi"/>
          <w:lang w:eastAsia="en-US"/>
        </w:rPr>
        <w:tab/>
      </w:r>
      <w:r w:rsidRPr="00263BCB">
        <w:rPr>
          <w:rFonts w:eastAsiaTheme="minorHAnsi"/>
          <w:lang w:eastAsia="en-US"/>
        </w:rPr>
        <w:tab/>
        <w:t>Ministry of Education and Science</w:t>
      </w:r>
    </w:p>
    <w:p w14:paraId="766A76B0" w14:textId="0D4B0331"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MoJ</w:t>
      </w:r>
      <w:r w:rsidRPr="00263BCB">
        <w:rPr>
          <w:rFonts w:eastAsiaTheme="minorHAnsi"/>
          <w:lang w:eastAsia="en-US"/>
        </w:rPr>
        <w:tab/>
      </w:r>
      <w:r w:rsidRPr="00263BCB">
        <w:rPr>
          <w:rFonts w:eastAsiaTheme="minorHAnsi"/>
          <w:lang w:eastAsia="en-US"/>
        </w:rPr>
        <w:tab/>
        <w:t>Ministry of Justice</w:t>
      </w:r>
    </w:p>
    <w:p w14:paraId="6D583406"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IST</w:t>
      </w:r>
      <w:r w:rsidRPr="00263BCB">
        <w:rPr>
          <w:rFonts w:eastAsiaTheme="minorHAnsi"/>
          <w:lang w:eastAsia="en-US"/>
        </w:rPr>
        <w:tab/>
      </w:r>
      <w:r w:rsidRPr="00263BCB">
        <w:rPr>
          <w:rFonts w:eastAsiaTheme="minorHAnsi"/>
          <w:lang w:eastAsia="en-US"/>
        </w:rPr>
        <w:tab/>
        <w:t>Intersectoral Team</w:t>
      </w:r>
    </w:p>
    <w:p w14:paraId="6BD0AE35" w14:textId="11C6267A"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MLSP</w:t>
      </w:r>
      <w:r w:rsidRPr="00263BCB">
        <w:rPr>
          <w:rFonts w:eastAsiaTheme="minorHAnsi"/>
          <w:lang w:eastAsia="en-US"/>
        </w:rPr>
        <w:tab/>
      </w:r>
      <w:r w:rsidRPr="00263BCB">
        <w:rPr>
          <w:rFonts w:eastAsiaTheme="minorHAnsi"/>
          <w:lang w:eastAsia="en-US"/>
        </w:rPr>
        <w:tab/>
        <w:t>Ministry of Labour and Social Policy</w:t>
      </w:r>
    </w:p>
    <w:p w14:paraId="3FB813FA" w14:textId="6329EAC8"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NAP</w:t>
      </w:r>
      <w:r w:rsidRPr="00263BCB">
        <w:rPr>
          <w:rFonts w:eastAsiaTheme="minorHAnsi"/>
          <w:lang w:eastAsia="en-US"/>
        </w:rPr>
        <w:tab/>
      </w:r>
      <w:r w:rsidRPr="00263BCB">
        <w:rPr>
          <w:rFonts w:eastAsiaTheme="minorHAnsi"/>
          <w:lang w:eastAsia="en-US"/>
        </w:rPr>
        <w:tab/>
        <w:t>National Action Plan</w:t>
      </w:r>
      <w:r w:rsidR="00A21C4B">
        <w:rPr>
          <w:rFonts w:eastAsiaTheme="minorHAnsi"/>
          <w:lang w:eastAsia="en-US"/>
        </w:rPr>
        <w:t xml:space="preserve"> </w:t>
      </w:r>
    </w:p>
    <w:p w14:paraId="13E326E1"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NGO</w:t>
      </w:r>
      <w:r w:rsidRPr="00263BCB">
        <w:rPr>
          <w:rFonts w:eastAsiaTheme="minorHAnsi"/>
          <w:lang w:eastAsia="en-US"/>
        </w:rPr>
        <w:tab/>
      </w:r>
      <w:r w:rsidRPr="00263BCB">
        <w:rPr>
          <w:rFonts w:eastAsiaTheme="minorHAnsi"/>
          <w:lang w:eastAsia="en-US"/>
        </w:rPr>
        <w:tab/>
        <w:t xml:space="preserve">Non-governmental organization </w:t>
      </w:r>
    </w:p>
    <w:p w14:paraId="0C573D0A" w14:textId="38AFFBDF"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NRM</w:t>
      </w:r>
      <w:r w:rsidRPr="00263BCB">
        <w:rPr>
          <w:rFonts w:eastAsiaTheme="minorHAnsi"/>
          <w:lang w:eastAsia="en-US"/>
        </w:rPr>
        <w:tab/>
      </w:r>
      <w:r w:rsidRPr="00263BCB">
        <w:rPr>
          <w:rFonts w:eastAsiaTheme="minorHAnsi"/>
          <w:lang w:eastAsia="en-US"/>
        </w:rPr>
        <w:tab/>
        <w:t>National Referral Mechanism</w:t>
      </w:r>
      <w:r w:rsidR="00A21C4B">
        <w:rPr>
          <w:rFonts w:eastAsiaTheme="minorHAnsi"/>
          <w:lang w:eastAsia="en-US"/>
        </w:rPr>
        <w:t xml:space="preserve"> </w:t>
      </w:r>
    </w:p>
    <w:p w14:paraId="09CD5E0F" w14:textId="08FA4D20"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LSE</w:t>
      </w:r>
      <w:r w:rsidRPr="00263BCB">
        <w:rPr>
          <w:rFonts w:eastAsiaTheme="minorHAnsi"/>
          <w:lang w:eastAsia="en-US"/>
        </w:rPr>
        <w:tab/>
      </w:r>
      <w:r w:rsidRPr="00263BCB">
        <w:rPr>
          <w:rFonts w:eastAsiaTheme="minorHAnsi"/>
          <w:lang w:eastAsia="en-US"/>
        </w:rPr>
        <w:tab/>
        <w:t>Life Skills Education</w:t>
      </w:r>
      <w:r w:rsidR="00A21C4B">
        <w:rPr>
          <w:rFonts w:eastAsiaTheme="minorHAnsi"/>
          <w:lang w:eastAsia="en-US"/>
        </w:rPr>
        <w:t xml:space="preserve"> </w:t>
      </w:r>
    </w:p>
    <w:p w14:paraId="269E2C7C"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PHC</w:t>
      </w:r>
      <w:r w:rsidRPr="00263BCB">
        <w:rPr>
          <w:rFonts w:eastAsiaTheme="minorHAnsi"/>
          <w:lang w:eastAsia="en-US"/>
        </w:rPr>
        <w:tab/>
      </w:r>
      <w:r w:rsidRPr="00263BCB">
        <w:rPr>
          <w:rFonts w:eastAsiaTheme="minorHAnsi"/>
          <w:lang w:eastAsia="en-US"/>
        </w:rPr>
        <w:tab/>
        <w:t xml:space="preserve">Primary Health Care </w:t>
      </w:r>
    </w:p>
    <w:p w14:paraId="1D1D4C05" w14:textId="2EC70AD0"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VCPF</w:t>
      </w:r>
      <w:r w:rsidRPr="00263BCB">
        <w:rPr>
          <w:rFonts w:eastAsiaTheme="minorHAnsi"/>
          <w:lang w:eastAsia="en-US"/>
        </w:rPr>
        <w:tab/>
      </w:r>
      <w:r w:rsidRPr="00263BCB">
        <w:rPr>
          <w:rFonts w:eastAsiaTheme="minorHAnsi"/>
          <w:lang w:eastAsia="en-US"/>
        </w:rPr>
        <w:tab/>
        <w:t xml:space="preserve">Vulnerable categories of persons </w:t>
      </w:r>
      <w:r w:rsidR="00CE7F85">
        <w:rPr>
          <w:rFonts w:eastAsiaTheme="minorHAnsi"/>
          <w:lang w:eastAsia="en-US"/>
        </w:rPr>
        <w:t>–</w:t>
      </w:r>
      <w:r w:rsidRPr="00263BCB">
        <w:rPr>
          <w:rFonts w:eastAsiaTheme="minorHAnsi"/>
          <w:lang w:eastAsia="en-US"/>
        </w:rPr>
        <w:t xml:space="preserve"> foreigners</w:t>
      </w:r>
    </w:p>
    <w:p w14:paraId="07FA0D6C"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CoE</w:t>
      </w:r>
      <w:r w:rsidRPr="00263BCB">
        <w:rPr>
          <w:rFonts w:eastAsiaTheme="minorHAnsi"/>
          <w:lang w:eastAsia="en-US"/>
        </w:rPr>
        <w:tab/>
      </w:r>
      <w:r w:rsidRPr="00263BCB">
        <w:rPr>
          <w:rFonts w:eastAsiaTheme="minorHAnsi"/>
          <w:lang w:eastAsia="en-US"/>
        </w:rPr>
        <w:tab/>
        <w:t xml:space="preserve">Council of Europe </w:t>
      </w:r>
    </w:p>
    <w:p w14:paraId="1EE1A527"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WHO</w:t>
      </w:r>
      <w:r w:rsidRPr="00263BCB">
        <w:rPr>
          <w:rFonts w:eastAsiaTheme="minorHAnsi"/>
          <w:lang w:eastAsia="en-US"/>
        </w:rPr>
        <w:tab/>
      </w:r>
      <w:r w:rsidRPr="00263BCB">
        <w:rPr>
          <w:rFonts w:eastAsiaTheme="minorHAnsi"/>
          <w:lang w:eastAsia="en-US"/>
        </w:rPr>
        <w:tab/>
        <w:t xml:space="preserve">World Health Organization </w:t>
      </w:r>
    </w:p>
    <w:p w14:paraId="5189967E"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SOP</w:t>
      </w:r>
      <w:r w:rsidRPr="00263BCB">
        <w:rPr>
          <w:rFonts w:eastAsiaTheme="minorHAnsi"/>
          <w:lang w:eastAsia="en-US"/>
        </w:rPr>
        <w:tab/>
      </w:r>
      <w:r w:rsidRPr="00263BCB">
        <w:rPr>
          <w:rFonts w:eastAsiaTheme="minorHAnsi"/>
          <w:lang w:eastAsia="en-US"/>
        </w:rPr>
        <w:tab/>
        <w:t xml:space="preserve">Standard Operating Procedures </w:t>
      </w:r>
    </w:p>
    <w:p w14:paraId="265F4AFF"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SRH</w:t>
      </w:r>
      <w:r w:rsidRPr="00263BCB">
        <w:rPr>
          <w:rFonts w:eastAsiaTheme="minorHAnsi"/>
          <w:lang w:eastAsia="en-US"/>
        </w:rPr>
        <w:tab/>
      </w:r>
      <w:r w:rsidRPr="00263BCB">
        <w:rPr>
          <w:rFonts w:eastAsiaTheme="minorHAnsi"/>
          <w:lang w:eastAsia="en-US"/>
        </w:rPr>
        <w:tab/>
        <w:t xml:space="preserve">Sexual and reproductive health </w:t>
      </w:r>
    </w:p>
    <w:p w14:paraId="30CCEFB4" w14:textId="551DDE2D"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SRHR</w:t>
      </w:r>
      <w:r w:rsidRPr="00263BCB">
        <w:rPr>
          <w:rFonts w:eastAsiaTheme="minorHAnsi"/>
          <w:lang w:eastAsia="en-US"/>
        </w:rPr>
        <w:tab/>
      </w:r>
      <w:r w:rsidRPr="00263BCB">
        <w:rPr>
          <w:rFonts w:eastAsiaTheme="minorHAnsi"/>
          <w:lang w:eastAsia="en-US"/>
        </w:rPr>
        <w:tab/>
        <w:t>Sexual and reproductive health and rights</w:t>
      </w:r>
      <w:r w:rsidR="00A21C4B">
        <w:rPr>
          <w:rFonts w:eastAsiaTheme="minorHAnsi"/>
          <w:lang w:eastAsia="en-US"/>
        </w:rPr>
        <w:t xml:space="preserve"> </w:t>
      </w:r>
    </w:p>
    <w:p w14:paraId="4114A8C7" w14:textId="14471992"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UNICEF</w:t>
      </w:r>
      <w:r w:rsidRPr="00263BCB">
        <w:rPr>
          <w:rFonts w:eastAsiaTheme="minorHAnsi"/>
          <w:lang w:eastAsia="en-US"/>
        </w:rPr>
        <w:tab/>
      </w:r>
      <w:r w:rsidRPr="00263BCB">
        <w:rPr>
          <w:rFonts w:eastAsiaTheme="minorHAnsi"/>
          <w:lang w:eastAsia="en-US"/>
        </w:rPr>
        <w:tab/>
        <w:t>United Nations International Children</w:t>
      </w:r>
      <w:r w:rsidR="00A21C4B">
        <w:rPr>
          <w:rFonts w:eastAsiaTheme="minorHAnsi"/>
          <w:lang w:eastAsia="en-US"/>
        </w:rPr>
        <w:t>’</w:t>
      </w:r>
      <w:r w:rsidRPr="00263BCB">
        <w:rPr>
          <w:rFonts w:eastAsiaTheme="minorHAnsi"/>
          <w:lang w:eastAsia="en-US"/>
        </w:rPr>
        <w:t xml:space="preserve">s Emergency Fund </w:t>
      </w:r>
    </w:p>
    <w:p w14:paraId="509BB2B5"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UNFPA</w:t>
      </w:r>
      <w:r w:rsidRPr="00263BCB">
        <w:rPr>
          <w:rFonts w:eastAsiaTheme="minorHAnsi"/>
          <w:lang w:eastAsia="en-US"/>
        </w:rPr>
        <w:tab/>
      </w:r>
      <w:r w:rsidRPr="00263BCB">
        <w:rPr>
          <w:rFonts w:eastAsiaTheme="minorHAnsi"/>
          <w:lang w:eastAsia="en-US"/>
        </w:rPr>
        <w:tab/>
        <w:t>United Nations Population Fund</w:t>
      </w:r>
    </w:p>
    <w:p w14:paraId="0023B07C"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UNHCR</w:t>
      </w:r>
      <w:r w:rsidRPr="00263BCB">
        <w:rPr>
          <w:rFonts w:eastAsiaTheme="minorHAnsi"/>
          <w:lang w:eastAsia="en-US"/>
        </w:rPr>
        <w:tab/>
      </w:r>
      <w:r w:rsidRPr="00263BCB">
        <w:rPr>
          <w:rFonts w:eastAsiaTheme="minorHAnsi"/>
          <w:lang w:eastAsia="en-US"/>
        </w:rPr>
        <w:tab/>
        <w:t>Office of the United Nations High Commissioner for Refugees</w:t>
      </w:r>
    </w:p>
    <w:p w14:paraId="743639A5"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PHC/PHI</w:t>
      </w:r>
      <w:r w:rsidRPr="00263BCB">
        <w:rPr>
          <w:rFonts w:eastAsiaTheme="minorHAnsi"/>
          <w:lang w:eastAsia="en-US"/>
        </w:rPr>
        <w:tab/>
      </w:r>
      <w:r w:rsidRPr="00263BCB">
        <w:rPr>
          <w:rFonts w:eastAsiaTheme="minorHAnsi"/>
          <w:lang w:eastAsia="en-US"/>
        </w:rPr>
        <w:tab/>
        <w:t xml:space="preserve">Public Health Centre/Public Health Institute </w:t>
      </w:r>
    </w:p>
    <w:p w14:paraId="5F4E5C69"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IHMC</w:t>
      </w:r>
      <w:r w:rsidRPr="00263BCB">
        <w:rPr>
          <w:rFonts w:eastAsiaTheme="minorHAnsi"/>
          <w:lang w:eastAsia="en-US"/>
        </w:rPr>
        <w:tab/>
      </w:r>
      <w:r w:rsidRPr="00263BCB">
        <w:rPr>
          <w:rFonts w:eastAsiaTheme="minorHAnsi"/>
          <w:lang w:eastAsia="en-US"/>
        </w:rPr>
        <w:tab/>
        <w:t>Institute for the Healthcare of Mothers and Children</w:t>
      </w:r>
    </w:p>
    <w:p w14:paraId="5C3C1EE8"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SWC</w:t>
      </w:r>
      <w:r w:rsidRPr="00263BCB">
        <w:rPr>
          <w:rFonts w:eastAsiaTheme="minorHAnsi"/>
          <w:lang w:eastAsia="en-US"/>
        </w:rPr>
        <w:tab/>
      </w:r>
      <w:r w:rsidRPr="00263BCB">
        <w:rPr>
          <w:rFonts w:eastAsiaTheme="minorHAnsi"/>
          <w:lang w:eastAsia="en-US"/>
        </w:rPr>
        <w:tab/>
        <w:t>Social Work Centre</w:t>
      </w:r>
    </w:p>
    <w:p w14:paraId="097A804D"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SSO</w:t>
      </w:r>
      <w:r w:rsidRPr="00263BCB">
        <w:rPr>
          <w:rFonts w:eastAsiaTheme="minorHAnsi"/>
          <w:lang w:eastAsia="en-US"/>
        </w:rPr>
        <w:tab/>
      </w:r>
      <w:r w:rsidRPr="00263BCB">
        <w:rPr>
          <w:rFonts w:eastAsiaTheme="minorHAnsi"/>
          <w:lang w:eastAsia="en-US"/>
        </w:rPr>
        <w:tab/>
        <w:t>State Statistical Office</w:t>
      </w:r>
    </w:p>
    <w:p w14:paraId="3B98D188" w14:textId="77777777" w:rsidR="00263BCB" w:rsidRPr="00263BCB" w:rsidRDefault="00263BCB" w:rsidP="00263BCB">
      <w:pPr>
        <w:pStyle w:val="SingleTxtG"/>
        <w:suppressAutoHyphens/>
        <w:kinsoku w:val="0"/>
        <w:overflowPunct w:val="0"/>
        <w:autoSpaceDE w:val="0"/>
        <w:autoSpaceDN w:val="0"/>
        <w:adjustRightInd w:val="0"/>
        <w:snapToGrid w:val="0"/>
        <w:spacing w:line="240" w:lineRule="atLeast"/>
        <w:ind w:left="2835" w:hanging="1701"/>
        <w:rPr>
          <w:rFonts w:eastAsiaTheme="minorHAnsi"/>
          <w:lang w:eastAsia="en-US"/>
        </w:rPr>
      </w:pPr>
      <w:r w:rsidRPr="00263BCB">
        <w:rPr>
          <w:rFonts w:eastAsiaTheme="minorHAnsi"/>
          <w:lang w:eastAsia="en-US"/>
        </w:rPr>
        <w:t>OG</w:t>
      </w:r>
      <w:r w:rsidRPr="00263BCB">
        <w:rPr>
          <w:rFonts w:eastAsiaTheme="minorHAnsi"/>
          <w:lang w:eastAsia="en-US"/>
        </w:rPr>
        <w:tab/>
      </w:r>
      <w:r w:rsidRPr="00263BCB">
        <w:rPr>
          <w:rFonts w:eastAsiaTheme="minorHAnsi"/>
          <w:lang w:eastAsia="en-US"/>
        </w:rPr>
        <w:tab/>
        <w:t>Official Gazette</w:t>
      </w:r>
    </w:p>
    <w:p w14:paraId="70AB13CA" w14:textId="77777777" w:rsidR="00263BCB" w:rsidRDefault="00263BCB" w:rsidP="00263BCB">
      <w:pPr>
        <w:spacing w:after="200" w:line="276" w:lineRule="auto"/>
        <w:rPr>
          <w:rFonts w:eastAsiaTheme="minorHAnsi"/>
        </w:rPr>
      </w:pPr>
      <w:r>
        <w:br w:type="page"/>
      </w:r>
    </w:p>
    <w:p w14:paraId="6E230DDD" w14:textId="77777777" w:rsidR="00263BCB" w:rsidRPr="005D213B" w:rsidRDefault="00263BCB" w:rsidP="00263BCB">
      <w:pPr>
        <w:pStyle w:val="HChG"/>
      </w:pPr>
      <w:r>
        <w:lastRenderedPageBreak/>
        <w:tab/>
      </w:r>
      <w:r>
        <w:tab/>
      </w:r>
      <w:bookmarkStart w:id="2" w:name="_Toc56781404"/>
      <w:r w:rsidRPr="005D213B">
        <w:t>Introduction</w:t>
      </w:r>
      <w:bookmarkEnd w:id="2"/>
    </w:p>
    <w:p w14:paraId="51D7BD43" w14:textId="2622F6F4" w:rsidR="00263BCB" w:rsidRPr="005D213B" w:rsidRDefault="00570685" w:rsidP="00570685">
      <w:pPr>
        <w:pStyle w:val="ParaNoG"/>
        <w:numPr>
          <w:ilvl w:val="0"/>
          <w:numId w:val="0"/>
        </w:numPr>
        <w:tabs>
          <w:tab w:val="left" w:pos="0"/>
        </w:tabs>
        <w:ind w:left="1134"/>
      </w:pPr>
      <w:r w:rsidRPr="005D213B">
        <w:t>1.</w:t>
      </w:r>
      <w:r w:rsidRPr="005D213B">
        <w:tab/>
      </w:r>
      <w:r w:rsidR="00263BCB" w:rsidRPr="005D213B">
        <w:t>Following the accession to the Convention on the Rights of the Child (the Convention), by way of succession to the former SFRY, in line with the reporting obligations set forth under Article 44 of the said Convention, and after having submitted its Initial Report in 1997 and its Second Periodic Report in 2010, the Republic of North Macedonia prepared and hereby submits to the Committee its Combined III, IV, V and VI Report under the Convention.</w:t>
      </w:r>
    </w:p>
    <w:p w14:paraId="5C84956B" w14:textId="513CD778" w:rsidR="00263BCB" w:rsidRPr="005D213B" w:rsidRDefault="00570685" w:rsidP="00570685">
      <w:pPr>
        <w:pStyle w:val="ParaNoG"/>
        <w:numPr>
          <w:ilvl w:val="0"/>
          <w:numId w:val="0"/>
        </w:numPr>
        <w:tabs>
          <w:tab w:val="left" w:pos="0"/>
        </w:tabs>
        <w:ind w:left="1134"/>
      </w:pPr>
      <w:r w:rsidRPr="005D213B">
        <w:t>2.</w:t>
      </w:r>
      <w:r w:rsidRPr="005D213B">
        <w:tab/>
      </w:r>
      <w:r w:rsidR="00263BCB" w:rsidRPr="005D213B">
        <w:t>The Report was prepared in pursuance with the CRC Treaty Specific Reporting Guidelines regarding the form and content of periodic reports to be submitted by States Parties, under Article 44, paragraph 1</w:t>
      </w:r>
      <w:r w:rsidR="0026480D">
        <w:t xml:space="preserve"> </w:t>
      </w:r>
      <w:r w:rsidR="00263BCB" w:rsidRPr="005D213B">
        <w:t>(b) of the Convention on the Rights of the Child (CRC/C/5), adopted by the Committee at its 65</w:t>
      </w:r>
      <w:r w:rsidR="00263BCB" w:rsidRPr="00263BCB">
        <w:t xml:space="preserve">th </w:t>
      </w:r>
      <w:r w:rsidR="00263BCB" w:rsidRPr="005D213B">
        <w:t>session (13</w:t>
      </w:r>
      <w:r w:rsidR="00263BCB">
        <w:t>–</w:t>
      </w:r>
      <w:r w:rsidR="00263BCB" w:rsidRPr="005D213B">
        <w:t xml:space="preserve">31 January 2014). The recommendations contained in the Concluding Observations of the Committee on the Rights of the Child adopted on 11 June 2010 (CRC/C/MKD/CO/2) were also taken into consideration in preparing this Combined Periodic Report. </w:t>
      </w:r>
    </w:p>
    <w:p w14:paraId="65652128" w14:textId="28334077" w:rsidR="00263BCB" w:rsidRPr="005D213B" w:rsidRDefault="00570685" w:rsidP="00570685">
      <w:pPr>
        <w:pStyle w:val="ParaNoG"/>
        <w:numPr>
          <w:ilvl w:val="0"/>
          <w:numId w:val="0"/>
        </w:numPr>
        <w:tabs>
          <w:tab w:val="left" w:pos="0"/>
        </w:tabs>
        <w:ind w:left="1134"/>
      </w:pPr>
      <w:r w:rsidRPr="005D213B">
        <w:t>3.</w:t>
      </w:r>
      <w:r w:rsidRPr="005D213B">
        <w:tab/>
      </w:r>
      <w:r w:rsidR="00263BCB" w:rsidRPr="005D213B">
        <w:t>The following institutions were involved in the preparation of the Report: the Ministry of Labour and Social Policy (MLSP), the Ministry of Justice (MoJ), the Ministry of the Interior (MoI), the Ministry of Education and Science (MES), the Ministry of Defence (MoD), the Ministry of Health (MH), and the State Statistical Office. The Report covers the period from 2010 to 2018.</w:t>
      </w:r>
    </w:p>
    <w:p w14:paraId="73B5DBF6" w14:textId="033876D3" w:rsidR="00263BCB" w:rsidRPr="005D213B" w:rsidRDefault="00570685" w:rsidP="00570685">
      <w:pPr>
        <w:pStyle w:val="ParaNoG"/>
        <w:numPr>
          <w:ilvl w:val="0"/>
          <w:numId w:val="0"/>
        </w:numPr>
        <w:tabs>
          <w:tab w:val="left" w:pos="0"/>
        </w:tabs>
        <w:ind w:left="1134"/>
        <w:rPr>
          <w:bCs/>
        </w:rPr>
      </w:pPr>
      <w:r w:rsidRPr="005D213B">
        <w:rPr>
          <w:bCs/>
        </w:rPr>
        <w:t>4.</w:t>
      </w:r>
      <w:r w:rsidRPr="005D213B">
        <w:rPr>
          <w:bCs/>
        </w:rPr>
        <w:tab/>
      </w:r>
      <w:r w:rsidR="00263BCB" w:rsidRPr="005D213B">
        <w:t>Before the draft Report had been submitted for endorsement by the Government, it was distributed to civil society organizations, along with a request for their comments, the draft having been also submitted to the UNICEF Office in the Republic of North Macedonia.</w:t>
      </w:r>
    </w:p>
    <w:p w14:paraId="22C463CE" w14:textId="2AA2F35F" w:rsidR="00263BCB" w:rsidRPr="005D213B" w:rsidRDefault="00263BCB" w:rsidP="00263BCB">
      <w:pPr>
        <w:pStyle w:val="H1G"/>
      </w:pPr>
      <w:r>
        <w:tab/>
      </w:r>
      <w:bookmarkStart w:id="3" w:name="_Toc56781405"/>
      <w:r>
        <w:t>1.</w:t>
      </w:r>
      <w:r>
        <w:tab/>
      </w:r>
      <w:r w:rsidRPr="005D213B">
        <w:t>General implementation measures (Articles 4, 42 and 44</w:t>
      </w:r>
      <w:r>
        <w:t xml:space="preserve"> </w:t>
      </w:r>
      <w:r w:rsidRPr="005D213B">
        <w:t>(6) of the Convention)</w:t>
      </w:r>
      <w:bookmarkEnd w:id="3"/>
    </w:p>
    <w:p w14:paraId="63359DFD" w14:textId="7945BB89" w:rsidR="00263BCB" w:rsidRPr="005D213B" w:rsidRDefault="00570685" w:rsidP="00570685">
      <w:pPr>
        <w:pStyle w:val="ParaNoG"/>
        <w:numPr>
          <w:ilvl w:val="0"/>
          <w:numId w:val="0"/>
        </w:numPr>
        <w:tabs>
          <w:tab w:val="left" w:pos="0"/>
        </w:tabs>
        <w:ind w:left="1134"/>
      </w:pPr>
      <w:r w:rsidRPr="005D213B">
        <w:t>5.</w:t>
      </w:r>
      <w:r w:rsidRPr="005D213B">
        <w:tab/>
      </w:r>
      <w:r w:rsidR="00263BCB" w:rsidRPr="005D213B">
        <w:t>In accordance with the Law on the Ombudsman, there is a special unit at the Ombudsman</w:t>
      </w:r>
      <w:r w:rsidR="00A21C4B">
        <w:t>’</w:t>
      </w:r>
      <w:r w:rsidR="00263BCB" w:rsidRPr="005D213B">
        <w:t>s Office monitoring the situation and working on the protection of the rights of the child. This Unit has the mandate of receiving and processing applications filed by children/ their representatives. With a view to fulfilling the criteria for acquiring the Status A national human rights institution, the amendments and supplements to the Law on the Ombudsman were adopted in 2016. The said amendments and supplements ensured the following:</w:t>
      </w:r>
    </w:p>
    <w:p w14:paraId="1AFAF00B" w14:textId="0FEA59B1"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Harmonization of the Law</w:t>
      </w:r>
      <w:r w:rsidR="00A21C4B">
        <w:t xml:space="preserve"> </w:t>
      </w:r>
      <w:r w:rsidRPr="005D213B">
        <w:t>with the Paris Principles on national human rights institutions by: introducing the segment of</w:t>
      </w:r>
      <w:r w:rsidR="00A21C4B">
        <w:t xml:space="preserve"> </w:t>
      </w:r>
      <w:r w:rsidRPr="005D213B">
        <w:t>human rights promotion, as well as a pluralistic approach in the appointment to managerial offices and financial independence of the</w:t>
      </w:r>
      <w:r>
        <w:t xml:space="preserve"> institution;</w:t>
      </w:r>
    </w:p>
    <w:p w14:paraId="27D79683" w14:textId="6C86DAED"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 xml:space="preserve">Introduction of the prevention segment, with a focus on special protection of the </w:t>
      </w:r>
      <w:r>
        <w:t>rights of the child;</w:t>
      </w:r>
    </w:p>
    <w:p w14:paraId="14B5E221" w14:textId="45050468"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Harmonization with the provisions of the Optional Protocol to the Convention against Torture and Other Cruel, Inhuman or Degrading Treatment or Punishment that on its part facilitates the strengthening of the mandate of the Ombudsman as the National Pr</w:t>
      </w:r>
      <w:r>
        <w:t>eventive Mechanism in this area;</w:t>
      </w:r>
    </w:p>
    <w:p w14:paraId="20B0CADB" w14:textId="5D8B533C"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Introduction of the obligation that the Annual Report of the Ombudsman contain recommendations for overcoming established shortcomings, as well as that the Parliament and Government assume the responsibility, act upon the recommendations of the Ombudsman and provide feedback on specific meas</w:t>
      </w:r>
      <w:r>
        <w:t>ures undertaken in this regard;</w:t>
      </w:r>
      <w:r w:rsidRPr="005D213B">
        <w:t xml:space="preserve"> </w:t>
      </w:r>
    </w:p>
    <w:p w14:paraId="3962F63F" w14:textId="37529A69"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The Ombudsman has been granted the competence to file a request to the Standing Survey Committee for protection of human rights and freedoms at the Parliament to examine cases of violation of Constitutional and legal rights and for rel</w:t>
      </w:r>
      <w:r>
        <w:t>evant measures to be undertaken;</w:t>
      </w:r>
      <w:r w:rsidRPr="005D213B">
        <w:t xml:space="preserve"> and</w:t>
      </w:r>
      <w:r w:rsidR="00A21C4B">
        <w:t xml:space="preserve"> </w:t>
      </w:r>
    </w:p>
    <w:p w14:paraId="248D9BB1" w14:textId="67D0C4A2"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lastRenderedPageBreak/>
        <w:t>•</w:t>
      </w:r>
      <w:r w:rsidRPr="005D213B">
        <w:tab/>
        <w:t>Establishment of an additional mechanism to enable undertaking measures regarding special reports about the obstacles to the work of the Ombudsman, about the disrespect for and not acting upon the requests, proposals, opinions, recommendations and considerations of the Ombudsman.</w:t>
      </w:r>
    </w:p>
    <w:p w14:paraId="679A8FBE" w14:textId="61223B31" w:rsidR="00263BCB" w:rsidRPr="005D213B" w:rsidRDefault="00570685" w:rsidP="00570685">
      <w:pPr>
        <w:pStyle w:val="ParaNoG"/>
        <w:numPr>
          <w:ilvl w:val="0"/>
          <w:numId w:val="0"/>
        </w:numPr>
        <w:tabs>
          <w:tab w:val="left" w:pos="0"/>
        </w:tabs>
        <w:ind w:left="1134"/>
      </w:pPr>
      <w:r w:rsidRPr="005D213B">
        <w:t>6.</w:t>
      </w:r>
      <w:r w:rsidRPr="005D213B">
        <w:tab/>
      </w:r>
      <w:r w:rsidR="00263BCB" w:rsidRPr="005D213B">
        <w:t>The following trainings have been organized for professionals working with and for children in respect of the Convention:</w:t>
      </w:r>
      <w:r w:rsidR="00A21C4B">
        <w:t xml:space="preserve"> </w:t>
      </w:r>
    </w:p>
    <w:p w14:paraId="2F895FF0" w14:textId="7CFC4DF0"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 xml:space="preserve">Training of trainers for labour inspectors: application of indicators for identification of children </w:t>
      </w:r>
      <w:r>
        <w:t>-</w:t>
      </w:r>
      <w:r w:rsidRPr="005D213B">
        <w:t xml:space="preserve"> victims of trafficking in human beings (VTHB) for p</w:t>
      </w:r>
      <w:r>
        <w:t>urposes of labour exploitation;</w:t>
      </w:r>
    </w:p>
    <w:p w14:paraId="443253F4" w14:textId="4A2C0633"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Specialized trainings for 75 police officers (mainly juvenile delinquency inspectors): recognizing / identifying and refe</w:t>
      </w:r>
      <w:r>
        <w:t xml:space="preserve">rring potential children </w:t>
      </w:r>
      <w:r w:rsidR="00FB57BB">
        <w:t>–</w:t>
      </w:r>
      <w:r>
        <w:t xml:space="preserve"> VTHB;</w:t>
      </w:r>
      <w:r w:rsidRPr="005D213B">
        <w:t xml:space="preserve"> </w:t>
      </w:r>
    </w:p>
    <w:p w14:paraId="59CB8258" w14:textId="50070C69"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Trainings about the gender dimension of trafficking in human beings; these trainings were organized for police officers, social workers and NGO</w:t>
      </w:r>
      <w:r w:rsidR="00A21C4B">
        <w:t>’</w:t>
      </w:r>
      <w:r w:rsidRPr="005D213B">
        <w:t>s;</w:t>
      </w:r>
      <w:r w:rsidR="00A21C4B">
        <w:t xml:space="preserve"> </w:t>
      </w:r>
    </w:p>
    <w:p w14:paraId="6F54477A" w14:textId="2E5C7623"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Training of social workers about indicators for identification of children victims of trafficking in human beings; trained social workers will continue serving as contact persons in their inst</w:t>
      </w:r>
      <w:r>
        <w:t>itutions for THB related issues.</w:t>
      </w:r>
      <w:r w:rsidR="00A21C4B">
        <w:t xml:space="preserve"> </w:t>
      </w:r>
    </w:p>
    <w:p w14:paraId="0F47078A" w14:textId="0E475205" w:rsidR="00263BCB" w:rsidRPr="005D213B" w:rsidRDefault="00570685" w:rsidP="00570685">
      <w:pPr>
        <w:pStyle w:val="ParaNoG"/>
        <w:numPr>
          <w:ilvl w:val="0"/>
          <w:numId w:val="0"/>
        </w:numPr>
        <w:tabs>
          <w:tab w:val="left" w:pos="0"/>
        </w:tabs>
        <w:ind w:left="1134"/>
      </w:pPr>
      <w:r w:rsidRPr="005D213B">
        <w:t>7.</w:t>
      </w:r>
      <w:r w:rsidRPr="005D213B">
        <w:tab/>
      </w:r>
      <w:r w:rsidR="00263BCB" w:rsidRPr="005D213B">
        <w:t>In pursuance with the Convention, the topic of rights of the child has been elaborated in the curriculum for primary education. The aim is to raise the awareness and understanding of children of the Convention and its application, as well as to raise children</w:t>
      </w:r>
      <w:r w:rsidR="00A21C4B">
        <w:t>’</w:t>
      </w:r>
      <w:r w:rsidR="00263BCB" w:rsidRPr="005D213B">
        <w:t xml:space="preserve">s awareness about the importance of the rights they hold as individuals. This topic has been elaborated in the syllabus for social sciences and civil education primary education subjects. </w:t>
      </w:r>
    </w:p>
    <w:p w14:paraId="32F8E21F" w14:textId="745C26BF" w:rsidR="00263BCB" w:rsidRPr="005D213B" w:rsidRDefault="00570685" w:rsidP="00570685">
      <w:pPr>
        <w:pStyle w:val="ParaNoG"/>
        <w:numPr>
          <w:ilvl w:val="0"/>
          <w:numId w:val="0"/>
        </w:numPr>
        <w:tabs>
          <w:tab w:val="left" w:pos="0"/>
        </w:tabs>
        <w:ind w:left="1134"/>
      </w:pPr>
      <w:r w:rsidRPr="005D213B">
        <w:t>8.</w:t>
      </w:r>
      <w:r w:rsidRPr="005D213B">
        <w:tab/>
      </w:r>
      <w:r w:rsidR="00263BCB" w:rsidRPr="005D213B">
        <w:t>Information about the harmonization of the domestic legislation and practice with the provisions of the Convention and Protocols is given in the text regarding specific Convention articles.</w:t>
      </w:r>
    </w:p>
    <w:p w14:paraId="11078074" w14:textId="77777777" w:rsidR="00263BCB" w:rsidRPr="005D213B" w:rsidRDefault="00263BCB" w:rsidP="00263BCB">
      <w:pPr>
        <w:pStyle w:val="H1G"/>
      </w:pPr>
      <w:r>
        <w:tab/>
      </w:r>
      <w:bookmarkStart w:id="4" w:name="_Toc56781406"/>
      <w:r>
        <w:t>2.</w:t>
      </w:r>
      <w:r>
        <w:tab/>
      </w:r>
      <w:r w:rsidRPr="005D213B">
        <w:t>Definition of child (Article 1)</w:t>
      </w:r>
      <w:bookmarkEnd w:id="4"/>
    </w:p>
    <w:p w14:paraId="67D796AA" w14:textId="7EA3FE35" w:rsidR="00263BCB" w:rsidRPr="005D213B" w:rsidRDefault="00570685" w:rsidP="00570685">
      <w:pPr>
        <w:pStyle w:val="ParaNoG"/>
        <w:numPr>
          <w:ilvl w:val="0"/>
          <w:numId w:val="0"/>
        </w:numPr>
        <w:tabs>
          <w:tab w:val="left" w:pos="0"/>
        </w:tabs>
        <w:ind w:left="1134"/>
      </w:pPr>
      <w:r w:rsidRPr="005D213B">
        <w:t>9.</w:t>
      </w:r>
      <w:r w:rsidRPr="005D213B">
        <w:tab/>
      </w:r>
      <w:r w:rsidR="00263BCB" w:rsidRPr="005D213B">
        <w:t>According to Article 19</w:t>
      </w:r>
      <w:r w:rsidR="00263BCB">
        <w:t xml:space="preserve"> of the Law on Children Justice,</w:t>
      </w:r>
      <w:r w:rsidR="00263BCB" w:rsidRPr="00A21C4B">
        <w:rPr>
          <w:rStyle w:val="FootnoteReference"/>
        </w:rPr>
        <w:footnoteReference w:id="2"/>
      </w:r>
      <w:r w:rsidR="00263BCB" w:rsidRPr="00A21C4B">
        <w:rPr>
          <w:rStyle w:val="FootnoteReference"/>
        </w:rPr>
        <w:t xml:space="preserve"> </w:t>
      </w:r>
      <w:r w:rsidR="00263BCB" w:rsidRPr="005D213B">
        <w:t>a child is any person under the age of 18.</w:t>
      </w:r>
      <w:r w:rsidR="00A21C4B">
        <w:t xml:space="preserve"> </w:t>
      </w:r>
    </w:p>
    <w:p w14:paraId="54BBDE42" w14:textId="65DD877F" w:rsidR="00263BCB" w:rsidRPr="005D213B" w:rsidRDefault="00570685" w:rsidP="00570685">
      <w:pPr>
        <w:pStyle w:val="ParaNoG"/>
        <w:numPr>
          <w:ilvl w:val="0"/>
          <w:numId w:val="0"/>
        </w:numPr>
        <w:tabs>
          <w:tab w:val="left" w:pos="0"/>
        </w:tabs>
        <w:ind w:left="1134"/>
      </w:pPr>
      <w:r w:rsidRPr="005D213B">
        <w:t>10.</w:t>
      </w:r>
      <w:r w:rsidRPr="005D213B">
        <w:tab/>
      </w:r>
      <w:r w:rsidR="00263BCB" w:rsidRPr="005D213B">
        <w:t>In the context of the minimal age for entering into marriage both for girls and boys, according to the Law on the Family</w:t>
      </w:r>
      <w:r w:rsidR="00263BCB">
        <w:t>,</w:t>
      </w:r>
      <w:r w:rsidR="00263BCB" w:rsidRPr="00A21C4B">
        <w:rPr>
          <w:rStyle w:val="FootnoteReference"/>
        </w:rPr>
        <w:footnoteReference w:id="3"/>
      </w:r>
      <w:r w:rsidR="00263BCB" w:rsidRPr="00A21C4B">
        <w:rPr>
          <w:rStyle w:val="FootnoteReference"/>
        </w:rPr>
        <w:t xml:space="preserve"> </w:t>
      </w:r>
      <w:r w:rsidR="00263BCB" w:rsidRPr="005D213B">
        <w:t xml:space="preserve">a person who has not reached 18 years of age may not enter into marriage. Persons who have attained 16 years of age may be granted permission to enter into marriage under a decision of a competent court, adopted in a non-contentious procedure, provided that it has been established that the person has reached the physical and mental maturity required for fulfilment of rights and duties arising in marriage. </w:t>
      </w:r>
    </w:p>
    <w:p w14:paraId="464A7666" w14:textId="450D4F2B" w:rsidR="00263BCB" w:rsidRPr="00F75FC7" w:rsidRDefault="00263BCB" w:rsidP="00263BCB">
      <w:pPr>
        <w:pStyle w:val="H1G"/>
        <w:rPr>
          <w:lang w:val="fr-CH"/>
        </w:rPr>
      </w:pPr>
      <w:r w:rsidRPr="00F75FC7">
        <w:tab/>
      </w:r>
      <w:bookmarkStart w:id="5" w:name="_Toc56781407"/>
      <w:r w:rsidRPr="00F75FC7">
        <w:rPr>
          <w:lang w:val="fr-CH"/>
        </w:rPr>
        <w:t>3.</w:t>
      </w:r>
      <w:r w:rsidRPr="00F75FC7">
        <w:rPr>
          <w:lang w:val="fr-CH"/>
        </w:rPr>
        <w:tab/>
        <w:t>General principles (Articles 2,</w:t>
      </w:r>
      <w:r>
        <w:rPr>
          <w:lang w:val="fr-CH"/>
        </w:rPr>
        <w:t xml:space="preserve"> </w:t>
      </w:r>
      <w:r w:rsidRPr="00F75FC7">
        <w:rPr>
          <w:lang w:val="fr-CH"/>
        </w:rPr>
        <w:t>3,</w:t>
      </w:r>
      <w:r>
        <w:rPr>
          <w:lang w:val="fr-CH"/>
        </w:rPr>
        <w:t xml:space="preserve"> </w:t>
      </w:r>
      <w:r w:rsidRPr="00F75FC7">
        <w:rPr>
          <w:lang w:val="fr-CH"/>
        </w:rPr>
        <w:t>6 and 12)</w:t>
      </w:r>
      <w:bookmarkEnd w:id="5"/>
    </w:p>
    <w:p w14:paraId="31ACFA87" w14:textId="77777777" w:rsidR="00263BCB" w:rsidRPr="00F75FC7" w:rsidRDefault="00263BCB" w:rsidP="00263BCB">
      <w:pPr>
        <w:pStyle w:val="H23G"/>
        <w:rPr>
          <w:lang w:val="fr-CH"/>
        </w:rPr>
      </w:pPr>
      <w:r w:rsidRPr="00F75FC7">
        <w:rPr>
          <w:lang w:val="fr-CH"/>
        </w:rPr>
        <w:tab/>
      </w:r>
      <w:bookmarkStart w:id="6" w:name="_Toc56781408"/>
      <w:r w:rsidRPr="00F75FC7">
        <w:rPr>
          <w:lang w:val="fr-CH"/>
        </w:rPr>
        <w:t>(a)</w:t>
      </w:r>
      <w:r w:rsidRPr="00F75FC7">
        <w:rPr>
          <w:lang w:val="fr-CH"/>
        </w:rPr>
        <w:tab/>
        <w:t>Non-Discrimination (Article 2)</w:t>
      </w:r>
      <w:bookmarkEnd w:id="6"/>
    </w:p>
    <w:p w14:paraId="5413CDDB" w14:textId="68D2463D" w:rsidR="00263BCB" w:rsidRPr="005D213B" w:rsidRDefault="00570685" w:rsidP="00570685">
      <w:pPr>
        <w:pStyle w:val="ParaNoG"/>
        <w:numPr>
          <w:ilvl w:val="0"/>
          <w:numId w:val="0"/>
        </w:numPr>
        <w:tabs>
          <w:tab w:val="left" w:pos="0"/>
        </w:tabs>
        <w:ind w:left="1134"/>
      </w:pPr>
      <w:r w:rsidRPr="005D213B">
        <w:t>11.</w:t>
      </w:r>
      <w:r w:rsidRPr="005D213B">
        <w:tab/>
      </w:r>
      <w:r w:rsidR="00263BCB" w:rsidRPr="005D213B">
        <w:t>The non-discrimination principle has been incorporated in Article 8 of the new Law on Children Justice.</w:t>
      </w:r>
      <w:r w:rsidR="00263BCB" w:rsidRPr="00A21C4B">
        <w:rPr>
          <w:rStyle w:val="FootnoteReference"/>
        </w:rPr>
        <w:footnoteReference w:id="4"/>
      </w:r>
      <w:r w:rsidR="00263BCB" w:rsidRPr="00A21C4B">
        <w:rPr>
          <w:rStyle w:val="FootnoteReference"/>
        </w:rPr>
        <w:t xml:space="preserve"> </w:t>
      </w:r>
      <w:r w:rsidR="00263BCB" w:rsidRPr="005D213B">
        <w:t xml:space="preserve">According to the said Article, courts and other institutions shall respect and ensure the rights of the child without any discrimination on grounds of sex, race, colour of skin, gender, belonging to a marginalized group, ethnic affiliation, language, nationality, social origin, religion or religious belief or on any other grounds set forth in law or in a ratified international treaty. </w:t>
      </w:r>
    </w:p>
    <w:p w14:paraId="16CD28F9" w14:textId="1626C7F9" w:rsidR="00263BCB" w:rsidRPr="005D213B" w:rsidRDefault="00570685" w:rsidP="00570685">
      <w:pPr>
        <w:pStyle w:val="ParaNoG"/>
        <w:numPr>
          <w:ilvl w:val="0"/>
          <w:numId w:val="0"/>
        </w:numPr>
        <w:tabs>
          <w:tab w:val="left" w:pos="0"/>
        </w:tabs>
        <w:ind w:left="1134"/>
      </w:pPr>
      <w:r w:rsidRPr="005D213B">
        <w:t>12.</w:t>
      </w:r>
      <w:r w:rsidRPr="005D213B">
        <w:tab/>
      </w:r>
      <w:r w:rsidR="00263BCB" w:rsidRPr="005D213B">
        <w:t xml:space="preserve">The Law on the Prevention of and the Protection against Discrimination prohibits discrimination against any natural and legal person in the exercise of their rights and </w:t>
      </w:r>
      <w:r w:rsidR="00263BCB" w:rsidRPr="005D213B">
        <w:lastRenderedPageBreak/>
        <w:t xml:space="preserve">freedoms, as guaranteed by the Constitution and laws (Article 2). Age as a ground for discrimination is referred to in Article 3 of this Law, and the ban on age-based discrimination is to be abided by all state bodies, units of the local self-government, legal entities with public authorizations and by other legal and natural persons. </w:t>
      </w:r>
    </w:p>
    <w:p w14:paraId="57A986D6" w14:textId="362DCD39" w:rsidR="00263BCB" w:rsidRPr="005D213B" w:rsidRDefault="00570685" w:rsidP="00570685">
      <w:pPr>
        <w:pStyle w:val="ParaNoG"/>
        <w:numPr>
          <w:ilvl w:val="0"/>
          <w:numId w:val="0"/>
        </w:numPr>
        <w:tabs>
          <w:tab w:val="left" w:pos="0"/>
        </w:tabs>
        <w:ind w:left="1134"/>
      </w:pPr>
      <w:r w:rsidRPr="005D213B">
        <w:t>13.</w:t>
      </w:r>
      <w:r w:rsidRPr="005D213B">
        <w:tab/>
      </w:r>
      <w:r w:rsidR="00263BCB" w:rsidRPr="005D213B">
        <w:t>In line with the 2016</w:t>
      </w:r>
      <w:r w:rsidR="00263BCB">
        <w:t>–</w:t>
      </w:r>
      <w:r w:rsidR="00263BCB" w:rsidRPr="005D213B">
        <w:t xml:space="preserve">2020 Equality and Non-Discrimination Strategy and EC Reports containing recommendations for advancement of the pertinent legislation with a view to attaining more efficient prevention and protection against discrimination, in 2016, the MLSP prepared the amendments to the Law on the Prevention of and Protection against Discrimination. The new Law is in parliamentary procedure, and is focused on ensuring more efficient protection against discrimination and procedures to address cases of discrimination on any grounds. </w:t>
      </w:r>
    </w:p>
    <w:p w14:paraId="1DA6AA4B" w14:textId="77777777" w:rsidR="00263BCB" w:rsidRPr="005D213B" w:rsidRDefault="00263BCB" w:rsidP="00263BCB">
      <w:pPr>
        <w:pStyle w:val="H23G"/>
      </w:pPr>
      <w:r>
        <w:tab/>
      </w:r>
      <w:bookmarkStart w:id="7" w:name="_Toc56781409"/>
      <w:r>
        <w:t>(b)</w:t>
      </w:r>
      <w:r>
        <w:tab/>
      </w:r>
      <w:r w:rsidRPr="005D213B">
        <w:t>The best interests of the child (Article 3)</w:t>
      </w:r>
      <w:bookmarkEnd w:id="7"/>
    </w:p>
    <w:p w14:paraId="1DDFBDF7" w14:textId="01730FB2" w:rsidR="00263BCB" w:rsidRPr="005D213B" w:rsidRDefault="00570685" w:rsidP="00570685">
      <w:pPr>
        <w:pStyle w:val="ParaNoG"/>
        <w:numPr>
          <w:ilvl w:val="0"/>
          <w:numId w:val="0"/>
        </w:numPr>
        <w:tabs>
          <w:tab w:val="left" w:pos="0"/>
        </w:tabs>
        <w:ind w:left="1134"/>
      </w:pPr>
      <w:r w:rsidRPr="005D213B">
        <w:t>14.</w:t>
      </w:r>
      <w:r w:rsidRPr="005D213B">
        <w:tab/>
      </w:r>
      <w:r w:rsidR="00263BCB" w:rsidRPr="005D213B">
        <w:t>According to Article 3 of the La</w:t>
      </w:r>
      <w:r w:rsidR="00263BCB">
        <w:t>w on the Protection of Children,</w:t>
      </w:r>
      <w:r w:rsidR="00263BCB" w:rsidRPr="00A21C4B">
        <w:rPr>
          <w:rStyle w:val="FootnoteReference"/>
        </w:rPr>
        <w:footnoteReference w:id="5"/>
      </w:r>
      <w:r w:rsidR="00263BCB" w:rsidRPr="00A21C4B">
        <w:rPr>
          <w:rStyle w:val="FootnoteReference"/>
        </w:rPr>
        <w:t xml:space="preserve"> </w:t>
      </w:r>
      <w:r w:rsidR="00263BCB" w:rsidRPr="005D213B">
        <w:t>children are protected by ensuring the exercise of their rights, and by applying various forms and means of protection.</w:t>
      </w:r>
    </w:p>
    <w:p w14:paraId="2B87617B" w14:textId="5DD2F7A3" w:rsidR="00263BCB" w:rsidRPr="005D213B" w:rsidRDefault="00570685" w:rsidP="00570685">
      <w:pPr>
        <w:pStyle w:val="ParaNoG"/>
        <w:numPr>
          <w:ilvl w:val="0"/>
          <w:numId w:val="0"/>
        </w:numPr>
        <w:tabs>
          <w:tab w:val="left" w:pos="0"/>
        </w:tabs>
        <w:ind w:left="1134"/>
      </w:pPr>
      <w:r w:rsidRPr="005D213B">
        <w:t>15.</w:t>
      </w:r>
      <w:r w:rsidRPr="005D213B">
        <w:tab/>
      </w:r>
      <w:r w:rsidR="00263BCB" w:rsidRPr="005D213B">
        <w:t>According to Article 9 of this Law, protection is to be provided by parents, the family, guardians and foster families, as well as by institutions for children, educational, social, health care and cultural institutions and professionals, central state institutions and units of local self-government, organizations and other natural and legal persons, whose activities are related to providing support and assistance to children.</w:t>
      </w:r>
    </w:p>
    <w:p w14:paraId="03B380BB" w14:textId="6DD6A05D" w:rsidR="00263BCB" w:rsidRPr="005D213B" w:rsidRDefault="00570685" w:rsidP="00570685">
      <w:pPr>
        <w:pStyle w:val="ParaNoG"/>
        <w:numPr>
          <w:ilvl w:val="0"/>
          <w:numId w:val="0"/>
        </w:numPr>
        <w:tabs>
          <w:tab w:val="left" w:pos="0"/>
        </w:tabs>
        <w:ind w:left="1134"/>
      </w:pPr>
      <w:r w:rsidRPr="005D213B">
        <w:t>16.</w:t>
      </w:r>
      <w:r w:rsidRPr="005D213B">
        <w:tab/>
      </w:r>
      <w:r w:rsidR="00263BCB" w:rsidRPr="005D213B">
        <w:t xml:space="preserve">The principle of the best interests of the child has been incorporated in all legislative, strategic and administrative documents and procedures relating to children. </w:t>
      </w:r>
    </w:p>
    <w:p w14:paraId="185E3FA2" w14:textId="01C14091" w:rsidR="00263BCB" w:rsidRPr="005D213B" w:rsidRDefault="00570685" w:rsidP="00570685">
      <w:pPr>
        <w:pStyle w:val="ParaNoG"/>
        <w:numPr>
          <w:ilvl w:val="0"/>
          <w:numId w:val="0"/>
        </w:numPr>
        <w:tabs>
          <w:tab w:val="left" w:pos="0"/>
        </w:tabs>
        <w:ind w:left="1134"/>
      </w:pPr>
      <w:r w:rsidRPr="005D213B">
        <w:t>17.</w:t>
      </w:r>
      <w:r w:rsidRPr="005D213B">
        <w:tab/>
      </w:r>
      <w:r w:rsidR="00263BCB" w:rsidRPr="005D213B">
        <w:t>The Law on Juvenile Justice, adopted in 2009, establishes a justice system for children based on international standards.</w:t>
      </w:r>
      <w:r w:rsidR="00263BCB" w:rsidRPr="00A21C4B">
        <w:rPr>
          <w:rStyle w:val="FootnoteReference"/>
        </w:rPr>
        <w:footnoteReference w:id="6"/>
      </w:r>
      <w:r w:rsidR="00263BCB" w:rsidRPr="00A21C4B">
        <w:rPr>
          <w:rStyle w:val="FootnoteReference"/>
        </w:rPr>
        <w:t xml:space="preserve"> </w:t>
      </w:r>
      <w:r w:rsidR="00263BCB" w:rsidRPr="005D213B">
        <w:t xml:space="preserve">The new Law on Children Justice, adopted in 2013, further advances the rights of the child, in pursuance with the provisions of the Convention on the Rights of the Child. </w:t>
      </w:r>
    </w:p>
    <w:p w14:paraId="72BBD814" w14:textId="77777777" w:rsidR="00263BCB" w:rsidRPr="005D213B" w:rsidRDefault="00263BCB" w:rsidP="00263BCB">
      <w:pPr>
        <w:pStyle w:val="H23G"/>
      </w:pPr>
      <w:r>
        <w:tab/>
      </w:r>
      <w:bookmarkStart w:id="8" w:name="_Toc56781410"/>
      <w:r>
        <w:t>(c)</w:t>
      </w:r>
      <w:r>
        <w:tab/>
      </w:r>
      <w:r w:rsidRPr="005D213B">
        <w:t>Right to life, survival and development (Article 6)</w:t>
      </w:r>
      <w:bookmarkEnd w:id="8"/>
    </w:p>
    <w:p w14:paraId="2B5D7A3E" w14:textId="7DA36E09" w:rsidR="00263BCB" w:rsidRPr="005D213B" w:rsidRDefault="00570685" w:rsidP="00570685">
      <w:pPr>
        <w:pStyle w:val="ParaNoG"/>
        <w:numPr>
          <w:ilvl w:val="0"/>
          <w:numId w:val="0"/>
        </w:numPr>
        <w:tabs>
          <w:tab w:val="left" w:pos="0"/>
        </w:tabs>
        <w:ind w:left="1134"/>
      </w:pPr>
      <w:r w:rsidRPr="005D213B">
        <w:t>18.</w:t>
      </w:r>
      <w:r w:rsidRPr="005D213B">
        <w:tab/>
      </w:r>
      <w:r w:rsidR="00263BCB" w:rsidRPr="005D213B">
        <w:t>According to Article 10 of the Constitution: The death penalty shall not be imposed on any grounds.</w:t>
      </w:r>
      <w:r w:rsidR="00A21C4B">
        <w:t xml:space="preserve"> </w:t>
      </w:r>
    </w:p>
    <w:p w14:paraId="3C27637B" w14:textId="452027CB" w:rsidR="00263BCB" w:rsidRPr="002F0083" w:rsidRDefault="00570685" w:rsidP="00570685">
      <w:pPr>
        <w:pStyle w:val="ParaNoG"/>
        <w:numPr>
          <w:ilvl w:val="0"/>
          <w:numId w:val="0"/>
        </w:numPr>
        <w:tabs>
          <w:tab w:val="left" w:pos="0"/>
        </w:tabs>
        <w:ind w:left="1134"/>
      </w:pPr>
      <w:r w:rsidRPr="002F0083">
        <w:t>19.</w:t>
      </w:r>
      <w:r w:rsidRPr="002F0083">
        <w:tab/>
      </w:r>
      <w:r w:rsidR="00263BCB" w:rsidRPr="005D213B">
        <w:t>With a view to ensuring to the greatest extent possible the survival and proper development of children, the state provides for special care and protection of the family, motherhood, children, children without parents and children without parental care. The Constitution sets forth parental rights and duties to provide care and upbringing for children, as well as the right to health care, social security and social insurance.</w:t>
      </w:r>
      <w:r w:rsidR="00263BCB" w:rsidRPr="00A21C4B">
        <w:rPr>
          <w:rStyle w:val="FootnoteReference"/>
        </w:rPr>
        <w:footnoteReference w:id="7"/>
      </w:r>
    </w:p>
    <w:p w14:paraId="4E20400C" w14:textId="77777777" w:rsidR="00263BCB" w:rsidRPr="005D213B" w:rsidRDefault="00263BCB" w:rsidP="00263BCB">
      <w:pPr>
        <w:pStyle w:val="H23G"/>
      </w:pPr>
      <w:r>
        <w:tab/>
      </w:r>
      <w:bookmarkStart w:id="9" w:name="_Toc56781411"/>
      <w:r>
        <w:t>(</w:t>
      </w:r>
      <w:r w:rsidRPr="005D213B">
        <w:t>d)</w:t>
      </w:r>
      <w:r>
        <w:tab/>
      </w:r>
      <w:r w:rsidRPr="005D213B">
        <w:t>Respect for the views of the child (Article 12)</w:t>
      </w:r>
      <w:bookmarkEnd w:id="9"/>
      <w:r w:rsidRPr="005D213B">
        <w:t xml:space="preserve"> </w:t>
      </w:r>
    </w:p>
    <w:p w14:paraId="4645E872" w14:textId="5B82D487" w:rsidR="00263BCB" w:rsidRPr="005D213B" w:rsidRDefault="00570685" w:rsidP="00570685">
      <w:pPr>
        <w:pStyle w:val="ParaNoG"/>
        <w:numPr>
          <w:ilvl w:val="0"/>
          <w:numId w:val="0"/>
        </w:numPr>
        <w:tabs>
          <w:tab w:val="left" w:pos="0"/>
        </w:tabs>
        <w:ind w:left="1134"/>
      </w:pPr>
      <w:r w:rsidRPr="005D213B">
        <w:t>20.</w:t>
      </w:r>
      <w:r w:rsidRPr="005D213B">
        <w:tab/>
      </w:r>
      <w:r w:rsidR="00263BCB" w:rsidRPr="005D213B">
        <w:t>Article 4 of the Law on Children Justice</w:t>
      </w:r>
      <w:r w:rsidR="00263BCB" w:rsidRPr="00A21C4B">
        <w:rPr>
          <w:rStyle w:val="FootnoteReference"/>
        </w:rPr>
        <w:footnoteReference w:id="8"/>
      </w:r>
      <w:r w:rsidR="00263BCB" w:rsidRPr="00A21C4B">
        <w:rPr>
          <w:rStyle w:val="FootnoteReference"/>
        </w:rPr>
        <w:t xml:space="preserve"> </w:t>
      </w:r>
      <w:r w:rsidR="00263BCB" w:rsidRPr="005D213B">
        <w:t>stipulates that the child has the right to be informed by all institutions that come in contact with the child about the child</w:t>
      </w:r>
      <w:r w:rsidR="00A21C4B">
        <w:t>’</w:t>
      </w:r>
      <w:r w:rsidR="00263BCB" w:rsidRPr="005D213B">
        <w:t xml:space="preserve">s rights, as well as about duties and responsibilities deriving from the Convention on the Rights of the Child and other international instruments on the rights of the child, as well as about rights and duties arising from this Law and other laws. </w:t>
      </w:r>
    </w:p>
    <w:p w14:paraId="02F34053" w14:textId="3D78B9F6" w:rsidR="00263BCB" w:rsidRPr="006B0754" w:rsidRDefault="00570685" w:rsidP="00570685">
      <w:pPr>
        <w:pStyle w:val="ParaNoG"/>
        <w:numPr>
          <w:ilvl w:val="0"/>
          <w:numId w:val="0"/>
        </w:numPr>
        <w:tabs>
          <w:tab w:val="left" w:pos="0"/>
        </w:tabs>
        <w:ind w:left="1134"/>
        <w:rPr>
          <w:lang w:val="en-US"/>
        </w:rPr>
      </w:pPr>
      <w:r w:rsidRPr="006B0754">
        <w:t>21.</w:t>
      </w:r>
      <w:r w:rsidRPr="006B0754">
        <w:tab/>
      </w:r>
      <w:r w:rsidR="00263BCB" w:rsidRPr="005D213B">
        <w:t>Article 5 of the Law on Child Protection</w:t>
      </w:r>
      <w:r w:rsidR="00263BCB" w:rsidRPr="00A21C4B">
        <w:rPr>
          <w:rStyle w:val="FootnoteReference"/>
        </w:rPr>
        <w:footnoteReference w:id="9"/>
      </w:r>
      <w:r w:rsidR="00263BCB" w:rsidRPr="00A21C4B">
        <w:rPr>
          <w:rStyle w:val="FootnoteReference"/>
        </w:rPr>
        <w:t xml:space="preserve"> </w:t>
      </w:r>
      <w:r w:rsidR="00263BCB" w:rsidRPr="005D213B">
        <w:t>precisely defines that</w:t>
      </w:r>
      <w:r w:rsidR="00A21C4B">
        <w:t xml:space="preserve"> “</w:t>
      </w:r>
      <w:r w:rsidR="00263BCB" w:rsidRPr="005D213B">
        <w:t>The State shall ensure the right to the child to express his/her opinion on issues affecting him/her and that due attention shall be paid to such views in accordance with the maturity and age of the child.</w:t>
      </w:r>
      <w:r w:rsidR="0047545D">
        <w:t>”</w:t>
      </w:r>
    </w:p>
    <w:p w14:paraId="48F75AA3" w14:textId="2B0D6F6F" w:rsidR="00263BCB" w:rsidRPr="005D213B" w:rsidRDefault="00570685" w:rsidP="00570685">
      <w:pPr>
        <w:pStyle w:val="ParaNoG"/>
        <w:numPr>
          <w:ilvl w:val="0"/>
          <w:numId w:val="0"/>
        </w:numPr>
        <w:tabs>
          <w:tab w:val="left" w:pos="0"/>
        </w:tabs>
        <w:ind w:left="1134"/>
      </w:pPr>
      <w:r w:rsidRPr="005D213B">
        <w:lastRenderedPageBreak/>
        <w:t>22.</w:t>
      </w:r>
      <w:r w:rsidRPr="005D213B">
        <w:tab/>
      </w:r>
      <w:r w:rsidR="00263BCB" w:rsidRPr="00B61400">
        <w:t>Professionals working in state institutions and in the civil society sector act in accordance with relevant applicable laws, as well as in pursuance with ratified international treaties that make an integral part of the domestic legal order. Children are attached priority and their fundamental human rights are respected regardless of their ethnic affiliation or regardless of their belonging to any group.</w:t>
      </w:r>
      <w:r w:rsidR="00263BCB" w:rsidRPr="005D213B">
        <w:t xml:space="preserve"> </w:t>
      </w:r>
    </w:p>
    <w:p w14:paraId="545CF8AE" w14:textId="6E136297" w:rsidR="00263BCB" w:rsidRPr="005D213B" w:rsidRDefault="00263BCB" w:rsidP="00263BCB">
      <w:pPr>
        <w:pStyle w:val="H1G"/>
      </w:pPr>
      <w:r>
        <w:tab/>
      </w:r>
      <w:bookmarkStart w:id="10" w:name="_Toc56781412"/>
      <w:r>
        <w:t>4.</w:t>
      </w:r>
      <w:r>
        <w:tab/>
      </w:r>
      <w:r w:rsidRPr="005D213B">
        <w:t>Civil rights and freedoms (Articles 7, 8 and 13</w:t>
      </w:r>
      <w:r>
        <w:t>–</w:t>
      </w:r>
      <w:r w:rsidRPr="005D213B">
        <w:t>17)</w:t>
      </w:r>
      <w:bookmarkEnd w:id="10"/>
    </w:p>
    <w:p w14:paraId="0DBD1769" w14:textId="77777777" w:rsidR="00263BCB" w:rsidRPr="005D213B" w:rsidRDefault="00263BCB" w:rsidP="00263BCB">
      <w:pPr>
        <w:pStyle w:val="H23G"/>
      </w:pPr>
      <w:r>
        <w:tab/>
      </w:r>
      <w:bookmarkStart w:id="11" w:name="_Toc56781413"/>
      <w:r>
        <w:t>(a)</w:t>
      </w:r>
      <w:r>
        <w:tab/>
      </w:r>
      <w:r w:rsidRPr="005D213B">
        <w:t>Registration at birth, name and nationality (Article 7)</w:t>
      </w:r>
      <w:bookmarkEnd w:id="11"/>
      <w:r w:rsidRPr="005D213B">
        <w:t xml:space="preserve"> </w:t>
      </w:r>
    </w:p>
    <w:p w14:paraId="2A37D5B6" w14:textId="2DC9A00A" w:rsidR="00263BCB" w:rsidRPr="005D213B" w:rsidRDefault="00570685" w:rsidP="00570685">
      <w:pPr>
        <w:pStyle w:val="ParaNoG"/>
        <w:numPr>
          <w:ilvl w:val="0"/>
          <w:numId w:val="0"/>
        </w:numPr>
        <w:tabs>
          <w:tab w:val="left" w:pos="0"/>
        </w:tabs>
        <w:ind w:left="1134"/>
      </w:pPr>
      <w:r w:rsidRPr="005D213B">
        <w:t>23.</w:t>
      </w:r>
      <w:r w:rsidRPr="005D213B">
        <w:tab/>
      </w:r>
      <w:r w:rsidR="00263BCB" w:rsidRPr="005D213B">
        <w:t>There have been no changes in the period since the II Periodic Report.</w:t>
      </w:r>
    </w:p>
    <w:p w14:paraId="3B0E744B" w14:textId="77777777" w:rsidR="00263BCB" w:rsidRPr="005D213B" w:rsidRDefault="00263BCB" w:rsidP="00263BCB">
      <w:pPr>
        <w:pStyle w:val="H23G"/>
      </w:pPr>
      <w:r>
        <w:tab/>
      </w:r>
      <w:bookmarkStart w:id="12" w:name="_Toc56781414"/>
      <w:r>
        <w:t>(b)</w:t>
      </w:r>
      <w:r>
        <w:tab/>
      </w:r>
      <w:r w:rsidRPr="00B61400">
        <w:t>Protection of the identity (Article 8)</w:t>
      </w:r>
      <w:bookmarkEnd w:id="12"/>
    </w:p>
    <w:p w14:paraId="34903E88" w14:textId="327E2E79" w:rsidR="00263BCB" w:rsidRPr="00B61400" w:rsidRDefault="00570685" w:rsidP="00570685">
      <w:pPr>
        <w:pStyle w:val="ParaNoG"/>
        <w:numPr>
          <w:ilvl w:val="0"/>
          <w:numId w:val="0"/>
        </w:numPr>
        <w:tabs>
          <w:tab w:val="left" w:pos="0"/>
        </w:tabs>
        <w:ind w:left="1134"/>
      </w:pPr>
      <w:r w:rsidRPr="00B61400">
        <w:t>24.</w:t>
      </w:r>
      <w:r w:rsidRPr="00B61400">
        <w:tab/>
      </w:r>
      <w:r w:rsidR="00263BCB" w:rsidRPr="005D213B">
        <w:t>There have been no changes in the period since the Initial Report</w:t>
      </w:r>
      <w:r w:rsidR="00263BCB">
        <w:t>.</w:t>
      </w:r>
    </w:p>
    <w:p w14:paraId="1CBBC6B8" w14:textId="77777777" w:rsidR="00263BCB" w:rsidRPr="005D213B" w:rsidRDefault="00263BCB" w:rsidP="00263BCB">
      <w:pPr>
        <w:pStyle w:val="H23G"/>
      </w:pPr>
      <w:r>
        <w:tab/>
      </w:r>
      <w:bookmarkStart w:id="13" w:name="_Toc56781415"/>
      <w:r>
        <w:t>(</w:t>
      </w:r>
      <w:r w:rsidRPr="005D213B">
        <w:t>c)</w:t>
      </w:r>
      <w:r>
        <w:tab/>
      </w:r>
      <w:r w:rsidRPr="005D213B">
        <w:t>Freedom of Expression (Article 13)</w:t>
      </w:r>
      <w:bookmarkEnd w:id="13"/>
      <w:r w:rsidRPr="005D213B">
        <w:t xml:space="preserve"> </w:t>
      </w:r>
    </w:p>
    <w:p w14:paraId="6AC3361E" w14:textId="18EF618D" w:rsidR="00263BCB" w:rsidRPr="00B61400" w:rsidRDefault="00570685" w:rsidP="00570685">
      <w:pPr>
        <w:pStyle w:val="ParaNoG"/>
        <w:numPr>
          <w:ilvl w:val="0"/>
          <w:numId w:val="0"/>
        </w:numPr>
        <w:tabs>
          <w:tab w:val="left" w:pos="0"/>
        </w:tabs>
        <w:ind w:left="1134"/>
      </w:pPr>
      <w:r w:rsidRPr="00B61400">
        <w:t>25.</w:t>
      </w:r>
      <w:r w:rsidRPr="00B61400">
        <w:tab/>
      </w:r>
      <w:r w:rsidR="00263BCB" w:rsidRPr="005D213B">
        <w:t>There have been no changes in the period since the Initial Report.</w:t>
      </w:r>
    </w:p>
    <w:p w14:paraId="5DFFFC5B" w14:textId="77777777" w:rsidR="00263BCB" w:rsidRPr="005D213B" w:rsidRDefault="00263BCB" w:rsidP="00263BCB">
      <w:pPr>
        <w:pStyle w:val="H23G"/>
      </w:pPr>
      <w:r>
        <w:tab/>
      </w:r>
      <w:bookmarkStart w:id="14" w:name="_Toc56781416"/>
      <w:r>
        <w:t>(</w:t>
      </w:r>
      <w:r w:rsidRPr="005D213B">
        <w:t>d)</w:t>
      </w:r>
      <w:r>
        <w:tab/>
      </w:r>
      <w:r w:rsidRPr="005D213B">
        <w:t>Freedom of thought, conscience and religion (Article 14)</w:t>
      </w:r>
      <w:bookmarkEnd w:id="14"/>
      <w:r w:rsidRPr="005D213B">
        <w:t xml:space="preserve"> </w:t>
      </w:r>
    </w:p>
    <w:p w14:paraId="408118A2" w14:textId="6F793B93" w:rsidR="00263BCB" w:rsidRPr="005D213B" w:rsidRDefault="00570685" w:rsidP="00570685">
      <w:pPr>
        <w:pStyle w:val="ParaNoG"/>
        <w:numPr>
          <w:ilvl w:val="0"/>
          <w:numId w:val="0"/>
        </w:numPr>
        <w:tabs>
          <w:tab w:val="left" w:pos="0"/>
        </w:tabs>
        <w:ind w:left="1134"/>
      </w:pPr>
      <w:r w:rsidRPr="005D213B">
        <w:t>26.</w:t>
      </w:r>
      <w:r w:rsidRPr="005D213B">
        <w:tab/>
      </w:r>
      <w:r w:rsidR="00263BCB" w:rsidRPr="005D213B">
        <w:t>There have been no changes in the period since the II Periodic Report.</w:t>
      </w:r>
    </w:p>
    <w:p w14:paraId="339AD612" w14:textId="77777777" w:rsidR="00263BCB" w:rsidRPr="005D213B" w:rsidRDefault="00263BCB" w:rsidP="00263BCB">
      <w:pPr>
        <w:pStyle w:val="H23G"/>
      </w:pPr>
      <w:r>
        <w:tab/>
      </w:r>
      <w:bookmarkStart w:id="15" w:name="_Toc56781417"/>
      <w:r>
        <w:t>(</w:t>
      </w:r>
      <w:r w:rsidRPr="005D213B">
        <w:t>e)</w:t>
      </w:r>
      <w:r>
        <w:tab/>
      </w:r>
      <w:r w:rsidRPr="005D213B">
        <w:t>Freedom of association (Article 15)</w:t>
      </w:r>
      <w:bookmarkEnd w:id="15"/>
    </w:p>
    <w:p w14:paraId="5613347F" w14:textId="6A08D250" w:rsidR="00263BCB" w:rsidRPr="00B61400" w:rsidRDefault="00570685" w:rsidP="00570685">
      <w:pPr>
        <w:pStyle w:val="ParaNoG"/>
        <w:numPr>
          <w:ilvl w:val="0"/>
          <w:numId w:val="0"/>
        </w:numPr>
        <w:tabs>
          <w:tab w:val="left" w:pos="0"/>
        </w:tabs>
        <w:ind w:left="1134"/>
      </w:pPr>
      <w:r w:rsidRPr="00B61400">
        <w:t>27.</w:t>
      </w:r>
      <w:r w:rsidRPr="00B61400">
        <w:tab/>
      </w:r>
      <w:r w:rsidR="00263BCB" w:rsidRPr="005D213B">
        <w:t xml:space="preserve">The legal framework regulating the exercise of the constitutionally guaranteed right to association is laid down by the Law on Associations of Citizens and Foundations and by the Law on Political Parties. </w:t>
      </w:r>
    </w:p>
    <w:p w14:paraId="39D1E2AD" w14:textId="192CE2E3" w:rsidR="00263BCB" w:rsidRPr="005D213B" w:rsidRDefault="00570685" w:rsidP="00570685">
      <w:pPr>
        <w:pStyle w:val="ParaNoG"/>
        <w:numPr>
          <w:ilvl w:val="0"/>
          <w:numId w:val="0"/>
        </w:numPr>
        <w:tabs>
          <w:tab w:val="left" w:pos="0"/>
        </w:tabs>
        <w:ind w:left="1134"/>
      </w:pPr>
      <w:r w:rsidRPr="005D213B">
        <w:t>28.</w:t>
      </w:r>
      <w:r w:rsidRPr="005D213B">
        <w:tab/>
      </w:r>
      <w:r w:rsidR="00263BCB" w:rsidRPr="005D213B">
        <w:t xml:space="preserve">According to Article 4 of the Law on Associations and Foundations, citizens exercise this right by forming associations, foundations, and alliances and organizational units of foreign organizations, which work on the accomplishment of their goals, pursue activities and protect their rights, interests and convictions in pursuance with the Constitution and the law. </w:t>
      </w:r>
    </w:p>
    <w:p w14:paraId="43F1C7F6" w14:textId="08CF70F3" w:rsidR="00263BCB" w:rsidRPr="00B61400" w:rsidRDefault="00570685" w:rsidP="00570685">
      <w:pPr>
        <w:pStyle w:val="ParaNoG"/>
        <w:numPr>
          <w:ilvl w:val="0"/>
          <w:numId w:val="0"/>
        </w:numPr>
        <w:tabs>
          <w:tab w:val="left" w:pos="0"/>
        </w:tabs>
        <w:ind w:left="1134"/>
      </w:pPr>
      <w:r w:rsidRPr="00B61400">
        <w:t>29.</w:t>
      </w:r>
      <w:r w:rsidRPr="00B61400">
        <w:tab/>
      </w:r>
      <w:r w:rsidR="00263BCB" w:rsidRPr="005D213B">
        <w:t>Organizations acquire the status of a legal person once they are entered in the Register at the Central Registry.</w:t>
      </w:r>
    </w:p>
    <w:p w14:paraId="2D90FC4A" w14:textId="4C76E8D7" w:rsidR="00263BCB" w:rsidRPr="00B61400" w:rsidRDefault="00570685" w:rsidP="00570685">
      <w:pPr>
        <w:pStyle w:val="ParaNoG"/>
        <w:numPr>
          <w:ilvl w:val="0"/>
          <w:numId w:val="0"/>
        </w:numPr>
        <w:tabs>
          <w:tab w:val="left" w:pos="0"/>
        </w:tabs>
        <w:ind w:left="1134"/>
      </w:pPr>
      <w:r w:rsidRPr="00B61400">
        <w:t>30.</w:t>
      </w:r>
      <w:r w:rsidRPr="00B61400">
        <w:tab/>
      </w:r>
      <w:r w:rsidR="00263BCB" w:rsidRPr="005D213B">
        <w:t>Natural and legal persons may establish an association, i.e. there must be at least five founding members, three of whom must have a permanent residence/stay i.e. seat on the territory of the country. Minors who have reached the age of 15 may be founders of associations, provided that they have a notary certified statement in which their legal representative has given consent for the minor to establish an association.</w:t>
      </w:r>
    </w:p>
    <w:p w14:paraId="2E2B6725" w14:textId="2C9ADF57" w:rsidR="00263BCB" w:rsidRPr="005D213B" w:rsidRDefault="00570685" w:rsidP="00570685">
      <w:pPr>
        <w:pStyle w:val="ParaNoG"/>
        <w:numPr>
          <w:ilvl w:val="0"/>
          <w:numId w:val="0"/>
        </w:numPr>
        <w:tabs>
          <w:tab w:val="left" w:pos="0"/>
        </w:tabs>
        <w:ind w:left="1134"/>
      </w:pPr>
      <w:r w:rsidRPr="005D213B">
        <w:t>31.</w:t>
      </w:r>
      <w:r w:rsidRPr="005D213B">
        <w:tab/>
      </w:r>
      <w:r w:rsidR="00263BCB" w:rsidRPr="005D213B">
        <w:t xml:space="preserve">The established association may be entered in the Register by filing a registration application within 30 days from the date of adoption of the founding articles, i.e. from the date of the decision of the foreign organization to establish an organization unit in the country. </w:t>
      </w:r>
    </w:p>
    <w:p w14:paraId="5220BC20" w14:textId="77777777" w:rsidR="00263BCB" w:rsidRPr="005D213B" w:rsidRDefault="00263BCB" w:rsidP="00263BCB">
      <w:pPr>
        <w:pStyle w:val="H23G"/>
      </w:pPr>
      <w:r>
        <w:tab/>
      </w:r>
      <w:bookmarkStart w:id="16" w:name="_Toc56781418"/>
      <w:r>
        <w:t>(</w:t>
      </w:r>
      <w:r w:rsidRPr="005D213B">
        <w:t>f)</w:t>
      </w:r>
      <w:r>
        <w:tab/>
      </w:r>
      <w:r w:rsidRPr="005D213B">
        <w:t>Protection of the privacy (Article 16)</w:t>
      </w:r>
      <w:bookmarkEnd w:id="16"/>
      <w:r w:rsidRPr="005D213B">
        <w:t xml:space="preserve"> </w:t>
      </w:r>
    </w:p>
    <w:p w14:paraId="4CDDEE9E" w14:textId="781A8630" w:rsidR="00263BCB" w:rsidRPr="005D213B" w:rsidRDefault="00570685" w:rsidP="00570685">
      <w:pPr>
        <w:pStyle w:val="ParaNoG"/>
        <w:numPr>
          <w:ilvl w:val="0"/>
          <w:numId w:val="0"/>
        </w:numPr>
        <w:tabs>
          <w:tab w:val="left" w:pos="0"/>
        </w:tabs>
        <w:ind w:left="1134"/>
      </w:pPr>
      <w:r w:rsidRPr="005D213B">
        <w:t>32.</w:t>
      </w:r>
      <w:r w:rsidRPr="005D213B">
        <w:tab/>
      </w:r>
      <w:r w:rsidR="00263BCB" w:rsidRPr="005D213B">
        <w:t>According to Article 91, paragraph 1 of the Law on Children Justice, courts and other bodies involved in the court proceedings shall have the duty of ensuring the protection of the privacy of the child and that of the child</w:t>
      </w:r>
      <w:r w:rsidR="00A21C4B">
        <w:t>’</w:t>
      </w:r>
      <w:r w:rsidR="00263BCB" w:rsidRPr="005D213B">
        <w:t xml:space="preserve">s family, while according to paragraph 2 of the same Article when a child is tried in court, the hearings are always held </w:t>
      </w:r>
      <w:r w:rsidR="00263BCB" w:rsidRPr="00B61400">
        <w:t>in camera</w:t>
      </w:r>
      <w:r w:rsidR="00263BCB" w:rsidRPr="005D213B">
        <w:t xml:space="preserve">, without the presence of the public. </w:t>
      </w:r>
    </w:p>
    <w:p w14:paraId="7917F8D0" w14:textId="712D7626" w:rsidR="00263BCB" w:rsidRPr="005D213B" w:rsidRDefault="00570685" w:rsidP="00570685">
      <w:pPr>
        <w:pStyle w:val="ParaNoG"/>
        <w:numPr>
          <w:ilvl w:val="0"/>
          <w:numId w:val="0"/>
        </w:numPr>
        <w:tabs>
          <w:tab w:val="left" w:pos="0"/>
        </w:tabs>
        <w:ind w:left="1134"/>
      </w:pPr>
      <w:r w:rsidRPr="005D213B">
        <w:t>33.</w:t>
      </w:r>
      <w:r w:rsidRPr="005D213B">
        <w:tab/>
      </w:r>
      <w:r w:rsidR="00263BCB" w:rsidRPr="005D213B">
        <w:t>Article 145 , paragraph 1, subparagraph 3 stipulates that the child has the right to be informed about his/her rights in a understandable language appropriate to the child</w:t>
      </w:r>
      <w:r w:rsidR="00A21C4B">
        <w:t>’</w:t>
      </w:r>
      <w:r w:rsidR="00263BCB" w:rsidRPr="005D213B">
        <w:t>s age.</w:t>
      </w:r>
      <w:r w:rsidR="00A21C4B">
        <w:t xml:space="preserve"> </w:t>
      </w:r>
    </w:p>
    <w:p w14:paraId="27B14677" w14:textId="4F46FB8F" w:rsidR="00263BCB" w:rsidRPr="005D213B" w:rsidRDefault="00570685" w:rsidP="00570685">
      <w:pPr>
        <w:pStyle w:val="ParaNoG"/>
        <w:numPr>
          <w:ilvl w:val="0"/>
          <w:numId w:val="0"/>
        </w:numPr>
        <w:tabs>
          <w:tab w:val="left" w:pos="0"/>
        </w:tabs>
        <w:ind w:left="1134"/>
      </w:pPr>
      <w:r w:rsidRPr="005D213B">
        <w:t>34.</w:t>
      </w:r>
      <w:r w:rsidRPr="005D213B">
        <w:tab/>
      </w:r>
      <w:r w:rsidR="00263BCB" w:rsidRPr="005D213B">
        <w:t>Article 147, paragraph 1, subparagraph 10 stipulates that the court may order special procedural protection, i.e. protection of the privacy of the child and that of the child</w:t>
      </w:r>
      <w:r w:rsidR="00A21C4B">
        <w:t>’</w:t>
      </w:r>
      <w:r w:rsidR="00263BCB" w:rsidRPr="005D213B">
        <w:t xml:space="preserve">s family. </w:t>
      </w:r>
    </w:p>
    <w:p w14:paraId="56E9034B" w14:textId="44F2A676" w:rsidR="00263BCB" w:rsidRPr="005D213B" w:rsidRDefault="00263BCB" w:rsidP="00263BCB">
      <w:pPr>
        <w:pStyle w:val="H23G"/>
      </w:pPr>
      <w:r>
        <w:lastRenderedPageBreak/>
        <w:tab/>
      </w:r>
      <w:bookmarkStart w:id="17" w:name="_Toc56781419"/>
      <w:r>
        <w:t>(g)</w:t>
      </w:r>
      <w:r>
        <w:tab/>
      </w:r>
      <w:r w:rsidRPr="005D213B">
        <w:t>The role of the mass media and the child</w:t>
      </w:r>
      <w:r w:rsidR="00A21C4B">
        <w:t>’</w:t>
      </w:r>
      <w:r w:rsidRPr="005D213B">
        <w:t>s access to information (Article 17)</w:t>
      </w:r>
      <w:bookmarkEnd w:id="17"/>
      <w:r w:rsidRPr="005D213B">
        <w:t xml:space="preserve"> </w:t>
      </w:r>
    </w:p>
    <w:p w14:paraId="443039B3" w14:textId="2DC73B9F" w:rsidR="00263BCB" w:rsidRPr="005D213B" w:rsidRDefault="00570685" w:rsidP="00570685">
      <w:pPr>
        <w:pStyle w:val="ParaNoG"/>
        <w:numPr>
          <w:ilvl w:val="0"/>
          <w:numId w:val="0"/>
        </w:numPr>
        <w:tabs>
          <w:tab w:val="left" w:pos="0"/>
        </w:tabs>
        <w:ind w:left="1134"/>
      </w:pPr>
      <w:r w:rsidRPr="005D213B">
        <w:t>35.</w:t>
      </w:r>
      <w:r w:rsidRPr="005D213B">
        <w:tab/>
      </w:r>
      <w:r w:rsidR="00263BCB" w:rsidRPr="005D213B">
        <w:t>There have been no changes in the period since the II Periodic Report.</w:t>
      </w:r>
    </w:p>
    <w:p w14:paraId="09225F9F" w14:textId="228B16A1" w:rsidR="00263BCB" w:rsidRPr="005D213B" w:rsidRDefault="00263BCB" w:rsidP="00263BCB">
      <w:pPr>
        <w:pStyle w:val="H1G"/>
      </w:pPr>
      <w:r>
        <w:tab/>
      </w:r>
      <w:bookmarkStart w:id="18" w:name="_Toc56781420"/>
      <w:r w:rsidRPr="005D213B">
        <w:t>5.</w:t>
      </w:r>
      <w:r>
        <w:tab/>
      </w:r>
      <w:r w:rsidRPr="005D213B">
        <w:t>Violence against Children (Articles 19, 24 (3),</w:t>
      </w:r>
      <w:r>
        <w:t xml:space="preserve"> </w:t>
      </w:r>
      <w:r w:rsidRPr="005D213B">
        <w:t>28 (2), 34, 37 (a) and 39)</w:t>
      </w:r>
      <w:bookmarkEnd w:id="18"/>
      <w:r w:rsidRPr="005D213B">
        <w:t xml:space="preserve"> </w:t>
      </w:r>
    </w:p>
    <w:p w14:paraId="06BB1734" w14:textId="77777777" w:rsidR="00263BCB" w:rsidRPr="005D213B" w:rsidRDefault="00263BCB" w:rsidP="00263BCB">
      <w:pPr>
        <w:pStyle w:val="H23G"/>
      </w:pPr>
      <w:r>
        <w:tab/>
      </w:r>
      <w:bookmarkStart w:id="19" w:name="_Toc56781421"/>
      <w:r>
        <w:t>(a)</w:t>
      </w:r>
      <w:r>
        <w:tab/>
      </w:r>
      <w:r w:rsidRPr="005D213B">
        <w:t>Abuse and Neglect (Article 19)</w:t>
      </w:r>
      <w:bookmarkEnd w:id="19"/>
    </w:p>
    <w:p w14:paraId="5275E175" w14:textId="012CC67C" w:rsidR="00263BCB" w:rsidRPr="00190E24" w:rsidRDefault="00570685" w:rsidP="00570685">
      <w:pPr>
        <w:pStyle w:val="ParaNoG"/>
        <w:numPr>
          <w:ilvl w:val="0"/>
          <w:numId w:val="0"/>
        </w:numPr>
        <w:tabs>
          <w:tab w:val="left" w:pos="0"/>
        </w:tabs>
        <w:ind w:left="1134"/>
      </w:pPr>
      <w:r w:rsidRPr="00190E24">
        <w:t>36.</w:t>
      </w:r>
      <w:r w:rsidRPr="00190E24">
        <w:tab/>
      </w:r>
      <w:r w:rsidR="00263BCB" w:rsidRPr="005D213B">
        <w:t>In following with the necessity of applying a multi-sector approach, the Government adopted a decision establishing a National Coordination Body for the protection of children against abuse and neglect, tasked with monitoring and coordinating relevant activities.</w:t>
      </w:r>
      <w:r w:rsidR="00263BCB" w:rsidRPr="00A21C4B">
        <w:rPr>
          <w:rStyle w:val="FootnoteReference"/>
        </w:rPr>
        <w:footnoteReference w:id="10"/>
      </w:r>
    </w:p>
    <w:p w14:paraId="0F572EDB" w14:textId="43FAA22F" w:rsidR="00263BCB" w:rsidRPr="005D213B" w:rsidRDefault="00570685" w:rsidP="00570685">
      <w:pPr>
        <w:pStyle w:val="ParaNoG"/>
        <w:numPr>
          <w:ilvl w:val="0"/>
          <w:numId w:val="0"/>
        </w:numPr>
        <w:tabs>
          <w:tab w:val="left" w:pos="0"/>
        </w:tabs>
        <w:ind w:left="1134"/>
      </w:pPr>
      <w:r w:rsidRPr="005D213B">
        <w:t>37.</w:t>
      </w:r>
      <w:r w:rsidRPr="005D213B">
        <w:tab/>
      </w:r>
      <w:r w:rsidR="00263BCB" w:rsidRPr="005D213B">
        <w:t>The 2013</w:t>
      </w:r>
      <w:r w:rsidR="00186F0B">
        <w:t>–</w:t>
      </w:r>
      <w:r w:rsidR="00263BCB" w:rsidRPr="005D213B">
        <w:t>2015 National Action Plan for the Prevention of and Addressing Abuse and Neglect of Children was adopted in 2013, accompanied by operative plans for implementation of set forth activities in 2013 and 2014. A joint Protocol was adopted regulating the procedures institutions need to follow when detecting cases of abuse and neglect of children and regulating the treatment of abused and neglected children, aimed at ensuring coordinated actions and protection of the best interests of children.</w:t>
      </w:r>
    </w:p>
    <w:p w14:paraId="1EAD49DF" w14:textId="67445841" w:rsidR="00263BCB" w:rsidRPr="005D213B" w:rsidRDefault="00570685" w:rsidP="00570685">
      <w:pPr>
        <w:pStyle w:val="ParaNoG"/>
        <w:numPr>
          <w:ilvl w:val="0"/>
          <w:numId w:val="0"/>
        </w:numPr>
        <w:tabs>
          <w:tab w:val="left" w:pos="0"/>
        </w:tabs>
        <w:ind w:left="1134"/>
      </w:pPr>
      <w:r w:rsidRPr="005D213B">
        <w:t>38.</w:t>
      </w:r>
      <w:r w:rsidRPr="005D213B">
        <w:tab/>
      </w:r>
      <w:r w:rsidR="00263BCB" w:rsidRPr="005D213B">
        <w:t xml:space="preserve">A number of activities for protection of children against violence and abuse have been implemented by the MLSP, with the support of the UNICEF and the EC and with the involvement of civil society organizations. </w:t>
      </w:r>
    </w:p>
    <w:p w14:paraId="78F7C055" w14:textId="7F0E6BA3" w:rsidR="00263BCB" w:rsidRPr="00B61400" w:rsidRDefault="00570685" w:rsidP="00570685">
      <w:pPr>
        <w:pStyle w:val="ParaNoG"/>
        <w:numPr>
          <w:ilvl w:val="0"/>
          <w:numId w:val="0"/>
        </w:numPr>
        <w:tabs>
          <w:tab w:val="left" w:pos="0"/>
        </w:tabs>
        <w:ind w:left="1134"/>
      </w:pPr>
      <w:r w:rsidRPr="00B61400">
        <w:t>39.</w:t>
      </w:r>
      <w:r w:rsidRPr="00B61400">
        <w:tab/>
      </w:r>
      <w:r w:rsidR="00263BCB" w:rsidRPr="005D213B">
        <w:t>A data collection system has been set up to gather information about cases of violence against children, which on its part has contributed towards strengthening the capacities of in-line institutions to monitor the situation.</w:t>
      </w:r>
      <w:r w:rsidR="00263BCB" w:rsidRPr="00B61400">
        <w:t xml:space="preserve"> </w:t>
      </w:r>
      <w:r w:rsidR="00263BCB" w:rsidRPr="005D213B">
        <w:t>In the context of this activity, Indicators for monitoring the situation with children-victims were developed in 2017, for the needs of the National Coordination Body.</w:t>
      </w:r>
      <w:r w:rsidR="00263BCB" w:rsidRPr="00B61400">
        <w:t xml:space="preserve"> </w:t>
      </w:r>
      <w:r w:rsidR="00263BCB" w:rsidRPr="005D213B">
        <w:t>After data has been collected from all in-line institutions (SWC, MES, NGO</w:t>
      </w:r>
      <w:r w:rsidR="00A21C4B">
        <w:t>’</w:t>
      </w:r>
      <w:r w:rsidR="00263BCB" w:rsidRPr="005D213B">
        <w:t>s, MoH, MoI), there are on-going activities for drafting the final report about the situation established based on collected data.</w:t>
      </w:r>
    </w:p>
    <w:p w14:paraId="539A724A" w14:textId="5949CB70" w:rsidR="00263BCB" w:rsidRPr="00B61400" w:rsidRDefault="00570685" w:rsidP="00570685">
      <w:pPr>
        <w:pStyle w:val="ParaNoG"/>
        <w:numPr>
          <w:ilvl w:val="0"/>
          <w:numId w:val="0"/>
        </w:numPr>
        <w:tabs>
          <w:tab w:val="left" w:pos="0"/>
        </w:tabs>
        <w:ind w:left="1134"/>
      </w:pPr>
      <w:r w:rsidRPr="00B61400">
        <w:t>40.</w:t>
      </w:r>
      <w:r w:rsidRPr="00B61400">
        <w:tab/>
      </w:r>
      <w:r w:rsidR="00263BCB" w:rsidRPr="005D213B">
        <w:t>In November and December 2017, there were four two-day trainings for 13 participants from SWCs.</w:t>
      </w:r>
    </w:p>
    <w:p w14:paraId="671F72FF" w14:textId="2356F034" w:rsidR="00263BCB" w:rsidRPr="00186F0B" w:rsidRDefault="00570685" w:rsidP="00570685">
      <w:pPr>
        <w:pStyle w:val="ParaNoG"/>
        <w:numPr>
          <w:ilvl w:val="0"/>
          <w:numId w:val="0"/>
        </w:numPr>
        <w:tabs>
          <w:tab w:val="left" w:pos="0"/>
        </w:tabs>
        <w:ind w:left="1134"/>
      </w:pPr>
      <w:r w:rsidRPr="00186F0B">
        <w:t>41.</w:t>
      </w:r>
      <w:r w:rsidRPr="00186F0B">
        <w:tab/>
      </w:r>
      <w:r w:rsidR="00263BCB" w:rsidRPr="005D213B">
        <w:t>In 2017 and in 2018, there were trainings for professionals working in sectors of social protection, health care, education, justice and police on the inter-sector procedures to be followed in protecting children against abuse and neglect.</w:t>
      </w:r>
      <w:r w:rsidR="00263BCB" w:rsidRPr="00A21C4B">
        <w:rPr>
          <w:rStyle w:val="FootnoteReference"/>
        </w:rPr>
        <w:footnoteReference w:id="11"/>
      </w:r>
    </w:p>
    <w:p w14:paraId="3C8B92FA" w14:textId="237D9201" w:rsidR="00263BCB" w:rsidRPr="005D213B" w:rsidRDefault="00570685" w:rsidP="00570685">
      <w:pPr>
        <w:pStyle w:val="ParaNoG"/>
        <w:numPr>
          <w:ilvl w:val="0"/>
          <w:numId w:val="0"/>
        </w:numPr>
        <w:tabs>
          <w:tab w:val="left" w:pos="0"/>
        </w:tabs>
        <w:ind w:left="1134"/>
      </w:pPr>
      <w:r w:rsidRPr="005D213B">
        <w:t>42.</w:t>
      </w:r>
      <w:r w:rsidRPr="005D213B">
        <w:tab/>
      </w:r>
      <w:r w:rsidR="00263BCB" w:rsidRPr="005D213B">
        <w:t xml:space="preserve">There has been a campaign promoting responsible parenting, with a view to enhancing parental capacities in child upbringing. </w:t>
      </w:r>
    </w:p>
    <w:p w14:paraId="519261B4" w14:textId="2CC88405" w:rsidR="00263BCB" w:rsidRPr="005D213B" w:rsidRDefault="00570685" w:rsidP="00570685">
      <w:pPr>
        <w:pStyle w:val="ParaNoG"/>
        <w:numPr>
          <w:ilvl w:val="0"/>
          <w:numId w:val="0"/>
        </w:numPr>
        <w:tabs>
          <w:tab w:val="left" w:pos="0"/>
        </w:tabs>
        <w:ind w:left="1134"/>
      </w:pPr>
      <w:r w:rsidRPr="005D213B">
        <w:t>43.</w:t>
      </w:r>
      <w:r w:rsidRPr="005D213B">
        <w:tab/>
      </w:r>
      <w:r w:rsidR="00263BCB" w:rsidRPr="005D213B">
        <w:t>In cases of abuse and neglect of children, taking due account of the interests of the child, the SWCs undertake measures to place affected children under care, as well as measures for the children</w:t>
      </w:r>
      <w:r w:rsidR="00A21C4B">
        <w:t>’</w:t>
      </w:r>
      <w:r w:rsidR="00263BCB" w:rsidRPr="005D213B">
        <w:t>s recovery and social reintegration. In most cases, children-victims are placed with foster families or are provided with other forms of care, and are ensured conditions for their recovery and social reintegration.</w:t>
      </w:r>
    </w:p>
    <w:p w14:paraId="77BB0AE8" w14:textId="674DBFEB" w:rsidR="00263BCB" w:rsidRPr="005D213B" w:rsidRDefault="00570685" w:rsidP="00570685">
      <w:pPr>
        <w:pStyle w:val="ParaNoG"/>
        <w:numPr>
          <w:ilvl w:val="0"/>
          <w:numId w:val="0"/>
        </w:numPr>
        <w:tabs>
          <w:tab w:val="left" w:pos="0"/>
        </w:tabs>
        <w:ind w:left="1134"/>
      </w:pPr>
      <w:r w:rsidRPr="005D213B">
        <w:t>44.</w:t>
      </w:r>
      <w:r w:rsidRPr="005D213B">
        <w:tab/>
      </w:r>
      <w:r w:rsidR="00263BCB" w:rsidRPr="005D213B">
        <w:t xml:space="preserve">The Procedures for the Protection of Children-Victims were developed and adopted with UNICEF support in 2014. </w:t>
      </w:r>
    </w:p>
    <w:p w14:paraId="5D9E6249" w14:textId="28BC9FDE" w:rsidR="00263BCB" w:rsidRPr="005D213B" w:rsidRDefault="00570685" w:rsidP="00570685">
      <w:pPr>
        <w:pStyle w:val="ParaNoG"/>
        <w:numPr>
          <w:ilvl w:val="0"/>
          <w:numId w:val="0"/>
        </w:numPr>
        <w:tabs>
          <w:tab w:val="left" w:pos="0"/>
        </w:tabs>
        <w:ind w:left="1134"/>
      </w:pPr>
      <w:r w:rsidRPr="005D213B">
        <w:t>45.</w:t>
      </w:r>
      <w:r w:rsidRPr="005D213B">
        <w:tab/>
      </w:r>
      <w:r w:rsidR="00263BCB" w:rsidRPr="005D213B">
        <w:t>With a view to ensuring proper training on prevention programs, professionals working in all institutions offering social protection undergo continual training, as part of the procedure for their licensing. A Module for Protection of Children against Violence has been developed for this training.</w:t>
      </w:r>
    </w:p>
    <w:p w14:paraId="5037753E" w14:textId="77777777" w:rsidR="006704BA" w:rsidRDefault="006704BA">
      <w:pPr>
        <w:spacing w:after="200" w:line="276" w:lineRule="auto"/>
        <w:rPr>
          <w:b/>
        </w:rPr>
      </w:pPr>
      <w:r>
        <w:br w:type="page"/>
      </w:r>
    </w:p>
    <w:p w14:paraId="202D7C0A" w14:textId="788638A1" w:rsidR="00263BCB" w:rsidRPr="00A21C4B" w:rsidRDefault="00263BCB" w:rsidP="00263BCB">
      <w:pPr>
        <w:pStyle w:val="H23G"/>
        <w:rPr>
          <w:rStyle w:val="FootnoteReference"/>
          <w:b w:val="0"/>
          <w:bCs/>
        </w:rPr>
      </w:pPr>
      <w:r>
        <w:lastRenderedPageBreak/>
        <w:tab/>
      </w:r>
      <w:r>
        <w:tab/>
      </w:r>
      <w:bookmarkStart w:id="20" w:name="_Toc56781422"/>
      <w:r w:rsidRPr="005D213B">
        <w:t>Statistics on children - victims receiving treatment at SWCs segregated by type of violence, abuse or neglect in 2017</w:t>
      </w:r>
      <w:r w:rsidRPr="00A21C4B">
        <w:rPr>
          <w:rStyle w:val="FootnoteReference"/>
          <w:b w:val="0"/>
          <w:bCs/>
        </w:rPr>
        <w:footnoteReference w:id="12"/>
      </w:r>
      <w:bookmarkEnd w:id="20"/>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136"/>
        <w:gridCol w:w="3234"/>
      </w:tblGrid>
      <w:tr w:rsidR="00263BCB" w:rsidRPr="00263BCB" w14:paraId="077F117A" w14:textId="77777777" w:rsidTr="00263BCB">
        <w:trPr>
          <w:tblHeader/>
        </w:trPr>
        <w:tc>
          <w:tcPr>
            <w:tcW w:w="4136" w:type="dxa"/>
            <w:tcBorders>
              <w:top w:val="single" w:sz="4" w:space="0" w:color="auto"/>
              <w:bottom w:val="single" w:sz="12" w:space="0" w:color="auto"/>
            </w:tcBorders>
            <w:shd w:val="clear" w:color="auto" w:fill="auto"/>
            <w:vAlign w:val="bottom"/>
          </w:tcPr>
          <w:p w14:paraId="0BFC463B" w14:textId="77777777" w:rsidR="00263BCB" w:rsidRPr="00263BCB" w:rsidRDefault="00263BCB" w:rsidP="00263BCB">
            <w:pPr>
              <w:pStyle w:val="SingleTxtG"/>
              <w:spacing w:before="80" w:after="80" w:line="200" w:lineRule="exact"/>
              <w:ind w:left="0" w:right="113"/>
              <w:jc w:val="left"/>
              <w:rPr>
                <w:i/>
                <w:sz w:val="16"/>
              </w:rPr>
            </w:pPr>
            <w:r w:rsidRPr="00263BCB">
              <w:rPr>
                <w:i/>
                <w:sz w:val="16"/>
              </w:rPr>
              <w:t xml:space="preserve">Type of violence (neglect and abuse) </w:t>
            </w:r>
          </w:p>
        </w:tc>
        <w:tc>
          <w:tcPr>
            <w:tcW w:w="3234" w:type="dxa"/>
            <w:tcBorders>
              <w:top w:val="single" w:sz="4" w:space="0" w:color="auto"/>
              <w:bottom w:val="single" w:sz="12" w:space="0" w:color="auto"/>
            </w:tcBorders>
            <w:shd w:val="clear" w:color="auto" w:fill="auto"/>
            <w:vAlign w:val="bottom"/>
          </w:tcPr>
          <w:p w14:paraId="681EFA8E" w14:textId="77777777" w:rsidR="00263BCB" w:rsidRPr="00263BCB" w:rsidRDefault="00263BCB" w:rsidP="00263BCB">
            <w:pPr>
              <w:pStyle w:val="SingleTxtG"/>
              <w:spacing w:before="80" w:after="80" w:line="200" w:lineRule="exact"/>
              <w:ind w:left="0" w:right="113"/>
              <w:jc w:val="right"/>
              <w:rPr>
                <w:i/>
                <w:sz w:val="16"/>
              </w:rPr>
            </w:pPr>
            <w:r w:rsidRPr="00263BCB">
              <w:rPr>
                <w:i/>
                <w:sz w:val="16"/>
              </w:rPr>
              <w:t>No. of children-victims</w:t>
            </w:r>
          </w:p>
        </w:tc>
      </w:tr>
      <w:tr w:rsidR="00263BCB" w:rsidRPr="00263BCB" w14:paraId="1335C60B" w14:textId="77777777" w:rsidTr="00263BCB">
        <w:tc>
          <w:tcPr>
            <w:tcW w:w="4136" w:type="dxa"/>
            <w:tcBorders>
              <w:top w:val="single" w:sz="12" w:space="0" w:color="auto"/>
            </w:tcBorders>
            <w:shd w:val="clear" w:color="auto" w:fill="auto"/>
          </w:tcPr>
          <w:p w14:paraId="30CE1A69" w14:textId="77777777" w:rsidR="00263BCB" w:rsidRPr="00263BCB" w:rsidRDefault="00263BCB" w:rsidP="00263BCB">
            <w:pPr>
              <w:pStyle w:val="SingleTxtG"/>
              <w:spacing w:before="40" w:after="40" w:line="220" w:lineRule="exact"/>
              <w:ind w:left="0" w:right="113"/>
              <w:jc w:val="left"/>
              <w:rPr>
                <w:sz w:val="18"/>
              </w:rPr>
            </w:pPr>
            <w:r w:rsidRPr="00263BCB">
              <w:rPr>
                <w:sz w:val="18"/>
              </w:rPr>
              <w:t xml:space="preserve">Neglect </w:t>
            </w:r>
          </w:p>
        </w:tc>
        <w:tc>
          <w:tcPr>
            <w:tcW w:w="3234" w:type="dxa"/>
            <w:tcBorders>
              <w:top w:val="single" w:sz="12" w:space="0" w:color="auto"/>
            </w:tcBorders>
            <w:shd w:val="clear" w:color="auto" w:fill="auto"/>
            <w:vAlign w:val="bottom"/>
          </w:tcPr>
          <w:p w14:paraId="6DD8049C" w14:textId="77777777" w:rsidR="00263BCB" w:rsidRPr="00263BCB" w:rsidRDefault="00263BCB" w:rsidP="00263BCB">
            <w:pPr>
              <w:pStyle w:val="SingleTxtG"/>
              <w:spacing w:before="40" w:after="40" w:line="220" w:lineRule="exact"/>
              <w:ind w:left="0" w:right="113"/>
              <w:jc w:val="right"/>
              <w:rPr>
                <w:sz w:val="18"/>
              </w:rPr>
            </w:pPr>
            <w:r w:rsidRPr="00263BCB">
              <w:rPr>
                <w:sz w:val="18"/>
              </w:rPr>
              <w:t>70</w:t>
            </w:r>
          </w:p>
        </w:tc>
      </w:tr>
      <w:tr w:rsidR="00263BCB" w:rsidRPr="00263BCB" w14:paraId="1A69C5B8" w14:textId="77777777" w:rsidTr="00263BCB">
        <w:tc>
          <w:tcPr>
            <w:tcW w:w="4136" w:type="dxa"/>
            <w:shd w:val="clear" w:color="auto" w:fill="auto"/>
          </w:tcPr>
          <w:p w14:paraId="10FB40BB" w14:textId="77777777" w:rsidR="00263BCB" w:rsidRPr="00263BCB" w:rsidRDefault="00263BCB" w:rsidP="00263BCB">
            <w:pPr>
              <w:pStyle w:val="SingleTxtG"/>
              <w:spacing w:before="40" w:after="40" w:line="220" w:lineRule="exact"/>
              <w:ind w:left="0" w:right="113"/>
              <w:jc w:val="left"/>
              <w:rPr>
                <w:sz w:val="18"/>
              </w:rPr>
            </w:pPr>
            <w:r w:rsidRPr="00263BCB">
              <w:rPr>
                <w:sz w:val="18"/>
              </w:rPr>
              <w:t xml:space="preserve">Physical abuse </w:t>
            </w:r>
          </w:p>
        </w:tc>
        <w:tc>
          <w:tcPr>
            <w:tcW w:w="3234" w:type="dxa"/>
            <w:shd w:val="clear" w:color="auto" w:fill="auto"/>
            <w:vAlign w:val="bottom"/>
          </w:tcPr>
          <w:p w14:paraId="11EF0A45" w14:textId="77777777" w:rsidR="00263BCB" w:rsidRPr="00263BCB" w:rsidRDefault="00263BCB" w:rsidP="00263BCB">
            <w:pPr>
              <w:pStyle w:val="SingleTxtG"/>
              <w:spacing w:before="40" w:after="40" w:line="220" w:lineRule="exact"/>
              <w:ind w:left="0" w:right="113"/>
              <w:jc w:val="right"/>
              <w:rPr>
                <w:sz w:val="18"/>
              </w:rPr>
            </w:pPr>
            <w:r w:rsidRPr="00263BCB">
              <w:rPr>
                <w:sz w:val="18"/>
              </w:rPr>
              <w:t>71</w:t>
            </w:r>
          </w:p>
        </w:tc>
      </w:tr>
      <w:tr w:rsidR="00263BCB" w:rsidRPr="00263BCB" w14:paraId="77C47671" w14:textId="77777777" w:rsidTr="00263BCB">
        <w:tc>
          <w:tcPr>
            <w:tcW w:w="4136" w:type="dxa"/>
            <w:shd w:val="clear" w:color="auto" w:fill="auto"/>
          </w:tcPr>
          <w:p w14:paraId="66D2F6B6" w14:textId="77777777" w:rsidR="00263BCB" w:rsidRPr="00263BCB" w:rsidRDefault="00263BCB" w:rsidP="00263BCB">
            <w:pPr>
              <w:pStyle w:val="SingleTxtG"/>
              <w:spacing w:before="40" w:after="40" w:line="220" w:lineRule="exact"/>
              <w:ind w:left="0" w:right="113"/>
              <w:jc w:val="left"/>
              <w:rPr>
                <w:sz w:val="18"/>
              </w:rPr>
            </w:pPr>
            <w:r w:rsidRPr="00263BCB">
              <w:rPr>
                <w:sz w:val="18"/>
              </w:rPr>
              <w:t xml:space="preserve">Emotional abuse </w:t>
            </w:r>
          </w:p>
        </w:tc>
        <w:tc>
          <w:tcPr>
            <w:tcW w:w="3234" w:type="dxa"/>
            <w:shd w:val="clear" w:color="auto" w:fill="auto"/>
            <w:vAlign w:val="bottom"/>
          </w:tcPr>
          <w:p w14:paraId="464FA046" w14:textId="77777777" w:rsidR="00263BCB" w:rsidRPr="00263BCB" w:rsidRDefault="00263BCB" w:rsidP="00263BCB">
            <w:pPr>
              <w:pStyle w:val="SingleTxtG"/>
              <w:spacing w:before="40" w:after="40" w:line="220" w:lineRule="exact"/>
              <w:ind w:left="0" w:right="113"/>
              <w:jc w:val="right"/>
              <w:rPr>
                <w:sz w:val="18"/>
              </w:rPr>
            </w:pPr>
            <w:r w:rsidRPr="00263BCB">
              <w:rPr>
                <w:sz w:val="18"/>
              </w:rPr>
              <w:t>143</w:t>
            </w:r>
          </w:p>
        </w:tc>
      </w:tr>
      <w:tr w:rsidR="00263BCB" w:rsidRPr="00263BCB" w14:paraId="0FCBE597" w14:textId="77777777" w:rsidTr="00263BCB">
        <w:tc>
          <w:tcPr>
            <w:tcW w:w="4136" w:type="dxa"/>
            <w:shd w:val="clear" w:color="auto" w:fill="auto"/>
          </w:tcPr>
          <w:p w14:paraId="4700C529" w14:textId="77777777" w:rsidR="00263BCB" w:rsidRPr="00263BCB" w:rsidRDefault="00263BCB" w:rsidP="00263BCB">
            <w:pPr>
              <w:pStyle w:val="SingleTxtG"/>
              <w:spacing w:before="40" w:after="40" w:line="220" w:lineRule="exact"/>
              <w:ind w:left="0" w:right="113"/>
              <w:jc w:val="left"/>
              <w:rPr>
                <w:sz w:val="18"/>
              </w:rPr>
            </w:pPr>
            <w:r w:rsidRPr="00263BCB">
              <w:rPr>
                <w:sz w:val="18"/>
              </w:rPr>
              <w:t xml:space="preserve">Sexual abuse </w:t>
            </w:r>
          </w:p>
        </w:tc>
        <w:tc>
          <w:tcPr>
            <w:tcW w:w="3234" w:type="dxa"/>
            <w:shd w:val="clear" w:color="auto" w:fill="auto"/>
            <w:vAlign w:val="bottom"/>
          </w:tcPr>
          <w:p w14:paraId="03989655" w14:textId="77777777" w:rsidR="00263BCB" w:rsidRPr="00263BCB" w:rsidRDefault="00263BCB" w:rsidP="00263BCB">
            <w:pPr>
              <w:pStyle w:val="SingleTxtG"/>
              <w:spacing w:before="40" w:after="40" w:line="220" w:lineRule="exact"/>
              <w:ind w:left="0" w:right="113"/>
              <w:jc w:val="right"/>
              <w:rPr>
                <w:sz w:val="18"/>
              </w:rPr>
            </w:pPr>
            <w:r w:rsidRPr="00263BCB">
              <w:rPr>
                <w:sz w:val="18"/>
              </w:rPr>
              <w:t>26</w:t>
            </w:r>
          </w:p>
        </w:tc>
      </w:tr>
      <w:tr w:rsidR="00263BCB" w:rsidRPr="00263BCB" w14:paraId="2E8053A8" w14:textId="77777777" w:rsidTr="00263BCB">
        <w:tc>
          <w:tcPr>
            <w:tcW w:w="4136" w:type="dxa"/>
            <w:shd w:val="clear" w:color="auto" w:fill="auto"/>
          </w:tcPr>
          <w:p w14:paraId="1C3399DD" w14:textId="77777777" w:rsidR="00263BCB" w:rsidRPr="00263BCB" w:rsidRDefault="00263BCB" w:rsidP="00263BCB">
            <w:pPr>
              <w:pStyle w:val="SingleTxtG"/>
              <w:spacing w:before="40" w:after="40" w:line="220" w:lineRule="exact"/>
              <w:ind w:left="0" w:right="113"/>
              <w:jc w:val="left"/>
              <w:rPr>
                <w:sz w:val="18"/>
              </w:rPr>
            </w:pPr>
            <w:r w:rsidRPr="00263BCB">
              <w:rPr>
                <w:sz w:val="18"/>
              </w:rPr>
              <w:t>Other types of violence</w:t>
            </w:r>
          </w:p>
        </w:tc>
        <w:tc>
          <w:tcPr>
            <w:tcW w:w="3234" w:type="dxa"/>
            <w:shd w:val="clear" w:color="auto" w:fill="auto"/>
            <w:vAlign w:val="bottom"/>
          </w:tcPr>
          <w:p w14:paraId="02A27C1F" w14:textId="77777777" w:rsidR="00263BCB" w:rsidRPr="00263BCB" w:rsidRDefault="00263BCB" w:rsidP="00263BCB">
            <w:pPr>
              <w:pStyle w:val="SingleTxtG"/>
              <w:spacing w:before="40" w:after="40" w:line="220" w:lineRule="exact"/>
              <w:ind w:left="0" w:right="113"/>
              <w:jc w:val="right"/>
              <w:rPr>
                <w:sz w:val="18"/>
              </w:rPr>
            </w:pPr>
            <w:r w:rsidRPr="00263BCB">
              <w:rPr>
                <w:sz w:val="18"/>
              </w:rPr>
              <w:t>17</w:t>
            </w:r>
          </w:p>
        </w:tc>
      </w:tr>
    </w:tbl>
    <w:p w14:paraId="0C1615D3" w14:textId="749F924E" w:rsidR="00263BCB" w:rsidRPr="005D213B" w:rsidRDefault="00570685" w:rsidP="00570685">
      <w:pPr>
        <w:pStyle w:val="ParaNoG"/>
        <w:numPr>
          <w:ilvl w:val="0"/>
          <w:numId w:val="0"/>
        </w:numPr>
        <w:tabs>
          <w:tab w:val="left" w:pos="0"/>
        </w:tabs>
        <w:spacing w:before="240"/>
        <w:ind w:left="1134"/>
      </w:pPr>
      <w:r w:rsidRPr="005D213B">
        <w:t>46.</w:t>
      </w:r>
      <w:r w:rsidRPr="005D213B">
        <w:tab/>
      </w:r>
      <w:r w:rsidR="00263BCB" w:rsidRPr="005D213B">
        <w:t>As regards incidents involving physical punishment in all environments (childcare institutions, the family, foster families, institutions and other entities providing child services) and the number of cases of bullying and maltreatment, in 2017, the SWCs recorded cases involving 72 children suffering these types of violence. Most cases of physical violence against children were registered under the social risk of domestic violence. Predominantly, the perpetrators of physical violence against children are the parents, and such cases of abuse have been reported by the MoI with SWCs. Almost 22% of the total number of affected children in the reported cases were subjected to violence within the family, by persons who were supposed to provide care for them.</w:t>
      </w:r>
    </w:p>
    <w:p w14:paraId="464FF633" w14:textId="77777777" w:rsidR="00263BCB" w:rsidRPr="005D213B" w:rsidRDefault="00263BCB" w:rsidP="00263BCB">
      <w:pPr>
        <w:pStyle w:val="H23G"/>
      </w:pPr>
      <w:r>
        <w:tab/>
      </w:r>
      <w:bookmarkStart w:id="21" w:name="_Toc56781423"/>
      <w:r>
        <w:t>(b)</w:t>
      </w:r>
      <w:r>
        <w:tab/>
      </w:r>
      <w:r w:rsidRPr="005D213B">
        <w:t>Measures for prohibition and elimination of all forms of damaging practices, including but not limited to female genital mutilation, early and forced marriages (Article 24, paragraph 3)</w:t>
      </w:r>
      <w:bookmarkEnd w:id="21"/>
    </w:p>
    <w:p w14:paraId="04A4E55D" w14:textId="7EAAAC43" w:rsidR="00263BCB" w:rsidRPr="005D213B" w:rsidRDefault="00570685" w:rsidP="00570685">
      <w:pPr>
        <w:pStyle w:val="ParaNoG"/>
        <w:numPr>
          <w:ilvl w:val="0"/>
          <w:numId w:val="0"/>
        </w:numPr>
        <w:tabs>
          <w:tab w:val="left" w:pos="0"/>
        </w:tabs>
        <w:ind w:left="1134"/>
      </w:pPr>
      <w:r w:rsidRPr="005D213B">
        <w:t>47.</w:t>
      </w:r>
      <w:r w:rsidRPr="005D213B">
        <w:tab/>
      </w:r>
      <w:r w:rsidR="00263BCB" w:rsidRPr="005D213B">
        <w:t xml:space="preserve">On 30 December 2017, the Republic of North Macedonia ratified the Convention on preventing and combating violence against women and domestic violence (the Istanbul Convention). In addition, an Action Plan for the implementation of the Convention has been developed. </w:t>
      </w:r>
    </w:p>
    <w:p w14:paraId="44FFC44D" w14:textId="6713D3A1" w:rsidR="00263BCB" w:rsidRPr="005D213B" w:rsidRDefault="00570685" w:rsidP="00570685">
      <w:pPr>
        <w:pStyle w:val="ParaNoG"/>
        <w:numPr>
          <w:ilvl w:val="0"/>
          <w:numId w:val="0"/>
        </w:numPr>
        <w:tabs>
          <w:tab w:val="left" w:pos="0"/>
        </w:tabs>
        <w:ind w:left="1134"/>
      </w:pPr>
      <w:r w:rsidRPr="005D213B">
        <w:t>48.</w:t>
      </w:r>
      <w:r w:rsidRPr="005D213B">
        <w:tab/>
      </w:r>
      <w:r w:rsidR="00263BCB" w:rsidRPr="005D213B">
        <w:t>There have been no cases or practice of genital mutilation recorded. However, in light of the migrant crisis, when large number of migrants transited through the country, SOPs on gender-based violence in crises were developed. Persons working in the Reception Centre of Foreigners, at the Reception Centre for Asylum Seekers, and at the Reception-Transit Centre were trained on the issue of gender-based violence and on the issue of genital mutilation, as a form of gender-based violence.</w:t>
      </w:r>
    </w:p>
    <w:p w14:paraId="231A9B8F" w14:textId="77777777" w:rsidR="00263BCB" w:rsidRPr="005D213B" w:rsidRDefault="00263BCB" w:rsidP="00263BCB">
      <w:pPr>
        <w:pStyle w:val="H23G"/>
        <w:rPr>
          <w:lang w:val="fr-CH"/>
        </w:rPr>
      </w:pPr>
      <w:r w:rsidRPr="00F75FC7">
        <w:tab/>
      </w:r>
      <w:bookmarkStart w:id="22" w:name="_Toc56781424"/>
      <w:r>
        <w:rPr>
          <w:lang w:val="fr-CH"/>
        </w:rPr>
        <w:t>(</w:t>
      </w:r>
      <w:r w:rsidRPr="005D213B">
        <w:rPr>
          <w:lang w:val="fr-CH"/>
        </w:rPr>
        <w:t>c)</w:t>
      </w:r>
      <w:r>
        <w:rPr>
          <w:lang w:val="fr-CH"/>
        </w:rPr>
        <w:tab/>
      </w:r>
      <w:r w:rsidRPr="005D213B">
        <w:rPr>
          <w:lang w:val="fr-CH"/>
        </w:rPr>
        <w:t>Sexual exploitation and sexual abuse (article 34)</w:t>
      </w:r>
      <w:bookmarkEnd w:id="22"/>
      <w:r w:rsidRPr="005D213B">
        <w:rPr>
          <w:lang w:val="fr-CH"/>
        </w:rPr>
        <w:t xml:space="preserve"> </w:t>
      </w:r>
    </w:p>
    <w:p w14:paraId="4ECE91C4" w14:textId="57A16E5D" w:rsidR="00263BCB" w:rsidRPr="005D213B" w:rsidRDefault="00570685" w:rsidP="00570685">
      <w:pPr>
        <w:pStyle w:val="ParaNoG"/>
        <w:numPr>
          <w:ilvl w:val="0"/>
          <w:numId w:val="0"/>
        </w:numPr>
        <w:tabs>
          <w:tab w:val="left" w:pos="0"/>
        </w:tabs>
        <w:ind w:left="1134"/>
      </w:pPr>
      <w:r w:rsidRPr="005D213B">
        <w:t>49.</w:t>
      </w:r>
      <w:r w:rsidRPr="005D213B">
        <w:tab/>
      </w:r>
      <w:r w:rsidR="00263BCB" w:rsidRPr="005D213B">
        <w:t>There are visible wide-scope social responses in dealing with the problem of sexual abuse of children and paedophilia, with activities pursued at several levels, targeting both victims and perpetrators. The situation in this field is established by identifying shortcomings and areas for improvements. This has resulted in legislative amendments introducing the establishment of a register, longer, i.e. stricter prison sentences, as well as introducing psychiatric, medical and pharmacological treatment for perpetrators.</w:t>
      </w:r>
      <w:r w:rsidR="00A21C4B">
        <w:t xml:space="preserve"> </w:t>
      </w:r>
    </w:p>
    <w:p w14:paraId="65BAFDB8" w14:textId="5FC9B13E" w:rsidR="00263BCB" w:rsidRPr="00EF43DD" w:rsidRDefault="00570685" w:rsidP="00570685">
      <w:pPr>
        <w:pStyle w:val="ParaNoG"/>
        <w:numPr>
          <w:ilvl w:val="0"/>
          <w:numId w:val="0"/>
        </w:numPr>
        <w:tabs>
          <w:tab w:val="left" w:pos="0"/>
        </w:tabs>
        <w:ind w:left="1134"/>
      </w:pPr>
      <w:r w:rsidRPr="00EF43DD">
        <w:t>50.</w:t>
      </w:r>
      <w:r w:rsidRPr="00EF43DD">
        <w:tab/>
      </w:r>
      <w:r w:rsidR="00263BCB" w:rsidRPr="00EF43DD">
        <w:t xml:space="preserve">In October 2010, the Parliament adopted the Law on the Ratification of the </w:t>
      </w:r>
      <w:r w:rsidR="00263BCB" w:rsidRPr="005D213B">
        <w:t>CoE Convention on the Protection of Children against Sexual Exploitation and Sexual Abuse</w:t>
      </w:r>
      <w:r w:rsidR="00811F84">
        <w:t>.</w:t>
      </w:r>
      <w:r w:rsidR="00263BCB" w:rsidRPr="00A21C4B">
        <w:rPr>
          <w:rStyle w:val="FootnoteReference"/>
        </w:rPr>
        <w:footnoteReference w:id="13"/>
      </w:r>
      <w:r w:rsidR="00263BCB" w:rsidRPr="00A21C4B">
        <w:rPr>
          <w:rStyle w:val="FootnoteReference"/>
        </w:rPr>
        <w:t xml:space="preserve"> </w:t>
      </w:r>
      <w:r w:rsidR="00263BCB" w:rsidRPr="00EF43DD">
        <w:t>Prior and after the ratification of the said Convention, there were legislative amendments to the Criminal Code adopted with a view to further harmonizing the Criminal Code with the said Convention. The amendments introduced stricter punishments.</w:t>
      </w:r>
    </w:p>
    <w:p w14:paraId="51A45CCD" w14:textId="7F8300FC" w:rsidR="00263BCB" w:rsidRPr="005D213B" w:rsidRDefault="00570685" w:rsidP="00570685">
      <w:pPr>
        <w:pStyle w:val="ParaNoG"/>
        <w:numPr>
          <w:ilvl w:val="0"/>
          <w:numId w:val="0"/>
        </w:numPr>
        <w:tabs>
          <w:tab w:val="left" w:pos="0"/>
        </w:tabs>
        <w:ind w:left="1134"/>
      </w:pPr>
      <w:r w:rsidRPr="005D213B">
        <w:t>51.</w:t>
      </w:r>
      <w:r w:rsidRPr="005D213B">
        <w:tab/>
      </w:r>
      <w:r w:rsidR="00263BCB" w:rsidRPr="00EF43DD">
        <w:t xml:space="preserve">Crimes of sexual abuse of children are sanctioned under the Criminal Code, i.e. Chapter 19: </w:t>
      </w:r>
      <w:r w:rsidR="00263BCB" w:rsidRPr="005D213B">
        <w:t>Crimes against Sexual Freedom and Sexual Morality and Chapter 34: Crimes against Humanity and International Law.</w:t>
      </w:r>
    </w:p>
    <w:p w14:paraId="2988FFF6" w14:textId="6AA9648A" w:rsidR="00263BCB" w:rsidRPr="005D213B" w:rsidRDefault="00570685" w:rsidP="00570685">
      <w:pPr>
        <w:pStyle w:val="ParaNoG"/>
        <w:numPr>
          <w:ilvl w:val="0"/>
          <w:numId w:val="0"/>
        </w:numPr>
        <w:tabs>
          <w:tab w:val="left" w:pos="0"/>
        </w:tabs>
        <w:ind w:left="1134"/>
      </w:pPr>
      <w:r w:rsidRPr="005D213B">
        <w:lastRenderedPageBreak/>
        <w:t>52.</w:t>
      </w:r>
      <w:r w:rsidRPr="005D213B">
        <w:tab/>
      </w:r>
      <w:r w:rsidR="00263BCB" w:rsidRPr="005D213B">
        <w:t>In pursuance with Article 18 of the said Conve</w:t>
      </w:r>
      <w:r w:rsidR="00263BCB">
        <w:t xml:space="preserve">ntion, acts of sexual abuse are </w:t>
      </w:r>
      <w:r w:rsidR="00263BCB" w:rsidRPr="005D213B">
        <w:t>criminalized as sexual attack against a child who has not reached 14 years of age (Article 188) and sexual attack with misuse of position (Article 189).</w:t>
      </w:r>
    </w:p>
    <w:p w14:paraId="07D051E5" w14:textId="7580D647" w:rsidR="00263BCB" w:rsidRPr="00EF43DD" w:rsidRDefault="00570685" w:rsidP="00570685">
      <w:pPr>
        <w:pStyle w:val="ParaNoG"/>
        <w:numPr>
          <w:ilvl w:val="0"/>
          <w:numId w:val="0"/>
        </w:numPr>
        <w:tabs>
          <w:tab w:val="left" w:pos="0"/>
        </w:tabs>
        <w:ind w:left="1134"/>
      </w:pPr>
      <w:r w:rsidRPr="00EF43DD">
        <w:t>53.</w:t>
      </w:r>
      <w:r w:rsidRPr="00EF43DD">
        <w:tab/>
      </w:r>
      <w:r w:rsidR="00263BCB" w:rsidRPr="00EF43DD">
        <w:t>The following acts are criminalized under Article 188:</w:t>
      </w:r>
    </w:p>
    <w:p w14:paraId="5DE26348" w14:textId="53D9EDBB" w:rsidR="00263BCB" w:rsidRPr="005D213B" w:rsidRDefault="00811F84" w:rsidP="00263BCB">
      <w:pPr>
        <w:pStyle w:val="SingleTxtG"/>
        <w:spacing w:line="240" w:lineRule="atLeast"/>
      </w:pPr>
      <w:r>
        <w:tab/>
      </w:r>
      <w:r w:rsidR="00263BCB" w:rsidRPr="005D213B">
        <w:t>(a)</w:t>
      </w:r>
      <w:r w:rsidR="00263BCB" w:rsidRPr="005D213B">
        <w:tab/>
        <w:t>A person who has an intercourse or other sexual act with a child who has not reached 14 years of age shall be punished with imprisonment of a</w:t>
      </w:r>
      <w:r w:rsidR="00263BCB">
        <w:t>t least twenty years;</w:t>
      </w:r>
    </w:p>
    <w:p w14:paraId="5107979F" w14:textId="6A81FEFD" w:rsidR="00263BCB" w:rsidRPr="005D213B" w:rsidRDefault="00811F84" w:rsidP="00263BCB">
      <w:pPr>
        <w:pStyle w:val="SingleTxtG"/>
        <w:spacing w:line="240" w:lineRule="atLeast"/>
      </w:pPr>
      <w:r>
        <w:tab/>
      </w:r>
      <w:r w:rsidR="00263BCB" w:rsidRPr="005D213B">
        <w:t>(b)</w:t>
      </w:r>
      <w:r w:rsidR="00263BCB" w:rsidRPr="005D213B">
        <w:tab/>
        <w:t>If because of the crime from paragraph 1 a severe body injury, death or some other severe consequences were caused, or the crime was perpetrated by several persons, or in an especially cruel and degrading manner, the perpetrator shall be punished with imprison</w:t>
      </w:r>
      <w:r w:rsidR="00263BCB">
        <w:t>ment of at least fifteen years;</w:t>
      </w:r>
    </w:p>
    <w:p w14:paraId="2B50A021" w14:textId="18202ADF" w:rsidR="00263BCB" w:rsidRPr="005D213B" w:rsidRDefault="00811F84" w:rsidP="00263BCB">
      <w:pPr>
        <w:pStyle w:val="SingleTxtG"/>
        <w:spacing w:line="240" w:lineRule="atLeast"/>
      </w:pPr>
      <w:r>
        <w:tab/>
      </w:r>
      <w:r w:rsidR="00263BCB" w:rsidRPr="005D213B">
        <w:t>(c)</w:t>
      </w:r>
      <w:r w:rsidR="00263BCB" w:rsidRPr="005D213B">
        <w:tab/>
        <w:t xml:space="preserve">The perpetrator who has committed the crime of paragraph (2) of this Article shall be issued a court order banning him/her from engaging in a profession, economic activity or performing an office, under the conditions set forth in Article 38-b of this Law. </w:t>
      </w:r>
    </w:p>
    <w:p w14:paraId="4F1BE502" w14:textId="58ACBAA3" w:rsidR="00263BCB" w:rsidRPr="00EF43DD" w:rsidRDefault="00570685" w:rsidP="00570685">
      <w:pPr>
        <w:pStyle w:val="ParaNoG"/>
        <w:numPr>
          <w:ilvl w:val="0"/>
          <w:numId w:val="0"/>
        </w:numPr>
        <w:tabs>
          <w:tab w:val="left" w:pos="0"/>
        </w:tabs>
        <w:ind w:left="1134"/>
      </w:pPr>
      <w:r w:rsidRPr="00EF43DD">
        <w:t>54.</w:t>
      </w:r>
      <w:r w:rsidRPr="00EF43DD">
        <w:tab/>
      </w:r>
      <w:r w:rsidR="00263BCB" w:rsidRPr="00EF43DD">
        <w:t xml:space="preserve">Article 189 criminalizes the following acts: </w:t>
      </w:r>
    </w:p>
    <w:p w14:paraId="7C2D6174" w14:textId="125AEC2C" w:rsidR="00263BCB" w:rsidRPr="005D213B" w:rsidRDefault="00811F84" w:rsidP="00263BCB">
      <w:pPr>
        <w:pStyle w:val="SingleTxtG"/>
        <w:spacing w:line="240" w:lineRule="atLeast"/>
      </w:pPr>
      <w:r>
        <w:tab/>
      </w:r>
      <w:r w:rsidR="00263BCB" w:rsidRPr="005D213B">
        <w:t>(a)</w:t>
      </w:r>
      <w:r w:rsidR="00263BCB" w:rsidRPr="005D213B">
        <w:tab/>
        <w:t>A person who by misusing his position induces another, who is subordinated or dependent in relation to him, to intercourse or to some other sexual act, or ill-treats, intimidates or behaves towards another person in way to denigrate that person</w:t>
      </w:r>
      <w:r w:rsidR="00A21C4B">
        <w:t>’</w:t>
      </w:r>
      <w:r w:rsidR="00263BCB" w:rsidRPr="005D213B">
        <w:t>s human dignity and personality, with the same intention of inducing such person to intercourse or some other sexual act shall be punished with impr</w:t>
      </w:r>
      <w:r w:rsidR="00263BCB">
        <w:t>isonment of at least five years;</w:t>
      </w:r>
    </w:p>
    <w:p w14:paraId="74009646" w14:textId="6EBA4A1A" w:rsidR="00263BCB" w:rsidRPr="005D213B" w:rsidRDefault="00811F84" w:rsidP="00263BCB">
      <w:pPr>
        <w:pStyle w:val="SingleTxtG"/>
        <w:spacing w:line="240" w:lineRule="atLeast"/>
      </w:pPr>
      <w:r>
        <w:tab/>
      </w:r>
      <w:r w:rsidR="00263BCB" w:rsidRPr="005D213B">
        <w:t>(b)</w:t>
      </w:r>
      <w:r w:rsidR="00263BCB" w:rsidRPr="005D213B">
        <w:tab/>
        <w:t>If the crime of paragraph (1)</w:t>
      </w:r>
      <w:r w:rsidR="00A21C4B">
        <w:t xml:space="preserve"> </w:t>
      </w:r>
      <w:r w:rsidR="00263BCB" w:rsidRPr="005D213B">
        <w:t>is perpetrated by a first degree blood relative or by a brother, i.e. sister, teacher, educator, adoptive parent, guardian, step-father, step-mother, doctor or another person through misuse of the position or as part of perpetrating domestic violence and will thus have intercourse or other sexual act with a child who has not reached 14 years of age and who has been entrusted to the perpetrator for study, education, custody or care, shall be punished with imprisonment of at least ten years</w:t>
      </w:r>
      <w:r w:rsidR="00263BCB">
        <w:t>;</w:t>
      </w:r>
    </w:p>
    <w:p w14:paraId="5591F470" w14:textId="116DE5FA" w:rsidR="00263BCB" w:rsidRPr="005D213B" w:rsidRDefault="00811F84" w:rsidP="00263BCB">
      <w:pPr>
        <w:pStyle w:val="SingleTxtG"/>
        <w:spacing w:line="240" w:lineRule="atLeast"/>
      </w:pPr>
      <w:r>
        <w:tab/>
      </w:r>
      <w:r w:rsidR="00263BCB" w:rsidRPr="005D213B">
        <w:t>(c)</w:t>
      </w:r>
      <w:r w:rsidR="00263BCB" w:rsidRPr="005D213B">
        <w:tab/>
        <w:t>The perpetrator of the crime of paragraph (2) shall be issued by the court a ban on engaging in a profession, economic activity or performing an office under the condition</w:t>
      </w:r>
      <w:r w:rsidR="00263BCB">
        <w:t>s of Article 38-b of this Code.</w:t>
      </w:r>
    </w:p>
    <w:p w14:paraId="5B5B5403" w14:textId="1A2A0273" w:rsidR="00263BCB" w:rsidRPr="005D213B" w:rsidRDefault="00570685" w:rsidP="00570685">
      <w:pPr>
        <w:pStyle w:val="ParaNoG"/>
        <w:numPr>
          <w:ilvl w:val="0"/>
          <w:numId w:val="0"/>
        </w:numPr>
        <w:tabs>
          <w:tab w:val="left" w:pos="0"/>
        </w:tabs>
        <w:ind w:left="1134"/>
      </w:pPr>
      <w:r w:rsidRPr="005D213B">
        <w:t>55.</w:t>
      </w:r>
      <w:r w:rsidRPr="005D213B">
        <w:tab/>
      </w:r>
      <w:r w:rsidR="00263BCB" w:rsidRPr="005D213B">
        <w:t>Offering children for sexual purposes, (</w:t>
      </w:r>
      <w:r w:rsidR="00A21C4B">
        <w:t>“</w:t>
      </w:r>
      <w:r w:rsidR="00263BCB" w:rsidRPr="005D213B">
        <w:t>mediation for prostitution</w:t>
      </w:r>
      <w:r w:rsidR="00A21C4B">
        <w:t>”</w:t>
      </w:r>
      <w:r w:rsidR="00263BCB" w:rsidRPr="005D213B">
        <w:t>) is incriminated under Article 193-b: Enticing a child who has not reached 14 years of age to intercourse or other sexual act. Thus, whosoever by computer-communication means, by scheduling a meeting or in any other manner entices a child who has not turned 14 to sexual intercourse or other sexual act or to production of children pornography, and by such intention directly meets the juvenile, shall be sentenced to imprisonment of one to five years.</w:t>
      </w:r>
    </w:p>
    <w:p w14:paraId="59B2E36F" w14:textId="1B0E99AB" w:rsidR="00263BCB" w:rsidRPr="005D213B" w:rsidRDefault="00570685" w:rsidP="00570685">
      <w:pPr>
        <w:pStyle w:val="ParaNoG"/>
        <w:numPr>
          <w:ilvl w:val="0"/>
          <w:numId w:val="0"/>
        </w:numPr>
        <w:tabs>
          <w:tab w:val="left" w:pos="0"/>
        </w:tabs>
        <w:ind w:left="1134"/>
      </w:pPr>
      <w:r w:rsidRPr="005D213B">
        <w:t>56.</w:t>
      </w:r>
      <w:r w:rsidRPr="005D213B">
        <w:tab/>
      </w:r>
      <w:r w:rsidR="00263BCB" w:rsidRPr="005D213B">
        <w:t>Sexual exploitation of a child is incriminated under Article 418-d: Trafficking a child. Hence:</w:t>
      </w:r>
    </w:p>
    <w:p w14:paraId="3ECC0C31" w14:textId="70A3CA2A" w:rsidR="00263BCB" w:rsidRPr="005D213B" w:rsidRDefault="00811F84" w:rsidP="00263BCB">
      <w:pPr>
        <w:pStyle w:val="SingleTxtG"/>
        <w:spacing w:line="240" w:lineRule="atLeast"/>
      </w:pPr>
      <w:r>
        <w:tab/>
      </w:r>
      <w:r w:rsidR="00263BCB" w:rsidRPr="005D213B">
        <w:t>(a)</w:t>
      </w:r>
      <w:r w:rsidR="00263BCB" w:rsidRPr="005D213B">
        <w:tab/>
        <w:t>Whosoever induces a child to sexual activities or enables sexual activities with a child or persuades, transports, transfers, buys, sells or offers for sale, obtains, supplies, harbours or accepts a child for the purpose of exploiting him in sexual activities for money or other forms of compensation or other forms of sexual exploitation, pornography, forced work or servicing, begging or exploitation for an activity prohibited by law, slavery, forced marriages, forced fertilization, illegal adoption, or forces consent as a mediator for child adoption, illegally transplants human organs, shall be sentenced to impri</w:t>
      </w:r>
      <w:r w:rsidR="00263BCB">
        <w:t>sonment of at least eight years;</w:t>
      </w:r>
    </w:p>
    <w:p w14:paraId="34FC78BC" w14:textId="568FA8D0" w:rsidR="00263BCB" w:rsidRPr="005D213B" w:rsidRDefault="00811F84" w:rsidP="00263BCB">
      <w:pPr>
        <w:pStyle w:val="SingleTxtG"/>
        <w:spacing w:line="240" w:lineRule="atLeast"/>
      </w:pPr>
      <w:r>
        <w:tab/>
      </w:r>
      <w:r w:rsidR="00263BCB" w:rsidRPr="005D213B">
        <w:t>(b)</w:t>
      </w:r>
      <w:r w:rsidR="00263BCB" w:rsidRPr="005D213B">
        <w:tab/>
        <w:t xml:space="preserve">Whosoever commits the crime of paragraph 1 by use of force, serious threat, delusion or other form of forcing, kidnapping, defraud, abuse of the position or pregnancy, powerlessness or physical or mental disability of another, or by giving and receiving money of other benefit for the purpose of obtaining consent of a person controlling another person, or the act is committed over a child younger than 14 years shall be sentenced to imprisonment of </w:t>
      </w:r>
      <w:r w:rsidR="00263BCB">
        <w:t>minimum ten years;</w:t>
      </w:r>
    </w:p>
    <w:p w14:paraId="54B0A255" w14:textId="604C21A1" w:rsidR="00263BCB" w:rsidRPr="005D213B" w:rsidRDefault="00811F84" w:rsidP="00263BCB">
      <w:pPr>
        <w:pStyle w:val="SingleTxtG"/>
        <w:spacing w:line="240" w:lineRule="atLeast"/>
      </w:pPr>
      <w:r>
        <w:tab/>
      </w:r>
      <w:r w:rsidR="00263BCB" w:rsidRPr="005D213B">
        <w:t>(c)</w:t>
      </w:r>
      <w:r w:rsidR="00263BCB" w:rsidRPr="005D213B">
        <w:tab/>
        <w:t>Whosoever uses or enables another to use sexual services or other type of exploitation of a child knowing, or being obliged to know that he is a victim of human trafficking, shall be sentenced to mini</w:t>
      </w:r>
      <w:r w:rsidR="00263BCB">
        <w:t>mum imprisonment of eight years;</w:t>
      </w:r>
    </w:p>
    <w:p w14:paraId="17506F26" w14:textId="63B3172C" w:rsidR="00263BCB" w:rsidRPr="005D213B" w:rsidRDefault="00811F84" w:rsidP="00263BCB">
      <w:pPr>
        <w:pStyle w:val="SingleTxtG"/>
        <w:spacing w:line="240" w:lineRule="atLeast"/>
      </w:pPr>
      <w:r>
        <w:lastRenderedPageBreak/>
        <w:tab/>
      </w:r>
      <w:r w:rsidR="00263BCB" w:rsidRPr="005D213B">
        <w:t>(d)</w:t>
      </w:r>
      <w:r w:rsidR="00263BCB" w:rsidRPr="005D213B">
        <w:tab/>
        <w:t>The user of sexual services given by a child younger than 14 years shall be sentenced to im</w:t>
      </w:r>
      <w:r w:rsidR="00263BCB">
        <w:t>prisonment of at least 12 years;</w:t>
      </w:r>
    </w:p>
    <w:p w14:paraId="03C4B73C" w14:textId="6AEDB688" w:rsidR="00263BCB" w:rsidRPr="005D213B" w:rsidRDefault="00811F84" w:rsidP="00263BCB">
      <w:pPr>
        <w:pStyle w:val="SingleTxtG"/>
        <w:spacing w:line="240" w:lineRule="atLeast"/>
      </w:pPr>
      <w:r>
        <w:tab/>
      </w:r>
      <w:r w:rsidR="00263BCB" w:rsidRPr="005D213B">
        <w:t>(e)</w:t>
      </w:r>
      <w:r w:rsidR="00263BCB" w:rsidRPr="005D213B">
        <w:tab/>
        <w:t>Whosoever seizes or destroys an ID, passport or another</w:t>
      </w:r>
      <w:r w:rsidR="00A21C4B">
        <w:t>’</w:t>
      </w:r>
      <w:r w:rsidR="00263BCB" w:rsidRPr="005D213B">
        <w:t>s personal identification document, for the purpose of committing the crime referred to in paragraphs 1 and 2, shall be sentenced to imp</w:t>
      </w:r>
      <w:r w:rsidR="00263BCB">
        <w:t>risonment of minimum four years;</w:t>
      </w:r>
      <w:r w:rsidR="00263BCB" w:rsidRPr="005D213B">
        <w:t xml:space="preserve"> </w:t>
      </w:r>
    </w:p>
    <w:p w14:paraId="2CB635A4" w14:textId="7C838D5B" w:rsidR="00263BCB" w:rsidRPr="005D213B" w:rsidRDefault="00811F84" w:rsidP="00263BCB">
      <w:pPr>
        <w:pStyle w:val="SingleTxtG"/>
        <w:spacing w:line="240" w:lineRule="atLeast"/>
      </w:pPr>
      <w:r>
        <w:tab/>
      </w:r>
      <w:r w:rsidR="00263BCB" w:rsidRPr="005D213B">
        <w:t>(f)</w:t>
      </w:r>
      <w:r w:rsidR="00263BCB" w:rsidRPr="005D213B">
        <w:tab/>
        <w:t xml:space="preserve">If the crime referred to in paragraphs (1), (2), (3) and (4) of this Article is committed by an official person while performing his service, he shall be sentenced to at </w:t>
      </w:r>
      <w:r w:rsidR="00263BCB">
        <w:t>least ten years of imprisonment;</w:t>
      </w:r>
    </w:p>
    <w:p w14:paraId="65349AEF" w14:textId="5DD2D66A" w:rsidR="00263BCB" w:rsidRPr="005D213B" w:rsidRDefault="00811F84" w:rsidP="00263BCB">
      <w:pPr>
        <w:pStyle w:val="SingleTxtG"/>
        <w:spacing w:line="240" w:lineRule="atLeast"/>
      </w:pPr>
      <w:r>
        <w:tab/>
      </w:r>
      <w:r w:rsidR="00263BCB" w:rsidRPr="005D213B">
        <w:t>(g)</w:t>
      </w:r>
      <w:r w:rsidR="00263BCB" w:rsidRPr="005D213B">
        <w:tab/>
        <w:t>The consent of the child for the actions anticipated in paragraph 1 is not significant to the existe</w:t>
      </w:r>
      <w:r w:rsidR="00263BCB">
        <w:t>nce of the crime of paragraph 1;</w:t>
      </w:r>
    </w:p>
    <w:p w14:paraId="2E28B22B" w14:textId="7C78922C" w:rsidR="00263BCB" w:rsidRPr="005D213B" w:rsidRDefault="00811F84" w:rsidP="00263BCB">
      <w:pPr>
        <w:pStyle w:val="SingleTxtG"/>
        <w:spacing w:line="240" w:lineRule="atLeast"/>
      </w:pPr>
      <w:r>
        <w:tab/>
      </w:r>
      <w:r w:rsidR="00263BCB" w:rsidRPr="005D213B">
        <w:t>(h)</w:t>
      </w:r>
      <w:r w:rsidR="00263BCB" w:rsidRPr="005D213B">
        <w:tab/>
        <w:t xml:space="preserve">If the crime referred to in this Article is committed by a </w:t>
      </w:r>
      <w:r w:rsidR="00263BCB">
        <w:t>legal entity, it shall be fined;</w:t>
      </w:r>
    </w:p>
    <w:p w14:paraId="6A47F250" w14:textId="388C90E1" w:rsidR="00263BCB" w:rsidRPr="005D213B" w:rsidRDefault="00811F84" w:rsidP="00263BCB">
      <w:pPr>
        <w:pStyle w:val="SingleTxtG"/>
        <w:spacing w:line="240" w:lineRule="atLeast"/>
      </w:pPr>
      <w:r>
        <w:tab/>
      </w:r>
      <w:r w:rsidR="00263BCB" w:rsidRPr="005D213B">
        <w:t>(i)</w:t>
      </w:r>
      <w:r w:rsidR="00263BCB" w:rsidRPr="005D213B">
        <w:tab/>
        <w:t>The immovables, objects and means of transport used for the commission of the crime, shall be seized.</w:t>
      </w:r>
    </w:p>
    <w:p w14:paraId="6527C6F8" w14:textId="621A03BF" w:rsidR="00263BCB" w:rsidRPr="005D213B" w:rsidRDefault="00570685" w:rsidP="00570685">
      <w:pPr>
        <w:pStyle w:val="ParaNoG"/>
        <w:numPr>
          <w:ilvl w:val="0"/>
          <w:numId w:val="0"/>
        </w:numPr>
        <w:tabs>
          <w:tab w:val="left" w:pos="0"/>
        </w:tabs>
        <w:ind w:left="1134"/>
      </w:pPr>
      <w:r w:rsidRPr="005D213B">
        <w:t>57.</w:t>
      </w:r>
      <w:r w:rsidRPr="005D213B">
        <w:tab/>
      </w:r>
      <w:r w:rsidR="00263BCB" w:rsidRPr="005D213B">
        <w:t xml:space="preserve">According to the Criminal Code, crimes of sexual abuse of children may be punished with a prison sentence and a ban on performing profession, economic activity or office. The prison sentence may be ordered only as the main punishment, while the ban on engaging in profession, economic activity or performing an office may be ordered only as an ancillary punishment, along with the prison sentence/ suspended sentence. </w:t>
      </w:r>
    </w:p>
    <w:p w14:paraId="4209051D" w14:textId="312E8E68" w:rsidR="00263BCB" w:rsidRPr="005D213B" w:rsidRDefault="00570685" w:rsidP="00570685">
      <w:pPr>
        <w:pStyle w:val="ParaNoG"/>
        <w:numPr>
          <w:ilvl w:val="0"/>
          <w:numId w:val="0"/>
        </w:numPr>
        <w:tabs>
          <w:tab w:val="left" w:pos="0"/>
        </w:tabs>
        <w:ind w:left="1134"/>
      </w:pPr>
      <w:r w:rsidRPr="005D213B">
        <w:t>58.</w:t>
      </w:r>
      <w:r w:rsidRPr="005D213B">
        <w:tab/>
      </w:r>
      <w:r w:rsidR="00263BCB" w:rsidRPr="005D213B">
        <w:t xml:space="preserve">The prison sentence may not be shorter than 30 days or longer than 20 years. The perpetration of crimes for which the possible prescribed sentence is a life imprisonment may be punished with a long-term prison sentence of 40 years. </w:t>
      </w:r>
    </w:p>
    <w:p w14:paraId="6F160E63" w14:textId="07570A30" w:rsidR="00263BCB" w:rsidRPr="005D213B" w:rsidRDefault="00570685" w:rsidP="00570685">
      <w:pPr>
        <w:pStyle w:val="ParaNoG"/>
        <w:numPr>
          <w:ilvl w:val="0"/>
          <w:numId w:val="0"/>
        </w:numPr>
        <w:tabs>
          <w:tab w:val="left" w:pos="0"/>
        </w:tabs>
        <w:ind w:left="1134"/>
      </w:pPr>
      <w:r w:rsidRPr="005D213B">
        <w:t>59.</w:t>
      </w:r>
      <w:r w:rsidRPr="005D213B">
        <w:tab/>
      </w:r>
      <w:r w:rsidR="00263BCB" w:rsidRPr="005D213B">
        <w:t xml:space="preserve">The perpetrators of these crimes may also receive the following precautionary measures: compulsory psychiatric treatment and custody in a health institution, compulsory treatment in freedom, compulsory treatment of alcoholics and drug addicts and medical and pharmacological treatment of perpetrators of sexual assault on a child up to 14 years of age (Article 65). </w:t>
      </w:r>
    </w:p>
    <w:p w14:paraId="3C32D889" w14:textId="6951EF52" w:rsidR="00263BCB" w:rsidRPr="005D213B" w:rsidRDefault="00570685" w:rsidP="00570685">
      <w:pPr>
        <w:pStyle w:val="ParaNoG"/>
        <w:numPr>
          <w:ilvl w:val="0"/>
          <w:numId w:val="0"/>
        </w:numPr>
        <w:tabs>
          <w:tab w:val="left" w:pos="0"/>
        </w:tabs>
        <w:ind w:left="1134"/>
      </w:pPr>
      <w:r w:rsidRPr="005D213B">
        <w:t>60.</w:t>
      </w:r>
      <w:r w:rsidRPr="005D213B">
        <w:tab/>
      </w:r>
      <w:r w:rsidR="00263BCB" w:rsidRPr="005D213B">
        <w:t xml:space="preserve">The crimes of sexual abuse and exploitation of children are prosecuted </w:t>
      </w:r>
      <w:r w:rsidR="00263BCB" w:rsidRPr="00C67217">
        <w:t>ex officio</w:t>
      </w:r>
      <w:r w:rsidR="00263BCB" w:rsidRPr="005D213B">
        <w:t xml:space="preserve">. Under Article 18 of the Law on Criminal Procedure, the public prosecutor is obliged to institute criminal prosecution if there is evidence that a crime, which is prosecuted ex officio, has been committed. </w:t>
      </w:r>
    </w:p>
    <w:p w14:paraId="05A9E141" w14:textId="2061F71E" w:rsidR="00263BCB" w:rsidRPr="00C67217" w:rsidRDefault="00570685" w:rsidP="00570685">
      <w:pPr>
        <w:pStyle w:val="ParaNoG"/>
        <w:numPr>
          <w:ilvl w:val="0"/>
          <w:numId w:val="0"/>
        </w:numPr>
        <w:tabs>
          <w:tab w:val="left" w:pos="0"/>
        </w:tabs>
        <w:ind w:left="1134"/>
      </w:pPr>
      <w:r w:rsidRPr="00C67217">
        <w:t>61.</w:t>
      </w:r>
      <w:r w:rsidRPr="00C67217">
        <w:tab/>
      </w:r>
      <w:r w:rsidR="00263BCB" w:rsidRPr="005D213B">
        <w:t>Furthermore, Article 106-a of the Criminal Code contains provisions on a Special Register specifying that:</w:t>
      </w:r>
      <w:r w:rsidR="00AE332F">
        <w:t xml:space="preserve"> </w:t>
      </w:r>
      <w:r w:rsidR="00A21C4B">
        <w:t>“</w:t>
      </w:r>
      <w:r w:rsidR="00263BCB" w:rsidRPr="005D213B">
        <w:t>The court shall deliver the data about a final court decision on a security measure to the state administration bodies responsible for matters in the areas of healthcare, and labour and social policy for the purpose of registration in the health and special registries.</w:t>
      </w:r>
      <w:r w:rsidR="001B7C17">
        <w:t>”</w:t>
      </w:r>
      <w:r w:rsidR="00263BCB" w:rsidRPr="005D213B">
        <w:t xml:space="preserve"> </w:t>
      </w:r>
    </w:p>
    <w:p w14:paraId="61333A27" w14:textId="0C5E8005" w:rsidR="00263BCB" w:rsidRPr="005D213B" w:rsidRDefault="00570685" w:rsidP="00570685">
      <w:pPr>
        <w:pStyle w:val="ParaNoG"/>
        <w:numPr>
          <w:ilvl w:val="0"/>
          <w:numId w:val="0"/>
        </w:numPr>
        <w:tabs>
          <w:tab w:val="left" w:pos="0"/>
        </w:tabs>
        <w:ind w:left="1134"/>
      </w:pPr>
      <w:r w:rsidRPr="005D213B">
        <w:t>62.</w:t>
      </w:r>
      <w:r w:rsidRPr="005D213B">
        <w:tab/>
      </w:r>
      <w:r w:rsidR="00263BCB" w:rsidRPr="005D213B">
        <w:t>Paragraph 2 specifies that:</w:t>
      </w:r>
      <w:r w:rsidR="00AE332F">
        <w:t xml:space="preserve"> </w:t>
      </w:r>
      <w:r w:rsidR="00A21C4B">
        <w:t>“</w:t>
      </w:r>
      <w:r w:rsidR="00263BCB" w:rsidRPr="005D213B">
        <w:t>The court shall also deliver to the state administration body responsible for matters in the area of labour and social policy data about persons convicted by a final judgment on crimes against sexual freedom and sexual morality and the crime referred to in Article 418-d of this Code committed against children, for whom a special register shall be kept.</w:t>
      </w:r>
      <w:r w:rsidR="001B7C17">
        <w:t>”</w:t>
      </w:r>
    </w:p>
    <w:p w14:paraId="054AC536" w14:textId="631088D7" w:rsidR="00263BCB" w:rsidRPr="005D213B" w:rsidRDefault="00570685" w:rsidP="00570685">
      <w:pPr>
        <w:pStyle w:val="ParaNoG"/>
        <w:numPr>
          <w:ilvl w:val="0"/>
          <w:numId w:val="0"/>
        </w:numPr>
        <w:tabs>
          <w:tab w:val="left" w:pos="0"/>
        </w:tabs>
        <w:ind w:left="1134"/>
      </w:pPr>
      <w:r w:rsidRPr="005D213B">
        <w:t>63.</w:t>
      </w:r>
      <w:r w:rsidRPr="005D213B">
        <w:tab/>
      </w:r>
      <w:r w:rsidR="00263BCB" w:rsidRPr="005D213B">
        <w:t>Paragraph 3 stipulates:</w:t>
      </w:r>
      <w:r w:rsidR="00AE332F">
        <w:t xml:space="preserve"> </w:t>
      </w:r>
      <w:r w:rsidR="00A21C4B">
        <w:t>“</w:t>
      </w:r>
      <w:r w:rsidR="00263BCB" w:rsidRPr="005D213B">
        <w:t>The data referred to in paragraphs (1) and (2) of this Article shall be used exclusively for the purpose of protecting the health of the persons who have received security measures or for the purpose of protecting the rights of the children, under conditions and procedure established by law.</w:t>
      </w:r>
      <w:r w:rsidR="00A21C4B">
        <w:t>”</w:t>
      </w:r>
      <w:r w:rsidR="00263BCB" w:rsidRPr="005D213B">
        <w:t xml:space="preserve"> </w:t>
      </w:r>
    </w:p>
    <w:p w14:paraId="207C5055" w14:textId="01BA4C5F" w:rsidR="00263BCB" w:rsidRPr="005D213B" w:rsidRDefault="00570685" w:rsidP="00570685">
      <w:pPr>
        <w:pStyle w:val="ParaNoG"/>
        <w:numPr>
          <w:ilvl w:val="0"/>
          <w:numId w:val="0"/>
        </w:numPr>
        <w:tabs>
          <w:tab w:val="left" w:pos="0"/>
        </w:tabs>
        <w:ind w:left="1134"/>
      </w:pPr>
      <w:r w:rsidRPr="005D213B">
        <w:t>64.</w:t>
      </w:r>
      <w:r w:rsidRPr="005D213B">
        <w:tab/>
      </w:r>
      <w:r w:rsidR="00263BCB" w:rsidRPr="005D213B">
        <w:t xml:space="preserve">Taking these provisions into account, a </w:t>
      </w:r>
      <w:r w:rsidR="00263BCB" w:rsidRPr="00C67217">
        <w:t>Law</w:t>
      </w:r>
      <w:r w:rsidR="00263BCB" w:rsidRPr="005D213B">
        <w:t xml:space="preserve"> on </w:t>
      </w:r>
      <w:r w:rsidR="00263BCB" w:rsidRPr="00C67217">
        <w:t>Special Register</w:t>
      </w:r>
      <w:r w:rsidR="00263BCB" w:rsidRPr="005D213B">
        <w:t xml:space="preserve"> of Persons Convicted by a Final Judgment of Crimes of </w:t>
      </w:r>
      <w:r w:rsidR="00263BCB" w:rsidRPr="00C67217">
        <w:t>Sexual Abuse</w:t>
      </w:r>
      <w:r w:rsidR="00263BCB" w:rsidRPr="005D213B">
        <w:t xml:space="preserve"> of Children and Paedophilia has been adopted. The Register is kept by the Ministry of Labour and Social Policy through the Public Institution Social Work Institute. The data about the convicted persons entered in the Register are publicly available.</w:t>
      </w:r>
      <w:r w:rsidR="00263BCB" w:rsidRPr="00C67217">
        <w:t xml:space="preserve"> </w:t>
      </w:r>
      <w:r w:rsidR="00263BCB" w:rsidRPr="005D213B">
        <w:t xml:space="preserve">Since the establishment of the Register (June 2012) to 2018, data about a total of 236 persons were published. </w:t>
      </w:r>
    </w:p>
    <w:p w14:paraId="5C228AB1" w14:textId="77777777" w:rsidR="00263BCB" w:rsidRPr="005D213B" w:rsidRDefault="00263BCB" w:rsidP="00263BCB">
      <w:pPr>
        <w:pStyle w:val="H23G"/>
      </w:pPr>
      <w:r>
        <w:lastRenderedPageBreak/>
        <w:tab/>
      </w:r>
      <w:bookmarkStart w:id="23" w:name="_Toc56781425"/>
      <w:r>
        <w:t>(</w:t>
      </w:r>
      <w:r w:rsidRPr="005D213B">
        <w:t>d)</w:t>
      </w:r>
      <w:r>
        <w:tab/>
      </w:r>
      <w:r w:rsidRPr="005D213B">
        <w:t xml:space="preserve">Right of a child to not be </w:t>
      </w:r>
      <w:r w:rsidRPr="005D213B">
        <w:rPr>
          <w:iCs/>
        </w:rPr>
        <w:t>subjected to torture or other cruel, inhuman or degrading treatment or punishment</w:t>
      </w:r>
      <w:r w:rsidRPr="005D213B">
        <w:t>, including capital punishment (Articles 37 (a) and 28, paragraph 2)</w:t>
      </w:r>
      <w:bookmarkEnd w:id="23"/>
    </w:p>
    <w:p w14:paraId="342FA2E2" w14:textId="217E34BF" w:rsidR="00263BCB" w:rsidRPr="005D213B" w:rsidRDefault="00570685" w:rsidP="00570685">
      <w:pPr>
        <w:pStyle w:val="ParaNoG"/>
        <w:numPr>
          <w:ilvl w:val="0"/>
          <w:numId w:val="0"/>
        </w:numPr>
        <w:tabs>
          <w:tab w:val="left" w:pos="0"/>
        </w:tabs>
        <w:ind w:left="1134"/>
      </w:pPr>
      <w:r w:rsidRPr="005D213B">
        <w:t>65.</w:t>
      </w:r>
      <w:r w:rsidRPr="005D213B">
        <w:tab/>
      </w:r>
      <w:r w:rsidR="00263BCB" w:rsidRPr="005D213B">
        <w:t>Articles 86</w:t>
      </w:r>
      <w:r w:rsidR="00D272AA">
        <w:t>–</w:t>
      </w:r>
      <w:r w:rsidR="00263BCB" w:rsidRPr="005D213B">
        <w:t>143 of the Law on Children Justice</w:t>
      </w:r>
      <w:r w:rsidR="00263BCB" w:rsidRPr="00A21C4B">
        <w:rPr>
          <w:rStyle w:val="FootnoteReference"/>
        </w:rPr>
        <w:footnoteReference w:id="14"/>
      </w:r>
      <w:r w:rsidR="00263BCB" w:rsidRPr="00A21C4B">
        <w:rPr>
          <w:rStyle w:val="FootnoteReference"/>
        </w:rPr>
        <w:t xml:space="preserve"> </w:t>
      </w:r>
      <w:r w:rsidR="00263BCB" w:rsidRPr="005D213B">
        <w:t>establish the court procedure for children for activities that are defined by law as crimes.</w:t>
      </w:r>
    </w:p>
    <w:p w14:paraId="2288983D" w14:textId="34DD1BBF" w:rsidR="00263BCB" w:rsidRPr="00C67217" w:rsidRDefault="00570685" w:rsidP="00570685">
      <w:pPr>
        <w:pStyle w:val="ParaNoG"/>
        <w:numPr>
          <w:ilvl w:val="0"/>
          <w:numId w:val="0"/>
        </w:numPr>
        <w:tabs>
          <w:tab w:val="left" w:pos="0"/>
        </w:tabs>
        <w:ind w:left="1134"/>
      </w:pPr>
      <w:r w:rsidRPr="00C67217">
        <w:t>66.</w:t>
      </w:r>
      <w:r w:rsidRPr="00C67217">
        <w:tab/>
      </w:r>
      <w:r w:rsidR="00263BCB" w:rsidRPr="005D213B">
        <w:t>The basic characteristics of the procedure are:</w:t>
      </w:r>
      <w:r w:rsidR="00263BCB" w:rsidRPr="00C67217">
        <w:t xml:space="preserve"> </w:t>
      </w:r>
      <w:r w:rsidR="00263BCB" w:rsidRPr="005D213B">
        <w:t xml:space="preserve">keeping a child at a police station up to 12 hours, interview by the MoI at special premises that are suitable for the age of the child who is suspected of a crime up to 4 hours, right to a fair trial within a reasonable time before an independent and impartial court, a public prosecutor is the authorised </w:t>
      </w:r>
      <w:r w:rsidR="00263BCB" w:rsidRPr="00C67217">
        <w:t xml:space="preserve">plaintiff </w:t>
      </w:r>
      <w:r w:rsidR="00263BCB" w:rsidRPr="005D213B">
        <w:t>in the procedure, right of the child to be questioned only in the presence of his/her lawyer, right of the social work centre to be informed of the procedure, submit proposals and point out facts about the personality and the circumstances in which the child lives, right to regular and extraordinary legal remedy,</w:t>
      </w:r>
      <w:r w:rsidR="00263BCB" w:rsidRPr="00C67217">
        <w:t xml:space="preserve"> </w:t>
      </w:r>
      <w:r w:rsidR="00263BCB" w:rsidRPr="005D213B">
        <w:t>procedure for admission of guilt and bargaining for the extent of the punishment with prior consent from the child, the damaged party, the public prosecutor, the lawyer and the social work centre, imposing pre-trial detention upon prior opinion from the social work centre, questioning a child upon assessment by the judge with assistance from a pedagogue, psychologist or another professional, application of a preparatory procedure by the judge for children for the purpose of establishing all circumstances surrounding the crime and the personality of the child and procedure before a council for children.</w:t>
      </w:r>
      <w:r w:rsidR="00263BCB" w:rsidRPr="00C67217">
        <w:t xml:space="preserve"> </w:t>
      </w:r>
    </w:p>
    <w:p w14:paraId="6D45115B" w14:textId="645F3E12" w:rsidR="00263BCB" w:rsidRPr="005D213B" w:rsidRDefault="00570685" w:rsidP="00570685">
      <w:pPr>
        <w:pStyle w:val="ParaNoG"/>
        <w:numPr>
          <w:ilvl w:val="0"/>
          <w:numId w:val="0"/>
        </w:numPr>
        <w:tabs>
          <w:tab w:val="left" w:pos="0"/>
        </w:tabs>
        <w:ind w:left="1134"/>
      </w:pPr>
      <w:r w:rsidRPr="005D213B">
        <w:t>67.</w:t>
      </w:r>
      <w:r w:rsidRPr="005D213B">
        <w:tab/>
      </w:r>
      <w:r w:rsidR="00263BCB" w:rsidRPr="005D213B">
        <w:t xml:space="preserve">The Tetovo Educational and Correctional Facility is the only institution accommodating children on whom more permanent and strengthened measures of education and re-education need to be applied, by completely separating them from the previous environment. Children at this facility are kept at least one, but up to five years or by the age of 23. </w:t>
      </w:r>
    </w:p>
    <w:p w14:paraId="0DB7CEEA" w14:textId="299215E8" w:rsidR="00263BCB" w:rsidRPr="00C67217" w:rsidRDefault="00570685" w:rsidP="00570685">
      <w:pPr>
        <w:pStyle w:val="ParaNoG"/>
        <w:numPr>
          <w:ilvl w:val="0"/>
          <w:numId w:val="0"/>
        </w:numPr>
        <w:tabs>
          <w:tab w:val="left" w:pos="0"/>
        </w:tabs>
        <w:ind w:left="1134"/>
      </w:pPr>
      <w:r w:rsidRPr="00C67217">
        <w:t>68.</w:t>
      </w:r>
      <w:r w:rsidRPr="00C67217">
        <w:tab/>
      </w:r>
      <w:r w:rsidR="00263BCB" w:rsidRPr="005D213B">
        <w:t>The Tetovo Educational and Correctional Facility has been out of use since the 2001 crisis in the country. At present, children serving referral measures at an educational and correctional facility are accommodated at the Ohrid Juvenile Prison. All required measures have been taken to physically separate the children serving referrals at an educational and correctional facility from the children serving juvenile prison sentences and from the persons detained at the pre-trial detention unit of the Ohrid Prison.</w:t>
      </w:r>
    </w:p>
    <w:p w14:paraId="5F89AE6A" w14:textId="44DE91F4" w:rsidR="00263BCB" w:rsidRPr="005D213B" w:rsidRDefault="00570685" w:rsidP="00570685">
      <w:pPr>
        <w:pStyle w:val="ParaNoG"/>
        <w:numPr>
          <w:ilvl w:val="0"/>
          <w:numId w:val="0"/>
        </w:numPr>
        <w:tabs>
          <w:tab w:val="left" w:pos="0"/>
        </w:tabs>
        <w:ind w:left="1134"/>
      </w:pPr>
      <w:r w:rsidRPr="005D213B">
        <w:t>69.</w:t>
      </w:r>
      <w:r w:rsidRPr="005D213B">
        <w:tab/>
      </w:r>
      <w:r w:rsidR="00263BCB" w:rsidRPr="005D213B">
        <w:t>The construction of a new facility designed for serving referrals at an educational and correctional facility started in 2014. It has a capacity of 110 children and is located in Volkovija, Municipality of Brvenica, with an area of 2 hectares. It includes several buildings for accommodation, stay, education and work in accordance with European standards and regulations. House Rules and a Brief Preventive Programme for Raising Awareness among Children of the Negative Consequences of Using Drugs and Prevention of Communicable Diseases have been prepared.</w:t>
      </w:r>
    </w:p>
    <w:p w14:paraId="3FF4F652" w14:textId="608E0EE7" w:rsidR="00263BCB" w:rsidRPr="005D213B" w:rsidRDefault="00570685" w:rsidP="00570685">
      <w:pPr>
        <w:pStyle w:val="ParaNoG"/>
        <w:numPr>
          <w:ilvl w:val="0"/>
          <w:numId w:val="0"/>
        </w:numPr>
        <w:tabs>
          <w:tab w:val="left" w:pos="0"/>
        </w:tabs>
        <w:ind w:left="1134"/>
      </w:pPr>
      <w:r w:rsidRPr="005D213B">
        <w:t>70.</w:t>
      </w:r>
      <w:r w:rsidRPr="005D213B">
        <w:tab/>
      </w:r>
      <w:r w:rsidR="00263BCB" w:rsidRPr="005D213B">
        <w:t>Under the National Strategy, a series of other activities are also envisaged, such as implementing the YOU TURN/EQUIP programme for work with children, introducing vocational education by professions, etc.</w:t>
      </w:r>
    </w:p>
    <w:p w14:paraId="339A6B27" w14:textId="0C8EE258" w:rsidR="00263BCB" w:rsidRPr="005D213B" w:rsidRDefault="00570685" w:rsidP="00570685">
      <w:pPr>
        <w:pStyle w:val="ParaNoG"/>
        <w:numPr>
          <w:ilvl w:val="0"/>
          <w:numId w:val="0"/>
        </w:numPr>
        <w:tabs>
          <w:tab w:val="left" w:pos="0"/>
        </w:tabs>
        <w:ind w:left="1134"/>
      </w:pPr>
      <w:r w:rsidRPr="005D213B">
        <w:t>71.</w:t>
      </w:r>
      <w:r w:rsidRPr="005D213B">
        <w:tab/>
      </w:r>
      <w:r w:rsidR="00263BCB" w:rsidRPr="005D213B">
        <w:t>As regards drug testing, it should be noted that it is not compulsory and is performed if there are indications that a child has used illicit psychotropic substances.</w:t>
      </w:r>
    </w:p>
    <w:p w14:paraId="460D75F5" w14:textId="77777777" w:rsidR="00263BCB" w:rsidRPr="005D213B" w:rsidRDefault="00263BCB" w:rsidP="00263BCB">
      <w:pPr>
        <w:pStyle w:val="H23G"/>
      </w:pPr>
      <w:r>
        <w:tab/>
      </w:r>
      <w:bookmarkStart w:id="24" w:name="_Toc56781426"/>
      <w:r>
        <w:t>(e)</w:t>
      </w:r>
      <w:r>
        <w:tab/>
      </w:r>
      <w:r w:rsidRPr="005D213B">
        <w:t>Measures to promote physical and psychological recovery and social reintegration of a child victim (Article 39)</w:t>
      </w:r>
      <w:bookmarkEnd w:id="24"/>
    </w:p>
    <w:p w14:paraId="0D731A17" w14:textId="555081C2" w:rsidR="00263BCB" w:rsidRPr="005D213B" w:rsidRDefault="00570685" w:rsidP="00570685">
      <w:pPr>
        <w:pStyle w:val="ParaNoG"/>
        <w:numPr>
          <w:ilvl w:val="0"/>
          <w:numId w:val="0"/>
        </w:numPr>
        <w:tabs>
          <w:tab w:val="left" w:pos="0"/>
        </w:tabs>
        <w:ind w:left="1134"/>
      </w:pPr>
      <w:r w:rsidRPr="005D213B">
        <w:t>72.</w:t>
      </w:r>
      <w:r w:rsidRPr="005D213B">
        <w:tab/>
      </w:r>
      <w:r w:rsidR="00263BCB" w:rsidRPr="005D213B">
        <w:t xml:space="preserve">Within its obligations, the MLSP devotes special attention to the issues related to assistance and support in reintegration of children-victims according to the special physical, psychological and social consequences that they have suffered as a result of various types of abuse. </w:t>
      </w:r>
    </w:p>
    <w:p w14:paraId="13BC8EEB" w14:textId="4AD48072" w:rsidR="00263BCB" w:rsidRPr="005D213B" w:rsidRDefault="00570685" w:rsidP="00570685">
      <w:pPr>
        <w:pStyle w:val="ParaNoG"/>
        <w:numPr>
          <w:ilvl w:val="0"/>
          <w:numId w:val="0"/>
        </w:numPr>
        <w:tabs>
          <w:tab w:val="left" w:pos="0"/>
        </w:tabs>
        <w:ind w:left="1134"/>
      </w:pPr>
      <w:r w:rsidRPr="005D213B">
        <w:lastRenderedPageBreak/>
        <w:t>73.</w:t>
      </w:r>
      <w:r w:rsidRPr="005D213B">
        <w:tab/>
      </w:r>
      <w:r w:rsidR="00263BCB" w:rsidRPr="005D213B">
        <w:t xml:space="preserve">The services are provided by the SWC, with support from partner organisations working with children-victims. The period of reintegration is a long-term and multifaceted process, which lasts until the child-victim becomes once again an active member of society. </w:t>
      </w:r>
    </w:p>
    <w:p w14:paraId="43C38771" w14:textId="2A744DAC" w:rsidR="00263BCB" w:rsidRPr="005D213B" w:rsidRDefault="00570685" w:rsidP="00570685">
      <w:pPr>
        <w:pStyle w:val="ParaNoG"/>
        <w:numPr>
          <w:ilvl w:val="0"/>
          <w:numId w:val="0"/>
        </w:numPr>
        <w:tabs>
          <w:tab w:val="left" w:pos="0"/>
        </w:tabs>
        <w:ind w:left="1134"/>
      </w:pPr>
      <w:r w:rsidRPr="005D213B">
        <w:t>74.</w:t>
      </w:r>
      <w:r w:rsidRPr="005D213B">
        <w:tab/>
      </w:r>
      <w:r w:rsidR="00263BCB" w:rsidRPr="005D213B">
        <w:t>Children-victims and witnesses have access to assistance and support services such as financial, legal, counselling, healthcare, social and educational services, physical and physiological recovery services and all other services required for reintegration of the children through governmental, voluntary or other organisations. In addition, they have an option to receive compensation from the Compensation Fund for the purpose of successful reintegration and rehabilitation.</w:t>
      </w:r>
    </w:p>
    <w:p w14:paraId="3F2FCB20" w14:textId="77777777" w:rsidR="00263BCB" w:rsidRPr="005D213B" w:rsidRDefault="00263BCB" w:rsidP="00263BCB">
      <w:pPr>
        <w:pStyle w:val="H23G"/>
      </w:pPr>
      <w:r>
        <w:tab/>
      </w:r>
      <w:bookmarkStart w:id="25" w:name="_Toc56781427"/>
      <w:r>
        <w:t>(f)</w:t>
      </w:r>
      <w:r>
        <w:tab/>
      </w:r>
      <w:r w:rsidRPr="005D213B">
        <w:t>Helplines for children</w:t>
      </w:r>
      <w:bookmarkEnd w:id="25"/>
    </w:p>
    <w:p w14:paraId="279052A2" w14:textId="48ACDBAD" w:rsidR="00263BCB" w:rsidRPr="00C67217" w:rsidRDefault="00570685" w:rsidP="00570685">
      <w:pPr>
        <w:pStyle w:val="ParaNoG"/>
        <w:numPr>
          <w:ilvl w:val="0"/>
          <w:numId w:val="0"/>
        </w:numPr>
        <w:tabs>
          <w:tab w:val="left" w:pos="0"/>
        </w:tabs>
        <w:ind w:left="1134"/>
      </w:pPr>
      <w:r w:rsidRPr="00C67217">
        <w:t>75.</w:t>
      </w:r>
      <w:r w:rsidRPr="00C67217">
        <w:tab/>
      </w:r>
      <w:r w:rsidR="00263BCB" w:rsidRPr="005D213B">
        <w:t>For the purpose of reporting child abuse cases, the MLPS has introduced the 15 505 SOS helpline. Furthermore, there is another SOS helpline, 0800 1 22 22, maintained by the First Children</w:t>
      </w:r>
      <w:r w:rsidR="00A21C4B">
        <w:t>’</w:t>
      </w:r>
      <w:r w:rsidR="00263BCB" w:rsidRPr="005D213B">
        <w:t xml:space="preserve">s Embassy in the World </w:t>
      </w:r>
      <w:r w:rsidR="00263BCB" w:rsidRPr="00C67217">
        <w:t>Megjashi</w:t>
      </w:r>
      <w:r w:rsidR="00263BCB" w:rsidRPr="005D213B">
        <w:t>.</w:t>
      </w:r>
      <w:r w:rsidR="00263BCB" w:rsidRPr="00C67217">
        <w:t xml:space="preserve"> </w:t>
      </w:r>
    </w:p>
    <w:p w14:paraId="66BED9AE" w14:textId="77777777" w:rsidR="00263BCB" w:rsidRPr="005D213B" w:rsidRDefault="00263BCB" w:rsidP="00263BCB">
      <w:pPr>
        <w:pStyle w:val="H1G"/>
      </w:pPr>
      <w:r>
        <w:tab/>
      </w:r>
      <w:bookmarkStart w:id="26" w:name="_Toc56781428"/>
      <w:r>
        <w:t>6.</w:t>
      </w:r>
      <w:r>
        <w:tab/>
      </w:r>
      <w:r w:rsidRPr="005D213B">
        <w:t>Family environment and alternative care (Articles 5, 9–11, 18, paragraphs 1 and 2, 20, 21, 25 and 27, paragraph 4)</w:t>
      </w:r>
      <w:bookmarkEnd w:id="26"/>
    </w:p>
    <w:p w14:paraId="42B1D754" w14:textId="77777777" w:rsidR="00263BCB" w:rsidRPr="005D213B" w:rsidRDefault="00263BCB" w:rsidP="00263BCB">
      <w:pPr>
        <w:pStyle w:val="H23G"/>
      </w:pPr>
      <w:r>
        <w:tab/>
      </w:r>
      <w:bookmarkStart w:id="27" w:name="_Toc56781429"/>
      <w:r>
        <w:t>(a)</w:t>
      </w:r>
      <w:r>
        <w:tab/>
      </w:r>
      <w:r w:rsidRPr="005D213B">
        <w:t>Family environment and parental care in a manner consistent with the evolving capacities of the child (Article 5)</w:t>
      </w:r>
      <w:bookmarkEnd w:id="27"/>
    </w:p>
    <w:p w14:paraId="3B9E99AB" w14:textId="112161AD" w:rsidR="00263BCB" w:rsidRPr="005D213B" w:rsidRDefault="00570685" w:rsidP="00570685">
      <w:pPr>
        <w:pStyle w:val="ParaNoG"/>
        <w:numPr>
          <w:ilvl w:val="0"/>
          <w:numId w:val="0"/>
        </w:numPr>
        <w:tabs>
          <w:tab w:val="left" w:pos="0"/>
        </w:tabs>
        <w:ind w:left="1134"/>
      </w:pPr>
      <w:r w:rsidRPr="005D213B">
        <w:t>76.</w:t>
      </w:r>
      <w:r w:rsidRPr="005D213B">
        <w:tab/>
      </w:r>
      <w:r w:rsidR="00263BCB" w:rsidRPr="005D213B">
        <w:t>The Law Amending (16 February 2015) the Law on Children Protection</w:t>
      </w:r>
      <w:r w:rsidR="00263BCB" w:rsidRPr="00A21C4B">
        <w:rPr>
          <w:rStyle w:val="FootnoteReference"/>
        </w:rPr>
        <w:footnoteReference w:id="15"/>
      </w:r>
      <w:r w:rsidR="00263BCB" w:rsidRPr="00A21C4B">
        <w:rPr>
          <w:rStyle w:val="FootnoteReference"/>
        </w:rPr>
        <w:t xml:space="preserve"> </w:t>
      </w:r>
      <w:r w:rsidR="00263BCB" w:rsidRPr="005D213B">
        <w:t xml:space="preserve">provides an opportunity for care and education of children at a kindergarten/early child development centre, within legal entities for the needs of the employees and at an educational institution for training of preschool education professionals, as well as an opportunity to establish an early child development centre within a public or privately-owned kindergarten. </w:t>
      </w:r>
    </w:p>
    <w:p w14:paraId="4E79FB07" w14:textId="1F5EC111" w:rsidR="00263BCB" w:rsidRPr="005D213B" w:rsidRDefault="00570685" w:rsidP="00570685">
      <w:pPr>
        <w:pStyle w:val="ParaNoG"/>
        <w:numPr>
          <w:ilvl w:val="0"/>
          <w:numId w:val="0"/>
        </w:numPr>
        <w:tabs>
          <w:tab w:val="left" w:pos="0"/>
        </w:tabs>
        <w:ind w:left="1134"/>
      </w:pPr>
      <w:r w:rsidRPr="005D213B">
        <w:t>77.</w:t>
      </w:r>
      <w:r w:rsidRPr="005D213B">
        <w:tab/>
      </w:r>
      <w:r w:rsidR="00263BCB" w:rsidRPr="005D213B">
        <w:t>For the purpose of promoting healthy diet and improving the diet of children at child institutions, the Rulebook Amending the Rulebook on Standards and Norms for Performing the Activity at Child Institutions</w:t>
      </w:r>
      <w:r w:rsidR="00263BCB" w:rsidRPr="00A21C4B">
        <w:rPr>
          <w:rStyle w:val="FootnoteReference"/>
        </w:rPr>
        <w:footnoteReference w:id="16"/>
      </w:r>
      <w:r w:rsidR="00263BCB" w:rsidRPr="00A21C4B">
        <w:rPr>
          <w:rStyle w:val="FootnoteReference"/>
        </w:rPr>
        <w:t xml:space="preserve"> </w:t>
      </w:r>
      <w:r w:rsidR="00263BCB" w:rsidRPr="005D213B">
        <w:t>further defines the diet norms and the standards for diet and meals of the children at the kindergartens.</w:t>
      </w:r>
    </w:p>
    <w:p w14:paraId="38A02771" w14:textId="37ED22D9" w:rsidR="00263BCB" w:rsidRPr="005D213B" w:rsidRDefault="00570685" w:rsidP="00570685">
      <w:pPr>
        <w:pStyle w:val="ParaNoG"/>
        <w:numPr>
          <w:ilvl w:val="0"/>
          <w:numId w:val="0"/>
        </w:numPr>
        <w:tabs>
          <w:tab w:val="left" w:pos="0"/>
        </w:tabs>
        <w:ind w:left="1134"/>
      </w:pPr>
      <w:r w:rsidRPr="005D213B">
        <w:t>78.</w:t>
      </w:r>
      <w:r w:rsidRPr="005D213B">
        <w:tab/>
      </w:r>
      <w:r w:rsidR="00263BCB" w:rsidRPr="005D213B">
        <w:t>The amendments to the Law define the manner of presenting the handbooks and child magazines and their selection by the parents at child institutions. Child institutions are obliged to present to the parents the handbooks and child magazines which have been approved by a decision of the Minister not later than October of the ongoing year at parent-teacher conferences, through the notice boards or on the website of the institution.</w:t>
      </w:r>
    </w:p>
    <w:p w14:paraId="7315E31A" w14:textId="4257A8A2" w:rsidR="00263BCB" w:rsidRPr="005D213B" w:rsidRDefault="00570685" w:rsidP="00570685">
      <w:pPr>
        <w:pStyle w:val="ParaNoG"/>
        <w:numPr>
          <w:ilvl w:val="0"/>
          <w:numId w:val="0"/>
        </w:numPr>
        <w:tabs>
          <w:tab w:val="left" w:pos="0"/>
        </w:tabs>
        <w:ind w:left="1134"/>
      </w:pPr>
      <w:r w:rsidRPr="005D213B">
        <w:t>79.</w:t>
      </w:r>
      <w:r w:rsidRPr="005D213B">
        <w:tab/>
      </w:r>
      <w:r w:rsidR="00263BCB" w:rsidRPr="005D213B">
        <w:t>The Rulebook on the Specific Conditions, Criteria and Manner of Exercising the Right to Participation in the Costs for Care, Education, Holiday and Recreation of Children at Public Child Institutions</w:t>
      </w:r>
      <w:r w:rsidR="00263BCB" w:rsidRPr="00A21C4B">
        <w:rPr>
          <w:rStyle w:val="FootnoteReference"/>
        </w:rPr>
        <w:footnoteReference w:id="17"/>
      </w:r>
      <w:r w:rsidR="00263BCB" w:rsidRPr="00A21C4B">
        <w:rPr>
          <w:rStyle w:val="FootnoteReference"/>
        </w:rPr>
        <w:t xml:space="preserve"> </w:t>
      </w:r>
      <w:r w:rsidR="00263BCB" w:rsidRPr="005D213B">
        <w:t>ensures that the right to participation at a public child institution (kindergarten) is enjoyed for a child from a single-parent family with a salary and other monthly income that do not exceed the minimum wage as defined by law.</w:t>
      </w:r>
    </w:p>
    <w:p w14:paraId="29B66078" w14:textId="029C5438" w:rsidR="00263BCB" w:rsidRPr="005D213B" w:rsidRDefault="00570685" w:rsidP="00570685">
      <w:pPr>
        <w:pStyle w:val="ParaNoG"/>
        <w:numPr>
          <w:ilvl w:val="0"/>
          <w:numId w:val="0"/>
        </w:numPr>
        <w:tabs>
          <w:tab w:val="left" w:pos="0"/>
        </w:tabs>
        <w:ind w:left="1134"/>
      </w:pPr>
      <w:r w:rsidRPr="005D213B">
        <w:t>80.</w:t>
      </w:r>
      <w:r w:rsidRPr="005D213B">
        <w:tab/>
      </w:r>
      <w:r w:rsidR="00263BCB" w:rsidRPr="005D213B">
        <w:t xml:space="preserve">In order to include a larger number of children with developmental disabilities in child institutions, a Programme for Early Learning and Development for Children with Developmental Disabilities was adopted in 2015. </w:t>
      </w:r>
    </w:p>
    <w:p w14:paraId="549FB788" w14:textId="1D348343" w:rsidR="00263BCB" w:rsidRPr="005D213B" w:rsidRDefault="00570685" w:rsidP="00570685">
      <w:pPr>
        <w:pStyle w:val="ParaNoG"/>
        <w:numPr>
          <w:ilvl w:val="0"/>
          <w:numId w:val="0"/>
        </w:numPr>
        <w:tabs>
          <w:tab w:val="left" w:pos="0"/>
        </w:tabs>
        <w:ind w:left="1134"/>
        <w:rPr>
          <w:b/>
          <w:lang w:val="mk-MK"/>
        </w:rPr>
      </w:pPr>
      <w:r w:rsidRPr="005D213B">
        <w:t>81.</w:t>
      </w:r>
      <w:r w:rsidRPr="005D213B">
        <w:tab/>
      </w:r>
      <w:r w:rsidR="00263BCB" w:rsidRPr="005D213B">
        <w:t>In terms of programmes, the following programmes have been adopted: Early Learning and Development Programme</w:t>
      </w:r>
      <w:r w:rsidR="00811F84">
        <w:t>,</w:t>
      </w:r>
      <w:r w:rsidR="00263BCB" w:rsidRPr="00A21C4B">
        <w:rPr>
          <w:rStyle w:val="FootnoteReference"/>
        </w:rPr>
        <w:footnoteReference w:id="18"/>
      </w:r>
      <w:r w:rsidR="00811F84" w:rsidRPr="00A21C4B">
        <w:rPr>
          <w:rStyle w:val="FootnoteReference"/>
        </w:rPr>
        <w:t xml:space="preserve"> </w:t>
      </w:r>
      <w:r w:rsidR="00263BCB" w:rsidRPr="005D213B">
        <w:t>Programme for Education of Preschool Children at Institutions for Care and Education of Children, with the Process of Growing and Consuming Health Food</w:t>
      </w:r>
      <w:r w:rsidR="00811F84">
        <w:t>,</w:t>
      </w:r>
      <w:r w:rsidR="00263BCB" w:rsidRPr="00A21C4B">
        <w:rPr>
          <w:rStyle w:val="FootnoteReference"/>
        </w:rPr>
        <w:footnoteReference w:id="19"/>
      </w:r>
      <w:r w:rsidR="00263BCB" w:rsidRPr="00A21C4B">
        <w:rPr>
          <w:rStyle w:val="FootnoteReference"/>
        </w:rPr>
        <w:t xml:space="preserve"> </w:t>
      </w:r>
      <w:hyperlink r:id="rId9" w:history="1">
        <w:r w:rsidR="00263BCB" w:rsidRPr="005D213B">
          <w:rPr>
            <w:bCs/>
          </w:rPr>
          <w:t xml:space="preserve">Guidelines for Planning Activities under the Programme for Early Learning and Development for Acquiring Healthy Living Habits and Safe Behaviour </w:t>
        </w:r>
        <w:r w:rsidR="00263BCB" w:rsidRPr="005D213B">
          <w:rPr>
            <w:bCs/>
          </w:rPr>
          <w:lastRenderedPageBreak/>
          <w:t xml:space="preserve">in Preschool Children at Institutions for Care and Education of Children </w:t>
        </w:r>
      </w:hyperlink>
      <w:r w:rsidR="00263BCB" w:rsidRPr="005D213B">
        <w:rPr>
          <w:b/>
          <w:bCs/>
        </w:rPr>
        <w:t>–</w:t>
      </w:r>
      <w:r w:rsidR="00263BCB" w:rsidRPr="00BD275A">
        <w:t xml:space="preserve"> </w:t>
      </w:r>
      <w:r w:rsidR="00263BCB" w:rsidRPr="005D213B">
        <w:rPr>
          <w:bCs/>
        </w:rPr>
        <w:t>adopted</w:t>
      </w:r>
      <w:r w:rsidR="00263BCB" w:rsidRPr="005D213B">
        <w:rPr>
          <w:b/>
          <w:bCs/>
        </w:rPr>
        <w:t xml:space="preserve"> </w:t>
      </w:r>
      <w:r w:rsidR="00263BCB" w:rsidRPr="005D213B">
        <w:rPr>
          <w:bCs/>
        </w:rPr>
        <w:t>on</w:t>
      </w:r>
      <w:r w:rsidR="00263BCB" w:rsidRPr="005D213B">
        <w:rPr>
          <w:b/>
          <w:bCs/>
        </w:rPr>
        <w:t xml:space="preserve"> </w:t>
      </w:r>
      <w:r w:rsidR="00263BCB" w:rsidRPr="005D213B">
        <w:rPr>
          <w:bCs/>
        </w:rPr>
        <w:t>5 June 2015</w:t>
      </w:r>
      <w:r w:rsidR="00263BCB" w:rsidRPr="005D213B">
        <w:t xml:space="preserve">, </w:t>
      </w:r>
      <w:hyperlink r:id="rId10" w:history="1">
        <w:r w:rsidR="00263BCB" w:rsidRPr="005D213B">
          <w:rPr>
            <w:bCs/>
          </w:rPr>
          <w:t>Guidelines for Carrying Out the Early Learning and Development Programme</w:t>
        </w:r>
      </w:hyperlink>
      <w:r w:rsidR="00263BCB" w:rsidRPr="005D213B">
        <w:t>.</w:t>
      </w:r>
    </w:p>
    <w:p w14:paraId="0E50B161" w14:textId="44CD90B0" w:rsidR="00263BCB" w:rsidRPr="001F1BBC" w:rsidRDefault="00570685" w:rsidP="00570685">
      <w:pPr>
        <w:pStyle w:val="ParaNoG"/>
        <w:numPr>
          <w:ilvl w:val="0"/>
          <w:numId w:val="0"/>
        </w:numPr>
        <w:tabs>
          <w:tab w:val="left" w:pos="0"/>
        </w:tabs>
        <w:ind w:left="1134"/>
      </w:pPr>
      <w:r w:rsidRPr="001F1BBC">
        <w:t>82.</w:t>
      </w:r>
      <w:r w:rsidRPr="001F1BBC">
        <w:tab/>
      </w:r>
      <w:r w:rsidR="00263BCB" w:rsidRPr="005D213B">
        <w:t>Emphasis has been put on establishing child and parent counselling offices at the public kindergartens and early child development centres. A rulebook adopted by the Ministry defines the specific criteria for establishing and operation of the counselling offices.</w:t>
      </w:r>
      <w:r w:rsidR="00263BCB" w:rsidRPr="00A21C4B">
        <w:rPr>
          <w:rStyle w:val="FootnoteReference"/>
        </w:rPr>
        <w:footnoteReference w:id="20"/>
      </w:r>
    </w:p>
    <w:p w14:paraId="48B188F7" w14:textId="689C0736" w:rsidR="00263BCB" w:rsidRPr="005D213B" w:rsidRDefault="00570685" w:rsidP="00570685">
      <w:pPr>
        <w:pStyle w:val="ParaNoG"/>
        <w:numPr>
          <w:ilvl w:val="0"/>
          <w:numId w:val="0"/>
        </w:numPr>
        <w:tabs>
          <w:tab w:val="left" w:pos="0"/>
        </w:tabs>
        <w:ind w:left="1134"/>
      </w:pPr>
      <w:r w:rsidRPr="005D213B">
        <w:t>83.</w:t>
      </w:r>
      <w:r w:rsidRPr="005D213B">
        <w:tab/>
      </w:r>
      <w:r w:rsidR="00263BCB" w:rsidRPr="005D213B">
        <w:t>In the period from 2014 to July 2018, the capacities for care and education of children of 0</w:t>
      </w:r>
      <w:r w:rsidR="00AE332F">
        <w:t>–</w:t>
      </w:r>
      <w:r w:rsidR="00263BCB" w:rsidRPr="005D213B">
        <w:t>6 years of age were expanded by opening 8 public municipal and 21 private kindergartens, 24 new facilities within the kindergartens, 29 early child development centres, 4 of which are public and the other 25 operate within public kindergartens, and 6 organisational units within legal entities.</w:t>
      </w:r>
    </w:p>
    <w:p w14:paraId="5DE04472" w14:textId="77777777" w:rsidR="00263BCB" w:rsidRPr="005D213B" w:rsidRDefault="00263BCB" w:rsidP="00263BCB">
      <w:pPr>
        <w:pStyle w:val="H23G"/>
      </w:pPr>
      <w:r>
        <w:tab/>
      </w:r>
      <w:bookmarkStart w:id="28" w:name="_Toc56781430"/>
      <w:r>
        <w:t>(</w:t>
      </w:r>
      <w:r w:rsidRPr="005D213B">
        <w:t>b)</w:t>
      </w:r>
      <w:r>
        <w:tab/>
      </w:r>
      <w:r w:rsidRPr="005D213B">
        <w:t>Common responsibility of both parents, assistance to parents and ensuring child-care services (Article 18)</w:t>
      </w:r>
      <w:bookmarkEnd w:id="28"/>
    </w:p>
    <w:p w14:paraId="7FAEA5A6" w14:textId="10C820B9" w:rsidR="00263BCB" w:rsidRPr="005D213B" w:rsidRDefault="00570685" w:rsidP="00570685">
      <w:pPr>
        <w:pStyle w:val="ParaNoG"/>
        <w:numPr>
          <w:ilvl w:val="0"/>
          <w:numId w:val="0"/>
        </w:numPr>
        <w:tabs>
          <w:tab w:val="left" w:pos="0"/>
        </w:tabs>
        <w:ind w:left="1134"/>
      </w:pPr>
      <w:r w:rsidRPr="005D213B">
        <w:t>84.</w:t>
      </w:r>
      <w:r w:rsidRPr="005D213B">
        <w:tab/>
      </w:r>
      <w:r w:rsidR="00263BCB" w:rsidRPr="005D213B">
        <w:t>The Law Amending the Law on Children Protection</w:t>
      </w:r>
      <w:r w:rsidR="00263BCB" w:rsidRPr="00A21C4B">
        <w:rPr>
          <w:rStyle w:val="FootnoteReference"/>
        </w:rPr>
        <w:footnoteReference w:id="21"/>
      </w:r>
      <w:r w:rsidR="00263BCB" w:rsidRPr="00A21C4B">
        <w:rPr>
          <w:rStyle w:val="FootnoteReference"/>
        </w:rPr>
        <w:t xml:space="preserve"> </w:t>
      </w:r>
      <w:r w:rsidR="00263BCB" w:rsidRPr="005D213B">
        <w:t>introduced amendments and supplements aimed at improving the financial situation of single parents who receive a special benefit for a child with specific needs, with physical or mental developmental disabilities or with combined disabilities up to 26 years of age. This special benefit was increased by 50%, i.e. the Law specifies a nominal amount of 6,303 denars. It also provides a definition of a single parent of a child enjoying the right to an increased special benefit, applied from 1 January 2014.</w:t>
      </w:r>
    </w:p>
    <w:p w14:paraId="6A15C225" w14:textId="0911F3F1" w:rsidR="00263BCB" w:rsidRPr="005D213B" w:rsidRDefault="00570685" w:rsidP="00570685">
      <w:pPr>
        <w:pStyle w:val="ParaNoG"/>
        <w:numPr>
          <w:ilvl w:val="0"/>
          <w:numId w:val="0"/>
        </w:numPr>
        <w:tabs>
          <w:tab w:val="left" w:pos="0"/>
        </w:tabs>
        <w:ind w:left="1134"/>
      </w:pPr>
      <w:r w:rsidRPr="005D213B">
        <w:t>85.</w:t>
      </w:r>
      <w:r w:rsidRPr="005D213B">
        <w:tab/>
      </w:r>
      <w:r w:rsidR="00263BCB" w:rsidRPr="005D213B">
        <w:t xml:space="preserve">In 2014 and 2015, activities were taken to develop counselling offices at the SWC in order to offer services to citizens with marital and family problems, victims of domestic violence, child marriages, strengthening parental capacities. A total of 30 counselling offices were opened by the end of 2015. </w:t>
      </w:r>
    </w:p>
    <w:p w14:paraId="5FC5F48F" w14:textId="253F50F8" w:rsidR="00263BCB" w:rsidRPr="005D213B" w:rsidRDefault="00570685" w:rsidP="00570685">
      <w:pPr>
        <w:pStyle w:val="ParaNoG"/>
        <w:numPr>
          <w:ilvl w:val="0"/>
          <w:numId w:val="0"/>
        </w:numPr>
        <w:tabs>
          <w:tab w:val="left" w:pos="0"/>
        </w:tabs>
        <w:ind w:left="1134"/>
      </w:pPr>
      <w:r w:rsidRPr="005D213B">
        <w:t>86.</w:t>
      </w:r>
      <w:r w:rsidRPr="005D213B">
        <w:tab/>
      </w:r>
      <w:r w:rsidR="00263BCB" w:rsidRPr="005D213B">
        <w:t>The specialised counselling office</w:t>
      </w:r>
      <w:r w:rsidR="00A21C4B">
        <w:t xml:space="preserve"> “</w:t>
      </w:r>
      <w:r w:rsidR="00263BCB" w:rsidRPr="005D213B">
        <w:t>First Family Centre</w:t>
      </w:r>
      <w:r w:rsidR="00A21C4B">
        <w:t>”</w:t>
      </w:r>
      <w:r w:rsidR="00263BCB" w:rsidRPr="005D213B">
        <w:t xml:space="preserve"> is also functioning successfully. It is managed by a citizens</w:t>
      </w:r>
      <w:r w:rsidR="00A21C4B">
        <w:t>’</w:t>
      </w:r>
      <w:r w:rsidR="00263BCB" w:rsidRPr="005D213B">
        <w:t xml:space="preserve"> organisation and offers psychosocial support and counselling to families with conflicting relations, in which violence is committed acutely or in which there has been domestic violence. The services are provided by a professional team of psychotherapists, who strengthen all family members individually through psychosocial treatment.</w:t>
      </w:r>
    </w:p>
    <w:p w14:paraId="4843FA19" w14:textId="1A74A449" w:rsidR="00263BCB" w:rsidRPr="005D213B" w:rsidRDefault="00263BCB" w:rsidP="00263BCB">
      <w:pPr>
        <w:pStyle w:val="H23G"/>
      </w:pPr>
      <w:r>
        <w:tab/>
      </w:r>
      <w:bookmarkStart w:id="29" w:name="_Toc56781431"/>
      <w:r>
        <w:t>(c)</w:t>
      </w:r>
      <w:r>
        <w:tab/>
      </w:r>
      <w:r w:rsidRPr="005D213B">
        <w:t>Children without parental care (Article 9, paragraphs 1</w:t>
      </w:r>
      <w:r w:rsidR="00811F84">
        <w:t>–</w:t>
      </w:r>
      <w:r w:rsidRPr="005D213B">
        <w:t>4, 21 and 25)</w:t>
      </w:r>
      <w:bookmarkEnd w:id="29"/>
    </w:p>
    <w:p w14:paraId="72DE7D5A" w14:textId="77777777" w:rsidR="00263BCB" w:rsidRPr="00A21C4B" w:rsidRDefault="00263BCB" w:rsidP="00263BCB">
      <w:pPr>
        <w:pStyle w:val="H23G"/>
        <w:rPr>
          <w:rStyle w:val="FootnoteReference"/>
        </w:rPr>
      </w:pPr>
      <w:r>
        <w:tab/>
      </w:r>
      <w:r>
        <w:tab/>
      </w:r>
      <w:bookmarkStart w:id="30" w:name="_Toc56781432"/>
      <w:r w:rsidRPr="005D213B">
        <w:t>Number of children without parental care disaggregated by reason (i.e. armed conflict, poverty, abandonment as a result of discrimination)</w:t>
      </w:r>
      <w:r w:rsidRPr="000C43B0">
        <w:rPr>
          <w:rStyle w:val="FootnoteReference"/>
          <w:b w:val="0"/>
          <w:bCs/>
        </w:rPr>
        <w:footnoteReference w:id="22"/>
      </w:r>
      <w:bookmarkEnd w:id="30"/>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701"/>
        <w:gridCol w:w="993"/>
        <w:gridCol w:w="1134"/>
        <w:gridCol w:w="1079"/>
        <w:gridCol w:w="1047"/>
        <w:gridCol w:w="1416"/>
      </w:tblGrid>
      <w:tr w:rsidR="00263BCB" w:rsidRPr="00811F84" w14:paraId="4C3DF1D9" w14:textId="77777777" w:rsidTr="001031DA">
        <w:trPr>
          <w:tblHeader/>
        </w:trPr>
        <w:tc>
          <w:tcPr>
            <w:tcW w:w="1701" w:type="dxa"/>
            <w:tcBorders>
              <w:top w:val="single" w:sz="4" w:space="0" w:color="auto"/>
              <w:bottom w:val="single" w:sz="12" w:space="0" w:color="auto"/>
            </w:tcBorders>
            <w:shd w:val="clear" w:color="auto" w:fill="auto"/>
            <w:vAlign w:val="bottom"/>
          </w:tcPr>
          <w:p w14:paraId="5C7BD197" w14:textId="77777777" w:rsidR="00263BCB" w:rsidRPr="00811F84" w:rsidRDefault="00263BCB" w:rsidP="00811F84">
            <w:pPr>
              <w:spacing w:before="80" w:after="80" w:line="200" w:lineRule="exact"/>
              <w:ind w:right="113"/>
              <w:rPr>
                <w:i/>
                <w:sz w:val="16"/>
              </w:rPr>
            </w:pPr>
          </w:p>
        </w:tc>
        <w:tc>
          <w:tcPr>
            <w:tcW w:w="993" w:type="dxa"/>
            <w:tcBorders>
              <w:top w:val="single" w:sz="4" w:space="0" w:color="auto"/>
              <w:bottom w:val="single" w:sz="12" w:space="0" w:color="auto"/>
            </w:tcBorders>
            <w:shd w:val="clear" w:color="auto" w:fill="auto"/>
            <w:vAlign w:val="bottom"/>
          </w:tcPr>
          <w:p w14:paraId="15247D47" w14:textId="77777777" w:rsidR="00263BCB" w:rsidRPr="00811F84" w:rsidRDefault="00263BCB" w:rsidP="00811F84">
            <w:pPr>
              <w:spacing w:before="80" w:after="80" w:line="200" w:lineRule="exact"/>
              <w:ind w:right="113"/>
              <w:jc w:val="right"/>
              <w:rPr>
                <w:i/>
                <w:sz w:val="16"/>
              </w:rPr>
            </w:pPr>
            <w:r w:rsidRPr="00811F84">
              <w:rPr>
                <w:i/>
                <w:sz w:val="16"/>
              </w:rPr>
              <w:t>2014</w:t>
            </w:r>
          </w:p>
        </w:tc>
        <w:tc>
          <w:tcPr>
            <w:tcW w:w="1134" w:type="dxa"/>
            <w:tcBorders>
              <w:top w:val="single" w:sz="4" w:space="0" w:color="auto"/>
              <w:bottom w:val="single" w:sz="12" w:space="0" w:color="auto"/>
            </w:tcBorders>
            <w:shd w:val="clear" w:color="auto" w:fill="auto"/>
            <w:vAlign w:val="bottom"/>
          </w:tcPr>
          <w:p w14:paraId="33E6C417" w14:textId="77777777" w:rsidR="00263BCB" w:rsidRPr="00811F84" w:rsidRDefault="00263BCB" w:rsidP="00811F84">
            <w:pPr>
              <w:spacing w:before="80" w:after="80" w:line="200" w:lineRule="exact"/>
              <w:ind w:right="113"/>
              <w:jc w:val="right"/>
              <w:rPr>
                <w:i/>
                <w:sz w:val="16"/>
              </w:rPr>
            </w:pPr>
            <w:r w:rsidRPr="00811F84">
              <w:rPr>
                <w:i/>
                <w:sz w:val="16"/>
              </w:rPr>
              <w:t>2015</w:t>
            </w:r>
          </w:p>
        </w:tc>
        <w:tc>
          <w:tcPr>
            <w:tcW w:w="1079" w:type="dxa"/>
            <w:tcBorders>
              <w:top w:val="single" w:sz="4" w:space="0" w:color="auto"/>
              <w:bottom w:val="single" w:sz="12" w:space="0" w:color="auto"/>
            </w:tcBorders>
            <w:shd w:val="clear" w:color="auto" w:fill="auto"/>
            <w:vAlign w:val="bottom"/>
          </w:tcPr>
          <w:p w14:paraId="36FD8225" w14:textId="77777777" w:rsidR="00263BCB" w:rsidRPr="00811F84" w:rsidRDefault="00263BCB" w:rsidP="00811F84">
            <w:pPr>
              <w:spacing w:before="80" w:after="80" w:line="200" w:lineRule="exact"/>
              <w:ind w:right="113"/>
              <w:jc w:val="right"/>
              <w:rPr>
                <w:i/>
                <w:sz w:val="16"/>
              </w:rPr>
            </w:pPr>
            <w:r w:rsidRPr="00811F84">
              <w:rPr>
                <w:i/>
                <w:sz w:val="16"/>
              </w:rPr>
              <w:t>2016</w:t>
            </w:r>
          </w:p>
        </w:tc>
        <w:tc>
          <w:tcPr>
            <w:tcW w:w="1047" w:type="dxa"/>
            <w:tcBorders>
              <w:top w:val="single" w:sz="4" w:space="0" w:color="auto"/>
              <w:bottom w:val="single" w:sz="12" w:space="0" w:color="auto"/>
            </w:tcBorders>
            <w:shd w:val="clear" w:color="auto" w:fill="auto"/>
            <w:vAlign w:val="bottom"/>
          </w:tcPr>
          <w:p w14:paraId="36768C79" w14:textId="77777777" w:rsidR="00263BCB" w:rsidRPr="00811F84" w:rsidRDefault="00263BCB" w:rsidP="00811F84">
            <w:pPr>
              <w:spacing w:before="80" w:after="80" w:line="200" w:lineRule="exact"/>
              <w:ind w:right="113"/>
              <w:jc w:val="right"/>
              <w:rPr>
                <w:i/>
                <w:sz w:val="16"/>
              </w:rPr>
            </w:pPr>
            <w:r w:rsidRPr="00811F84">
              <w:rPr>
                <w:i/>
                <w:sz w:val="16"/>
              </w:rPr>
              <w:t>2017</w:t>
            </w:r>
          </w:p>
        </w:tc>
        <w:tc>
          <w:tcPr>
            <w:tcW w:w="1416" w:type="dxa"/>
            <w:tcBorders>
              <w:top w:val="single" w:sz="4" w:space="0" w:color="auto"/>
              <w:bottom w:val="single" w:sz="12" w:space="0" w:color="auto"/>
            </w:tcBorders>
            <w:shd w:val="clear" w:color="auto" w:fill="auto"/>
            <w:vAlign w:val="bottom"/>
          </w:tcPr>
          <w:p w14:paraId="7CF7DF49" w14:textId="77777777" w:rsidR="00263BCB" w:rsidRPr="00811F84" w:rsidRDefault="00263BCB" w:rsidP="00811F84">
            <w:pPr>
              <w:spacing w:before="80" w:after="80" w:line="200" w:lineRule="exact"/>
              <w:ind w:right="113"/>
              <w:jc w:val="right"/>
              <w:rPr>
                <w:i/>
                <w:sz w:val="16"/>
              </w:rPr>
            </w:pPr>
            <w:r w:rsidRPr="00811F84">
              <w:rPr>
                <w:i/>
                <w:sz w:val="16"/>
              </w:rPr>
              <w:t>January–June 2018</w:t>
            </w:r>
          </w:p>
        </w:tc>
      </w:tr>
      <w:tr w:rsidR="00263BCB" w:rsidRPr="00811F84" w14:paraId="7215DFA1" w14:textId="77777777" w:rsidTr="001031DA">
        <w:trPr>
          <w:cantSplit/>
        </w:trPr>
        <w:tc>
          <w:tcPr>
            <w:tcW w:w="1701" w:type="dxa"/>
            <w:shd w:val="clear" w:color="auto" w:fill="auto"/>
          </w:tcPr>
          <w:p w14:paraId="0ECF927D" w14:textId="77777777" w:rsidR="00263BCB" w:rsidRPr="00811F84" w:rsidRDefault="00263BCB" w:rsidP="00811F84">
            <w:pPr>
              <w:spacing w:before="40" w:after="40" w:line="220" w:lineRule="exact"/>
              <w:ind w:right="113"/>
              <w:rPr>
                <w:sz w:val="18"/>
              </w:rPr>
            </w:pPr>
            <w:r w:rsidRPr="00811F84">
              <w:rPr>
                <w:sz w:val="18"/>
              </w:rPr>
              <w:t>Children at risk</w:t>
            </w:r>
          </w:p>
        </w:tc>
        <w:tc>
          <w:tcPr>
            <w:tcW w:w="993" w:type="dxa"/>
            <w:shd w:val="clear" w:color="auto" w:fill="auto"/>
            <w:vAlign w:val="bottom"/>
          </w:tcPr>
          <w:p w14:paraId="4C338207" w14:textId="46D61B1A" w:rsidR="00263BCB" w:rsidRPr="00811F84" w:rsidRDefault="00263BCB" w:rsidP="00811F84">
            <w:pPr>
              <w:spacing w:before="40" w:after="40" w:line="220" w:lineRule="exact"/>
              <w:ind w:right="113"/>
              <w:jc w:val="right"/>
              <w:rPr>
                <w:sz w:val="18"/>
              </w:rPr>
            </w:pPr>
            <w:r w:rsidRPr="00811F84">
              <w:rPr>
                <w:sz w:val="18"/>
              </w:rPr>
              <w:t>1</w:t>
            </w:r>
            <w:r w:rsidR="00811F84">
              <w:rPr>
                <w:sz w:val="18"/>
              </w:rPr>
              <w:t xml:space="preserve"> </w:t>
            </w:r>
            <w:r w:rsidRPr="00811F84">
              <w:rPr>
                <w:sz w:val="18"/>
              </w:rPr>
              <w:t>212</w:t>
            </w:r>
          </w:p>
        </w:tc>
        <w:tc>
          <w:tcPr>
            <w:tcW w:w="1134" w:type="dxa"/>
            <w:shd w:val="clear" w:color="auto" w:fill="auto"/>
            <w:vAlign w:val="bottom"/>
          </w:tcPr>
          <w:p w14:paraId="6F101E5B" w14:textId="1EDA8B37" w:rsidR="00263BCB" w:rsidRPr="00811F84" w:rsidRDefault="00263BCB" w:rsidP="00811F84">
            <w:pPr>
              <w:spacing w:before="40" w:after="40" w:line="220" w:lineRule="exact"/>
              <w:ind w:right="113"/>
              <w:jc w:val="right"/>
              <w:rPr>
                <w:sz w:val="18"/>
              </w:rPr>
            </w:pPr>
            <w:r w:rsidRPr="00811F84">
              <w:rPr>
                <w:sz w:val="18"/>
              </w:rPr>
              <w:t>1</w:t>
            </w:r>
            <w:r w:rsidR="00811F84">
              <w:rPr>
                <w:sz w:val="18"/>
              </w:rPr>
              <w:t xml:space="preserve"> </w:t>
            </w:r>
            <w:r w:rsidRPr="00811F84">
              <w:rPr>
                <w:sz w:val="18"/>
              </w:rPr>
              <w:t>076</w:t>
            </w:r>
          </w:p>
        </w:tc>
        <w:tc>
          <w:tcPr>
            <w:tcW w:w="1079" w:type="dxa"/>
            <w:shd w:val="clear" w:color="auto" w:fill="auto"/>
            <w:vAlign w:val="bottom"/>
          </w:tcPr>
          <w:p w14:paraId="586984C4" w14:textId="77777777" w:rsidR="00263BCB" w:rsidRPr="00811F84" w:rsidRDefault="00263BCB" w:rsidP="00811F84">
            <w:pPr>
              <w:spacing w:before="40" w:after="40" w:line="220" w:lineRule="exact"/>
              <w:ind w:right="113"/>
              <w:jc w:val="right"/>
              <w:rPr>
                <w:sz w:val="18"/>
              </w:rPr>
            </w:pPr>
            <w:r w:rsidRPr="00811F84">
              <w:rPr>
                <w:sz w:val="18"/>
              </w:rPr>
              <w:t>810</w:t>
            </w:r>
          </w:p>
        </w:tc>
        <w:tc>
          <w:tcPr>
            <w:tcW w:w="1047" w:type="dxa"/>
            <w:shd w:val="clear" w:color="auto" w:fill="auto"/>
            <w:vAlign w:val="bottom"/>
          </w:tcPr>
          <w:p w14:paraId="631728D8" w14:textId="411B7D7E" w:rsidR="00263BCB" w:rsidRPr="00811F84" w:rsidRDefault="00263BCB" w:rsidP="00811F84">
            <w:pPr>
              <w:spacing w:before="40" w:after="40" w:line="220" w:lineRule="exact"/>
              <w:ind w:right="113"/>
              <w:jc w:val="right"/>
              <w:rPr>
                <w:sz w:val="18"/>
              </w:rPr>
            </w:pPr>
            <w:r w:rsidRPr="00811F84">
              <w:rPr>
                <w:sz w:val="18"/>
              </w:rPr>
              <w:t>1</w:t>
            </w:r>
            <w:r w:rsidR="00811F84">
              <w:rPr>
                <w:sz w:val="18"/>
              </w:rPr>
              <w:t xml:space="preserve"> </w:t>
            </w:r>
            <w:r w:rsidRPr="00811F84">
              <w:rPr>
                <w:sz w:val="18"/>
              </w:rPr>
              <w:t>014</w:t>
            </w:r>
          </w:p>
        </w:tc>
        <w:tc>
          <w:tcPr>
            <w:tcW w:w="1416" w:type="dxa"/>
            <w:shd w:val="clear" w:color="auto" w:fill="auto"/>
            <w:vAlign w:val="bottom"/>
          </w:tcPr>
          <w:p w14:paraId="0A86D7EA" w14:textId="77777777" w:rsidR="00263BCB" w:rsidRPr="00811F84" w:rsidRDefault="00263BCB" w:rsidP="00811F84">
            <w:pPr>
              <w:spacing w:before="40" w:after="40" w:line="220" w:lineRule="exact"/>
              <w:ind w:right="113"/>
              <w:jc w:val="right"/>
              <w:rPr>
                <w:sz w:val="18"/>
              </w:rPr>
            </w:pPr>
            <w:r w:rsidRPr="00811F84">
              <w:rPr>
                <w:sz w:val="18"/>
              </w:rPr>
              <w:t>602</w:t>
            </w:r>
          </w:p>
        </w:tc>
      </w:tr>
      <w:tr w:rsidR="00263BCB" w:rsidRPr="00811F84" w14:paraId="25D22080" w14:textId="77777777" w:rsidTr="001031DA">
        <w:trPr>
          <w:cantSplit/>
        </w:trPr>
        <w:tc>
          <w:tcPr>
            <w:tcW w:w="1701" w:type="dxa"/>
            <w:tcBorders>
              <w:bottom w:val="single" w:sz="4" w:space="0" w:color="auto"/>
            </w:tcBorders>
            <w:shd w:val="clear" w:color="auto" w:fill="auto"/>
          </w:tcPr>
          <w:p w14:paraId="4C312976" w14:textId="77777777" w:rsidR="00263BCB" w:rsidRPr="00811F84" w:rsidRDefault="00263BCB" w:rsidP="00811F84">
            <w:pPr>
              <w:spacing w:before="40" w:after="40" w:line="220" w:lineRule="exact"/>
              <w:ind w:right="113"/>
              <w:rPr>
                <w:sz w:val="18"/>
              </w:rPr>
            </w:pPr>
            <w:r w:rsidRPr="00811F84">
              <w:rPr>
                <w:sz w:val="18"/>
              </w:rPr>
              <w:t>Children in conflict with the law</w:t>
            </w:r>
          </w:p>
        </w:tc>
        <w:tc>
          <w:tcPr>
            <w:tcW w:w="993" w:type="dxa"/>
            <w:tcBorders>
              <w:bottom w:val="single" w:sz="4" w:space="0" w:color="auto"/>
            </w:tcBorders>
            <w:shd w:val="clear" w:color="auto" w:fill="auto"/>
            <w:vAlign w:val="bottom"/>
          </w:tcPr>
          <w:p w14:paraId="15106504" w14:textId="77777777" w:rsidR="00263BCB" w:rsidRPr="00811F84" w:rsidRDefault="00263BCB" w:rsidP="00811F84">
            <w:pPr>
              <w:spacing w:before="40" w:after="40" w:line="220" w:lineRule="exact"/>
              <w:ind w:right="113"/>
              <w:jc w:val="right"/>
              <w:rPr>
                <w:sz w:val="18"/>
              </w:rPr>
            </w:pPr>
            <w:r w:rsidRPr="00811F84">
              <w:rPr>
                <w:sz w:val="18"/>
              </w:rPr>
              <w:t>9507</w:t>
            </w:r>
          </w:p>
        </w:tc>
        <w:tc>
          <w:tcPr>
            <w:tcW w:w="1134" w:type="dxa"/>
            <w:tcBorders>
              <w:bottom w:val="single" w:sz="4" w:space="0" w:color="auto"/>
            </w:tcBorders>
            <w:shd w:val="clear" w:color="auto" w:fill="auto"/>
            <w:vAlign w:val="bottom"/>
          </w:tcPr>
          <w:p w14:paraId="3100196E" w14:textId="77777777" w:rsidR="00263BCB" w:rsidRPr="00811F84" w:rsidRDefault="00263BCB" w:rsidP="00811F84">
            <w:pPr>
              <w:spacing w:before="40" w:after="40" w:line="220" w:lineRule="exact"/>
              <w:ind w:right="113"/>
              <w:jc w:val="right"/>
              <w:rPr>
                <w:sz w:val="18"/>
              </w:rPr>
            </w:pPr>
            <w:r w:rsidRPr="00811F84">
              <w:rPr>
                <w:sz w:val="18"/>
              </w:rPr>
              <w:t>7719</w:t>
            </w:r>
          </w:p>
        </w:tc>
        <w:tc>
          <w:tcPr>
            <w:tcW w:w="1079" w:type="dxa"/>
            <w:tcBorders>
              <w:bottom w:val="single" w:sz="4" w:space="0" w:color="auto"/>
            </w:tcBorders>
            <w:shd w:val="clear" w:color="auto" w:fill="auto"/>
            <w:vAlign w:val="bottom"/>
          </w:tcPr>
          <w:p w14:paraId="6BDC55AB" w14:textId="2460771E" w:rsidR="00263BCB" w:rsidRPr="00811F84" w:rsidRDefault="00263BCB" w:rsidP="00811F84">
            <w:pPr>
              <w:spacing w:before="40" w:after="40" w:line="220" w:lineRule="exact"/>
              <w:ind w:right="113"/>
              <w:jc w:val="right"/>
              <w:rPr>
                <w:sz w:val="18"/>
              </w:rPr>
            </w:pPr>
            <w:r w:rsidRPr="00811F84">
              <w:rPr>
                <w:sz w:val="18"/>
              </w:rPr>
              <w:t>7</w:t>
            </w:r>
            <w:r w:rsidR="00811F84">
              <w:rPr>
                <w:sz w:val="18"/>
              </w:rPr>
              <w:t xml:space="preserve"> </w:t>
            </w:r>
            <w:r w:rsidRPr="00811F84">
              <w:rPr>
                <w:sz w:val="18"/>
              </w:rPr>
              <w:t>190</w:t>
            </w:r>
          </w:p>
        </w:tc>
        <w:tc>
          <w:tcPr>
            <w:tcW w:w="1047" w:type="dxa"/>
            <w:tcBorders>
              <w:bottom w:val="single" w:sz="4" w:space="0" w:color="auto"/>
            </w:tcBorders>
            <w:shd w:val="clear" w:color="auto" w:fill="auto"/>
            <w:vAlign w:val="bottom"/>
          </w:tcPr>
          <w:p w14:paraId="7ECF709C" w14:textId="77777777" w:rsidR="00263BCB" w:rsidRPr="00811F84" w:rsidRDefault="00263BCB" w:rsidP="00811F84">
            <w:pPr>
              <w:spacing w:before="40" w:after="40" w:line="220" w:lineRule="exact"/>
              <w:ind w:right="113"/>
              <w:jc w:val="right"/>
              <w:rPr>
                <w:sz w:val="18"/>
              </w:rPr>
            </w:pPr>
            <w:r w:rsidRPr="00811F84">
              <w:rPr>
                <w:sz w:val="18"/>
              </w:rPr>
              <w:t>6857</w:t>
            </w:r>
          </w:p>
        </w:tc>
        <w:tc>
          <w:tcPr>
            <w:tcW w:w="1416" w:type="dxa"/>
            <w:tcBorders>
              <w:bottom w:val="single" w:sz="4" w:space="0" w:color="auto"/>
            </w:tcBorders>
            <w:shd w:val="clear" w:color="auto" w:fill="auto"/>
            <w:vAlign w:val="bottom"/>
          </w:tcPr>
          <w:p w14:paraId="77201BA9" w14:textId="56AA33AC" w:rsidR="00263BCB" w:rsidRPr="00811F84" w:rsidRDefault="00263BCB" w:rsidP="00811F84">
            <w:pPr>
              <w:spacing w:before="40" w:after="40" w:line="220" w:lineRule="exact"/>
              <w:ind w:right="113"/>
              <w:jc w:val="right"/>
              <w:rPr>
                <w:sz w:val="18"/>
              </w:rPr>
            </w:pPr>
            <w:r w:rsidRPr="00811F84">
              <w:rPr>
                <w:sz w:val="18"/>
              </w:rPr>
              <w:t>3</w:t>
            </w:r>
            <w:r w:rsidR="00811F84">
              <w:rPr>
                <w:sz w:val="18"/>
              </w:rPr>
              <w:t xml:space="preserve"> </w:t>
            </w:r>
            <w:r w:rsidRPr="00811F84">
              <w:rPr>
                <w:sz w:val="18"/>
              </w:rPr>
              <w:t>174</w:t>
            </w:r>
          </w:p>
        </w:tc>
      </w:tr>
      <w:tr w:rsidR="00263BCB" w:rsidRPr="00811F84" w14:paraId="61DFF86F" w14:textId="77777777" w:rsidTr="001031DA">
        <w:trPr>
          <w:cantSplit/>
        </w:trPr>
        <w:tc>
          <w:tcPr>
            <w:tcW w:w="1701" w:type="dxa"/>
            <w:tcBorders>
              <w:top w:val="single" w:sz="4" w:space="0" w:color="auto"/>
              <w:bottom w:val="single" w:sz="12" w:space="0" w:color="auto"/>
            </w:tcBorders>
            <w:shd w:val="clear" w:color="auto" w:fill="auto"/>
          </w:tcPr>
          <w:p w14:paraId="09359CF4" w14:textId="77777777" w:rsidR="00263BCB" w:rsidRPr="00811F84" w:rsidRDefault="00263BCB" w:rsidP="00811F84">
            <w:pPr>
              <w:spacing w:before="80" w:after="80" w:line="220" w:lineRule="exact"/>
              <w:ind w:left="283" w:right="113"/>
              <w:rPr>
                <w:b/>
                <w:sz w:val="18"/>
              </w:rPr>
            </w:pPr>
            <w:r w:rsidRPr="00811F84">
              <w:rPr>
                <w:b/>
                <w:sz w:val="18"/>
              </w:rPr>
              <w:t>Total</w:t>
            </w:r>
          </w:p>
        </w:tc>
        <w:tc>
          <w:tcPr>
            <w:tcW w:w="993" w:type="dxa"/>
            <w:tcBorders>
              <w:top w:val="single" w:sz="4" w:space="0" w:color="auto"/>
              <w:bottom w:val="single" w:sz="12" w:space="0" w:color="auto"/>
            </w:tcBorders>
            <w:shd w:val="clear" w:color="auto" w:fill="auto"/>
            <w:vAlign w:val="bottom"/>
          </w:tcPr>
          <w:p w14:paraId="68D2F6EF" w14:textId="13527484" w:rsidR="00263BCB" w:rsidRPr="00811F84" w:rsidRDefault="00263BCB" w:rsidP="00811F84">
            <w:pPr>
              <w:spacing w:before="80" w:after="80" w:line="220" w:lineRule="exact"/>
              <w:ind w:right="113"/>
              <w:jc w:val="right"/>
              <w:rPr>
                <w:b/>
                <w:sz w:val="18"/>
              </w:rPr>
            </w:pPr>
            <w:r w:rsidRPr="00811F84">
              <w:rPr>
                <w:b/>
                <w:sz w:val="18"/>
              </w:rPr>
              <w:t>10</w:t>
            </w:r>
            <w:r w:rsidR="00811F84">
              <w:rPr>
                <w:b/>
                <w:sz w:val="18"/>
              </w:rPr>
              <w:t xml:space="preserve"> </w:t>
            </w:r>
            <w:r w:rsidRPr="00811F84">
              <w:rPr>
                <w:b/>
                <w:sz w:val="18"/>
              </w:rPr>
              <w:t>719</w:t>
            </w:r>
          </w:p>
        </w:tc>
        <w:tc>
          <w:tcPr>
            <w:tcW w:w="1134" w:type="dxa"/>
            <w:tcBorders>
              <w:top w:val="single" w:sz="4" w:space="0" w:color="auto"/>
              <w:bottom w:val="single" w:sz="12" w:space="0" w:color="auto"/>
            </w:tcBorders>
            <w:shd w:val="clear" w:color="auto" w:fill="auto"/>
            <w:vAlign w:val="bottom"/>
          </w:tcPr>
          <w:p w14:paraId="005814CE" w14:textId="23C68E6B" w:rsidR="00263BCB" w:rsidRPr="00811F84" w:rsidRDefault="00263BCB" w:rsidP="00811F84">
            <w:pPr>
              <w:spacing w:before="80" w:after="80" w:line="220" w:lineRule="exact"/>
              <w:ind w:right="113"/>
              <w:jc w:val="right"/>
              <w:rPr>
                <w:b/>
                <w:sz w:val="18"/>
              </w:rPr>
            </w:pPr>
            <w:r w:rsidRPr="00811F84">
              <w:rPr>
                <w:b/>
                <w:sz w:val="18"/>
              </w:rPr>
              <w:t>8</w:t>
            </w:r>
            <w:r w:rsidR="00811F84">
              <w:rPr>
                <w:b/>
                <w:sz w:val="18"/>
              </w:rPr>
              <w:t xml:space="preserve"> </w:t>
            </w:r>
            <w:r w:rsidRPr="00811F84">
              <w:rPr>
                <w:b/>
                <w:sz w:val="18"/>
              </w:rPr>
              <w:t>795</w:t>
            </w:r>
          </w:p>
        </w:tc>
        <w:tc>
          <w:tcPr>
            <w:tcW w:w="1079" w:type="dxa"/>
            <w:tcBorders>
              <w:top w:val="single" w:sz="4" w:space="0" w:color="auto"/>
              <w:bottom w:val="single" w:sz="12" w:space="0" w:color="auto"/>
            </w:tcBorders>
            <w:shd w:val="clear" w:color="auto" w:fill="auto"/>
            <w:vAlign w:val="bottom"/>
          </w:tcPr>
          <w:p w14:paraId="4E22DE7A" w14:textId="146C936D" w:rsidR="00263BCB" w:rsidRPr="00811F84" w:rsidRDefault="00263BCB" w:rsidP="00811F84">
            <w:pPr>
              <w:spacing w:before="80" w:after="80" w:line="220" w:lineRule="exact"/>
              <w:ind w:right="113"/>
              <w:jc w:val="right"/>
              <w:rPr>
                <w:b/>
                <w:sz w:val="18"/>
              </w:rPr>
            </w:pPr>
            <w:r w:rsidRPr="00811F84">
              <w:rPr>
                <w:b/>
                <w:sz w:val="18"/>
              </w:rPr>
              <w:t>8</w:t>
            </w:r>
            <w:r w:rsidR="00811F84">
              <w:rPr>
                <w:b/>
                <w:sz w:val="18"/>
              </w:rPr>
              <w:t xml:space="preserve"> </w:t>
            </w:r>
            <w:r w:rsidRPr="00811F84">
              <w:rPr>
                <w:b/>
                <w:sz w:val="18"/>
              </w:rPr>
              <w:t>000</w:t>
            </w:r>
          </w:p>
        </w:tc>
        <w:tc>
          <w:tcPr>
            <w:tcW w:w="1047" w:type="dxa"/>
            <w:tcBorders>
              <w:top w:val="single" w:sz="4" w:space="0" w:color="auto"/>
              <w:bottom w:val="single" w:sz="12" w:space="0" w:color="auto"/>
            </w:tcBorders>
            <w:shd w:val="clear" w:color="auto" w:fill="auto"/>
            <w:vAlign w:val="bottom"/>
          </w:tcPr>
          <w:p w14:paraId="2ABDDEA4" w14:textId="75DF592A" w:rsidR="00263BCB" w:rsidRPr="00811F84" w:rsidRDefault="00263BCB" w:rsidP="00811F84">
            <w:pPr>
              <w:spacing w:before="80" w:after="80" w:line="220" w:lineRule="exact"/>
              <w:ind w:right="113"/>
              <w:jc w:val="right"/>
              <w:rPr>
                <w:b/>
                <w:sz w:val="18"/>
              </w:rPr>
            </w:pPr>
            <w:r w:rsidRPr="00811F84">
              <w:rPr>
                <w:b/>
                <w:sz w:val="18"/>
              </w:rPr>
              <w:t>7</w:t>
            </w:r>
            <w:r w:rsidR="00811F84">
              <w:rPr>
                <w:b/>
                <w:sz w:val="18"/>
              </w:rPr>
              <w:t xml:space="preserve"> </w:t>
            </w:r>
            <w:r w:rsidRPr="00811F84">
              <w:rPr>
                <w:b/>
                <w:sz w:val="18"/>
              </w:rPr>
              <w:t>871</w:t>
            </w:r>
          </w:p>
        </w:tc>
        <w:tc>
          <w:tcPr>
            <w:tcW w:w="1416" w:type="dxa"/>
            <w:tcBorders>
              <w:top w:val="single" w:sz="4" w:space="0" w:color="auto"/>
              <w:bottom w:val="single" w:sz="12" w:space="0" w:color="auto"/>
            </w:tcBorders>
            <w:shd w:val="clear" w:color="auto" w:fill="auto"/>
            <w:vAlign w:val="bottom"/>
          </w:tcPr>
          <w:p w14:paraId="51130627" w14:textId="5A8D32B6" w:rsidR="00263BCB" w:rsidRPr="00811F84" w:rsidRDefault="00263BCB" w:rsidP="00811F84">
            <w:pPr>
              <w:spacing w:before="80" w:after="80" w:line="220" w:lineRule="exact"/>
              <w:ind w:right="113"/>
              <w:jc w:val="right"/>
              <w:rPr>
                <w:b/>
                <w:sz w:val="18"/>
              </w:rPr>
            </w:pPr>
            <w:r w:rsidRPr="00811F84">
              <w:rPr>
                <w:b/>
                <w:sz w:val="18"/>
              </w:rPr>
              <w:t>3</w:t>
            </w:r>
            <w:r w:rsidR="00811F84">
              <w:rPr>
                <w:b/>
                <w:sz w:val="18"/>
              </w:rPr>
              <w:t xml:space="preserve"> </w:t>
            </w:r>
            <w:r w:rsidRPr="00811F84">
              <w:rPr>
                <w:b/>
                <w:sz w:val="18"/>
              </w:rPr>
              <w:t>776</w:t>
            </w:r>
          </w:p>
        </w:tc>
      </w:tr>
    </w:tbl>
    <w:p w14:paraId="6ED20AE5" w14:textId="77777777" w:rsidR="001031DA" w:rsidRDefault="001031DA">
      <w:pPr>
        <w:spacing w:after="200" w:line="276" w:lineRule="auto"/>
        <w:rPr>
          <w:b/>
        </w:rPr>
      </w:pPr>
      <w:r>
        <w:br w:type="page"/>
      </w:r>
    </w:p>
    <w:p w14:paraId="684A943C" w14:textId="70A115E6" w:rsidR="00263BCB" w:rsidRPr="00A21C4B" w:rsidRDefault="00263BCB" w:rsidP="00263BCB">
      <w:pPr>
        <w:pStyle w:val="H23G"/>
        <w:rPr>
          <w:rStyle w:val="FootnoteReference"/>
        </w:rPr>
      </w:pPr>
      <w:r>
        <w:lastRenderedPageBreak/>
        <w:tab/>
      </w:r>
      <w:r>
        <w:tab/>
      </w:r>
      <w:bookmarkStart w:id="31" w:name="_Toc56781433"/>
      <w:r w:rsidRPr="005D213B">
        <w:t>Number of children separated from their parents as a result of court decisions (</w:t>
      </w:r>
      <w:r w:rsidRPr="005D213B">
        <w:rPr>
          <w:i/>
        </w:rPr>
        <w:t>inter alia,</w:t>
      </w:r>
      <w:r w:rsidRPr="005D213B">
        <w:t xml:space="preserve"> in relation to situations of parental abuse or neglect, detention, imprisonment, labour migration, exile or deportation)</w:t>
      </w:r>
      <w:r w:rsidRPr="001031DA">
        <w:rPr>
          <w:rStyle w:val="FootnoteReference"/>
          <w:b w:val="0"/>
          <w:bCs/>
        </w:rPr>
        <w:footnoteReference w:id="23"/>
      </w:r>
      <w:bookmarkEnd w:id="31"/>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22"/>
        <w:gridCol w:w="1102"/>
        <w:gridCol w:w="1102"/>
        <w:gridCol w:w="1027"/>
        <w:gridCol w:w="1040"/>
        <w:gridCol w:w="1377"/>
      </w:tblGrid>
      <w:tr w:rsidR="00263BCB" w:rsidRPr="00811F84" w14:paraId="05D6F7C7" w14:textId="77777777" w:rsidTr="001031DA">
        <w:trPr>
          <w:tblHeader/>
        </w:trPr>
        <w:tc>
          <w:tcPr>
            <w:tcW w:w="1722" w:type="dxa"/>
            <w:tcBorders>
              <w:top w:val="single" w:sz="4" w:space="0" w:color="auto"/>
              <w:bottom w:val="single" w:sz="12" w:space="0" w:color="auto"/>
            </w:tcBorders>
            <w:shd w:val="clear" w:color="auto" w:fill="auto"/>
            <w:vAlign w:val="bottom"/>
          </w:tcPr>
          <w:p w14:paraId="1025C0CE" w14:textId="77777777" w:rsidR="00263BCB" w:rsidRPr="00811F84" w:rsidRDefault="00263BCB" w:rsidP="00811F84">
            <w:pPr>
              <w:pStyle w:val="SingleTxtG"/>
              <w:spacing w:before="80" w:after="80" w:line="200" w:lineRule="exact"/>
              <w:ind w:left="0" w:right="113"/>
              <w:jc w:val="left"/>
              <w:rPr>
                <w:i/>
                <w:sz w:val="16"/>
              </w:rPr>
            </w:pPr>
          </w:p>
        </w:tc>
        <w:tc>
          <w:tcPr>
            <w:tcW w:w="1102" w:type="dxa"/>
            <w:tcBorders>
              <w:top w:val="single" w:sz="4" w:space="0" w:color="auto"/>
              <w:bottom w:val="single" w:sz="12" w:space="0" w:color="auto"/>
            </w:tcBorders>
            <w:shd w:val="clear" w:color="auto" w:fill="auto"/>
            <w:vAlign w:val="bottom"/>
          </w:tcPr>
          <w:p w14:paraId="13624DBE" w14:textId="77777777" w:rsidR="00263BCB" w:rsidRPr="00811F84" w:rsidRDefault="00263BCB" w:rsidP="00811F84">
            <w:pPr>
              <w:pStyle w:val="SingleTxtG"/>
              <w:spacing w:before="80" w:after="80" w:line="200" w:lineRule="exact"/>
              <w:ind w:left="0" w:right="113"/>
              <w:jc w:val="right"/>
              <w:rPr>
                <w:i/>
                <w:sz w:val="16"/>
              </w:rPr>
            </w:pPr>
            <w:r w:rsidRPr="00811F84">
              <w:rPr>
                <w:i/>
                <w:sz w:val="16"/>
              </w:rPr>
              <w:t>2014</w:t>
            </w:r>
          </w:p>
        </w:tc>
        <w:tc>
          <w:tcPr>
            <w:tcW w:w="1102" w:type="dxa"/>
            <w:tcBorders>
              <w:top w:val="single" w:sz="4" w:space="0" w:color="auto"/>
              <w:bottom w:val="single" w:sz="12" w:space="0" w:color="auto"/>
            </w:tcBorders>
            <w:shd w:val="clear" w:color="auto" w:fill="auto"/>
            <w:vAlign w:val="bottom"/>
          </w:tcPr>
          <w:p w14:paraId="3D4D40A0" w14:textId="77777777" w:rsidR="00263BCB" w:rsidRPr="00811F84" w:rsidRDefault="00263BCB" w:rsidP="00811F84">
            <w:pPr>
              <w:pStyle w:val="SingleTxtG"/>
              <w:spacing w:before="80" w:after="80" w:line="200" w:lineRule="exact"/>
              <w:ind w:left="0" w:right="113"/>
              <w:jc w:val="right"/>
              <w:rPr>
                <w:i/>
                <w:sz w:val="16"/>
              </w:rPr>
            </w:pPr>
            <w:r w:rsidRPr="00811F84">
              <w:rPr>
                <w:i/>
                <w:sz w:val="16"/>
              </w:rPr>
              <w:t>2015</w:t>
            </w:r>
          </w:p>
        </w:tc>
        <w:tc>
          <w:tcPr>
            <w:tcW w:w="1027" w:type="dxa"/>
            <w:tcBorders>
              <w:top w:val="single" w:sz="4" w:space="0" w:color="auto"/>
              <w:bottom w:val="single" w:sz="12" w:space="0" w:color="auto"/>
            </w:tcBorders>
            <w:shd w:val="clear" w:color="auto" w:fill="auto"/>
            <w:vAlign w:val="bottom"/>
          </w:tcPr>
          <w:p w14:paraId="57B5025B" w14:textId="77777777" w:rsidR="00263BCB" w:rsidRPr="00811F84" w:rsidRDefault="00263BCB" w:rsidP="00811F84">
            <w:pPr>
              <w:pStyle w:val="SingleTxtG"/>
              <w:spacing w:before="80" w:after="80" w:line="200" w:lineRule="exact"/>
              <w:ind w:left="0" w:right="113"/>
              <w:jc w:val="right"/>
              <w:rPr>
                <w:i/>
                <w:sz w:val="16"/>
              </w:rPr>
            </w:pPr>
            <w:r w:rsidRPr="00811F84">
              <w:rPr>
                <w:i/>
                <w:sz w:val="16"/>
              </w:rPr>
              <w:t>2016</w:t>
            </w:r>
          </w:p>
        </w:tc>
        <w:tc>
          <w:tcPr>
            <w:tcW w:w="1040" w:type="dxa"/>
            <w:tcBorders>
              <w:top w:val="single" w:sz="4" w:space="0" w:color="auto"/>
              <w:bottom w:val="single" w:sz="12" w:space="0" w:color="auto"/>
            </w:tcBorders>
            <w:shd w:val="clear" w:color="auto" w:fill="auto"/>
            <w:vAlign w:val="bottom"/>
          </w:tcPr>
          <w:p w14:paraId="56283ACB" w14:textId="77777777" w:rsidR="00263BCB" w:rsidRPr="00811F84" w:rsidRDefault="00263BCB" w:rsidP="00811F84">
            <w:pPr>
              <w:pStyle w:val="SingleTxtG"/>
              <w:spacing w:before="80" w:after="80" w:line="200" w:lineRule="exact"/>
              <w:ind w:left="0" w:right="113"/>
              <w:jc w:val="right"/>
              <w:rPr>
                <w:i/>
                <w:sz w:val="16"/>
              </w:rPr>
            </w:pPr>
            <w:r w:rsidRPr="00811F84">
              <w:rPr>
                <w:i/>
                <w:sz w:val="16"/>
              </w:rPr>
              <w:t>2017</w:t>
            </w:r>
          </w:p>
        </w:tc>
        <w:tc>
          <w:tcPr>
            <w:tcW w:w="1377" w:type="dxa"/>
            <w:tcBorders>
              <w:top w:val="single" w:sz="4" w:space="0" w:color="auto"/>
              <w:bottom w:val="single" w:sz="12" w:space="0" w:color="auto"/>
            </w:tcBorders>
            <w:shd w:val="clear" w:color="auto" w:fill="auto"/>
            <w:vAlign w:val="bottom"/>
          </w:tcPr>
          <w:p w14:paraId="60646080" w14:textId="77777777" w:rsidR="00263BCB" w:rsidRPr="00811F84" w:rsidRDefault="00263BCB" w:rsidP="00811F84">
            <w:pPr>
              <w:pStyle w:val="SingleTxtG"/>
              <w:spacing w:before="80" w:after="80" w:line="200" w:lineRule="exact"/>
              <w:ind w:left="0" w:right="113"/>
              <w:jc w:val="right"/>
              <w:rPr>
                <w:i/>
                <w:sz w:val="16"/>
              </w:rPr>
            </w:pPr>
            <w:r w:rsidRPr="00811F84">
              <w:rPr>
                <w:i/>
                <w:sz w:val="16"/>
              </w:rPr>
              <w:t>January–June 2018</w:t>
            </w:r>
          </w:p>
        </w:tc>
      </w:tr>
      <w:tr w:rsidR="00263BCB" w:rsidRPr="00811F84" w14:paraId="27613BB4" w14:textId="77777777" w:rsidTr="001031DA">
        <w:tc>
          <w:tcPr>
            <w:tcW w:w="1722" w:type="dxa"/>
            <w:tcBorders>
              <w:top w:val="single" w:sz="12" w:space="0" w:color="auto"/>
              <w:bottom w:val="nil"/>
            </w:tcBorders>
            <w:shd w:val="clear" w:color="auto" w:fill="auto"/>
          </w:tcPr>
          <w:p w14:paraId="22EC48A3" w14:textId="77777777" w:rsidR="00263BCB" w:rsidRPr="00811F84" w:rsidRDefault="00263BCB" w:rsidP="00811F84">
            <w:pPr>
              <w:pStyle w:val="SingleTxtG"/>
              <w:spacing w:before="40" w:after="40" w:line="220" w:lineRule="exact"/>
              <w:ind w:left="0" w:right="113"/>
              <w:jc w:val="left"/>
              <w:rPr>
                <w:sz w:val="18"/>
              </w:rPr>
            </w:pPr>
            <w:r w:rsidRPr="00811F84">
              <w:rPr>
                <w:sz w:val="18"/>
              </w:rPr>
              <w:t>Procedure instituted to revoke parental right</w:t>
            </w:r>
          </w:p>
        </w:tc>
        <w:tc>
          <w:tcPr>
            <w:tcW w:w="1102" w:type="dxa"/>
            <w:tcBorders>
              <w:top w:val="single" w:sz="12" w:space="0" w:color="auto"/>
              <w:bottom w:val="nil"/>
            </w:tcBorders>
            <w:shd w:val="clear" w:color="auto" w:fill="auto"/>
            <w:vAlign w:val="bottom"/>
          </w:tcPr>
          <w:p w14:paraId="5DAB69A8" w14:textId="77777777" w:rsidR="00263BCB" w:rsidRPr="00811F84" w:rsidRDefault="00263BCB" w:rsidP="00811F84">
            <w:pPr>
              <w:pStyle w:val="SingleTxtG"/>
              <w:spacing w:before="40" w:after="40" w:line="220" w:lineRule="exact"/>
              <w:ind w:left="0" w:right="113"/>
              <w:jc w:val="right"/>
              <w:rPr>
                <w:sz w:val="18"/>
              </w:rPr>
            </w:pPr>
            <w:r w:rsidRPr="00811F84">
              <w:rPr>
                <w:sz w:val="18"/>
              </w:rPr>
              <w:t>0</w:t>
            </w:r>
          </w:p>
        </w:tc>
        <w:tc>
          <w:tcPr>
            <w:tcW w:w="1102" w:type="dxa"/>
            <w:tcBorders>
              <w:top w:val="single" w:sz="12" w:space="0" w:color="auto"/>
              <w:bottom w:val="nil"/>
            </w:tcBorders>
            <w:shd w:val="clear" w:color="auto" w:fill="auto"/>
            <w:vAlign w:val="bottom"/>
          </w:tcPr>
          <w:p w14:paraId="14014712" w14:textId="77777777" w:rsidR="00263BCB" w:rsidRPr="00811F84" w:rsidRDefault="00263BCB" w:rsidP="00811F84">
            <w:pPr>
              <w:pStyle w:val="SingleTxtG"/>
              <w:spacing w:before="40" w:after="40" w:line="220" w:lineRule="exact"/>
              <w:ind w:left="0" w:right="113"/>
              <w:jc w:val="right"/>
              <w:rPr>
                <w:sz w:val="18"/>
              </w:rPr>
            </w:pPr>
            <w:r w:rsidRPr="00811F84">
              <w:rPr>
                <w:sz w:val="18"/>
              </w:rPr>
              <w:t>10</w:t>
            </w:r>
          </w:p>
        </w:tc>
        <w:tc>
          <w:tcPr>
            <w:tcW w:w="1027" w:type="dxa"/>
            <w:tcBorders>
              <w:top w:val="single" w:sz="12" w:space="0" w:color="auto"/>
              <w:bottom w:val="nil"/>
            </w:tcBorders>
            <w:shd w:val="clear" w:color="auto" w:fill="auto"/>
            <w:vAlign w:val="bottom"/>
          </w:tcPr>
          <w:p w14:paraId="10104CBE" w14:textId="77777777" w:rsidR="00263BCB" w:rsidRPr="00811F84" w:rsidRDefault="00263BCB" w:rsidP="00811F84">
            <w:pPr>
              <w:pStyle w:val="SingleTxtG"/>
              <w:spacing w:before="40" w:after="40" w:line="220" w:lineRule="exact"/>
              <w:ind w:left="0" w:right="113"/>
              <w:jc w:val="right"/>
              <w:rPr>
                <w:sz w:val="18"/>
              </w:rPr>
            </w:pPr>
            <w:r w:rsidRPr="00811F84">
              <w:rPr>
                <w:sz w:val="18"/>
              </w:rPr>
              <w:t>4</w:t>
            </w:r>
          </w:p>
        </w:tc>
        <w:tc>
          <w:tcPr>
            <w:tcW w:w="1040" w:type="dxa"/>
            <w:tcBorders>
              <w:top w:val="single" w:sz="12" w:space="0" w:color="auto"/>
              <w:bottom w:val="nil"/>
            </w:tcBorders>
            <w:shd w:val="clear" w:color="auto" w:fill="auto"/>
            <w:vAlign w:val="bottom"/>
          </w:tcPr>
          <w:p w14:paraId="5C5CC846" w14:textId="77777777" w:rsidR="00263BCB" w:rsidRPr="00811F84" w:rsidRDefault="00263BCB" w:rsidP="00811F84">
            <w:pPr>
              <w:pStyle w:val="SingleTxtG"/>
              <w:spacing w:before="40" w:after="40" w:line="220" w:lineRule="exact"/>
              <w:ind w:left="0" w:right="113"/>
              <w:jc w:val="right"/>
              <w:rPr>
                <w:sz w:val="18"/>
              </w:rPr>
            </w:pPr>
            <w:r w:rsidRPr="00811F84">
              <w:rPr>
                <w:sz w:val="18"/>
              </w:rPr>
              <w:t>1</w:t>
            </w:r>
          </w:p>
        </w:tc>
        <w:tc>
          <w:tcPr>
            <w:tcW w:w="1377" w:type="dxa"/>
            <w:tcBorders>
              <w:top w:val="single" w:sz="12" w:space="0" w:color="auto"/>
              <w:bottom w:val="nil"/>
            </w:tcBorders>
            <w:shd w:val="clear" w:color="auto" w:fill="auto"/>
            <w:vAlign w:val="bottom"/>
          </w:tcPr>
          <w:p w14:paraId="6E7C088F" w14:textId="77777777" w:rsidR="00263BCB" w:rsidRPr="00811F84" w:rsidRDefault="00263BCB" w:rsidP="00811F84">
            <w:pPr>
              <w:pStyle w:val="SingleTxtG"/>
              <w:spacing w:before="40" w:after="40" w:line="220" w:lineRule="exact"/>
              <w:ind w:left="0" w:right="113"/>
              <w:jc w:val="right"/>
              <w:rPr>
                <w:sz w:val="18"/>
              </w:rPr>
            </w:pPr>
            <w:r w:rsidRPr="00811F84">
              <w:rPr>
                <w:sz w:val="18"/>
              </w:rPr>
              <w:t>0</w:t>
            </w:r>
          </w:p>
        </w:tc>
      </w:tr>
      <w:tr w:rsidR="00263BCB" w:rsidRPr="00811F84" w14:paraId="668E5635" w14:textId="77777777" w:rsidTr="001031DA">
        <w:tc>
          <w:tcPr>
            <w:tcW w:w="1722" w:type="dxa"/>
            <w:tcBorders>
              <w:top w:val="nil"/>
            </w:tcBorders>
            <w:shd w:val="clear" w:color="auto" w:fill="auto"/>
          </w:tcPr>
          <w:p w14:paraId="583C35A4" w14:textId="77777777" w:rsidR="00263BCB" w:rsidRPr="00811F84" w:rsidRDefault="00263BCB" w:rsidP="00811F84">
            <w:pPr>
              <w:pStyle w:val="SingleTxtG"/>
              <w:spacing w:before="40" w:after="40" w:line="220" w:lineRule="exact"/>
              <w:ind w:left="0" w:right="113"/>
              <w:jc w:val="left"/>
              <w:rPr>
                <w:sz w:val="18"/>
              </w:rPr>
            </w:pPr>
            <w:r w:rsidRPr="00811F84">
              <w:rPr>
                <w:sz w:val="18"/>
              </w:rPr>
              <w:t>Procedure instituted to reinstate parental right</w:t>
            </w:r>
          </w:p>
        </w:tc>
        <w:tc>
          <w:tcPr>
            <w:tcW w:w="1102" w:type="dxa"/>
            <w:tcBorders>
              <w:top w:val="nil"/>
            </w:tcBorders>
            <w:shd w:val="clear" w:color="auto" w:fill="auto"/>
            <w:vAlign w:val="bottom"/>
          </w:tcPr>
          <w:p w14:paraId="18E2B8D6" w14:textId="77777777" w:rsidR="00263BCB" w:rsidRPr="00811F84" w:rsidRDefault="00263BCB" w:rsidP="00811F84">
            <w:pPr>
              <w:pStyle w:val="SingleTxtG"/>
              <w:spacing w:before="40" w:after="40" w:line="220" w:lineRule="exact"/>
              <w:ind w:left="0" w:right="113"/>
              <w:jc w:val="right"/>
              <w:rPr>
                <w:sz w:val="18"/>
              </w:rPr>
            </w:pPr>
            <w:r w:rsidRPr="00811F84">
              <w:rPr>
                <w:sz w:val="18"/>
              </w:rPr>
              <w:t>0</w:t>
            </w:r>
          </w:p>
        </w:tc>
        <w:tc>
          <w:tcPr>
            <w:tcW w:w="1102" w:type="dxa"/>
            <w:tcBorders>
              <w:top w:val="nil"/>
            </w:tcBorders>
            <w:shd w:val="clear" w:color="auto" w:fill="auto"/>
            <w:vAlign w:val="bottom"/>
          </w:tcPr>
          <w:p w14:paraId="4CD99E91" w14:textId="77777777" w:rsidR="00263BCB" w:rsidRPr="00811F84" w:rsidRDefault="00263BCB" w:rsidP="00811F84">
            <w:pPr>
              <w:pStyle w:val="SingleTxtG"/>
              <w:spacing w:before="40" w:after="40" w:line="220" w:lineRule="exact"/>
              <w:ind w:left="0" w:right="113"/>
              <w:jc w:val="right"/>
              <w:rPr>
                <w:sz w:val="18"/>
              </w:rPr>
            </w:pPr>
            <w:r w:rsidRPr="00811F84">
              <w:rPr>
                <w:sz w:val="18"/>
              </w:rPr>
              <w:t>2</w:t>
            </w:r>
          </w:p>
        </w:tc>
        <w:tc>
          <w:tcPr>
            <w:tcW w:w="1027" w:type="dxa"/>
            <w:tcBorders>
              <w:top w:val="nil"/>
            </w:tcBorders>
            <w:shd w:val="clear" w:color="auto" w:fill="auto"/>
            <w:vAlign w:val="bottom"/>
          </w:tcPr>
          <w:p w14:paraId="53A4FCB0" w14:textId="77777777" w:rsidR="00263BCB" w:rsidRPr="00811F84" w:rsidRDefault="00263BCB" w:rsidP="00811F84">
            <w:pPr>
              <w:pStyle w:val="SingleTxtG"/>
              <w:spacing w:before="40" w:after="40" w:line="220" w:lineRule="exact"/>
              <w:ind w:left="0" w:right="113"/>
              <w:jc w:val="right"/>
              <w:rPr>
                <w:sz w:val="18"/>
              </w:rPr>
            </w:pPr>
            <w:r w:rsidRPr="00811F84">
              <w:rPr>
                <w:sz w:val="18"/>
              </w:rPr>
              <w:t>0</w:t>
            </w:r>
          </w:p>
        </w:tc>
        <w:tc>
          <w:tcPr>
            <w:tcW w:w="1040" w:type="dxa"/>
            <w:tcBorders>
              <w:top w:val="nil"/>
            </w:tcBorders>
            <w:shd w:val="clear" w:color="auto" w:fill="auto"/>
            <w:vAlign w:val="bottom"/>
          </w:tcPr>
          <w:p w14:paraId="7B7EC7DF" w14:textId="77777777" w:rsidR="00263BCB" w:rsidRPr="00811F84" w:rsidRDefault="00263BCB" w:rsidP="00811F84">
            <w:pPr>
              <w:pStyle w:val="SingleTxtG"/>
              <w:spacing w:before="40" w:after="40" w:line="220" w:lineRule="exact"/>
              <w:ind w:left="0" w:right="113"/>
              <w:jc w:val="right"/>
              <w:rPr>
                <w:sz w:val="18"/>
              </w:rPr>
            </w:pPr>
            <w:r w:rsidRPr="00811F84">
              <w:rPr>
                <w:sz w:val="18"/>
              </w:rPr>
              <w:t>0</w:t>
            </w:r>
          </w:p>
        </w:tc>
        <w:tc>
          <w:tcPr>
            <w:tcW w:w="1377" w:type="dxa"/>
            <w:tcBorders>
              <w:top w:val="nil"/>
            </w:tcBorders>
            <w:shd w:val="clear" w:color="auto" w:fill="auto"/>
            <w:vAlign w:val="bottom"/>
          </w:tcPr>
          <w:p w14:paraId="49C6B158" w14:textId="77777777" w:rsidR="00263BCB" w:rsidRPr="00811F84" w:rsidRDefault="00263BCB" w:rsidP="00811F84">
            <w:pPr>
              <w:pStyle w:val="SingleTxtG"/>
              <w:spacing w:before="40" w:after="40" w:line="220" w:lineRule="exact"/>
              <w:ind w:left="0" w:right="113"/>
              <w:jc w:val="right"/>
              <w:rPr>
                <w:sz w:val="18"/>
              </w:rPr>
            </w:pPr>
            <w:r w:rsidRPr="00811F84">
              <w:rPr>
                <w:sz w:val="18"/>
              </w:rPr>
              <w:t>0</w:t>
            </w:r>
          </w:p>
        </w:tc>
      </w:tr>
    </w:tbl>
    <w:p w14:paraId="7D8E15E7" w14:textId="0C0B36BB" w:rsidR="00263BCB" w:rsidRPr="005D213B" w:rsidRDefault="00570685" w:rsidP="00570685">
      <w:pPr>
        <w:pStyle w:val="ParaNoG"/>
        <w:numPr>
          <w:ilvl w:val="0"/>
          <w:numId w:val="0"/>
        </w:numPr>
        <w:tabs>
          <w:tab w:val="left" w:pos="0"/>
        </w:tabs>
        <w:spacing w:before="240"/>
        <w:ind w:left="1134"/>
      </w:pPr>
      <w:r w:rsidRPr="005D213B">
        <w:t>87.</w:t>
      </w:r>
      <w:r w:rsidRPr="005D213B">
        <w:tab/>
      </w:r>
      <w:r w:rsidR="00263BCB" w:rsidRPr="005D213B">
        <w:t>Statistically, by regions and availability of places at care institutions, in the Pelagonija Region there is one institution, the Bitola Home for Infants and Toddlers, with a capacity of 100 children and 25 mothers. Under the Law on Social Protection, the institution for placement of infants and children without parents or parental care up to three years of age provides accommodation (housing, food, clothing and care) and health protection to the children. It can provide temporary accommodation and stay to a single unemployed pregnant woman one month before delivery and to a single parent until the child is three months old.</w:t>
      </w:r>
      <w:r w:rsidR="00A21C4B">
        <w:t xml:space="preserve"> </w:t>
      </w:r>
      <w:r w:rsidR="00263BCB" w:rsidRPr="005D213B">
        <w:t>The institution employs a total of 52 persons on a permanent basis.</w:t>
      </w:r>
    </w:p>
    <w:p w14:paraId="4EEB3946" w14:textId="1EE681B8" w:rsidR="00263BCB" w:rsidRPr="005D213B" w:rsidRDefault="00570685" w:rsidP="00570685">
      <w:pPr>
        <w:pStyle w:val="ParaNoG"/>
        <w:numPr>
          <w:ilvl w:val="0"/>
          <w:numId w:val="0"/>
        </w:numPr>
        <w:tabs>
          <w:tab w:val="left" w:pos="0"/>
        </w:tabs>
        <w:ind w:left="1134"/>
      </w:pPr>
      <w:r w:rsidRPr="005D213B">
        <w:t>88.</w:t>
      </w:r>
      <w:r w:rsidRPr="005D213B">
        <w:tab/>
      </w:r>
      <w:r w:rsidR="00263BCB" w:rsidRPr="005D213B">
        <w:t>In the Skopje Region, there is one institution, the 11 October Children</w:t>
      </w:r>
      <w:r w:rsidR="00A21C4B">
        <w:t>’</w:t>
      </w:r>
      <w:r w:rsidR="00263BCB" w:rsidRPr="005D213B">
        <w:t>s Home, which has a capacity of 100 children. Under the Law on Social Protection, the institution accommodates children without parents or parental care over three years of age and provides them with accommodation (housing, food, clothing, care) and education until they are prepared for independent life and work (up to six months after completing secondary education). The institution is obliged to ensure that children and youths receive primary and secondary education in a relevant institution, to organise different forms of work and life and to take due care for their health. The institution employs a total of 42 persons on a permanent basis.</w:t>
      </w:r>
    </w:p>
    <w:p w14:paraId="31012419" w14:textId="77777777" w:rsidR="00263BCB" w:rsidRPr="005D213B" w:rsidRDefault="00263BCB" w:rsidP="00263BCB">
      <w:pPr>
        <w:pStyle w:val="H23G"/>
      </w:pPr>
      <w:r>
        <w:tab/>
      </w:r>
      <w:bookmarkStart w:id="32" w:name="_Toc56781434"/>
      <w:r>
        <w:t>(</w:t>
      </w:r>
      <w:r w:rsidRPr="005D213B">
        <w:t>d)</w:t>
      </w:r>
      <w:r>
        <w:tab/>
      </w:r>
      <w:r w:rsidRPr="005D213B">
        <w:t>Family reunification (Article 10)</w:t>
      </w:r>
      <w:bookmarkEnd w:id="32"/>
    </w:p>
    <w:p w14:paraId="13D29B9E" w14:textId="4D6460E8" w:rsidR="00263BCB" w:rsidRPr="005D213B" w:rsidRDefault="00570685" w:rsidP="00570685">
      <w:pPr>
        <w:pStyle w:val="ParaNoG"/>
        <w:numPr>
          <w:ilvl w:val="0"/>
          <w:numId w:val="0"/>
        </w:numPr>
        <w:tabs>
          <w:tab w:val="left" w:pos="0"/>
        </w:tabs>
        <w:ind w:left="1134"/>
      </w:pPr>
      <w:r w:rsidRPr="005D213B">
        <w:t>89.</w:t>
      </w:r>
      <w:r w:rsidRPr="005D213B">
        <w:tab/>
      </w:r>
      <w:r w:rsidR="00263BCB" w:rsidRPr="005D213B">
        <w:t>Since 2014, four family reunification procedures have been carried out, including for two girls from Afghanistan and one from Syria, one boy from Iraq and one from Syria.</w:t>
      </w:r>
    </w:p>
    <w:p w14:paraId="11A8A949" w14:textId="0707B2D6" w:rsidR="00263BCB" w:rsidRPr="005434D5" w:rsidRDefault="00570685" w:rsidP="00570685">
      <w:pPr>
        <w:pStyle w:val="ParaNoG"/>
        <w:numPr>
          <w:ilvl w:val="0"/>
          <w:numId w:val="0"/>
        </w:numPr>
        <w:tabs>
          <w:tab w:val="left" w:pos="0"/>
        </w:tabs>
        <w:ind w:left="1134"/>
      </w:pPr>
      <w:r w:rsidRPr="005434D5">
        <w:t>90.</w:t>
      </w:r>
      <w:r w:rsidRPr="005434D5">
        <w:tab/>
      </w:r>
      <w:r w:rsidR="00263BCB" w:rsidRPr="005D213B">
        <w:t xml:space="preserve">Concerning children reunited with their families after their placement, 5 children at the Bitola Home for Infants and Toddlers were reunited with their biological parents in 2016, 9 children in 2017 and 3 children as of September 2018. </w:t>
      </w:r>
    </w:p>
    <w:p w14:paraId="0E73016E" w14:textId="77777777" w:rsidR="00263BCB" w:rsidRPr="005D213B" w:rsidRDefault="00263BCB" w:rsidP="00263BCB">
      <w:pPr>
        <w:pStyle w:val="H23G"/>
      </w:pPr>
      <w:r>
        <w:tab/>
      </w:r>
      <w:bookmarkStart w:id="33" w:name="_Toc56781435"/>
      <w:r>
        <w:t>(e)</w:t>
      </w:r>
      <w:r>
        <w:tab/>
      </w:r>
      <w:r w:rsidRPr="005D213B">
        <w:t>Securing maintenance for the child (Article 27, paragraph 4)</w:t>
      </w:r>
      <w:bookmarkEnd w:id="33"/>
    </w:p>
    <w:p w14:paraId="6D0A9D5E" w14:textId="3233C48A" w:rsidR="00263BCB" w:rsidRPr="005D213B" w:rsidRDefault="00570685" w:rsidP="00570685">
      <w:pPr>
        <w:pStyle w:val="ParaNoG"/>
        <w:numPr>
          <w:ilvl w:val="0"/>
          <w:numId w:val="0"/>
        </w:numPr>
        <w:tabs>
          <w:tab w:val="left" w:pos="0"/>
        </w:tabs>
        <w:ind w:left="1134"/>
      </w:pPr>
      <w:r w:rsidRPr="005D213B">
        <w:t>91.</w:t>
      </w:r>
      <w:r w:rsidRPr="005D213B">
        <w:tab/>
      </w:r>
      <w:r w:rsidR="00263BCB" w:rsidRPr="005D213B">
        <w:t>The state has not established a child maintenance fund. The right to maintenance is exercised in regular court proceedings covered by the parents.</w:t>
      </w:r>
    </w:p>
    <w:p w14:paraId="4B441922" w14:textId="77777777" w:rsidR="00263BCB" w:rsidRPr="005D213B" w:rsidRDefault="00263BCB" w:rsidP="00263BCB">
      <w:pPr>
        <w:pStyle w:val="H23G"/>
      </w:pPr>
      <w:r>
        <w:tab/>
      </w:r>
      <w:bookmarkStart w:id="34" w:name="_Toc56781436"/>
      <w:r>
        <w:t>(f)</w:t>
      </w:r>
      <w:r>
        <w:tab/>
      </w:r>
      <w:r w:rsidRPr="005D213B">
        <w:t>Children deprived of family environment (Article 20)</w:t>
      </w:r>
      <w:bookmarkEnd w:id="34"/>
    </w:p>
    <w:p w14:paraId="0E84FC1B" w14:textId="480CE82C" w:rsidR="00263BCB" w:rsidRPr="005D213B" w:rsidRDefault="00570685" w:rsidP="00570685">
      <w:pPr>
        <w:pStyle w:val="ParaNoG"/>
        <w:numPr>
          <w:ilvl w:val="0"/>
          <w:numId w:val="0"/>
        </w:numPr>
        <w:tabs>
          <w:tab w:val="left" w:pos="0"/>
        </w:tabs>
        <w:ind w:left="1134"/>
      </w:pPr>
      <w:r w:rsidRPr="005D213B">
        <w:t>92.</w:t>
      </w:r>
      <w:r w:rsidRPr="005D213B">
        <w:tab/>
      </w:r>
      <w:r w:rsidR="00263BCB" w:rsidRPr="005D213B">
        <w:t xml:space="preserve">In the social protection system, the protection of children without parental care is provided through several forms: placement of children with a close relative (guardianship), adoption, placement with a foster family and placement at an institution. </w:t>
      </w:r>
    </w:p>
    <w:p w14:paraId="1EC8479D" w14:textId="626B4397" w:rsidR="00263BCB" w:rsidRPr="005D213B" w:rsidRDefault="00570685" w:rsidP="00570685">
      <w:pPr>
        <w:pStyle w:val="ParaNoG"/>
        <w:numPr>
          <w:ilvl w:val="0"/>
          <w:numId w:val="0"/>
        </w:numPr>
        <w:tabs>
          <w:tab w:val="left" w:pos="0"/>
        </w:tabs>
        <w:ind w:left="1134"/>
      </w:pPr>
      <w:r w:rsidRPr="005D213B">
        <w:t>93.</w:t>
      </w:r>
      <w:r w:rsidRPr="005D213B">
        <w:tab/>
      </w:r>
      <w:r w:rsidR="00263BCB" w:rsidRPr="005D213B">
        <w:t>In the past several years, intensive work has been carried out on developing the form of placement in a foster family as a non-institutional form of protection. 172 foster families have been registered, accommodating 341 beneficiaries, 302 of whom are children up to 18 years of age. A campaign is being conducted to mobilise new foster families and raise public awareness.</w:t>
      </w:r>
    </w:p>
    <w:p w14:paraId="04702788" w14:textId="2E67E28F" w:rsidR="00263BCB" w:rsidRPr="005D213B" w:rsidRDefault="00570685" w:rsidP="00570685">
      <w:pPr>
        <w:pStyle w:val="ParaNoG"/>
        <w:numPr>
          <w:ilvl w:val="0"/>
          <w:numId w:val="0"/>
        </w:numPr>
        <w:tabs>
          <w:tab w:val="left" w:pos="0"/>
        </w:tabs>
        <w:ind w:left="1134"/>
      </w:pPr>
      <w:r w:rsidRPr="005D213B">
        <w:lastRenderedPageBreak/>
        <w:t>94.</w:t>
      </w:r>
      <w:r w:rsidRPr="005D213B">
        <w:tab/>
      </w:r>
      <w:r w:rsidR="00263BCB" w:rsidRPr="005D213B">
        <w:t xml:space="preserve">The type and number of beneficiaries placed in a foster family depends on the individual needs of the beneficiaries, their age and care needs, the conditions and opportunities for care at the foster family, but up to: </w:t>
      </w:r>
    </w:p>
    <w:p w14:paraId="5DA9498C" w14:textId="6B190DA0"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r>
      <w:r>
        <w:t>F</w:t>
      </w:r>
      <w:r w:rsidRPr="005D213B">
        <w:t xml:space="preserve">ive children without parents or parental care; </w:t>
      </w:r>
    </w:p>
    <w:p w14:paraId="42776217" w14:textId="47322DEF"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r>
      <w:r>
        <w:t>O</w:t>
      </w:r>
      <w:r w:rsidRPr="005D213B">
        <w:t xml:space="preserve">ne child with educational and social problems (neglected, abused or socially disadvantaged children) or child victims of domestic violence; </w:t>
      </w:r>
    </w:p>
    <w:p w14:paraId="78FAEB36" w14:textId="680FF4E0"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r>
      <w:r>
        <w:t>O</w:t>
      </w:r>
      <w:r w:rsidRPr="005D213B">
        <w:t>ne child perpetra</w:t>
      </w:r>
      <w:r>
        <w:t>tor of a crime or misdemeanour.</w:t>
      </w:r>
    </w:p>
    <w:p w14:paraId="4D1E752C" w14:textId="0C337DA5" w:rsidR="00263BCB" w:rsidRPr="005D213B" w:rsidRDefault="00570685" w:rsidP="00570685">
      <w:pPr>
        <w:pStyle w:val="ParaNoG"/>
        <w:numPr>
          <w:ilvl w:val="0"/>
          <w:numId w:val="0"/>
        </w:numPr>
        <w:tabs>
          <w:tab w:val="left" w:pos="0"/>
        </w:tabs>
        <w:ind w:left="1134"/>
      </w:pPr>
      <w:r w:rsidRPr="005D213B">
        <w:t>95.</w:t>
      </w:r>
      <w:r w:rsidRPr="005D213B">
        <w:tab/>
      </w:r>
      <w:r w:rsidR="00263BCB" w:rsidRPr="005D213B">
        <w:t>According to the available statistics, in the country there are children aged 0</w:t>
      </w:r>
      <w:r w:rsidR="00C0093C">
        <w:t>–</w:t>
      </w:r>
      <w:r w:rsidR="00263BCB" w:rsidRPr="005D213B">
        <w:t>18 placed in institutions, including:</w:t>
      </w:r>
    </w:p>
    <w:p w14:paraId="2481EAE2" w14:textId="71C29D5C"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65 children aged 0</w:t>
      </w:r>
      <w:r w:rsidR="00C0093C">
        <w:t>–</w:t>
      </w:r>
      <w:r w:rsidRPr="005D213B">
        <w:t>3 at the Institution for Placement of Infants and Toddlers without Parents or Parental Care up to Three Years of Age in Bitola;</w:t>
      </w:r>
    </w:p>
    <w:p w14:paraId="271CA809" w14:textId="53C9B23C"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38 children aged 3</w:t>
      </w:r>
      <w:r w:rsidR="00C0093C">
        <w:t>–</w:t>
      </w:r>
      <w:r w:rsidRPr="005D213B">
        <w:t>18 at the 11 October institution for placement of children without parents or parental care over three years of age and youths in Skopje;</w:t>
      </w:r>
    </w:p>
    <w:p w14:paraId="11672322" w14:textId="68B36677"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25 children at the 25 May institution for placement of children and youths with educational and social problems in Skopje;</w:t>
      </w:r>
    </w:p>
    <w:p w14:paraId="3CBB9C3B" w14:textId="3E9B5908"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15 children at the Ranka Milanovikj institution for placement of children and youths with disrupted conduct in Skopje;</w:t>
      </w:r>
    </w:p>
    <w:p w14:paraId="046544DA" w14:textId="586BE775"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11 children with disabilities at the Demir Kapija Special Institute for placement of children and youths with moderate and severe mental developmental disabilities;</w:t>
      </w:r>
    </w:p>
    <w:p w14:paraId="3C0F0243" w14:textId="6301D597"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15 children with physical disabilities at the institution for placement of children and youths with physical developmental disabilities at Spa Bansko; and</w:t>
      </w:r>
    </w:p>
    <w:p w14:paraId="26D69E7B" w14:textId="681E0710"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35 children with disabilities at the Topaansko Pole institution for placement of persons with mental developmental disabilities in Skopje.</w:t>
      </w:r>
    </w:p>
    <w:p w14:paraId="128A9BDE" w14:textId="4CF5C92C" w:rsidR="00263BCB" w:rsidRPr="005D213B" w:rsidRDefault="00570685" w:rsidP="00570685">
      <w:pPr>
        <w:pStyle w:val="ParaNoG"/>
        <w:numPr>
          <w:ilvl w:val="0"/>
          <w:numId w:val="0"/>
        </w:numPr>
        <w:tabs>
          <w:tab w:val="left" w:pos="0"/>
        </w:tabs>
        <w:ind w:left="1134"/>
      </w:pPr>
      <w:r w:rsidRPr="005D213B">
        <w:t>96.</w:t>
      </w:r>
      <w:r w:rsidRPr="005D213B">
        <w:tab/>
      </w:r>
      <w:r w:rsidR="00263BCB" w:rsidRPr="005D213B">
        <w:t>At the same time, an intensive process of deinstitutionalisation is being conducted, i.e. of transforming child placement institutions into local community services. The Government is committed that there be no children aged 0</w:t>
      </w:r>
      <w:r w:rsidR="00C0093C">
        <w:t>–</w:t>
      </w:r>
      <w:r w:rsidR="00263BCB" w:rsidRPr="005D213B">
        <w:t xml:space="preserve">3 placed in institutions by 2020. The transformation of the Institute for Children with Educational and Social Problems started in 2018. The goal is to transfer all children placed in this institution to small group homes, in a family environment and with more intensive support, by the end of July 2018. Transformation plans are also being prepared for the other child placement institutions in the state. </w:t>
      </w:r>
    </w:p>
    <w:p w14:paraId="6A8A5C8D" w14:textId="3C02A80D" w:rsidR="00263BCB" w:rsidRPr="005D213B" w:rsidRDefault="00570685" w:rsidP="00570685">
      <w:pPr>
        <w:pStyle w:val="ParaNoG"/>
        <w:numPr>
          <w:ilvl w:val="0"/>
          <w:numId w:val="0"/>
        </w:numPr>
        <w:tabs>
          <w:tab w:val="left" w:pos="0"/>
        </w:tabs>
        <w:ind w:left="1134"/>
      </w:pPr>
      <w:r w:rsidRPr="005D213B">
        <w:t>97.</w:t>
      </w:r>
      <w:r w:rsidRPr="005D213B">
        <w:tab/>
      </w:r>
      <w:r w:rsidR="00263BCB" w:rsidRPr="005D213B">
        <w:t xml:space="preserve">The relocation of the children from the Demir Kapija Special Institute for Persons with Mental Disabilities to small group homes and their full inclusion </w:t>
      </w:r>
      <w:r w:rsidR="00263BCB">
        <w:t>in the community is in progress</w:t>
      </w:r>
    </w:p>
    <w:p w14:paraId="590D834F" w14:textId="72838E9A" w:rsidR="00263BCB" w:rsidRPr="005D213B" w:rsidRDefault="00570685" w:rsidP="00570685">
      <w:pPr>
        <w:pStyle w:val="ParaNoG"/>
        <w:numPr>
          <w:ilvl w:val="0"/>
          <w:numId w:val="0"/>
        </w:numPr>
        <w:tabs>
          <w:tab w:val="left" w:pos="0"/>
        </w:tabs>
        <w:ind w:left="1134"/>
      </w:pPr>
      <w:r w:rsidRPr="005D213B">
        <w:t>98.</w:t>
      </w:r>
      <w:r w:rsidRPr="005D213B">
        <w:tab/>
      </w:r>
      <w:r w:rsidR="00263BCB" w:rsidRPr="005D213B">
        <w:t>Furthermore, the MLSP has imposed a ban on placing children/persons with disabilities at the existent residential institutions.</w:t>
      </w:r>
    </w:p>
    <w:p w14:paraId="767351BA" w14:textId="77777777" w:rsidR="00263BCB" w:rsidRPr="007B59BE" w:rsidRDefault="00263BCB" w:rsidP="00263BCB">
      <w:pPr>
        <w:pStyle w:val="H23G"/>
      </w:pPr>
      <w:r w:rsidRPr="007B59BE">
        <w:tab/>
      </w:r>
      <w:bookmarkStart w:id="35" w:name="_Toc56781437"/>
      <w:r w:rsidRPr="007B59BE">
        <w:t>(g)</w:t>
      </w:r>
      <w:r w:rsidRPr="007B59BE">
        <w:tab/>
        <w:t>Periodic placement review (Article 25)</w:t>
      </w:r>
      <w:bookmarkEnd w:id="35"/>
    </w:p>
    <w:p w14:paraId="41133937" w14:textId="74DD8D53" w:rsidR="00263BCB" w:rsidRPr="005D213B" w:rsidRDefault="00570685" w:rsidP="00570685">
      <w:pPr>
        <w:pStyle w:val="ParaNoG"/>
        <w:numPr>
          <w:ilvl w:val="0"/>
          <w:numId w:val="0"/>
        </w:numPr>
        <w:tabs>
          <w:tab w:val="left" w:pos="0"/>
        </w:tabs>
        <w:ind w:left="1134"/>
      </w:pPr>
      <w:r w:rsidRPr="005D213B">
        <w:t>99.</w:t>
      </w:r>
      <w:r w:rsidRPr="005D213B">
        <w:tab/>
      </w:r>
      <w:r w:rsidR="00263BCB" w:rsidRPr="005D213B">
        <w:t>The placement of children with foster families and institutions is conducted by the competent guardianship body, i.e. the social work centre. The placed children are monitored by the professional teams from the social work centres, who, in cooperation with the professionals at the institution, prepare individual plans for each child and follow the development and needs of the child.</w:t>
      </w:r>
    </w:p>
    <w:p w14:paraId="1986DB82" w14:textId="56EA481E" w:rsidR="00263BCB" w:rsidRPr="005D213B" w:rsidRDefault="00570685" w:rsidP="00570685">
      <w:pPr>
        <w:pStyle w:val="ParaNoG"/>
        <w:numPr>
          <w:ilvl w:val="0"/>
          <w:numId w:val="0"/>
        </w:numPr>
        <w:tabs>
          <w:tab w:val="left" w:pos="0"/>
        </w:tabs>
        <w:ind w:left="1134"/>
      </w:pPr>
      <w:r w:rsidRPr="005D213B">
        <w:t>100.</w:t>
      </w:r>
      <w:r w:rsidRPr="005D213B">
        <w:tab/>
      </w:r>
      <w:r w:rsidR="00263BCB" w:rsidRPr="005D213B">
        <w:t xml:space="preserve">For children placed with foster families, the professional teams prepare individual plans for work with the children and take due care for their implementation through periodic visits to the homes of the foster families. At the same time, the professional teams also offer support to the foster families in the provision of foster care. </w:t>
      </w:r>
    </w:p>
    <w:p w14:paraId="659FCC9C" w14:textId="77777777" w:rsidR="00263BCB" w:rsidRPr="00A21C4B" w:rsidRDefault="00263BCB" w:rsidP="00263BCB">
      <w:pPr>
        <w:pStyle w:val="H23G"/>
        <w:rPr>
          <w:rStyle w:val="FootnoteReference"/>
        </w:rPr>
      </w:pPr>
      <w:r>
        <w:lastRenderedPageBreak/>
        <w:tab/>
      </w:r>
      <w:r>
        <w:tab/>
      </w:r>
      <w:bookmarkStart w:id="36" w:name="_Toc56781438"/>
      <w:r w:rsidRPr="00423822">
        <w:t>Number and percentage of children separated from their parents who are living in institutions or with foster families as well as the duration of placement and frequency of its review</w:t>
      </w:r>
      <w:r w:rsidRPr="00423822">
        <w:rPr>
          <w:rStyle w:val="FootnoteReference"/>
          <w:b w:val="0"/>
          <w:bCs/>
        </w:rPr>
        <w:footnoteReference w:id="24"/>
      </w:r>
      <w:bookmarkEnd w:id="36"/>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91"/>
        <w:gridCol w:w="1273"/>
        <w:gridCol w:w="1909"/>
        <w:gridCol w:w="1274"/>
        <w:gridCol w:w="892"/>
        <w:gridCol w:w="1274"/>
        <w:gridCol w:w="892"/>
      </w:tblGrid>
      <w:tr w:rsidR="00037E83" w:rsidRPr="000C07C3" w14:paraId="443A9EB1" w14:textId="77777777" w:rsidTr="00037E83">
        <w:trPr>
          <w:tblHeader/>
        </w:trPr>
        <w:tc>
          <w:tcPr>
            <w:tcW w:w="1101" w:type="dxa"/>
            <w:tcBorders>
              <w:top w:val="single" w:sz="4" w:space="0" w:color="auto"/>
              <w:bottom w:val="single" w:sz="12" w:space="0" w:color="auto"/>
            </w:tcBorders>
            <w:shd w:val="clear" w:color="auto" w:fill="auto"/>
            <w:tcMar>
              <w:left w:w="0" w:type="dxa"/>
              <w:right w:w="0" w:type="dxa"/>
            </w:tcMar>
            <w:vAlign w:val="bottom"/>
          </w:tcPr>
          <w:p w14:paraId="3E797A54" w14:textId="77777777" w:rsidR="00263BCB" w:rsidRPr="000C07C3" w:rsidRDefault="00263BCB" w:rsidP="000C07C3">
            <w:pPr>
              <w:pStyle w:val="SingleTxtG"/>
              <w:spacing w:before="80" w:after="80" w:line="200" w:lineRule="exact"/>
              <w:ind w:left="0" w:right="113"/>
              <w:jc w:val="left"/>
              <w:rPr>
                <w:i/>
                <w:sz w:val="16"/>
              </w:rPr>
            </w:pPr>
            <w:r w:rsidRPr="000C07C3">
              <w:rPr>
                <w:i/>
                <w:sz w:val="16"/>
              </w:rPr>
              <w:t>Period</w:t>
            </w:r>
          </w:p>
        </w:tc>
        <w:tc>
          <w:tcPr>
            <w:tcW w:w="1417" w:type="dxa"/>
            <w:tcBorders>
              <w:top w:val="single" w:sz="4" w:space="0" w:color="auto"/>
              <w:bottom w:val="single" w:sz="12" w:space="0" w:color="auto"/>
            </w:tcBorders>
            <w:shd w:val="clear" w:color="auto" w:fill="auto"/>
            <w:tcMar>
              <w:left w:w="0" w:type="dxa"/>
              <w:right w:w="0" w:type="dxa"/>
            </w:tcMar>
            <w:vAlign w:val="bottom"/>
          </w:tcPr>
          <w:p w14:paraId="5556B371" w14:textId="77777777" w:rsidR="00263BCB" w:rsidRPr="000C07C3" w:rsidRDefault="00263BCB" w:rsidP="00037E83">
            <w:pPr>
              <w:pStyle w:val="SingleTxtG"/>
              <w:spacing w:before="80" w:after="80" w:line="200" w:lineRule="exact"/>
              <w:ind w:left="0" w:right="113"/>
              <w:jc w:val="right"/>
              <w:rPr>
                <w:i/>
                <w:sz w:val="16"/>
              </w:rPr>
            </w:pPr>
            <w:r w:rsidRPr="000C07C3">
              <w:rPr>
                <w:i/>
                <w:sz w:val="16"/>
              </w:rPr>
              <w:t>Total number of children without parental care</w:t>
            </w:r>
          </w:p>
        </w:tc>
        <w:tc>
          <w:tcPr>
            <w:tcW w:w="2126" w:type="dxa"/>
            <w:tcBorders>
              <w:top w:val="single" w:sz="4" w:space="0" w:color="auto"/>
              <w:bottom w:val="single" w:sz="12" w:space="0" w:color="auto"/>
            </w:tcBorders>
            <w:shd w:val="clear" w:color="auto" w:fill="auto"/>
            <w:tcMar>
              <w:left w:w="0" w:type="dxa"/>
              <w:right w:w="0" w:type="dxa"/>
            </w:tcMar>
            <w:vAlign w:val="bottom"/>
          </w:tcPr>
          <w:p w14:paraId="7A2EE877" w14:textId="3DA55434" w:rsidR="00263BCB" w:rsidRPr="000C07C3" w:rsidRDefault="00263BCB" w:rsidP="00037E83">
            <w:pPr>
              <w:pStyle w:val="SingleTxtG"/>
              <w:spacing w:before="80" w:after="80" w:line="200" w:lineRule="exact"/>
              <w:ind w:left="0" w:right="113"/>
              <w:jc w:val="right"/>
              <w:rPr>
                <w:i/>
                <w:sz w:val="16"/>
              </w:rPr>
            </w:pPr>
            <w:r w:rsidRPr="000C07C3">
              <w:rPr>
                <w:i/>
                <w:sz w:val="16"/>
              </w:rPr>
              <w:t>Children without parental care placed at</w:t>
            </w:r>
            <w:r w:rsidR="00A21C4B" w:rsidRPr="000C07C3">
              <w:rPr>
                <w:i/>
                <w:sz w:val="16"/>
              </w:rPr>
              <w:t xml:space="preserve"> </w:t>
            </w:r>
            <w:r w:rsidRPr="000C07C3">
              <w:rPr>
                <w:i/>
                <w:sz w:val="16"/>
              </w:rPr>
              <w:t>the Bitola Home for Infants and Toddlers</w:t>
            </w:r>
          </w:p>
        </w:tc>
        <w:tc>
          <w:tcPr>
            <w:tcW w:w="1418" w:type="dxa"/>
            <w:tcBorders>
              <w:top w:val="single" w:sz="4" w:space="0" w:color="auto"/>
              <w:bottom w:val="single" w:sz="12" w:space="0" w:color="auto"/>
            </w:tcBorders>
            <w:shd w:val="clear" w:color="auto" w:fill="auto"/>
            <w:tcMar>
              <w:left w:w="0" w:type="dxa"/>
              <w:right w:w="0" w:type="dxa"/>
            </w:tcMar>
            <w:vAlign w:val="bottom"/>
          </w:tcPr>
          <w:p w14:paraId="74990514" w14:textId="054104C2" w:rsidR="00263BCB" w:rsidRPr="000C07C3" w:rsidRDefault="00263BCB" w:rsidP="00037E83">
            <w:pPr>
              <w:pStyle w:val="SingleTxtG"/>
              <w:spacing w:before="80" w:after="80" w:line="200" w:lineRule="exact"/>
              <w:ind w:left="0" w:right="113"/>
              <w:jc w:val="right"/>
              <w:rPr>
                <w:i/>
                <w:sz w:val="16"/>
              </w:rPr>
            </w:pPr>
            <w:r w:rsidRPr="000C07C3">
              <w:rPr>
                <w:i/>
                <w:sz w:val="16"/>
              </w:rPr>
              <w:t>11 October Children</w:t>
            </w:r>
            <w:r w:rsidR="00A21C4B" w:rsidRPr="000C07C3">
              <w:rPr>
                <w:i/>
                <w:sz w:val="16"/>
              </w:rPr>
              <w:t>’</w:t>
            </w:r>
            <w:r w:rsidRPr="000C07C3">
              <w:rPr>
                <w:i/>
                <w:sz w:val="16"/>
              </w:rPr>
              <w:t>s Home, Skopje</w:t>
            </w:r>
          </w:p>
        </w:tc>
        <w:tc>
          <w:tcPr>
            <w:tcW w:w="992" w:type="dxa"/>
            <w:tcBorders>
              <w:top w:val="single" w:sz="4" w:space="0" w:color="auto"/>
              <w:bottom w:val="single" w:sz="12" w:space="0" w:color="auto"/>
            </w:tcBorders>
            <w:shd w:val="clear" w:color="auto" w:fill="auto"/>
            <w:tcMar>
              <w:left w:w="0" w:type="dxa"/>
              <w:right w:w="0" w:type="dxa"/>
            </w:tcMar>
            <w:vAlign w:val="bottom"/>
          </w:tcPr>
          <w:p w14:paraId="2D64C72E" w14:textId="77777777" w:rsidR="00263BCB" w:rsidRPr="000C07C3" w:rsidRDefault="00263BCB" w:rsidP="00037E83">
            <w:pPr>
              <w:pStyle w:val="SingleTxtG"/>
              <w:spacing w:before="80" w:after="80" w:line="200" w:lineRule="exact"/>
              <w:ind w:left="0" w:right="113"/>
              <w:jc w:val="right"/>
              <w:rPr>
                <w:i/>
                <w:sz w:val="16"/>
              </w:rPr>
            </w:pPr>
            <w:r w:rsidRPr="000C07C3">
              <w:rPr>
                <w:i/>
                <w:sz w:val="16"/>
              </w:rPr>
              <w:t>Small group home, Berovo</w:t>
            </w:r>
          </w:p>
        </w:tc>
        <w:tc>
          <w:tcPr>
            <w:tcW w:w="1418" w:type="dxa"/>
            <w:tcBorders>
              <w:top w:val="single" w:sz="4" w:space="0" w:color="auto"/>
              <w:bottom w:val="single" w:sz="12" w:space="0" w:color="auto"/>
            </w:tcBorders>
            <w:shd w:val="clear" w:color="auto" w:fill="auto"/>
            <w:vAlign w:val="bottom"/>
          </w:tcPr>
          <w:p w14:paraId="0E39ED61" w14:textId="77777777" w:rsidR="00263BCB" w:rsidRPr="000C07C3" w:rsidRDefault="00263BCB" w:rsidP="00037E83">
            <w:pPr>
              <w:pStyle w:val="SingleTxtG"/>
              <w:spacing w:before="80" w:after="80" w:line="200" w:lineRule="exact"/>
              <w:ind w:left="0" w:right="113"/>
              <w:jc w:val="right"/>
              <w:rPr>
                <w:i/>
                <w:sz w:val="16"/>
              </w:rPr>
            </w:pPr>
            <w:r w:rsidRPr="000C07C3">
              <w:rPr>
                <w:i/>
                <w:sz w:val="16"/>
              </w:rPr>
              <w:t>Placed under guardianship</w:t>
            </w:r>
          </w:p>
        </w:tc>
        <w:tc>
          <w:tcPr>
            <w:tcW w:w="992" w:type="dxa"/>
            <w:tcBorders>
              <w:top w:val="single" w:sz="4" w:space="0" w:color="auto"/>
              <w:bottom w:val="single" w:sz="12" w:space="0" w:color="auto"/>
            </w:tcBorders>
            <w:shd w:val="clear" w:color="auto" w:fill="auto"/>
            <w:vAlign w:val="bottom"/>
          </w:tcPr>
          <w:p w14:paraId="5F546885" w14:textId="77777777" w:rsidR="00263BCB" w:rsidRPr="000C07C3" w:rsidRDefault="00263BCB" w:rsidP="00037E83">
            <w:pPr>
              <w:pStyle w:val="SingleTxtG"/>
              <w:spacing w:before="80" w:after="80" w:line="200" w:lineRule="exact"/>
              <w:ind w:left="0" w:right="113"/>
              <w:jc w:val="right"/>
              <w:rPr>
                <w:i/>
                <w:sz w:val="16"/>
              </w:rPr>
            </w:pPr>
            <w:r w:rsidRPr="000C07C3">
              <w:rPr>
                <w:i/>
                <w:sz w:val="16"/>
              </w:rPr>
              <w:t>Foster family</w:t>
            </w:r>
          </w:p>
        </w:tc>
      </w:tr>
      <w:tr w:rsidR="00037E83" w:rsidRPr="000C07C3" w14:paraId="2CCF5283" w14:textId="77777777" w:rsidTr="00037E83">
        <w:tc>
          <w:tcPr>
            <w:tcW w:w="1101" w:type="dxa"/>
            <w:tcBorders>
              <w:top w:val="single" w:sz="12" w:space="0" w:color="auto"/>
            </w:tcBorders>
            <w:shd w:val="clear" w:color="auto" w:fill="auto"/>
            <w:tcMar>
              <w:left w:w="0" w:type="dxa"/>
              <w:right w:w="0" w:type="dxa"/>
            </w:tcMar>
          </w:tcPr>
          <w:p w14:paraId="17E6C71E" w14:textId="77777777" w:rsidR="00263BCB" w:rsidRPr="000C07C3" w:rsidRDefault="00263BCB" w:rsidP="000C07C3">
            <w:pPr>
              <w:pStyle w:val="SingleTxtG"/>
              <w:spacing w:before="40" w:after="40" w:line="220" w:lineRule="exact"/>
              <w:ind w:left="0" w:right="113"/>
              <w:jc w:val="left"/>
              <w:rPr>
                <w:sz w:val="18"/>
              </w:rPr>
            </w:pPr>
            <w:r w:rsidRPr="000C07C3">
              <w:rPr>
                <w:sz w:val="18"/>
              </w:rPr>
              <w:t>2014</w:t>
            </w:r>
          </w:p>
        </w:tc>
        <w:tc>
          <w:tcPr>
            <w:tcW w:w="1417" w:type="dxa"/>
            <w:tcBorders>
              <w:top w:val="single" w:sz="12" w:space="0" w:color="auto"/>
            </w:tcBorders>
            <w:shd w:val="clear" w:color="auto" w:fill="auto"/>
            <w:tcMar>
              <w:left w:w="0" w:type="dxa"/>
              <w:right w:w="0" w:type="dxa"/>
            </w:tcMar>
            <w:vAlign w:val="bottom"/>
          </w:tcPr>
          <w:p w14:paraId="0B718312" w14:textId="0764AABA" w:rsidR="00263BCB" w:rsidRPr="000C07C3" w:rsidRDefault="00263BCB" w:rsidP="00037E83">
            <w:pPr>
              <w:pStyle w:val="SingleTxtG"/>
              <w:spacing w:before="40" w:after="40" w:line="220" w:lineRule="exact"/>
              <w:ind w:left="0" w:right="113"/>
              <w:jc w:val="right"/>
              <w:rPr>
                <w:sz w:val="18"/>
              </w:rPr>
            </w:pPr>
            <w:r w:rsidRPr="000C07C3">
              <w:rPr>
                <w:sz w:val="18"/>
              </w:rPr>
              <w:t>1</w:t>
            </w:r>
            <w:r w:rsidR="00C0093C" w:rsidRPr="000C07C3">
              <w:rPr>
                <w:sz w:val="18"/>
              </w:rPr>
              <w:t xml:space="preserve"> </w:t>
            </w:r>
            <w:r w:rsidRPr="000C07C3">
              <w:rPr>
                <w:sz w:val="18"/>
              </w:rPr>
              <w:t>226</w:t>
            </w:r>
          </w:p>
        </w:tc>
        <w:tc>
          <w:tcPr>
            <w:tcW w:w="2126" w:type="dxa"/>
            <w:tcBorders>
              <w:top w:val="single" w:sz="12" w:space="0" w:color="auto"/>
            </w:tcBorders>
            <w:shd w:val="clear" w:color="auto" w:fill="auto"/>
            <w:tcMar>
              <w:left w:w="0" w:type="dxa"/>
              <w:right w:w="0" w:type="dxa"/>
            </w:tcMar>
            <w:vAlign w:val="bottom"/>
          </w:tcPr>
          <w:p w14:paraId="1CBE13B8" w14:textId="77777777" w:rsidR="00263BCB" w:rsidRPr="000C07C3" w:rsidRDefault="00263BCB" w:rsidP="00037E83">
            <w:pPr>
              <w:pStyle w:val="SingleTxtG"/>
              <w:spacing w:before="40" w:after="40" w:line="220" w:lineRule="exact"/>
              <w:ind w:left="0" w:right="113"/>
              <w:jc w:val="right"/>
              <w:rPr>
                <w:sz w:val="18"/>
              </w:rPr>
            </w:pPr>
            <w:r w:rsidRPr="000C07C3">
              <w:rPr>
                <w:sz w:val="18"/>
              </w:rPr>
              <w:t>78</w:t>
            </w:r>
          </w:p>
        </w:tc>
        <w:tc>
          <w:tcPr>
            <w:tcW w:w="1418" w:type="dxa"/>
            <w:tcBorders>
              <w:top w:val="single" w:sz="12" w:space="0" w:color="auto"/>
            </w:tcBorders>
            <w:shd w:val="clear" w:color="auto" w:fill="auto"/>
            <w:tcMar>
              <w:left w:w="0" w:type="dxa"/>
              <w:right w:w="0" w:type="dxa"/>
            </w:tcMar>
            <w:vAlign w:val="bottom"/>
          </w:tcPr>
          <w:p w14:paraId="43074CF0" w14:textId="77777777" w:rsidR="00263BCB" w:rsidRPr="000C07C3" w:rsidRDefault="00263BCB" w:rsidP="00037E83">
            <w:pPr>
              <w:pStyle w:val="SingleTxtG"/>
              <w:spacing w:before="40" w:after="40" w:line="220" w:lineRule="exact"/>
              <w:ind w:left="0" w:right="113"/>
              <w:jc w:val="right"/>
              <w:rPr>
                <w:sz w:val="18"/>
              </w:rPr>
            </w:pPr>
            <w:r w:rsidRPr="000C07C3">
              <w:rPr>
                <w:sz w:val="18"/>
              </w:rPr>
              <w:t>55</w:t>
            </w:r>
          </w:p>
        </w:tc>
        <w:tc>
          <w:tcPr>
            <w:tcW w:w="992" w:type="dxa"/>
            <w:tcBorders>
              <w:top w:val="single" w:sz="12" w:space="0" w:color="auto"/>
            </w:tcBorders>
            <w:shd w:val="clear" w:color="auto" w:fill="auto"/>
            <w:tcMar>
              <w:left w:w="0" w:type="dxa"/>
              <w:right w:w="0" w:type="dxa"/>
            </w:tcMar>
            <w:vAlign w:val="bottom"/>
          </w:tcPr>
          <w:p w14:paraId="0A1F7DE4" w14:textId="77777777" w:rsidR="00263BCB" w:rsidRPr="000C07C3" w:rsidRDefault="00263BCB" w:rsidP="00037E83">
            <w:pPr>
              <w:pStyle w:val="SingleTxtG"/>
              <w:spacing w:before="40" w:after="40" w:line="220" w:lineRule="exact"/>
              <w:ind w:left="0" w:right="113"/>
              <w:jc w:val="right"/>
              <w:rPr>
                <w:sz w:val="18"/>
              </w:rPr>
            </w:pPr>
            <w:r w:rsidRPr="000C07C3">
              <w:rPr>
                <w:sz w:val="18"/>
              </w:rPr>
              <w:t>5</w:t>
            </w:r>
          </w:p>
        </w:tc>
        <w:tc>
          <w:tcPr>
            <w:tcW w:w="1418" w:type="dxa"/>
            <w:tcBorders>
              <w:top w:val="single" w:sz="12" w:space="0" w:color="auto"/>
            </w:tcBorders>
            <w:shd w:val="clear" w:color="auto" w:fill="auto"/>
            <w:vAlign w:val="bottom"/>
          </w:tcPr>
          <w:p w14:paraId="752D3A1D" w14:textId="77777777" w:rsidR="00263BCB" w:rsidRPr="000C07C3" w:rsidRDefault="00263BCB" w:rsidP="00037E83">
            <w:pPr>
              <w:pStyle w:val="SingleTxtG"/>
              <w:spacing w:before="40" w:after="40" w:line="220" w:lineRule="exact"/>
              <w:ind w:left="0" w:right="113"/>
              <w:jc w:val="right"/>
              <w:rPr>
                <w:sz w:val="18"/>
              </w:rPr>
            </w:pPr>
            <w:r w:rsidRPr="000C07C3">
              <w:rPr>
                <w:sz w:val="18"/>
              </w:rPr>
              <w:t>830</w:t>
            </w:r>
          </w:p>
        </w:tc>
        <w:tc>
          <w:tcPr>
            <w:tcW w:w="992" w:type="dxa"/>
            <w:tcBorders>
              <w:top w:val="single" w:sz="12" w:space="0" w:color="auto"/>
            </w:tcBorders>
            <w:shd w:val="clear" w:color="auto" w:fill="auto"/>
            <w:vAlign w:val="bottom"/>
          </w:tcPr>
          <w:p w14:paraId="631B63C4" w14:textId="77777777" w:rsidR="00263BCB" w:rsidRPr="000C07C3" w:rsidRDefault="00263BCB" w:rsidP="00037E83">
            <w:pPr>
              <w:pStyle w:val="SingleTxtG"/>
              <w:spacing w:before="40" w:after="40" w:line="220" w:lineRule="exact"/>
              <w:ind w:left="0" w:right="113"/>
              <w:jc w:val="right"/>
              <w:rPr>
                <w:sz w:val="18"/>
              </w:rPr>
            </w:pPr>
            <w:r w:rsidRPr="000C07C3">
              <w:rPr>
                <w:sz w:val="18"/>
              </w:rPr>
              <w:t>258</w:t>
            </w:r>
          </w:p>
        </w:tc>
      </w:tr>
      <w:tr w:rsidR="00837F3B" w:rsidRPr="000C07C3" w14:paraId="3CA12E58" w14:textId="77777777" w:rsidTr="00037E83">
        <w:tc>
          <w:tcPr>
            <w:tcW w:w="1101" w:type="dxa"/>
            <w:shd w:val="clear" w:color="auto" w:fill="auto"/>
            <w:tcMar>
              <w:left w:w="0" w:type="dxa"/>
              <w:right w:w="0" w:type="dxa"/>
            </w:tcMar>
          </w:tcPr>
          <w:p w14:paraId="289D2C2E" w14:textId="77777777" w:rsidR="00263BCB" w:rsidRPr="000C07C3" w:rsidRDefault="00263BCB" w:rsidP="000C07C3">
            <w:pPr>
              <w:pStyle w:val="SingleTxtG"/>
              <w:spacing w:before="40" w:after="40" w:line="220" w:lineRule="exact"/>
              <w:ind w:left="0" w:right="113"/>
              <w:jc w:val="left"/>
              <w:rPr>
                <w:sz w:val="18"/>
              </w:rPr>
            </w:pPr>
            <w:r w:rsidRPr="000C07C3">
              <w:rPr>
                <w:sz w:val="18"/>
              </w:rPr>
              <w:t>2015</w:t>
            </w:r>
          </w:p>
        </w:tc>
        <w:tc>
          <w:tcPr>
            <w:tcW w:w="1417" w:type="dxa"/>
            <w:shd w:val="clear" w:color="auto" w:fill="auto"/>
            <w:tcMar>
              <w:left w:w="0" w:type="dxa"/>
              <w:right w:w="0" w:type="dxa"/>
            </w:tcMar>
            <w:vAlign w:val="bottom"/>
          </w:tcPr>
          <w:p w14:paraId="30B4AA38" w14:textId="3BF6563F" w:rsidR="00263BCB" w:rsidRPr="000C07C3" w:rsidRDefault="00263BCB" w:rsidP="00037E83">
            <w:pPr>
              <w:pStyle w:val="SingleTxtG"/>
              <w:spacing w:before="40" w:after="40" w:line="220" w:lineRule="exact"/>
              <w:ind w:left="0" w:right="113"/>
              <w:jc w:val="right"/>
              <w:rPr>
                <w:sz w:val="18"/>
              </w:rPr>
            </w:pPr>
            <w:r w:rsidRPr="000C07C3">
              <w:rPr>
                <w:sz w:val="18"/>
              </w:rPr>
              <w:t>1</w:t>
            </w:r>
            <w:r w:rsidR="00C0093C" w:rsidRPr="000C07C3">
              <w:rPr>
                <w:sz w:val="18"/>
              </w:rPr>
              <w:t xml:space="preserve"> </w:t>
            </w:r>
            <w:r w:rsidRPr="000C07C3">
              <w:rPr>
                <w:sz w:val="18"/>
              </w:rPr>
              <w:t>303</w:t>
            </w:r>
          </w:p>
        </w:tc>
        <w:tc>
          <w:tcPr>
            <w:tcW w:w="2126" w:type="dxa"/>
            <w:shd w:val="clear" w:color="auto" w:fill="auto"/>
            <w:tcMar>
              <w:left w:w="0" w:type="dxa"/>
              <w:right w:w="0" w:type="dxa"/>
            </w:tcMar>
            <w:vAlign w:val="bottom"/>
          </w:tcPr>
          <w:p w14:paraId="1DF2E117" w14:textId="77777777" w:rsidR="00263BCB" w:rsidRPr="000C07C3" w:rsidRDefault="00263BCB" w:rsidP="00037E83">
            <w:pPr>
              <w:pStyle w:val="SingleTxtG"/>
              <w:spacing w:before="40" w:after="40" w:line="220" w:lineRule="exact"/>
              <w:ind w:left="0" w:right="113"/>
              <w:jc w:val="right"/>
              <w:rPr>
                <w:sz w:val="18"/>
              </w:rPr>
            </w:pPr>
            <w:r w:rsidRPr="000C07C3">
              <w:rPr>
                <w:sz w:val="18"/>
              </w:rPr>
              <w:t>79</w:t>
            </w:r>
          </w:p>
        </w:tc>
        <w:tc>
          <w:tcPr>
            <w:tcW w:w="1418" w:type="dxa"/>
            <w:shd w:val="clear" w:color="auto" w:fill="auto"/>
            <w:tcMar>
              <w:left w:w="0" w:type="dxa"/>
              <w:right w:w="0" w:type="dxa"/>
            </w:tcMar>
            <w:vAlign w:val="bottom"/>
          </w:tcPr>
          <w:p w14:paraId="09B1F26C" w14:textId="77777777" w:rsidR="00263BCB" w:rsidRPr="000C07C3" w:rsidRDefault="00263BCB" w:rsidP="00037E83">
            <w:pPr>
              <w:pStyle w:val="SingleTxtG"/>
              <w:spacing w:before="40" w:after="40" w:line="220" w:lineRule="exact"/>
              <w:ind w:left="0" w:right="113"/>
              <w:jc w:val="right"/>
              <w:rPr>
                <w:sz w:val="18"/>
              </w:rPr>
            </w:pPr>
            <w:r w:rsidRPr="000C07C3">
              <w:rPr>
                <w:sz w:val="18"/>
              </w:rPr>
              <w:t>66</w:t>
            </w:r>
          </w:p>
        </w:tc>
        <w:tc>
          <w:tcPr>
            <w:tcW w:w="992" w:type="dxa"/>
            <w:shd w:val="clear" w:color="auto" w:fill="auto"/>
            <w:tcMar>
              <w:left w:w="0" w:type="dxa"/>
              <w:right w:w="0" w:type="dxa"/>
            </w:tcMar>
            <w:vAlign w:val="bottom"/>
          </w:tcPr>
          <w:p w14:paraId="0AADBC28" w14:textId="77777777" w:rsidR="00263BCB" w:rsidRPr="000C07C3" w:rsidRDefault="00263BCB" w:rsidP="00037E83">
            <w:pPr>
              <w:pStyle w:val="SingleTxtG"/>
              <w:spacing w:before="40" w:after="40" w:line="220" w:lineRule="exact"/>
              <w:ind w:left="0" w:right="113"/>
              <w:jc w:val="right"/>
              <w:rPr>
                <w:sz w:val="18"/>
              </w:rPr>
            </w:pPr>
            <w:r w:rsidRPr="000C07C3">
              <w:rPr>
                <w:sz w:val="18"/>
              </w:rPr>
              <w:t>5</w:t>
            </w:r>
          </w:p>
        </w:tc>
        <w:tc>
          <w:tcPr>
            <w:tcW w:w="1418" w:type="dxa"/>
            <w:shd w:val="clear" w:color="auto" w:fill="auto"/>
            <w:vAlign w:val="bottom"/>
          </w:tcPr>
          <w:p w14:paraId="4617F05F" w14:textId="77777777" w:rsidR="00263BCB" w:rsidRPr="000C07C3" w:rsidRDefault="00263BCB" w:rsidP="00037E83">
            <w:pPr>
              <w:pStyle w:val="SingleTxtG"/>
              <w:spacing w:before="40" w:after="40" w:line="220" w:lineRule="exact"/>
              <w:ind w:left="0" w:right="113"/>
              <w:jc w:val="right"/>
              <w:rPr>
                <w:sz w:val="18"/>
              </w:rPr>
            </w:pPr>
            <w:r w:rsidRPr="000C07C3">
              <w:rPr>
                <w:sz w:val="18"/>
              </w:rPr>
              <w:t>874</w:t>
            </w:r>
          </w:p>
        </w:tc>
        <w:tc>
          <w:tcPr>
            <w:tcW w:w="992" w:type="dxa"/>
            <w:shd w:val="clear" w:color="auto" w:fill="auto"/>
            <w:vAlign w:val="bottom"/>
          </w:tcPr>
          <w:p w14:paraId="1F6D3BF0" w14:textId="77777777" w:rsidR="00263BCB" w:rsidRPr="000C07C3" w:rsidRDefault="00263BCB" w:rsidP="00037E83">
            <w:pPr>
              <w:pStyle w:val="SingleTxtG"/>
              <w:spacing w:before="40" w:after="40" w:line="220" w:lineRule="exact"/>
              <w:ind w:left="0" w:right="113"/>
              <w:jc w:val="right"/>
              <w:rPr>
                <w:sz w:val="18"/>
              </w:rPr>
            </w:pPr>
            <w:r w:rsidRPr="000C07C3">
              <w:rPr>
                <w:sz w:val="18"/>
              </w:rPr>
              <w:t>279</w:t>
            </w:r>
          </w:p>
        </w:tc>
      </w:tr>
      <w:tr w:rsidR="00837F3B" w:rsidRPr="000C07C3" w14:paraId="4347F87C" w14:textId="77777777" w:rsidTr="00037E83">
        <w:tc>
          <w:tcPr>
            <w:tcW w:w="1101" w:type="dxa"/>
            <w:shd w:val="clear" w:color="auto" w:fill="auto"/>
            <w:tcMar>
              <w:left w:w="0" w:type="dxa"/>
              <w:right w:w="0" w:type="dxa"/>
            </w:tcMar>
          </w:tcPr>
          <w:p w14:paraId="0E7BBCBD" w14:textId="77777777" w:rsidR="00263BCB" w:rsidRPr="000C07C3" w:rsidRDefault="00263BCB" w:rsidP="000C07C3">
            <w:pPr>
              <w:pStyle w:val="SingleTxtG"/>
              <w:spacing w:before="40" w:after="40" w:line="220" w:lineRule="exact"/>
              <w:ind w:left="0" w:right="113"/>
              <w:jc w:val="left"/>
              <w:rPr>
                <w:sz w:val="18"/>
              </w:rPr>
            </w:pPr>
            <w:r w:rsidRPr="000C07C3">
              <w:rPr>
                <w:sz w:val="18"/>
              </w:rPr>
              <w:t>2016</w:t>
            </w:r>
          </w:p>
        </w:tc>
        <w:tc>
          <w:tcPr>
            <w:tcW w:w="1417" w:type="dxa"/>
            <w:shd w:val="clear" w:color="auto" w:fill="auto"/>
            <w:tcMar>
              <w:left w:w="0" w:type="dxa"/>
              <w:right w:w="0" w:type="dxa"/>
            </w:tcMar>
            <w:vAlign w:val="bottom"/>
          </w:tcPr>
          <w:p w14:paraId="3C045F2D" w14:textId="74577CF6" w:rsidR="00263BCB" w:rsidRPr="000C07C3" w:rsidRDefault="00263BCB" w:rsidP="00037E83">
            <w:pPr>
              <w:pStyle w:val="SingleTxtG"/>
              <w:spacing w:before="40" w:after="40" w:line="220" w:lineRule="exact"/>
              <w:ind w:left="0" w:right="113"/>
              <w:jc w:val="right"/>
              <w:rPr>
                <w:sz w:val="18"/>
              </w:rPr>
            </w:pPr>
            <w:r w:rsidRPr="000C07C3">
              <w:rPr>
                <w:sz w:val="18"/>
              </w:rPr>
              <w:t>1</w:t>
            </w:r>
            <w:r w:rsidR="00C0093C" w:rsidRPr="000C07C3">
              <w:rPr>
                <w:sz w:val="18"/>
              </w:rPr>
              <w:t xml:space="preserve"> </w:t>
            </w:r>
            <w:r w:rsidRPr="000C07C3">
              <w:rPr>
                <w:sz w:val="18"/>
              </w:rPr>
              <w:t>306</w:t>
            </w:r>
          </w:p>
        </w:tc>
        <w:tc>
          <w:tcPr>
            <w:tcW w:w="2126" w:type="dxa"/>
            <w:shd w:val="clear" w:color="auto" w:fill="auto"/>
            <w:tcMar>
              <w:left w:w="0" w:type="dxa"/>
              <w:right w:w="0" w:type="dxa"/>
            </w:tcMar>
            <w:vAlign w:val="bottom"/>
          </w:tcPr>
          <w:p w14:paraId="0EC403E3" w14:textId="77777777" w:rsidR="00263BCB" w:rsidRPr="000C07C3" w:rsidRDefault="00263BCB" w:rsidP="00037E83">
            <w:pPr>
              <w:pStyle w:val="SingleTxtG"/>
              <w:spacing w:before="40" w:after="40" w:line="220" w:lineRule="exact"/>
              <w:ind w:left="0" w:right="113"/>
              <w:jc w:val="right"/>
              <w:rPr>
                <w:sz w:val="18"/>
              </w:rPr>
            </w:pPr>
            <w:r w:rsidRPr="000C07C3">
              <w:rPr>
                <w:sz w:val="18"/>
              </w:rPr>
              <w:t>66</w:t>
            </w:r>
          </w:p>
        </w:tc>
        <w:tc>
          <w:tcPr>
            <w:tcW w:w="1418" w:type="dxa"/>
            <w:shd w:val="clear" w:color="auto" w:fill="auto"/>
            <w:tcMar>
              <w:left w:w="0" w:type="dxa"/>
              <w:right w:w="0" w:type="dxa"/>
            </w:tcMar>
            <w:vAlign w:val="bottom"/>
          </w:tcPr>
          <w:p w14:paraId="10D5DA55" w14:textId="77777777" w:rsidR="00263BCB" w:rsidRPr="000C07C3" w:rsidRDefault="00263BCB" w:rsidP="00037E83">
            <w:pPr>
              <w:pStyle w:val="SingleTxtG"/>
              <w:spacing w:before="40" w:after="40" w:line="220" w:lineRule="exact"/>
              <w:ind w:left="0" w:right="113"/>
              <w:jc w:val="right"/>
              <w:rPr>
                <w:sz w:val="18"/>
              </w:rPr>
            </w:pPr>
            <w:r w:rsidRPr="000C07C3">
              <w:rPr>
                <w:sz w:val="18"/>
              </w:rPr>
              <w:t>52</w:t>
            </w:r>
          </w:p>
        </w:tc>
        <w:tc>
          <w:tcPr>
            <w:tcW w:w="992" w:type="dxa"/>
            <w:shd w:val="clear" w:color="auto" w:fill="auto"/>
            <w:tcMar>
              <w:left w:w="0" w:type="dxa"/>
              <w:right w:w="0" w:type="dxa"/>
            </w:tcMar>
            <w:vAlign w:val="bottom"/>
          </w:tcPr>
          <w:p w14:paraId="7725B190" w14:textId="77777777" w:rsidR="00263BCB" w:rsidRPr="000C07C3" w:rsidRDefault="00263BCB" w:rsidP="00037E83">
            <w:pPr>
              <w:pStyle w:val="SingleTxtG"/>
              <w:spacing w:before="40" w:after="40" w:line="220" w:lineRule="exact"/>
              <w:ind w:left="0" w:right="113"/>
              <w:jc w:val="right"/>
              <w:rPr>
                <w:sz w:val="18"/>
              </w:rPr>
            </w:pPr>
            <w:r w:rsidRPr="000C07C3">
              <w:rPr>
                <w:sz w:val="18"/>
              </w:rPr>
              <w:t>9</w:t>
            </w:r>
          </w:p>
        </w:tc>
        <w:tc>
          <w:tcPr>
            <w:tcW w:w="1418" w:type="dxa"/>
            <w:shd w:val="clear" w:color="auto" w:fill="auto"/>
            <w:vAlign w:val="bottom"/>
          </w:tcPr>
          <w:p w14:paraId="7C19D479" w14:textId="77777777" w:rsidR="00263BCB" w:rsidRPr="000C07C3" w:rsidRDefault="00263BCB" w:rsidP="00037E83">
            <w:pPr>
              <w:pStyle w:val="SingleTxtG"/>
              <w:spacing w:before="40" w:after="40" w:line="220" w:lineRule="exact"/>
              <w:ind w:left="0" w:right="113"/>
              <w:jc w:val="right"/>
              <w:rPr>
                <w:sz w:val="18"/>
              </w:rPr>
            </w:pPr>
            <w:r w:rsidRPr="000C07C3">
              <w:rPr>
                <w:sz w:val="18"/>
              </w:rPr>
              <w:t>893</w:t>
            </w:r>
          </w:p>
        </w:tc>
        <w:tc>
          <w:tcPr>
            <w:tcW w:w="992" w:type="dxa"/>
            <w:shd w:val="clear" w:color="auto" w:fill="auto"/>
            <w:vAlign w:val="bottom"/>
          </w:tcPr>
          <w:p w14:paraId="05F92D35" w14:textId="77777777" w:rsidR="00263BCB" w:rsidRPr="000C07C3" w:rsidRDefault="00263BCB" w:rsidP="00037E83">
            <w:pPr>
              <w:pStyle w:val="SingleTxtG"/>
              <w:spacing w:before="40" w:after="40" w:line="220" w:lineRule="exact"/>
              <w:ind w:left="0" w:right="113"/>
              <w:jc w:val="right"/>
              <w:rPr>
                <w:sz w:val="18"/>
              </w:rPr>
            </w:pPr>
            <w:r w:rsidRPr="000C07C3">
              <w:rPr>
                <w:sz w:val="18"/>
              </w:rPr>
              <w:t>286</w:t>
            </w:r>
          </w:p>
        </w:tc>
      </w:tr>
      <w:tr w:rsidR="00837F3B" w:rsidRPr="000C07C3" w14:paraId="2E03492F" w14:textId="77777777" w:rsidTr="00037E83">
        <w:tc>
          <w:tcPr>
            <w:tcW w:w="1101" w:type="dxa"/>
            <w:shd w:val="clear" w:color="auto" w:fill="auto"/>
            <w:tcMar>
              <w:left w:w="0" w:type="dxa"/>
              <w:right w:w="0" w:type="dxa"/>
            </w:tcMar>
          </w:tcPr>
          <w:p w14:paraId="3B1489A9" w14:textId="77777777" w:rsidR="00263BCB" w:rsidRPr="000C07C3" w:rsidRDefault="00263BCB" w:rsidP="000C07C3">
            <w:pPr>
              <w:pStyle w:val="SingleTxtG"/>
              <w:spacing w:before="40" w:after="40" w:line="220" w:lineRule="exact"/>
              <w:ind w:left="0" w:right="113"/>
              <w:jc w:val="left"/>
              <w:rPr>
                <w:sz w:val="18"/>
              </w:rPr>
            </w:pPr>
            <w:r w:rsidRPr="000C07C3">
              <w:rPr>
                <w:sz w:val="18"/>
              </w:rPr>
              <w:t>2017</w:t>
            </w:r>
          </w:p>
        </w:tc>
        <w:tc>
          <w:tcPr>
            <w:tcW w:w="1417" w:type="dxa"/>
            <w:shd w:val="clear" w:color="auto" w:fill="auto"/>
            <w:tcMar>
              <w:left w:w="0" w:type="dxa"/>
              <w:right w:w="0" w:type="dxa"/>
            </w:tcMar>
            <w:vAlign w:val="bottom"/>
          </w:tcPr>
          <w:p w14:paraId="1DF1DF5B" w14:textId="5B61CD8C" w:rsidR="00263BCB" w:rsidRPr="000C07C3" w:rsidRDefault="00263BCB" w:rsidP="00037E83">
            <w:pPr>
              <w:pStyle w:val="SingleTxtG"/>
              <w:spacing w:before="40" w:after="40" w:line="220" w:lineRule="exact"/>
              <w:ind w:left="0" w:right="113"/>
              <w:jc w:val="right"/>
              <w:rPr>
                <w:sz w:val="18"/>
              </w:rPr>
            </w:pPr>
            <w:r w:rsidRPr="000C07C3">
              <w:rPr>
                <w:sz w:val="18"/>
              </w:rPr>
              <w:t>1</w:t>
            </w:r>
            <w:r w:rsidR="00C0093C" w:rsidRPr="000C07C3">
              <w:rPr>
                <w:sz w:val="18"/>
              </w:rPr>
              <w:t xml:space="preserve"> </w:t>
            </w:r>
            <w:r w:rsidRPr="000C07C3">
              <w:rPr>
                <w:sz w:val="18"/>
              </w:rPr>
              <w:t>307</w:t>
            </w:r>
          </w:p>
        </w:tc>
        <w:tc>
          <w:tcPr>
            <w:tcW w:w="2126" w:type="dxa"/>
            <w:shd w:val="clear" w:color="auto" w:fill="auto"/>
            <w:tcMar>
              <w:left w:w="0" w:type="dxa"/>
              <w:right w:w="0" w:type="dxa"/>
            </w:tcMar>
            <w:vAlign w:val="bottom"/>
          </w:tcPr>
          <w:p w14:paraId="63125A0F" w14:textId="77777777" w:rsidR="00263BCB" w:rsidRPr="000C07C3" w:rsidRDefault="00263BCB" w:rsidP="00037E83">
            <w:pPr>
              <w:pStyle w:val="SingleTxtG"/>
              <w:spacing w:before="40" w:after="40" w:line="220" w:lineRule="exact"/>
              <w:ind w:left="0" w:right="113"/>
              <w:jc w:val="right"/>
              <w:rPr>
                <w:sz w:val="18"/>
              </w:rPr>
            </w:pPr>
            <w:r w:rsidRPr="000C07C3">
              <w:rPr>
                <w:sz w:val="18"/>
              </w:rPr>
              <w:t>75</w:t>
            </w:r>
          </w:p>
        </w:tc>
        <w:tc>
          <w:tcPr>
            <w:tcW w:w="1418" w:type="dxa"/>
            <w:shd w:val="clear" w:color="auto" w:fill="auto"/>
            <w:tcMar>
              <w:left w:w="0" w:type="dxa"/>
              <w:right w:w="0" w:type="dxa"/>
            </w:tcMar>
            <w:vAlign w:val="bottom"/>
          </w:tcPr>
          <w:p w14:paraId="5215CD89" w14:textId="77777777" w:rsidR="00263BCB" w:rsidRPr="000C07C3" w:rsidRDefault="00263BCB" w:rsidP="00037E83">
            <w:pPr>
              <w:pStyle w:val="SingleTxtG"/>
              <w:spacing w:before="40" w:after="40" w:line="220" w:lineRule="exact"/>
              <w:ind w:left="0" w:right="113"/>
              <w:jc w:val="right"/>
              <w:rPr>
                <w:sz w:val="18"/>
              </w:rPr>
            </w:pPr>
            <w:r w:rsidRPr="000C07C3">
              <w:rPr>
                <w:sz w:val="18"/>
              </w:rPr>
              <w:t>63</w:t>
            </w:r>
          </w:p>
        </w:tc>
        <w:tc>
          <w:tcPr>
            <w:tcW w:w="992" w:type="dxa"/>
            <w:shd w:val="clear" w:color="auto" w:fill="auto"/>
            <w:tcMar>
              <w:left w:w="0" w:type="dxa"/>
              <w:right w:w="0" w:type="dxa"/>
            </w:tcMar>
            <w:vAlign w:val="bottom"/>
          </w:tcPr>
          <w:p w14:paraId="297AE3AD" w14:textId="77777777" w:rsidR="00263BCB" w:rsidRPr="000C07C3" w:rsidRDefault="00263BCB" w:rsidP="00037E83">
            <w:pPr>
              <w:pStyle w:val="SingleTxtG"/>
              <w:spacing w:before="40" w:after="40" w:line="220" w:lineRule="exact"/>
              <w:ind w:left="0" w:right="113"/>
              <w:jc w:val="right"/>
              <w:rPr>
                <w:sz w:val="18"/>
              </w:rPr>
            </w:pPr>
            <w:r w:rsidRPr="000C07C3">
              <w:rPr>
                <w:sz w:val="18"/>
              </w:rPr>
              <w:t>7</w:t>
            </w:r>
          </w:p>
        </w:tc>
        <w:tc>
          <w:tcPr>
            <w:tcW w:w="1418" w:type="dxa"/>
            <w:shd w:val="clear" w:color="auto" w:fill="auto"/>
            <w:vAlign w:val="bottom"/>
          </w:tcPr>
          <w:p w14:paraId="6A7D34B1" w14:textId="77777777" w:rsidR="00263BCB" w:rsidRPr="000C07C3" w:rsidRDefault="00263BCB" w:rsidP="00037E83">
            <w:pPr>
              <w:pStyle w:val="SingleTxtG"/>
              <w:spacing w:before="40" w:after="40" w:line="220" w:lineRule="exact"/>
              <w:ind w:left="0" w:right="113"/>
              <w:jc w:val="right"/>
              <w:rPr>
                <w:sz w:val="18"/>
              </w:rPr>
            </w:pPr>
            <w:r w:rsidRPr="000C07C3">
              <w:rPr>
                <w:sz w:val="18"/>
              </w:rPr>
              <w:t>865</w:t>
            </w:r>
          </w:p>
        </w:tc>
        <w:tc>
          <w:tcPr>
            <w:tcW w:w="992" w:type="dxa"/>
            <w:shd w:val="clear" w:color="auto" w:fill="auto"/>
            <w:vAlign w:val="bottom"/>
          </w:tcPr>
          <w:p w14:paraId="605B6A20" w14:textId="77777777" w:rsidR="00263BCB" w:rsidRPr="000C07C3" w:rsidRDefault="00263BCB" w:rsidP="00037E83">
            <w:pPr>
              <w:pStyle w:val="SingleTxtG"/>
              <w:spacing w:before="40" w:after="40" w:line="220" w:lineRule="exact"/>
              <w:ind w:left="0" w:right="113"/>
              <w:jc w:val="right"/>
              <w:rPr>
                <w:sz w:val="18"/>
              </w:rPr>
            </w:pPr>
            <w:r w:rsidRPr="000C07C3">
              <w:rPr>
                <w:sz w:val="18"/>
              </w:rPr>
              <w:t>297</w:t>
            </w:r>
          </w:p>
        </w:tc>
      </w:tr>
      <w:tr w:rsidR="00037E83" w:rsidRPr="000C07C3" w14:paraId="7BFDEF49" w14:textId="77777777" w:rsidTr="00037E83">
        <w:tc>
          <w:tcPr>
            <w:tcW w:w="1101" w:type="dxa"/>
            <w:shd w:val="clear" w:color="auto" w:fill="auto"/>
            <w:tcMar>
              <w:left w:w="0" w:type="dxa"/>
              <w:right w:w="0" w:type="dxa"/>
            </w:tcMar>
          </w:tcPr>
          <w:p w14:paraId="4F1B57B4" w14:textId="77777777" w:rsidR="00263BCB" w:rsidRPr="000C07C3" w:rsidRDefault="00263BCB" w:rsidP="000C07C3">
            <w:pPr>
              <w:pStyle w:val="SingleTxtG"/>
              <w:spacing w:before="40" w:after="40" w:line="220" w:lineRule="exact"/>
              <w:ind w:left="0" w:right="113"/>
              <w:jc w:val="left"/>
              <w:rPr>
                <w:sz w:val="18"/>
              </w:rPr>
            </w:pPr>
            <w:r w:rsidRPr="000C07C3">
              <w:rPr>
                <w:sz w:val="18"/>
              </w:rPr>
              <w:t>2018</w:t>
            </w:r>
          </w:p>
        </w:tc>
        <w:tc>
          <w:tcPr>
            <w:tcW w:w="1417" w:type="dxa"/>
            <w:shd w:val="clear" w:color="auto" w:fill="auto"/>
            <w:tcMar>
              <w:left w:w="0" w:type="dxa"/>
              <w:right w:w="0" w:type="dxa"/>
            </w:tcMar>
            <w:vAlign w:val="bottom"/>
          </w:tcPr>
          <w:p w14:paraId="6700871B" w14:textId="52174827" w:rsidR="00263BCB" w:rsidRPr="000C07C3" w:rsidRDefault="00263BCB" w:rsidP="00037E83">
            <w:pPr>
              <w:pStyle w:val="SingleTxtG"/>
              <w:spacing w:before="40" w:after="40" w:line="220" w:lineRule="exact"/>
              <w:ind w:left="0" w:right="113"/>
              <w:jc w:val="right"/>
              <w:rPr>
                <w:sz w:val="18"/>
              </w:rPr>
            </w:pPr>
            <w:r w:rsidRPr="000C07C3">
              <w:rPr>
                <w:sz w:val="18"/>
              </w:rPr>
              <w:t>1</w:t>
            </w:r>
            <w:r w:rsidR="00C0093C" w:rsidRPr="000C07C3">
              <w:rPr>
                <w:sz w:val="18"/>
              </w:rPr>
              <w:t xml:space="preserve"> </w:t>
            </w:r>
            <w:r w:rsidRPr="000C07C3">
              <w:rPr>
                <w:sz w:val="18"/>
              </w:rPr>
              <w:t>305</w:t>
            </w:r>
          </w:p>
        </w:tc>
        <w:tc>
          <w:tcPr>
            <w:tcW w:w="2126" w:type="dxa"/>
            <w:shd w:val="clear" w:color="auto" w:fill="auto"/>
            <w:tcMar>
              <w:left w:w="0" w:type="dxa"/>
              <w:right w:w="0" w:type="dxa"/>
            </w:tcMar>
            <w:vAlign w:val="bottom"/>
          </w:tcPr>
          <w:p w14:paraId="1A4BF42C" w14:textId="77777777" w:rsidR="00263BCB" w:rsidRPr="000C07C3" w:rsidRDefault="00263BCB" w:rsidP="00037E83">
            <w:pPr>
              <w:pStyle w:val="SingleTxtG"/>
              <w:spacing w:before="40" w:after="40" w:line="220" w:lineRule="exact"/>
              <w:ind w:left="0" w:right="113"/>
              <w:jc w:val="right"/>
              <w:rPr>
                <w:sz w:val="18"/>
              </w:rPr>
            </w:pPr>
            <w:r w:rsidRPr="000C07C3">
              <w:rPr>
                <w:sz w:val="18"/>
              </w:rPr>
              <w:t>71</w:t>
            </w:r>
          </w:p>
        </w:tc>
        <w:tc>
          <w:tcPr>
            <w:tcW w:w="1418" w:type="dxa"/>
            <w:shd w:val="clear" w:color="auto" w:fill="auto"/>
            <w:tcMar>
              <w:left w:w="0" w:type="dxa"/>
              <w:right w:w="0" w:type="dxa"/>
            </w:tcMar>
            <w:vAlign w:val="bottom"/>
          </w:tcPr>
          <w:p w14:paraId="6EE2FBE5" w14:textId="77777777" w:rsidR="00263BCB" w:rsidRPr="000C07C3" w:rsidRDefault="00263BCB" w:rsidP="00037E83">
            <w:pPr>
              <w:pStyle w:val="SingleTxtG"/>
              <w:spacing w:before="40" w:after="40" w:line="220" w:lineRule="exact"/>
              <w:ind w:left="0" w:right="113"/>
              <w:jc w:val="right"/>
              <w:rPr>
                <w:sz w:val="18"/>
              </w:rPr>
            </w:pPr>
            <w:r w:rsidRPr="000C07C3">
              <w:rPr>
                <w:sz w:val="18"/>
              </w:rPr>
              <w:t>32</w:t>
            </w:r>
          </w:p>
        </w:tc>
        <w:tc>
          <w:tcPr>
            <w:tcW w:w="992" w:type="dxa"/>
            <w:shd w:val="clear" w:color="auto" w:fill="auto"/>
            <w:tcMar>
              <w:left w:w="0" w:type="dxa"/>
              <w:right w:w="0" w:type="dxa"/>
            </w:tcMar>
            <w:vAlign w:val="bottom"/>
          </w:tcPr>
          <w:p w14:paraId="14E67E13" w14:textId="77777777" w:rsidR="00263BCB" w:rsidRPr="000C07C3" w:rsidRDefault="00263BCB" w:rsidP="00037E83">
            <w:pPr>
              <w:pStyle w:val="SingleTxtG"/>
              <w:spacing w:before="40" w:after="40" w:line="220" w:lineRule="exact"/>
              <w:ind w:left="0" w:right="113"/>
              <w:jc w:val="right"/>
              <w:rPr>
                <w:sz w:val="18"/>
              </w:rPr>
            </w:pPr>
            <w:r w:rsidRPr="000C07C3">
              <w:rPr>
                <w:sz w:val="18"/>
              </w:rPr>
              <w:t>8</w:t>
            </w:r>
          </w:p>
        </w:tc>
        <w:tc>
          <w:tcPr>
            <w:tcW w:w="1418" w:type="dxa"/>
            <w:shd w:val="clear" w:color="auto" w:fill="auto"/>
            <w:vAlign w:val="bottom"/>
          </w:tcPr>
          <w:p w14:paraId="697F585F" w14:textId="77777777" w:rsidR="00263BCB" w:rsidRPr="000C07C3" w:rsidRDefault="00263BCB" w:rsidP="00037E83">
            <w:pPr>
              <w:pStyle w:val="SingleTxtG"/>
              <w:spacing w:before="40" w:after="40" w:line="220" w:lineRule="exact"/>
              <w:ind w:left="0" w:right="113"/>
              <w:jc w:val="right"/>
              <w:rPr>
                <w:sz w:val="18"/>
              </w:rPr>
            </w:pPr>
            <w:r w:rsidRPr="000C07C3">
              <w:rPr>
                <w:sz w:val="18"/>
              </w:rPr>
              <w:t>879</w:t>
            </w:r>
          </w:p>
        </w:tc>
        <w:tc>
          <w:tcPr>
            <w:tcW w:w="992" w:type="dxa"/>
            <w:shd w:val="clear" w:color="auto" w:fill="auto"/>
            <w:vAlign w:val="bottom"/>
          </w:tcPr>
          <w:p w14:paraId="556E1A90" w14:textId="77777777" w:rsidR="00263BCB" w:rsidRPr="000C07C3" w:rsidRDefault="00263BCB" w:rsidP="00037E83">
            <w:pPr>
              <w:pStyle w:val="SingleTxtG"/>
              <w:spacing w:before="40" w:after="40" w:line="220" w:lineRule="exact"/>
              <w:ind w:left="0" w:right="113"/>
              <w:jc w:val="right"/>
              <w:rPr>
                <w:sz w:val="18"/>
              </w:rPr>
            </w:pPr>
            <w:r w:rsidRPr="000C07C3">
              <w:rPr>
                <w:sz w:val="18"/>
              </w:rPr>
              <w:t>315</w:t>
            </w:r>
          </w:p>
        </w:tc>
      </w:tr>
    </w:tbl>
    <w:p w14:paraId="57D1AFB7" w14:textId="77777777" w:rsidR="00263BCB" w:rsidRPr="005D213B" w:rsidRDefault="00263BCB" w:rsidP="00263BCB">
      <w:pPr>
        <w:pStyle w:val="H23G"/>
      </w:pPr>
      <w:r>
        <w:tab/>
      </w:r>
      <w:bookmarkStart w:id="37" w:name="_Toc56781439"/>
      <w:r>
        <w:t>(h)</w:t>
      </w:r>
      <w:r>
        <w:tab/>
      </w:r>
      <w:r w:rsidRPr="005D213B">
        <w:t>Adoption (national and inter-country) (Article 21)</w:t>
      </w:r>
      <w:bookmarkEnd w:id="37"/>
    </w:p>
    <w:p w14:paraId="224EE469" w14:textId="70E68787" w:rsidR="00263BCB" w:rsidRPr="005D213B" w:rsidRDefault="00570685" w:rsidP="00570685">
      <w:pPr>
        <w:pStyle w:val="ParaNoG"/>
        <w:numPr>
          <w:ilvl w:val="0"/>
          <w:numId w:val="0"/>
        </w:numPr>
        <w:tabs>
          <w:tab w:val="left" w:pos="0"/>
        </w:tabs>
        <w:ind w:left="1134"/>
      </w:pPr>
      <w:r w:rsidRPr="005D213B">
        <w:t>101.</w:t>
      </w:r>
      <w:r w:rsidRPr="005D213B">
        <w:tab/>
      </w:r>
      <w:r w:rsidR="00263BCB" w:rsidRPr="005434D5">
        <w:t>For the purpose of protecting the best interests of children and ensuring their wellbeing</w:t>
      </w:r>
      <w:r w:rsidR="00263BCB" w:rsidRPr="005D213B">
        <w:t>, the MLSP amended the Law on the Family in August 2014</w:t>
      </w:r>
      <w:r w:rsidR="00263BCB" w:rsidRPr="00A21C4B">
        <w:rPr>
          <w:rStyle w:val="FootnoteReference"/>
        </w:rPr>
        <w:footnoteReference w:id="25"/>
      </w:r>
      <w:r w:rsidR="00263BCB" w:rsidRPr="00A21C4B">
        <w:rPr>
          <w:rStyle w:val="FootnoteReference"/>
        </w:rPr>
        <w:t xml:space="preserve"> </w:t>
      </w:r>
      <w:r w:rsidR="00263BCB" w:rsidRPr="005D213B">
        <w:t>to reduce the duration of their stay in institutions or other families from one year to nine months and also shortened the deadlines for processing by the competent institutions involved in the adoption procedure.</w:t>
      </w:r>
    </w:p>
    <w:p w14:paraId="479D5D52" w14:textId="07CA247D" w:rsidR="00263BCB" w:rsidRPr="005D213B" w:rsidRDefault="00570685" w:rsidP="00570685">
      <w:pPr>
        <w:pStyle w:val="ParaNoG"/>
        <w:numPr>
          <w:ilvl w:val="0"/>
          <w:numId w:val="0"/>
        </w:numPr>
        <w:tabs>
          <w:tab w:val="left" w:pos="0"/>
        </w:tabs>
        <w:ind w:left="1134"/>
      </w:pPr>
      <w:r w:rsidRPr="005D213B">
        <w:t>102.</w:t>
      </w:r>
      <w:r w:rsidRPr="005D213B">
        <w:tab/>
      </w:r>
      <w:r w:rsidR="00263BCB" w:rsidRPr="005D213B">
        <w:t>Furthermore, under these legal amendments, the SWC is obliged to inform the Social Work Institute in Skopje in writing within 5 days about every child whom it places in an institution or another family. The Institute will review the work of the SWC and if it identifies certain irregularities, it is obliged to inform the social inspectorate for the purpose of conducting an inspection.</w:t>
      </w:r>
    </w:p>
    <w:p w14:paraId="7B11F012" w14:textId="77777777" w:rsidR="00263BCB" w:rsidRPr="003244D2" w:rsidRDefault="00263BCB" w:rsidP="00263BCB">
      <w:pPr>
        <w:pStyle w:val="H23G"/>
        <w:rPr>
          <w:rStyle w:val="FootnoteReference"/>
          <w:b w:val="0"/>
          <w:bCs/>
        </w:rPr>
      </w:pPr>
      <w:r>
        <w:tab/>
      </w:r>
      <w:r>
        <w:tab/>
      </w:r>
      <w:bookmarkStart w:id="38" w:name="_Toc56781440"/>
      <w:r w:rsidRPr="005D213B">
        <w:t>Number of children covered by programmes for national, inter-country and kafalah adoption, disaggregated by age and information about the country of origin and the country of adoption</w:t>
      </w:r>
      <w:r w:rsidRPr="003244D2">
        <w:rPr>
          <w:rStyle w:val="FootnoteReference"/>
          <w:b w:val="0"/>
          <w:bCs/>
        </w:rPr>
        <w:footnoteReference w:id="26"/>
      </w:r>
      <w:bookmarkEnd w:id="38"/>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47"/>
        <w:gridCol w:w="1075"/>
        <w:gridCol w:w="1109"/>
        <w:gridCol w:w="1032"/>
        <w:gridCol w:w="1049"/>
        <w:gridCol w:w="1055"/>
        <w:gridCol w:w="1103"/>
      </w:tblGrid>
      <w:tr w:rsidR="00263BCB" w:rsidRPr="00C0093C" w14:paraId="1DCEB1CB" w14:textId="77777777" w:rsidTr="001212A1">
        <w:trPr>
          <w:tblHeader/>
        </w:trPr>
        <w:tc>
          <w:tcPr>
            <w:tcW w:w="1255" w:type="dxa"/>
            <w:vMerge w:val="restart"/>
            <w:tcBorders>
              <w:top w:val="single" w:sz="4" w:space="0" w:color="auto"/>
              <w:bottom w:val="single" w:sz="12" w:space="0" w:color="auto"/>
            </w:tcBorders>
            <w:shd w:val="clear" w:color="auto" w:fill="auto"/>
            <w:vAlign w:val="bottom"/>
          </w:tcPr>
          <w:p w14:paraId="7A33E835" w14:textId="77777777" w:rsidR="00263BCB" w:rsidRPr="00C0093C" w:rsidRDefault="00263BCB" w:rsidP="00C0093C">
            <w:pPr>
              <w:pStyle w:val="SingleTxtG"/>
              <w:spacing w:before="80" w:after="80" w:line="200" w:lineRule="exact"/>
              <w:ind w:left="0" w:right="113"/>
              <w:jc w:val="left"/>
              <w:rPr>
                <w:i/>
                <w:sz w:val="16"/>
              </w:rPr>
            </w:pPr>
            <w:r w:rsidRPr="00C0093C">
              <w:rPr>
                <w:i/>
                <w:sz w:val="16"/>
              </w:rPr>
              <w:t>Year</w:t>
            </w:r>
          </w:p>
        </w:tc>
        <w:tc>
          <w:tcPr>
            <w:tcW w:w="1425" w:type="dxa"/>
            <w:vMerge w:val="restart"/>
            <w:tcBorders>
              <w:top w:val="single" w:sz="4" w:space="0" w:color="auto"/>
              <w:bottom w:val="single" w:sz="12" w:space="0" w:color="auto"/>
            </w:tcBorders>
            <w:shd w:val="clear" w:color="auto" w:fill="auto"/>
            <w:vAlign w:val="bottom"/>
          </w:tcPr>
          <w:p w14:paraId="34603B41" w14:textId="77777777" w:rsidR="00263BCB" w:rsidRPr="00C0093C" w:rsidRDefault="00263BCB" w:rsidP="00C0093C">
            <w:pPr>
              <w:pStyle w:val="SingleTxtG"/>
              <w:spacing w:before="80" w:after="80" w:line="200" w:lineRule="exact"/>
              <w:ind w:left="0" w:right="113"/>
              <w:jc w:val="right"/>
              <w:rPr>
                <w:i/>
                <w:sz w:val="16"/>
              </w:rPr>
            </w:pPr>
            <w:r w:rsidRPr="00C0093C">
              <w:rPr>
                <w:i/>
                <w:sz w:val="16"/>
              </w:rPr>
              <w:t>National adoptions</w:t>
            </w:r>
          </w:p>
        </w:tc>
        <w:tc>
          <w:tcPr>
            <w:tcW w:w="5574" w:type="dxa"/>
            <w:gridSpan w:val="4"/>
            <w:tcBorders>
              <w:top w:val="single" w:sz="4" w:space="0" w:color="auto"/>
              <w:bottom w:val="single" w:sz="4" w:space="0" w:color="auto"/>
            </w:tcBorders>
            <w:shd w:val="clear" w:color="auto" w:fill="auto"/>
            <w:tcMar>
              <w:top w:w="0" w:type="dxa"/>
              <w:left w:w="108" w:type="dxa"/>
              <w:bottom w:w="0" w:type="dxa"/>
              <w:right w:w="108" w:type="dxa"/>
            </w:tcMar>
            <w:vAlign w:val="bottom"/>
          </w:tcPr>
          <w:p w14:paraId="6ACE0C25" w14:textId="77777777" w:rsidR="00263BCB" w:rsidRPr="00C0093C" w:rsidRDefault="00263BCB" w:rsidP="00312E15">
            <w:pPr>
              <w:pStyle w:val="SingleTxtG"/>
              <w:spacing w:before="80" w:after="80" w:line="200" w:lineRule="exact"/>
              <w:ind w:left="0" w:right="113"/>
              <w:jc w:val="center"/>
              <w:rPr>
                <w:i/>
                <w:sz w:val="16"/>
              </w:rPr>
            </w:pPr>
            <w:r w:rsidRPr="00C0093C">
              <w:rPr>
                <w:i/>
                <w:sz w:val="16"/>
              </w:rPr>
              <w:t>Inter-country adoptions</w:t>
            </w:r>
          </w:p>
        </w:tc>
        <w:tc>
          <w:tcPr>
            <w:tcW w:w="1462"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tcPr>
          <w:p w14:paraId="7DB4D7FB" w14:textId="77777777" w:rsidR="00263BCB" w:rsidRPr="00C0093C" w:rsidRDefault="00263BCB" w:rsidP="00C0093C">
            <w:pPr>
              <w:pStyle w:val="SingleTxtG"/>
              <w:spacing w:before="80" w:after="80" w:line="200" w:lineRule="exact"/>
              <w:ind w:left="0" w:right="113"/>
              <w:jc w:val="right"/>
              <w:rPr>
                <w:i/>
                <w:sz w:val="16"/>
              </w:rPr>
            </w:pPr>
            <w:r w:rsidRPr="00C0093C">
              <w:rPr>
                <w:i/>
                <w:sz w:val="16"/>
              </w:rPr>
              <w:t>Total</w:t>
            </w:r>
          </w:p>
        </w:tc>
      </w:tr>
      <w:tr w:rsidR="00263BCB" w:rsidRPr="00C0093C" w14:paraId="21CCC8C5" w14:textId="77777777" w:rsidTr="001212A1">
        <w:trPr>
          <w:tblHeader/>
        </w:trPr>
        <w:tc>
          <w:tcPr>
            <w:tcW w:w="1255" w:type="dxa"/>
            <w:vMerge/>
            <w:tcBorders>
              <w:top w:val="nil"/>
              <w:bottom w:val="single" w:sz="12" w:space="0" w:color="auto"/>
            </w:tcBorders>
            <w:shd w:val="clear" w:color="auto" w:fill="auto"/>
            <w:vAlign w:val="bottom"/>
          </w:tcPr>
          <w:p w14:paraId="1D878B18" w14:textId="77777777" w:rsidR="00263BCB" w:rsidRPr="00C0093C" w:rsidRDefault="00263BCB" w:rsidP="00C0093C">
            <w:pPr>
              <w:pStyle w:val="SingleTxtG"/>
              <w:spacing w:before="40" w:after="40" w:line="220" w:lineRule="exact"/>
              <w:ind w:left="0" w:right="113"/>
              <w:jc w:val="left"/>
              <w:rPr>
                <w:sz w:val="18"/>
              </w:rPr>
            </w:pPr>
          </w:p>
        </w:tc>
        <w:tc>
          <w:tcPr>
            <w:tcW w:w="1425" w:type="dxa"/>
            <w:vMerge/>
            <w:tcBorders>
              <w:top w:val="nil"/>
              <w:bottom w:val="single" w:sz="12" w:space="0" w:color="auto"/>
            </w:tcBorders>
            <w:shd w:val="clear" w:color="auto" w:fill="auto"/>
            <w:vAlign w:val="bottom"/>
          </w:tcPr>
          <w:p w14:paraId="73EFE318" w14:textId="77777777" w:rsidR="00263BCB" w:rsidRPr="00C0093C" w:rsidRDefault="00263BCB" w:rsidP="00C0093C">
            <w:pPr>
              <w:pStyle w:val="SingleTxtG"/>
              <w:spacing w:before="40" w:after="40" w:line="220" w:lineRule="exact"/>
              <w:ind w:left="0" w:right="113"/>
              <w:jc w:val="right"/>
              <w:rPr>
                <w:sz w:val="18"/>
              </w:rPr>
            </w:pPr>
          </w:p>
        </w:tc>
        <w:tc>
          <w:tcPr>
            <w:tcW w:w="1452"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4E80594" w14:textId="77777777" w:rsidR="00263BCB" w:rsidRPr="00C0093C" w:rsidRDefault="00263BCB" w:rsidP="00C0093C">
            <w:pPr>
              <w:pStyle w:val="SingleTxtG"/>
              <w:spacing w:before="80" w:after="80" w:line="200" w:lineRule="exact"/>
              <w:ind w:left="0" w:right="113"/>
              <w:jc w:val="right"/>
              <w:rPr>
                <w:i/>
                <w:sz w:val="16"/>
              </w:rPr>
            </w:pPr>
            <w:r w:rsidRPr="00C0093C">
              <w:rPr>
                <w:i/>
                <w:sz w:val="16"/>
              </w:rPr>
              <w:t>The USA</w:t>
            </w:r>
          </w:p>
        </w:tc>
        <w:tc>
          <w:tcPr>
            <w:tcW w:w="1354" w:type="dxa"/>
            <w:tcBorders>
              <w:top w:val="single" w:sz="4" w:space="0" w:color="auto"/>
              <w:bottom w:val="single" w:sz="12" w:space="0" w:color="auto"/>
            </w:tcBorders>
            <w:shd w:val="clear" w:color="auto" w:fill="auto"/>
            <w:vAlign w:val="bottom"/>
          </w:tcPr>
          <w:p w14:paraId="642AF454" w14:textId="77777777" w:rsidR="00263BCB" w:rsidRPr="00C0093C" w:rsidRDefault="00263BCB" w:rsidP="00C0093C">
            <w:pPr>
              <w:pStyle w:val="SingleTxtG"/>
              <w:spacing w:before="80" w:after="80" w:line="200" w:lineRule="exact"/>
              <w:ind w:left="0" w:right="113"/>
              <w:jc w:val="right"/>
              <w:rPr>
                <w:i/>
                <w:sz w:val="16"/>
              </w:rPr>
            </w:pPr>
            <w:r w:rsidRPr="00C0093C">
              <w:rPr>
                <w:i/>
                <w:sz w:val="16"/>
              </w:rPr>
              <w:t>Sweden</w:t>
            </w:r>
          </w:p>
        </w:tc>
        <w:tc>
          <w:tcPr>
            <w:tcW w:w="1379" w:type="dxa"/>
            <w:tcBorders>
              <w:top w:val="single" w:sz="4" w:space="0" w:color="auto"/>
              <w:bottom w:val="single" w:sz="12" w:space="0" w:color="auto"/>
            </w:tcBorders>
            <w:shd w:val="clear" w:color="auto" w:fill="auto"/>
            <w:vAlign w:val="bottom"/>
          </w:tcPr>
          <w:p w14:paraId="5EEC1421" w14:textId="77777777" w:rsidR="00263BCB" w:rsidRPr="00C0093C" w:rsidRDefault="00263BCB" w:rsidP="00C0093C">
            <w:pPr>
              <w:pStyle w:val="SingleTxtG"/>
              <w:spacing w:before="80" w:after="80" w:line="200" w:lineRule="exact"/>
              <w:ind w:left="0" w:right="113"/>
              <w:jc w:val="right"/>
              <w:rPr>
                <w:i/>
                <w:sz w:val="16"/>
              </w:rPr>
            </w:pPr>
            <w:r w:rsidRPr="00C0093C">
              <w:rPr>
                <w:i/>
                <w:sz w:val="16"/>
              </w:rPr>
              <w:t>Bulgaria</w:t>
            </w:r>
          </w:p>
        </w:tc>
        <w:tc>
          <w:tcPr>
            <w:tcW w:w="1389" w:type="dxa"/>
            <w:tcBorders>
              <w:top w:val="single" w:sz="4" w:space="0" w:color="auto"/>
              <w:bottom w:val="single" w:sz="12" w:space="0" w:color="auto"/>
            </w:tcBorders>
            <w:shd w:val="clear" w:color="auto" w:fill="auto"/>
            <w:vAlign w:val="bottom"/>
          </w:tcPr>
          <w:p w14:paraId="21CD191F" w14:textId="77777777" w:rsidR="00263BCB" w:rsidRPr="00C0093C" w:rsidRDefault="00263BCB" w:rsidP="00C0093C">
            <w:pPr>
              <w:pStyle w:val="SingleTxtG"/>
              <w:spacing w:before="80" w:after="80" w:line="200" w:lineRule="exact"/>
              <w:ind w:left="0" w:right="113"/>
              <w:jc w:val="right"/>
              <w:rPr>
                <w:i/>
                <w:sz w:val="16"/>
              </w:rPr>
            </w:pPr>
            <w:r w:rsidRPr="00C0093C">
              <w:rPr>
                <w:i/>
                <w:sz w:val="16"/>
              </w:rPr>
              <w:t>Slovenia</w:t>
            </w:r>
          </w:p>
        </w:tc>
        <w:tc>
          <w:tcPr>
            <w:tcW w:w="1462" w:type="dxa"/>
            <w:vMerge/>
            <w:tcBorders>
              <w:top w:val="single" w:sz="12" w:space="0" w:color="auto"/>
              <w:bottom w:val="single" w:sz="12" w:space="0" w:color="auto"/>
            </w:tcBorders>
            <w:shd w:val="clear" w:color="auto" w:fill="auto"/>
            <w:tcMar>
              <w:top w:w="0" w:type="dxa"/>
              <w:left w:w="0" w:type="dxa"/>
              <w:bottom w:w="0" w:type="dxa"/>
              <w:right w:w="0" w:type="dxa"/>
            </w:tcMar>
            <w:vAlign w:val="bottom"/>
          </w:tcPr>
          <w:p w14:paraId="544979A6" w14:textId="77777777" w:rsidR="00263BCB" w:rsidRPr="00C0093C" w:rsidRDefault="00263BCB" w:rsidP="00C0093C">
            <w:pPr>
              <w:pStyle w:val="SingleTxtG"/>
              <w:spacing w:before="40" w:after="40" w:line="220" w:lineRule="exact"/>
              <w:ind w:left="0" w:right="113"/>
              <w:jc w:val="right"/>
              <w:rPr>
                <w:sz w:val="18"/>
              </w:rPr>
            </w:pPr>
          </w:p>
        </w:tc>
      </w:tr>
      <w:tr w:rsidR="00263BCB" w:rsidRPr="00C0093C" w14:paraId="4E84218D" w14:textId="77777777" w:rsidTr="001212A1">
        <w:tc>
          <w:tcPr>
            <w:tcW w:w="1255" w:type="dxa"/>
            <w:tcBorders>
              <w:top w:val="single" w:sz="12" w:space="0" w:color="auto"/>
            </w:tcBorders>
            <w:shd w:val="clear" w:color="auto" w:fill="auto"/>
          </w:tcPr>
          <w:p w14:paraId="483F03E2" w14:textId="77777777" w:rsidR="00263BCB" w:rsidRPr="00C0093C" w:rsidRDefault="00263BCB" w:rsidP="00C0093C">
            <w:pPr>
              <w:pStyle w:val="SingleTxtG"/>
              <w:spacing w:before="40" w:after="40" w:line="220" w:lineRule="exact"/>
              <w:ind w:left="0" w:right="113"/>
              <w:jc w:val="left"/>
              <w:rPr>
                <w:sz w:val="18"/>
              </w:rPr>
            </w:pPr>
            <w:r w:rsidRPr="00C0093C">
              <w:rPr>
                <w:sz w:val="18"/>
              </w:rPr>
              <w:t>2014</w:t>
            </w:r>
          </w:p>
        </w:tc>
        <w:tc>
          <w:tcPr>
            <w:tcW w:w="1425" w:type="dxa"/>
            <w:tcBorders>
              <w:top w:val="single" w:sz="12" w:space="0" w:color="auto"/>
            </w:tcBorders>
            <w:shd w:val="clear" w:color="auto" w:fill="auto"/>
            <w:vAlign w:val="bottom"/>
          </w:tcPr>
          <w:p w14:paraId="3484D888" w14:textId="77777777" w:rsidR="00263BCB" w:rsidRPr="00C0093C" w:rsidRDefault="00263BCB" w:rsidP="00C0093C">
            <w:pPr>
              <w:pStyle w:val="SingleTxtG"/>
              <w:spacing w:before="40" w:after="40" w:line="220" w:lineRule="exact"/>
              <w:ind w:left="0" w:right="113"/>
              <w:jc w:val="right"/>
              <w:rPr>
                <w:sz w:val="18"/>
              </w:rPr>
            </w:pPr>
            <w:r w:rsidRPr="00C0093C">
              <w:rPr>
                <w:sz w:val="18"/>
              </w:rPr>
              <w:t>40</w:t>
            </w:r>
          </w:p>
        </w:tc>
        <w:tc>
          <w:tcPr>
            <w:tcW w:w="1452" w:type="dxa"/>
            <w:tcBorders>
              <w:top w:val="single" w:sz="12" w:space="0" w:color="auto"/>
            </w:tcBorders>
            <w:shd w:val="clear" w:color="auto" w:fill="auto"/>
            <w:tcMar>
              <w:top w:w="0" w:type="dxa"/>
              <w:left w:w="0" w:type="dxa"/>
              <w:bottom w:w="0" w:type="dxa"/>
              <w:right w:w="0" w:type="dxa"/>
            </w:tcMar>
            <w:vAlign w:val="bottom"/>
          </w:tcPr>
          <w:p w14:paraId="6773B4AB" w14:textId="77777777" w:rsidR="00263BCB" w:rsidRPr="00C0093C" w:rsidRDefault="00263BCB" w:rsidP="00C0093C">
            <w:pPr>
              <w:pStyle w:val="SingleTxtG"/>
              <w:spacing w:before="40" w:after="40" w:line="220" w:lineRule="exact"/>
              <w:ind w:left="0" w:right="113"/>
              <w:jc w:val="right"/>
              <w:rPr>
                <w:sz w:val="18"/>
              </w:rPr>
            </w:pPr>
          </w:p>
        </w:tc>
        <w:tc>
          <w:tcPr>
            <w:tcW w:w="1354" w:type="dxa"/>
            <w:tcBorders>
              <w:top w:val="single" w:sz="12" w:space="0" w:color="auto"/>
            </w:tcBorders>
            <w:shd w:val="clear" w:color="auto" w:fill="auto"/>
            <w:vAlign w:val="bottom"/>
          </w:tcPr>
          <w:p w14:paraId="5CE6E71A" w14:textId="77777777" w:rsidR="00263BCB" w:rsidRPr="00C0093C" w:rsidRDefault="00263BCB" w:rsidP="00C0093C">
            <w:pPr>
              <w:pStyle w:val="SingleTxtG"/>
              <w:spacing w:before="40" w:after="40" w:line="220" w:lineRule="exact"/>
              <w:ind w:left="0" w:right="113"/>
              <w:jc w:val="right"/>
              <w:rPr>
                <w:sz w:val="18"/>
              </w:rPr>
            </w:pPr>
          </w:p>
        </w:tc>
        <w:tc>
          <w:tcPr>
            <w:tcW w:w="1379" w:type="dxa"/>
            <w:tcBorders>
              <w:top w:val="single" w:sz="12" w:space="0" w:color="auto"/>
            </w:tcBorders>
            <w:shd w:val="clear" w:color="auto" w:fill="auto"/>
            <w:vAlign w:val="bottom"/>
          </w:tcPr>
          <w:p w14:paraId="213CA843" w14:textId="77777777" w:rsidR="00263BCB" w:rsidRPr="00C0093C" w:rsidRDefault="00263BCB" w:rsidP="00C0093C">
            <w:pPr>
              <w:pStyle w:val="SingleTxtG"/>
              <w:spacing w:before="40" w:after="40" w:line="220" w:lineRule="exact"/>
              <w:ind w:left="0" w:right="113"/>
              <w:jc w:val="right"/>
              <w:rPr>
                <w:sz w:val="18"/>
              </w:rPr>
            </w:pPr>
          </w:p>
        </w:tc>
        <w:tc>
          <w:tcPr>
            <w:tcW w:w="1389" w:type="dxa"/>
            <w:tcBorders>
              <w:top w:val="single" w:sz="12" w:space="0" w:color="auto"/>
            </w:tcBorders>
            <w:shd w:val="clear" w:color="auto" w:fill="auto"/>
            <w:vAlign w:val="bottom"/>
          </w:tcPr>
          <w:p w14:paraId="2F0FE7AF" w14:textId="77777777" w:rsidR="00263BCB" w:rsidRPr="00C0093C" w:rsidRDefault="00263BCB" w:rsidP="00C0093C">
            <w:pPr>
              <w:pStyle w:val="SingleTxtG"/>
              <w:spacing w:before="40" w:after="40" w:line="220" w:lineRule="exact"/>
              <w:ind w:left="0" w:right="113"/>
              <w:jc w:val="right"/>
              <w:rPr>
                <w:sz w:val="18"/>
              </w:rPr>
            </w:pPr>
          </w:p>
        </w:tc>
        <w:tc>
          <w:tcPr>
            <w:tcW w:w="1462" w:type="dxa"/>
            <w:tcBorders>
              <w:top w:val="single" w:sz="12" w:space="0" w:color="auto"/>
            </w:tcBorders>
            <w:shd w:val="clear" w:color="auto" w:fill="auto"/>
            <w:tcMar>
              <w:top w:w="0" w:type="dxa"/>
              <w:left w:w="0" w:type="dxa"/>
              <w:bottom w:w="0" w:type="dxa"/>
              <w:right w:w="0" w:type="dxa"/>
            </w:tcMar>
            <w:vAlign w:val="bottom"/>
          </w:tcPr>
          <w:p w14:paraId="1037FA25" w14:textId="77777777" w:rsidR="00263BCB" w:rsidRPr="00C0093C" w:rsidRDefault="00263BCB" w:rsidP="00C0093C">
            <w:pPr>
              <w:pStyle w:val="SingleTxtG"/>
              <w:spacing w:before="40" w:after="40" w:line="220" w:lineRule="exact"/>
              <w:ind w:left="0" w:right="113"/>
              <w:jc w:val="right"/>
              <w:rPr>
                <w:sz w:val="18"/>
              </w:rPr>
            </w:pPr>
            <w:r w:rsidRPr="00C0093C">
              <w:rPr>
                <w:sz w:val="18"/>
              </w:rPr>
              <w:t>40</w:t>
            </w:r>
          </w:p>
        </w:tc>
      </w:tr>
      <w:tr w:rsidR="00263BCB" w:rsidRPr="00C0093C" w14:paraId="34A4D748" w14:textId="77777777" w:rsidTr="001212A1">
        <w:tc>
          <w:tcPr>
            <w:tcW w:w="1255" w:type="dxa"/>
            <w:shd w:val="clear" w:color="auto" w:fill="auto"/>
          </w:tcPr>
          <w:p w14:paraId="3E07FC55" w14:textId="77777777" w:rsidR="00263BCB" w:rsidRPr="00C0093C" w:rsidRDefault="00263BCB" w:rsidP="00C0093C">
            <w:pPr>
              <w:pStyle w:val="SingleTxtG"/>
              <w:spacing w:before="40" w:after="40" w:line="220" w:lineRule="exact"/>
              <w:ind w:left="0" w:right="113"/>
              <w:jc w:val="left"/>
              <w:rPr>
                <w:sz w:val="18"/>
              </w:rPr>
            </w:pPr>
            <w:r w:rsidRPr="00C0093C">
              <w:rPr>
                <w:sz w:val="18"/>
              </w:rPr>
              <w:t>2015</w:t>
            </w:r>
          </w:p>
        </w:tc>
        <w:tc>
          <w:tcPr>
            <w:tcW w:w="1425" w:type="dxa"/>
            <w:shd w:val="clear" w:color="auto" w:fill="auto"/>
            <w:vAlign w:val="bottom"/>
          </w:tcPr>
          <w:p w14:paraId="5368281D" w14:textId="77777777" w:rsidR="00263BCB" w:rsidRPr="00C0093C" w:rsidRDefault="00263BCB" w:rsidP="00C0093C">
            <w:pPr>
              <w:pStyle w:val="SingleTxtG"/>
              <w:spacing w:before="40" w:after="40" w:line="220" w:lineRule="exact"/>
              <w:ind w:left="0" w:right="113"/>
              <w:jc w:val="right"/>
              <w:rPr>
                <w:sz w:val="18"/>
              </w:rPr>
            </w:pPr>
            <w:r w:rsidRPr="00C0093C">
              <w:rPr>
                <w:sz w:val="18"/>
              </w:rPr>
              <w:t>37</w:t>
            </w:r>
          </w:p>
        </w:tc>
        <w:tc>
          <w:tcPr>
            <w:tcW w:w="1452" w:type="dxa"/>
            <w:shd w:val="clear" w:color="auto" w:fill="auto"/>
            <w:tcMar>
              <w:top w:w="0" w:type="dxa"/>
              <w:left w:w="0" w:type="dxa"/>
              <w:bottom w:w="0" w:type="dxa"/>
              <w:right w:w="0" w:type="dxa"/>
            </w:tcMar>
            <w:vAlign w:val="bottom"/>
          </w:tcPr>
          <w:p w14:paraId="5DD7B534" w14:textId="77777777" w:rsidR="00263BCB" w:rsidRPr="00C0093C" w:rsidRDefault="00263BCB" w:rsidP="00C0093C">
            <w:pPr>
              <w:pStyle w:val="SingleTxtG"/>
              <w:spacing w:before="40" w:after="40" w:line="220" w:lineRule="exact"/>
              <w:ind w:left="0" w:right="113"/>
              <w:jc w:val="right"/>
              <w:rPr>
                <w:sz w:val="18"/>
              </w:rPr>
            </w:pPr>
          </w:p>
        </w:tc>
        <w:tc>
          <w:tcPr>
            <w:tcW w:w="1354" w:type="dxa"/>
            <w:shd w:val="clear" w:color="auto" w:fill="auto"/>
            <w:vAlign w:val="bottom"/>
          </w:tcPr>
          <w:p w14:paraId="374F6F79" w14:textId="77777777" w:rsidR="00263BCB" w:rsidRPr="00C0093C" w:rsidRDefault="00263BCB" w:rsidP="00C0093C">
            <w:pPr>
              <w:pStyle w:val="SingleTxtG"/>
              <w:spacing w:before="40" w:after="40" w:line="220" w:lineRule="exact"/>
              <w:ind w:left="0" w:right="113"/>
              <w:jc w:val="right"/>
              <w:rPr>
                <w:sz w:val="18"/>
              </w:rPr>
            </w:pPr>
            <w:r w:rsidRPr="00C0093C">
              <w:rPr>
                <w:sz w:val="18"/>
              </w:rPr>
              <w:t>1</w:t>
            </w:r>
          </w:p>
        </w:tc>
        <w:tc>
          <w:tcPr>
            <w:tcW w:w="1379" w:type="dxa"/>
            <w:shd w:val="clear" w:color="auto" w:fill="auto"/>
            <w:vAlign w:val="bottom"/>
          </w:tcPr>
          <w:p w14:paraId="7D7437CA" w14:textId="77777777" w:rsidR="00263BCB" w:rsidRPr="00C0093C" w:rsidRDefault="00263BCB" w:rsidP="00C0093C">
            <w:pPr>
              <w:pStyle w:val="SingleTxtG"/>
              <w:spacing w:before="40" w:after="40" w:line="220" w:lineRule="exact"/>
              <w:ind w:left="0" w:right="113"/>
              <w:jc w:val="right"/>
              <w:rPr>
                <w:sz w:val="18"/>
              </w:rPr>
            </w:pPr>
          </w:p>
        </w:tc>
        <w:tc>
          <w:tcPr>
            <w:tcW w:w="1389" w:type="dxa"/>
            <w:shd w:val="clear" w:color="auto" w:fill="auto"/>
            <w:vAlign w:val="bottom"/>
          </w:tcPr>
          <w:p w14:paraId="6E8D417B" w14:textId="77777777" w:rsidR="00263BCB" w:rsidRPr="00C0093C" w:rsidRDefault="00263BCB" w:rsidP="00C0093C">
            <w:pPr>
              <w:pStyle w:val="SingleTxtG"/>
              <w:spacing w:before="40" w:after="40" w:line="220" w:lineRule="exact"/>
              <w:ind w:left="0" w:right="113"/>
              <w:jc w:val="right"/>
              <w:rPr>
                <w:sz w:val="18"/>
              </w:rPr>
            </w:pPr>
          </w:p>
        </w:tc>
        <w:tc>
          <w:tcPr>
            <w:tcW w:w="1462" w:type="dxa"/>
            <w:shd w:val="clear" w:color="auto" w:fill="auto"/>
            <w:tcMar>
              <w:top w:w="0" w:type="dxa"/>
              <w:left w:w="0" w:type="dxa"/>
              <w:bottom w:w="0" w:type="dxa"/>
              <w:right w:w="0" w:type="dxa"/>
            </w:tcMar>
            <w:vAlign w:val="bottom"/>
          </w:tcPr>
          <w:p w14:paraId="3C160AB0" w14:textId="77777777" w:rsidR="00263BCB" w:rsidRPr="00C0093C" w:rsidRDefault="00263BCB" w:rsidP="00C0093C">
            <w:pPr>
              <w:pStyle w:val="SingleTxtG"/>
              <w:spacing w:before="40" w:after="40" w:line="220" w:lineRule="exact"/>
              <w:ind w:left="0" w:right="113"/>
              <w:jc w:val="right"/>
              <w:rPr>
                <w:sz w:val="18"/>
              </w:rPr>
            </w:pPr>
            <w:r w:rsidRPr="00C0093C">
              <w:rPr>
                <w:sz w:val="18"/>
              </w:rPr>
              <w:t>38</w:t>
            </w:r>
          </w:p>
        </w:tc>
      </w:tr>
      <w:tr w:rsidR="00263BCB" w:rsidRPr="00C0093C" w14:paraId="6E9208B4" w14:textId="77777777" w:rsidTr="001212A1">
        <w:tc>
          <w:tcPr>
            <w:tcW w:w="1255" w:type="dxa"/>
            <w:shd w:val="clear" w:color="auto" w:fill="auto"/>
          </w:tcPr>
          <w:p w14:paraId="32E3BABA" w14:textId="77777777" w:rsidR="00263BCB" w:rsidRPr="00C0093C" w:rsidRDefault="00263BCB" w:rsidP="00C0093C">
            <w:pPr>
              <w:pStyle w:val="SingleTxtG"/>
              <w:spacing w:before="40" w:after="40" w:line="220" w:lineRule="exact"/>
              <w:ind w:left="0" w:right="113"/>
              <w:jc w:val="left"/>
              <w:rPr>
                <w:sz w:val="18"/>
              </w:rPr>
            </w:pPr>
            <w:r w:rsidRPr="00C0093C">
              <w:rPr>
                <w:sz w:val="18"/>
              </w:rPr>
              <w:t>2016</w:t>
            </w:r>
          </w:p>
        </w:tc>
        <w:tc>
          <w:tcPr>
            <w:tcW w:w="1425" w:type="dxa"/>
            <w:shd w:val="clear" w:color="auto" w:fill="auto"/>
            <w:vAlign w:val="bottom"/>
          </w:tcPr>
          <w:p w14:paraId="657F35AE" w14:textId="77777777" w:rsidR="00263BCB" w:rsidRPr="00C0093C" w:rsidRDefault="00263BCB" w:rsidP="00C0093C">
            <w:pPr>
              <w:pStyle w:val="SingleTxtG"/>
              <w:spacing w:before="40" w:after="40" w:line="220" w:lineRule="exact"/>
              <w:ind w:left="0" w:right="113"/>
              <w:jc w:val="right"/>
              <w:rPr>
                <w:sz w:val="18"/>
              </w:rPr>
            </w:pPr>
            <w:r w:rsidRPr="00C0093C">
              <w:rPr>
                <w:sz w:val="18"/>
              </w:rPr>
              <w:t>32</w:t>
            </w:r>
          </w:p>
        </w:tc>
        <w:tc>
          <w:tcPr>
            <w:tcW w:w="1452" w:type="dxa"/>
            <w:shd w:val="clear" w:color="auto" w:fill="auto"/>
            <w:tcMar>
              <w:top w:w="0" w:type="dxa"/>
              <w:left w:w="0" w:type="dxa"/>
              <w:bottom w:w="0" w:type="dxa"/>
              <w:right w:w="0" w:type="dxa"/>
            </w:tcMar>
            <w:vAlign w:val="bottom"/>
          </w:tcPr>
          <w:p w14:paraId="5C3B3252" w14:textId="77777777" w:rsidR="00263BCB" w:rsidRPr="00C0093C" w:rsidRDefault="00263BCB" w:rsidP="00C0093C">
            <w:pPr>
              <w:pStyle w:val="SingleTxtG"/>
              <w:spacing w:before="40" w:after="40" w:line="220" w:lineRule="exact"/>
              <w:ind w:left="0" w:right="113"/>
              <w:jc w:val="right"/>
              <w:rPr>
                <w:sz w:val="18"/>
              </w:rPr>
            </w:pPr>
          </w:p>
        </w:tc>
        <w:tc>
          <w:tcPr>
            <w:tcW w:w="1354" w:type="dxa"/>
            <w:shd w:val="clear" w:color="auto" w:fill="auto"/>
            <w:vAlign w:val="bottom"/>
          </w:tcPr>
          <w:p w14:paraId="66065305" w14:textId="77777777" w:rsidR="00263BCB" w:rsidRPr="00C0093C" w:rsidRDefault="00263BCB" w:rsidP="00C0093C">
            <w:pPr>
              <w:pStyle w:val="SingleTxtG"/>
              <w:spacing w:before="40" w:after="40" w:line="220" w:lineRule="exact"/>
              <w:ind w:left="0" w:right="113"/>
              <w:jc w:val="right"/>
              <w:rPr>
                <w:sz w:val="18"/>
              </w:rPr>
            </w:pPr>
            <w:r w:rsidRPr="00C0093C">
              <w:rPr>
                <w:sz w:val="18"/>
              </w:rPr>
              <w:t>2</w:t>
            </w:r>
          </w:p>
        </w:tc>
        <w:tc>
          <w:tcPr>
            <w:tcW w:w="1379" w:type="dxa"/>
            <w:shd w:val="clear" w:color="auto" w:fill="auto"/>
            <w:vAlign w:val="bottom"/>
          </w:tcPr>
          <w:p w14:paraId="1BABE1DA" w14:textId="77777777" w:rsidR="00263BCB" w:rsidRPr="00C0093C" w:rsidRDefault="00263BCB" w:rsidP="00C0093C">
            <w:pPr>
              <w:pStyle w:val="SingleTxtG"/>
              <w:spacing w:before="40" w:after="40" w:line="220" w:lineRule="exact"/>
              <w:ind w:left="0" w:right="113"/>
              <w:jc w:val="right"/>
              <w:rPr>
                <w:sz w:val="18"/>
              </w:rPr>
            </w:pPr>
            <w:r w:rsidRPr="00C0093C">
              <w:rPr>
                <w:sz w:val="18"/>
              </w:rPr>
              <w:t>1</w:t>
            </w:r>
          </w:p>
        </w:tc>
        <w:tc>
          <w:tcPr>
            <w:tcW w:w="1389" w:type="dxa"/>
            <w:shd w:val="clear" w:color="auto" w:fill="auto"/>
            <w:vAlign w:val="bottom"/>
          </w:tcPr>
          <w:p w14:paraId="2C04256A" w14:textId="77777777" w:rsidR="00263BCB" w:rsidRPr="00C0093C" w:rsidRDefault="00263BCB" w:rsidP="00C0093C">
            <w:pPr>
              <w:pStyle w:val="SingleTxtG"/>
              <w:spacing w:before="40" w:after="40" w:line="220" w:lineRule="exact"/>
              <w:ind w:left="0" w:right="113"/>
              <w:jc w:val="right"/>
              <w:rPr>
                <w:sz w:val="18"/>
              </w:rPr>
            </w:pPr>
            <w:r w:rsidRPr="00C0093C">
              <w:rPr>
                <w:sz w:val="18"/>
              </w:rPr>
              <w:t>1</w:t>
            </w:r>
          </w:p>
        </w:tc>
        <w:tc>
          <w:tcPr>
            <w:tcW w:w="1462" w:type="dxa"/>
            <w:shd w:val="clear" w:color="auto" w:fill="auto"/>
            <w:tcMar>
              <w:top w:w="0" w:type="dxa"/>
              <w:left w:w="0" w:type="dxa"/>
              <w:bottom w:w="0" w:type="dxa"/>
              <w:right w:w="0" w:type="dxa"/>
            </w:tcMar>
            <w:vAlign w:val="bottom"/>
          </w:tcPr>
          <w:p w14:paraId="361C1658" w14:textId="77777777" w:rsidR="00263BCB" w:rsidRPr="00C0093C" w:rsidRDefault="00263BCB" w:rsidP="00C0093C">
            <w:pPr>
              <w:pStyle w:val="SingleTxtG"/>
              <w:spacing w:before="40" w:after="40" w:line="220" w:lineRule="exact"/>
              <w:ind w:left="0" w:right="113"/>
              <w:jc w:val="right"/>
              <w:rPr>
                <w:sz w:val="18"/>
              </w:rPr>
            </w:pPr>
            <w:r w:rsidRPr="00C0093C">
              <w:rPr>
                <w:sz w:val="18"/>
              </w:rPr>
              <w:t>36</w:t>
            </w:r>
          </w:p>
        </w:tc>
      </w:tr>
      <w:tr w:rsidR="00263BCB" w:rsidRPr="00C0093C" w14:paraId="5FFAB5C4" w14:textId="77777777" w:rsidTr="001212A1">
        <w:tc>
          <w:tcPr>
            <w:tcW w:w="1255" w:type="dxa"/>
            <w:shd w:val="clear" w:color="auto" w:fill="auto"/>
          </w:tcPr>
          <w:p w14:paraId="7364E051" w14:textId="77777777" w:rsidR="00263BCB" w:rsidRPr="00C0093C" w:rsidRDefault="00263BCB" w:rsidP="00C0093C">
            <w:pPr>
              <w:pStyle w:val="SingleTxtG"/>
              <w:spacing w:before="40" w:after="40" w:line="220" w:lineRule="exact"/>
              <w:ind w:left="0" w:right="113"/>
              <w:jc w:val="left"/>
              <w:rPr>
                <w:sz w:val="18"/>
              </w:rPr>
            </w:pPr>
            <w:r w:rsidRPr="00C0093C">
              <w:rPr>
                <w:sz w:val="18"/>
              </w:rPr>
              <w:t>2017</w:t>
            </w:r>
          </w:p>
        </w:tc>
        <w:tc>
          <w:tcPr>
            <w:tcW w:w="1425" w:type="dxa"/>
            <w:shd w:val="clear" w:color="auto" w:fill="auto"/>
            <w:vAlign w:val="bottom"/>
          </w:tcPr>
          <w:p w14:paraId="7FFE783C" w14:textId="77777777" w:rsidR="00263BCB" w:rsidRPr="00C0093C" w:rsidRDefault="00263BCB" w:rsidP="00C0093C">
            <w:pPr>
              <w:pStyle w:val="SingleTxtG"/>
              <w:spacing w:before="40" w:after="40" w:line="220" w:lineRule="exact"/>
              <w:ind w:left="0" w:right="113"/>
              <w:jc w:val="right"/>
              <w:rPr>
                <w:sz w:val="18"/>
              </w:rPr>
            </w:pPr>
            <w:r w:rsidRPr="00C0093C">
              <w:rPr>
                <w:sz w:val="18"/>
              </w:rPr>
              <w:t>47</w:t>
            </w:r>
          </w:p>
        </w:tc>
        <w:tc>
          <w:tcPr>
            <w:tcW w:w="1452" w:type="dxa"/>
            <w:shd w:val="clear" w:color="auto" w:fill="auto"/>
            <w:tcMar>
              <w:top w:w="0" w:type="dxa"/>
              <w:left w:w="0" w:type="dxa"/>
              <w:bottom w:w="0" w:type="dxa"/>
              <w:right w:w="0" w:type="dxa"/>
            </w:tcMar>
            <w:vAlign w:val="bottom"/>
          </w:tcPr>
          <w:p w14:paraId="60579CE4" w14:textId="77777777" w:rsidR="00263BCB" w:rsidRPr="00C0093C" w:rsidRDefault="00263BCB" w:rsidP="00C0093C">
            <w:pPr>
              <w:pStyle w:val="SingleTxtG"/>
              <w:spacing w:before="40" w:after="40" w:line="220" w:lineRule="exact"/>
              <w:ind w:left="0" w:right="113"/>
              <w:jc w:val="right"/>
              <w:rPr>
                <w:sz w:val="18"/>
              </w:rPr>
            </w:pPr>
          </w:p>
        </w:tc>
        <w:tc>
          <w:tcPr>
            <w:tcW w:w="1354" w:type="dxa"/>
            <w:shd w:val="clear" w:color="auto" w:fill="auto"/>
            <w:vAlign w:val="bottom"/>
          </w:tcPr>
          <w:p w14:paraId="1C2AC3DA" w14:textId="77777777" w:rsidR="00263BCB" w:rsidRPr="00C0093C" w:rsidRDefault="00263BCB" w:rsidP="00C0093C">
            <w:pPr>
              <w:pStyle w:val="SingleTxtG"/>
              <w:spacing w:before="40" w:after="40" w:line="220" w:lineRule="exact"/>
              <w:ind w:left="0" w:right="113"/>
              <w:jc w:val="right"/>
              <w:rPr>
                <w:sz w:val="18"/>
              </w:rPr>
            </w:pPr>
            <w:r w:rsidRPr="00C0093C">
              <w:rPr>
                <w:sz w:val="18"/>
              </w:rPr>
              <w:t>3</w:t>
            </w:r>
          </w:p>
        </w:tc>
        <w:tc>
          <w:tcPr>
            <w:tcW w:w="1379" w:type="dxa"/>
            <w:shd w:val="clear" w:color="auto" w:fill="auto"/>
            <w:vAlign w:val="bottom"/>
          </w:tcPr>
          <w:p w14:paraId="2FA840B0" w14:textId="77777777" w:rsidR="00263BCB" w:rsidRPr="00C0093C" w:rsidRDefault="00263BCB" w:rsidP="00C0093C">
            <w:pPr>
              <w:pStyle w:val="SingleTxtG"/>
              <w:spacing w:before="40" w:after="40" w:line="220" w:lineRule="exact"/>
              <w:ind w:left="0" w:right="113"/>
              <w:jc w:val="right"/>
              <w:rPr>
                <w:sz w:val="18"/>
              </w:rPr>
            </w:pPr>
          </w:p>
        </w:tc>
        <w:tc>
          <w:tcPr>
            <w:tcW w:w="1389" w:type="dxa"/>
            <w:shd w:val="clear" w:color="auto" w:fill="auto"/>
            <w:vAlign w:val="bottom"/>
          </w:tcPr>
          <w:p w14:paraId="64C66625" w14:textId="77777777" w:rsidR="00263BCB" w:rsidRPr="00C0093C" w:rsidRDefault="00263BCB" w:rsidP="00C0093C">
            <w:pPr>
              <w:pStyle w:val="SingleTxtG"/>
              <w:spacing w:before="40" w:after="40" w:line="220" w:lineRule="exact"/>
              <w:ind w:left="0" w:right="113"/>
              <w:jc w:val="right"/>
              <w:rPr>
                <w:sz w:val="18"/>
              </w:rPr>
            </w:pPr>
          </w:p>
        </w:tc>
        <w:tc>
          <w:tcPr>
            <w:tcW w:w="1462" w:type="dxa"/>
            <w:shd w:val="clear" w:color="auto" w:fill="auto"/>
            <w:tcMar>
              <w:top w:w="0" w:type="dxa"/>
              <w:left w:w="0" w:type="dxa"/>
              <w:bottom w:w="0" w:type="dxa"/>
              <w:right w:w="0" w:type="dxa"/>
            </w:tcMar>
            <w:vAlign w:val="bottom"/>
          </w:tcPr>
          <w:p w14:paraId="2A497ADA" w14:textId="77777777" w:rsidR="00263BCB" w:rsidRPr="00C0093C" w:rsidRDefault="00263BCB" w:rsidP="00C0093C">
            <w:pPr>
              <w:pStyle w:val="SingleTxtG"/>
              <w:spacing w:before="40" w:after="40" w:line="220" w:lineRule="exact"/>
              <w:ind w:left="0" w:right="113"/>
              <w:jc w:val="right"/>
              <w:rPr>
                <w:sz w:val="18"/>
              </w:rPr>
            </w:pPr>
            <w:r w:rsidRPr="00C0093C">
              <w:rPr>
                <w:sz w:val="18"/>
              </w:rPr>
              <w:t>50</w:t>
            </w:r>
          </w:p>
        </w:tc>
      </w:tr>
      <w:tr w:rsidR="00263BCB" w:rsidRPr="00C0093C" w14:paraId="083E0ADA" w14:textId="77777777" w:rsidTr="001212A1">
        <w:tc>
          <w:tcPr>
            <w:tcW w:w="1255" w:type="dxa"/>
            <w:shd w:val="clear" w:color="auto" w:fill="auto"/>
          </w:tcPr>
          <w:p w14:paraId="301BFF5D" w14:textId="77777777" w:rsidR="00263BCB" w:rsidRPr="00C0093C" w:rsidRDefault="00263BCB" w:rsidP="00C0093C">
            <w:pPr>
              <w:pStyle w:val="SingleTxtG"/>
              <w:spacing w:before="40" w:after="40" w:line="220" w:lineRule="exact"/>
              <w:ind w:left="0" w:right="113"/>
              <w:jc w:val="left"/>
              <w:rPr>
                <w:sz w:val="18"/>
              </w:rPr>
            </w:pPr>
            <w:r w:rsidRPr="00C0093C">
              <w:rPr>
                <w:sz w:val="18"/>
              </w:rPr>
              <w:t>2018</w:t>
            </w:r>
          </w:p>
        </w:tc>
        <w:tc>
          <w:tcPr>
            <w:tcW w:w="1425" w:type="dxa"/>
            <w:shd w:val="clear" w:color="auto" w:fill="auto"/>
            <w:vAlign w:val="bottom"/>
          </w:tcPr>
          <w:p w14:paraId="3D20607C" w14:textId="77777777" w:rsidR="00263BCB" w:rsidRPr="00C0093C" w:rsidRDefault="00263BCB" w:rsidP="00C0093C">
            <w:pPr>
              <w:pStyle w:val="SingleTxtG"/>
              <w:spacing w:before="40" w:after="40" w:line="220" w:lineRule="exact"/>
              <w:ind w:left="0" w:right="113"/>
              <w:jc w:val="right"/>
              <w:rPr>
                <w:sz w:val="18"/>
              </w:rPr>
            </w:pPr>
            <w:r w:rsidRPr="00C0093C">
              <w:rPr>
                <w:sz w:val="18"/>
              </w:rPr>
              <w:t>13</w:t>
            </w:r>
          </w:p>
        </w:tc>
        <w:tc>
          <w:tcPr>
            <w:tcW w:w="1452" w:type="dxa"/>
            <w:shd w:val="clear" w:color="auto" w:fill="auto"/>
            <w:tcMar>
              <w:top w:w="0" w:type="dxa"/>
              <w:left w:w="0" w:type="dxa"/>
              <w:bottom w:w="0" w:type="dxa"/>
              <w:right w:w="0" w:type="dxa"/>
            </w:tcMar>
            <w:vAlign w:val="bottom"/>
          </w:tcPr>
          <w:p w14:paraId="1E225CC0" w14:textId="77777777" w:rsidR="00263BCB" w:rsidRPr="00C0093C" w:rsidRDefault="00263BCB" w:rsidP="00C0093C">
            <w:pPr>
              <w:pStyle w:val="SingleTxtG"/>
              <w:spacing w:before="40" w:after="40" w:line="220" w:lineRule="exact"/>
              <w:ind w:left="0" w:right="113"/>
              <w:jc w:val="right"/>
              <w:rPr>
                <w:sz w:val="18"/>
              </w:rPr>
            </w:pPr>
            <w:r w:rsidRPr="00C0093C">
              <w:rPr>
                <w:sz w:val="18"/>
              </w:rPr>
              <w:t>1</w:t>
            </w:r>
          </w:p>
        </w:tc>
        <w:tc>
          <w:tcPr>
            <w:tcW w:w="1354" w:type="dxa"/>
            <w:shd w:val="clear" w:color="auto" w:fill="auto"/>
            <w:vAlign w:val="bottom"/>
          </w:tcPr>
          <w:p w14:paraId="274CF437" w14:textId="77777777" w:rsidR="00263BCB" w:rsidRPr="00C0093C" w:rsidRDefault="00263BCB" w:rsidP="00C0093C">
            <w:pPr>
              <w:pStyle w:val="SingleTxtG"/>
              <w:spacing w:before="40" w:after="40" w:line="220" w:lineRule="exact"/>
              <w:ind w:left="0" w:right="113"/>
              <w:jc w:val="right"/>
              <w:rPr>
                <w:sz w:val="18"/>
              </w:rPr>
            </w:pPr>
          </w:p>
        </w:tc>
        <w:tc>
          <w:tcPr>
            <w:tcW w:w="1379" w:type="dxa"/>
            <w:shd w:val="clear" w:color="auto" w:fill="auto"/>
            <w:vAlign w:val="bottom"/>
          </w:tcPr>
          <w:p w14:paraId="4E4199E0" w14:textId="77777777" w:rsidR="00263BCB" w:rsidRPr="00C0093C" w:rsidRDefault="00263BCB" w:rsidP="00C0093C">
            <w:pPr>
              <w:pStyle w:val="SingleTxtG"/>
              <w:spacing w:before="40" w:after="40" w:line="220" w:lineRule="exact"/>
              <w:ind w:left="0" w:right="113"/>
              <w:jc w:val="right"/>
              <w:rPr>
                <w:sz w:val="18"/>
              </w:rPr>
            </w:pPr>
          </w:p>
        </w:tc>
        <w:tc>
          <w:tcPr>
            <w:tcW w:w="1389" w:type="dxa"/>
            <w:shd w:val="clear" w:color="auto" w:fill="auto"/>
            <w:vAlign w:val="bottom"/>
          </w:tcPr>
          <w:p w14:paraId="45B9138C" w14:textId="77777777" w:rsidR="00263BCB" w:rsidRPr="00C0093C" w:rsidRDefault="00263BCB" w:rsidP="00C0093C">
            <w:pPr>
              <w:pStyle w:val="SingleTxtG"/>
              <w:spacing w:before="40" w:after="40" w:line="220" w:lineRule="exact"/>
              <w:ind w:left="0" w:right="113"/>
              <w:jc w:val="right"/>
              <w:rPr>
                <w:sz w:val="18"/>
              </w:rPr>
            </w:pPr>
          </w:p>
        </w:tc>
        <w:tc>
          <w:tcPr>
            <w:tcW w:w="1462" w:type="dxa"/>
            <w:shd w:val="clear" w:color="auto" w:fill="auto"/>
            <w:tcMar>
              <w:top w:w="0" w:type="dxa"/>
              <w:left w:w="0" w:type="dxa"/>
              <w:bottom w:w="0" w:type="dxa"/>
              <w:right w:w="0" w:type="dxa"/>
            </w:tcMar>
            <w:vAlign w:val="bottom"/>
          </w:tcPr>
          <w:p w14:paraId="682FAE49" w14:textId="77777777" w:rsidR="00263BCB" w:rsidRPr="00C0093C" w:rsidRDefault="00263BCB" w:rsidP="00C0093C">
            <w:pPr>
              <w:pStyle w:val="SingleTxtG"/>
              <w:spacing w:before="40" w:after="40" w:line="220" w:lineRule="exact"/>
              <w:ind w:left="0" w:right="113"/>
              <w:jc w:val="right"/>
              <w:rPr>
                <w:sz w:val="18"/>
              </w:rPr>
            </w:pPr>
            <w:r w:rsidRPr="00C0093C">
              <w:rPr>
                <w:sz w:val="18"/>
              </w:rPr>
              <w:t>14</w:t>
            </w:r>
          </w:p>
        </w:tc>
      </w:tr>
    </w:tbl>
    <w:p w14:paraId="4F3308FD" w14:textId="77777777" w:rsidR="00263BCB" w:rsidRDefault="00263BCB" w:rsidP="00263BCB">
      <w:pPr>
        <w:pStyle w:val="H1G"/>
      </w:pPr>
      <w:r>
        <w:tab/>
      </w:r>
      <w:bookmarkStart w:id="39" w:name="_Toc56781441"/>
      <w:r>
        <w:t>7.</w:t>
      </w:r>
      <w:r>
        <w:tab/>
      </w:r>
      <w:r w:rsidRPr="005D213B">
        <w:t xml:space="preserve">Disability, </w:t>
      </w:r>
      <w:r>
        <w:t xml:space="preserve">basic </w:t>
      </w:r>
      <w:r w:rsidRPr="005D213B">
        <w:t xml:space="preserve">health condition and </w:t>
      </w:r>
      <w:r>
        <w:t>welfare</w:t>
      </w:r>
      <w:r w:rsidRPr="005D213B">
        <w:t xml:space="preserve"> (</w:t>
      </w:r>
      <w:r>
        <w:t>arts.</w:t>
      </w:r>
      <w:r w:rsidRPr="005D213B">
        <w:t xml:space="preserve"> 6, 18, paragraph 3, 23, 24, 26, 27, paragraphs 1–3, and 33)</w:t>
      </w:r>
      <w:bookmarkEnd w:id="39"/>
    </w:p>
    <w:p w14:paraId="73ECA9CC" w14:textId="6E77DF9B" w:rsidR="00263BCB" w:rsidRPr="005D213B" w:rsidRDefault="00570685" w:rsidP="00570685">
      <w:pPr>
        <w:pStyle w:val="ParaNoG"/>
        <w:numPr>
          <w:ilvl w:val="0"/>
          <w:numId w:val="0"/>
        </w:numPr>
        <w:tabs>
          <w:tab w:val="left" w:pos="0"/>
        </w:tabs>
        <w:ind w:left="1134"/>
      </w:pPr>
      <w:r w:rsidRPr="005D213B">
        <w:t>103.</w:t>
      </w:r>
      <w:r w:rsidRPr="005D213B">
        <w:tab/>
      </w:r>
      <w:r w:rsidR="00263BCB" w:rsidRPr="005D213B">
        <w:t>Under the 2008–2018 National Strategy for Deinstitutionalisation within the Social Protection System, a number of measures were taken to promote the accessibility of inclusive care to children with disabilities.</w:t>
      </w:r>
    </w:p>
    <w:p w14:paraId="593AF9C8" w14:textId="42AFD47F" w:rsidR="00263BCB" w:rsidRPr="005D213B" w:rsidRDefault="00570685" w:rsidP="00570685">
      <w:pPr>
        <w:pStyle w:val="ParaNoG"/>
        <w:numPr>
          <w:ilvl w:val="0"/>
          <w:numId w:val="0"/>
        </w:numPr>
        <w:tabs>
          <w:tab w:val="left" w:pos="0"/>
        </w:tabs>
        <w:ind w:left="1134"/>
      </w:pPr>
      <w:r w:rsidRPr="005D213B">
        <w:t>104.</w:t>
      </w:r>
      <w:r w:rsidRPr="005D213B">
        <w:tab/>
      </w:r>
      <w:r w:rsidR="00263BCB" w:rsidRPr="005D213B">
        <w:t>In recent years, the MLSP has raised its commitment to improving the inclusion of children with disabilities through policy and service changes, more specifically by increasing the number of child day-care centres, introducing new legal benefits and increasing the existent benefits for children with disabilities.</w:t>
      </w:r>
    </w:p>
    <w:p w14:paraId="468D6577" w14:textId="32F38130" w:rsidR="00263BCB" w:rsidRPr="005D213B" w:rsidRDefault="00570685" w:rsidP="00570685">
      <w:pPr>
        <w:pStyle w:val="ParaNoG"/>
        <w:numPr>
          <w:ilvl w:val="0"/>
          <w:numId w:val="0"/>
        </w:numPr>
        <w:tabs>
          <w:tab w:val="left" w:pos="0"/>
        </w:tabs>
        <w:ind w:left="1134"/>
      </w:pPr>
      <w:r w:rsidRPr="005D213B">
        <w:lastRenderedPageBreak/>
        <w:t>105.</w:t>
      </w:r>
      <w:r w:rsidRPr="005D213B">
        <w:tab/>
      </w:r>
      <w:r w:rsidR="00263BCB" w:rsidRPr="005D213B">
        <w:t>After establishing that the model of assessing children with developmental disabilities (categorisation based on medical assessment) is obsolete, the MLSP, together with UNICEF, is working on developing a new model of functional assessment of children, aimed at establishing the potential that the child can reach and identifying the obstacles in the environment that impede it.</w:t>
      </w:r>
    </w:p>
    <w:p w14:paraId="397A7114" w14:textId="240A1C7C" w:rsidR="00263BCB" w:rsidRPr="005D213B" w:rsidRDefault="00570685" w:rsidP="00570685">
      <w:pPr>
        <w:pStyle w:val="ParaNoG"/>
        <w:numPr>
          <w:ilvl w:val="0"/>
          <w:numId w:val="0"/>
        </w:numPr>
        <w:tabs>
          <w:tab w:val="left" w:pos="0"/>
        </w:tabs>
        <w:ind w:left="1134"/>
      </w:pPr>
      <w:r w:rsidRPr="005D213B">
        <w:t>106.</w:t>
      </w:r>
      <w:r w:rsidRPr="005D213B">
        <w:tab/>
      </w:r>
      <w:r w:rsidR="00263BCB" w:rsidRPr="005D213B">
        <w:t>In cooperation with UNICEF, an assessment was made of alternative care forms and support services for the families of children with disabilities, which resulted in an analysis and recommendations for revision of the day-care centres for children with disabilities. The goal is to move from</w:t>
      </w:r>
      <w:r w:rsidR="00A21C4B">
        <w:t xml:space="preserve"> “</w:t>
      </w:r>
      <w:r w:rsidR="00263BCB" w:rsidRPr="005D213B">
        <w:t>day care</w:t>
      </w:r>
      <w:r w:rsidR="001B7C17">
        <w:t>”</w:t>
      </w:r>
      <w:r w:rsidR="00263BCB" w:rsidRPr="005D213B">
        <w:t xml:space="preserve"> to various types of services that do not segregate, but help the children to be involved in the everyday life in the community.</w:t>
      </w:r>
      <w:r w:rsidR="00A21C4B">
        <w:t xml:space="preserve"> </w:t>
      </w:r>
    </w:p>
    <w:p w14:paraId="2950E6DB" w14:textId="2A97FE78" w:rsidR="00263BCB" w:rsidRPr="005D213B" w:rsidRDefault="00570685" w:rsidP="00570685">
      <w:pPr>
        <w:pStyle w:val="ParaNoG"/>
        <w:numPr>
          <w:ilvl w:val="0"/>
          <w:numId w:val="0"/>
        </w:numPr>
        <w:tabs>
          <w:tab w:val="left" w:pos="0"/>
        </w:tabs>
        <w:ind w:left="1134"/>
      </w:pPr>
      <w:r w:rsidRPr="005D213B">
        <w:t>107.</w:t>
      </w:r>
      <w:r w:rsidRPr="005D213B">
        <w:tab/>
      </w:r>
      <w:r w:rsidR="00263BCB" w:rsidRPr="005D213B">
        <w:t>With respect to the protection of children with developmental disabilities, to date the MLSP has opened 31 day-care centres, including: 27 for children with intellectual or physical disabilities, 1 for children with cerebral palsy, 1 for children with impaired vision and 2 for children with autism, which are visited by about 440 beneficiaries.</w:t>
      </w:r>
    </w:p>
    <w:p w14:paraId="1FB52A31" w14:textId="4870CDE7" w:rsidR="00263BCB" w:rsidRPr="005D213B" w:rsidRDefault="00570685" w:rsidP="00570685">
      <w:pPr>
        <w:pStyle w:val="ParaNoG"/>
        <w:numPr>
          <w:ilvl w:val="0"/>
          <w:numId w:val="0"/>
        </w:numPr>
        <w:tabs>
          <w:tab w:val="left" w:pos="0"/>
        </w:tabs>
        <w:ind w:left="1134"/>
      </w:pPr>
      <w:r w:rsidRPr="005D213B">
        <w:t>108.</w:t>
      </w:r>
      <w:r w:rsidRPr="005D213B">
        <w:tab/>
      </w:r>
      <w:r w:rsidR="00263BCB" w:rsidRPr="005D213B">
        <w:t xml:space="preserve">In the school year 2017/18, 140 educational assistants were provided for children with disabilities in 18 municipalities in the state. </w:t>
      </w:r>
    </w:p>
    <w:p w14:paraId="042049FC" w14:textId="084133E7" w:rsidR="00263BCB" w:rsidRPr="005D213B" w:rsidRDefault="00570685" w:rsidP="00570685">
      <w:pPr>
        <w:pStyle w:val="ParaNoG"/>
        <w:numPr>
          <w:ilvl w:val="0"/>
          <w:numId w:val="0"/>
        </w:numPr>
        <w:tabs>
          <w:tab w:val="left" w:pos="0"/>
        </w:tabs>
        <w:ind w:left="1134"/>
      </w:pPr>
      <w:r w:rsidRPr="005D213B">
        <w:t>109.</w:t>
      </w:r>
      <w:r w:rsidRPr="005D213B">
        <w:tab/>
      </w:r>
      <w:r w:rsidR="00263BCB" w:rsidRPr="005D213B">
        <w:t>Under the 2018</w:t>
      </w:r>
      <w:r w:rsidR="00AE332F" w:rsidRPr="005D213B">
        <w:t>–</w:t>
      </w:r>
      <w:r w:rsidR="00263BCB" w:rsidRPr="005D213B">
        <w:t>2027 National Deinstitutionalisation Strategy, transformation plans are being developed for social protection institutions, which will enable treatment of beneficiaries by expanding and strengthening the current non-institutional protection network. By transforming the PI Demir Kapija Special Institute, a new organised supported living unit was opened and two residential units were provided for 7 children with disabilities.</w:t>
      </w:r>
    </w:p>
    <w:p w14:paraId="65C2F427" w14:textId="76F3F66A" w:rsidR="00263BCB" w:rsidRPr="005D213B" w:rsidRDefault="00570685" w:rsidP="00570685">
      <w:pPr>
        <w:pStyle w:val="ParaNoG"/>
        <w:numPr>
          <w:ilvl w:val="0"/>
          <w:numId w:val="0"/>
        </w:numPr>
        <w:tabs>
          <w:tab w:val="left" w:pos="0"/>
        </w:tabs>
        <w:ind w:left="1134"/>
      </w:pPr>
      <w:r w:rsidRPr="005D213B">
        <w:t>110.</w:t>
      </w:r>
      <w:r w:rsidRPr="005D213B">
        <w:tab/>
      </w:r>
      <w:r w:rsidR="00263BCB" w:rsidRPr="005D213B">
        <w:t>The Law Amending the Law on Child Protection</w:t>
      </w:r>
      <w:r w:rsidR="00263BCB" w:rsidRPr="00A21C4B">
        <w:rPr>
          <w:rStyle w:val="FootnoteReference"/>
        </w:rPr>
        <w:footnoteReference w:id="27"/>
      </w:r>
      <w:r w:rsidR="00263BCB" w:rsidRPr="00A21C4B">
        <w:rPr>
          <w:rStyle w:val="FootnoteReference"/>
        </w:rPr>
        <w:t xml:space="preserve"> </w:t>
      </w:r>
      <w:r w:rsidR="00263BCB" w:rsidRPr="005D213B">
        <w:t xml:space="preserve">grants the right to a special benefit for children with Down syndrome, as well. The special benefit was increased by 25% (since 1 June 2015) for materially disadvantaged parents who receive pecuniary welfare and permanent pecuniary benefit and who have a child with specific needs, with physical or mental developmental disabilities or combined developmental disabilities up to 26 years of age. </w:t>
      </w:r>
    </w:p>
    <w:p w14:paraId="031D716F" w14:textId="0DC5C3C4" w:rsidR="00263BCB" w:rsidRPr="005D213B" w:rsidRDefault="00570685" w:rsidP="00570685">
      <w:pPr>
        <w:pStyle w:val="ParaNoG"/>
        <w:numPr>
          <w:ilvl w:val="0"/>
          <w:numId w:val="0"/>
        </w:numPr>
        <w:tabs>
          <w:tab w:val="left" w:pos="0"/>
        </w:tabs>
        <w:ind w:left="1134"/>
      </w:pPr>
      <w:r w:rsidRPr="005D213B">
        <w:t>111.</w:t>
      </w:r>
      <w:r w:rsidRPr="005D213B">
        <w:tab/>
      </w:r>
      <w:r w:rsidR="00263BCB" w:rsidRPr="005D213B">
        <w:t>According to statistics, a total of 7292 children receive a special benefit as a pecuniary welfare for children with specific needs.</w:t>
      </w:r>
    </w:p>
    <w:p w14:paraId="1B956D11" w14:textId="5C0A2F4F" w:rsidR="00263BCB" w:rsidRPr="005D213B" w:rsidRDefault="00570685" w:rsidP="00570685">
      <w:pPr>
        <w:pStyle w:val="ParaNoG"/>
        <w:numPr>
          <w:ilvl w:val="0"/>
          <w:numId w:val="0"/>
        </w:numPr>
        <w:tabs>
          <w:tab w:val="left" w:pos="0"/>
        </w:tabs>
        <w:ind w:left="1134"/>
      </w:pPr>
      <w:r w:rsidRPr="005D213B">
        <w:t>112.</w:t>
      </w:r>
      <w:r w:rsidRPr="005D213B">
        <w:tab/>
      </w:r>
      <w:r w:rsidR="00263BCB" w:rsidRPr="005D213B">
        <w:t>The number of beneficiaries placed in social protection institutions is as follows:</w:t>
      </w:r>
    </w:p>
    <w:p w14:paraId="4E85F26E" w14:textId="6FAFFAEF"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The PI Institute for Rehabilitation of Children and Youths in Skopje is visited by 66 beneficiaries, 36 of whom are placed there, 15 of whom are under 18 years of age and 21 are aged 18 to 26;</w:t>
      </w:r>
    </w:p>
    <w:p w14:paraId="03B23ADC" w14:textId="4D41C85A"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The PI Demir Kapija Special Institute accommodates a total of 221 beneficiaries, 11 of whom are under 18 years of age and 16 are aged 18 to 26;</w:t>
      </w:r>
    </w:p>
    <w:p w14:paraId="6788B5AE" w14:textId="39B0C351"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The PI Spa Bansko Protection and Rehabilitation Institute in Strumica accommodates a total of 63 beneficiaries, 10 of whom are under 18 years of age and 5 are aged 18 to 26;</w:t>
      </w:r>
    </w:p>
    <w:p w14:paraId="02AEB10D" w14:textId="3775B515"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The PI Home for Infants and Toddlers in Bitola accommodates a total of 68 beneficiaries, 19 of whom are with disabilities, 2 beneficiaries are with minor impairments and 5 beneficiaries have a mental age which is close to their physical age;</w:t>
      </w:r>
    </w:p>
    <w:p w14:paraId="02CAF53A" w14:textId="3231B190"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Foster families accommodating a total of 340 persons, 137 of whom are children with disabilities; and</w:t>
      </w:r>
    </w:p>
    <w:p w14:paraId="3F2E59B6" w14:textId="61AC8330"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Day-care centres for persons with disabilities, with a total of 431 beneficiaries, 187 of whom are under 18 years of age and 107 are aged 18 to 26.</w:t>
      </w:r>
    </w:p>
    <w:p w14:paraId="703468F6" w14:textId="23199253" w:rsidR="00263BCB" w:rsidRPr="005D213B" w:rsidRDefault="00263BCB" w:rsidP="00263BCB">
      <w:pPr>
        <w:pStyle w:val="H23G"/>
      </w:pPr>
      <w:r>
        <w:lastRenderedPageBreak/>
        <w:tab/>
      </w:r>
      <w:bookmarkStart w:id="40" w:name="_Toc56781442"/>
      <w:r>
        <w:t>(</w:t>
      </w:r>
      <w:r w:rsidR="006A5AEC">
        <w:t>a</w:t>
      </w:r>
      <w:r>
        <w:t>)</w:t>
      </w:r>
      <w:r>
        <w:tab/>
      </w:r>
      <w:r w:rsidRPr="005D213B">
        <w:t xml:space="preserve">Health and health services, </w:t>
      </w:r>
      <w:r>
        <w:t>in particular</w:t>
      </w:r>
      <w:r w:rsidRPr="005D213B">
        <w:t xml:space="preserve"> primary health care (Article 24)</w:t>
      </w:r>
      <w:bookmarkEnd w:id="40"/>
    </w:p>
    <w:p w14:paraId="25AB935D" w14:textId="4E0CCC65" w:rsidR="00263BCB" w:rsidRPr="005D213B" w:rsidRDefault="00570685" w:rsidP="00570685">
      <w:pPr>
        <w:pStyle w:val="ParaNoG"/>
        <w:numPr>
          <w:ilvl w:val="0"/>
          <w:numId w:val="0"/>
        </w:numPr>
        <w:tabs>
          <w:tab w:val="left" w:pos="0"/>
        </w:tabs>
        <w:ind w:left="1134"/>
      </w:pPr>
      <w:r w:rsidRPr="005D213B">
        <w:t>113.</w:t>
      </w:r>
      <w:r w:rsidRPr="005D213B">
        <w:tab/>
      </w:r>
      <w:r w:rsidR="00263BCB" w:rsidRPr="005434D5">
        <w:t>The right to healthcare of all citizens is safeguarded by the Constitution and is governed by the Law on Healthcare</w:t>
      </w:r>
      <w:r w:rsidR="00AE332F">
        <w:t>.</w:t>
      </w:r>
      <w:r w:rsidR="00263BCB" w:rsidRPr="00A21C4B">
        <w:rPr>
          <w:rStyle w:val="FootnoteReference"/>
        </w:rPr>
        <w:footnoteReference w:id="28"/>
      </w:r>
      <w:r w:rsidR="00263BCB" w:rsidRPr="00A21C4B">
        <w:rPr>
          <w:rStyle w:val="FootnoteReference"/>
        </w:rPr>
        <w:t xml:space="preserve"> </w:t>
      </w:r>
      <w:r w:rsidR="00263BCB" w:rsidRPr="005D213B">
        <w:t xml:space="preserve">The guaranteed rights are exercised and the established needs and interests are fulfilled through specially designed annual programmes financed by the Budget. </w:t>
      </w:r>
    </w:p>
    <w:p w14:paraId="42412323" w14:textId="707B8791" w:rsidR="00263BCB" w:rsidRPr="005D213B" w:rsidRDefault="00570685" w:rsidP="00570685">
      <w:pPr>
        <w:pStyle w:val="ParaNoG"/>
        <w:numPr>
          <w:ilvl w:val="0"/>
          <w:numId w:val="0"/>
        </w:numPr>
        <w:tabs>
          <w:tab w:val="left" w:pos="0"/>
        </w:tabs>
        <w:ind w:left="1134"/>
      </w:pPr>
      <w:r w:rsidRPr="005D213B">
        <w:t>114.</w:t>
      </w:r>
      <w:r w:rsidRPr="005D213B">
        <w:tab/>
      </w:r>
      <w:r w:rsidR="00263BCB" w:rsidRPr="005D213B">
        <w:t>The access to healthcare for persons with disabilities is governed by the Law on Healthcare (primary healthcare), the Law on Health Insurance (universal health insurance coverage, exemption from paying participation), Law on Patients</w:t>
      </w:r>
      <w:r w:rsidR="00A21C4B">
        <w:t>’</w:t>
      </w:r>
      <w:r w:rsidR="00263BCB" w:rsidRPr="005D213B">
        <w:t xml:space="preserve"> Rights (individual aspects of the right to health), the law on Mental Health (right to respecting the personality, dignity and privacy of every person with a mental illness).</w:t>
      </w:r>
    </w:p>
    <w:p w14:paraId="57EDD313" w14:textId="0D5E29F0" w:rsidR="00263BCB" w:rsidRPr="005D213B" w:rsidRDefault="00570685" w:rsidP="00570685">
      <w:pPr>
        <w:pStyle w:val="ParaNoG"/>
        <w:numPr>
          <w:ilvl w:val="0"/>
          <w:numId w:val="0"/>
        </w:numPr>
        <w:tabs>
          <w:tab w:val="left" w:pos="0"/>
        </w:tabs>
        <w:ind w:left="1134"/>
      </w:pPr>
      <w:r w:rsidRPr="005D213B">
        <w:t>115.</w:t>
      </w:r>
      <w:r w:rsidRPr="005D213B">
        <w:tab/>
      </w:r>
      <w:r w:rsidR="00263BCB" w:rsidRPr="005434D5">
        <w:t>Healthcare for children with developmental problems is provided at the centres for primary healthcare</w:t>
      </w:r>
      <w:r w:rsidR="00263BCB" w:rsidRPr="005D213B">
        <w:t>, secondary healthcare for children with developmental problems and special educational needs (where there are developmental paediatrics units and two specialised mental health institutions (in Skopje and in Bitola) for early detection, diagnostics, treatment and following of the functional growth and development of children born with risks, tertiary healthcare centres, concentrated in the bigger cities.</w:t>
      </w:r>
    </w:p>
    <w:p w14:paraId="59C7662E" w14:textId="6A384FE6" w:rsidR="00263BCB" w:rsidRPr="005434D5" w:rsidRDefault="00570685" w:rsidP="00570685">
      <w:pPr>
        <w:pStyle w:val="ParaNoG"/>
        <w:numPr>
          <w:ilvl w:val="0"/>
          <w:numId w:val="0"/>
        </w:numPr>
        <w:tabs>
          <w:tab w:val="left" w:pos="0"/>
        </w:tabs>
        <w:ind w:left="1134"/>
      </w:pPr>
      <w:r w:rsidRPr="005434D5">
        <w:t>116.</w:t>
      </w:r>
      <w:r w:rsidRPr="005434D5">
        <w:tab/>
      </w:r>
      <w:r w:rsidR="00263BCB" w:rsidRPr="005D213B">
        <w:t>The MoH has been continuously pursuing activities as envisaged under the action plan adopted and approved by the Government for the establishment of a Centre for Autism by undertaking a number of multi-sector capacity building activities (staffing, training, equipment and application of new treatment and operational methods for this unique centre). Over the past years, the focus has been placed on training to use the Applied Behaviour Analysis (AVA) assessment tool and the Autism Diagnostics Observation Schedule (ADOS) diagnostics and assessment instrument for staff in public health facilities working with children in the autism spectrum and employees at the Skopje Daily Centre for Autism operating under the jurisdiction of the MLSP.</w:t>
      </w:r>
    </w:p>
    <w:p w14:paraId="51A7CA3A" w14:textId="33A208CC" w:rsidR="00263BCB" w:rsidRPr="005434D5" w:rsidRDefault="00570685" w:rsidP="00570685">
      <w:pPr>
        <w:pStyle w:val="ParaNoG"/>
        <w:numPr>
          <w:ilvl w:val="0"/>
          <w:numId w:val="0"/>
        </w:numPr>
        <w:tabs>
          <w:tab w:val="left" w:pos="0"/>
        </w:tabs>
        <w:ind w:left="1134"/>
      </w:pPr>
      <w:r w:rsidRPr="005434D5">
        <w:t>117.</w:t>
      </w:r>
      <w:r w:rsidRPr="005434D5">
        <w:tab/>
      </w:r>
      <w:r w:rsidR="00263BCB" w:rsidRPr="005D213B">
        <w:t>In 2017, the MoH established a Working Body for the Implementation of the Action Plan for Improving the Healthcare of Children with Disabilities. The measures and activities outlined under the Action Plan address problems faced by families of persons suffering from autism, rare diseases and other disabilities (ensuring easier access to healthcare and social services through correct diagnostics, enabling treatment with the newly introduced methods, timely provision of medication, laboratory reagents and other necessary therapy as well as maintaining continuous cooperation and training of professionals from the country together with colleagues from abroad).</w:t>
      </w:r>
    </w:p>
    <w:p w14:paraId="2D05F2E8" w14:textId="6F7D43E1" w:rsidR="00263BCB" w:rsidRPr="005D213B" w:rsidRDefault="00570685" w:rsidP="00570685">
      <w:pPr>
        <w:pStyle w:val="ParaNoG"/>
        <w:numPr>
          <w:ilvl w:val="0"/>
          <w:numId w:val="0"/>
        </w:numPr>
        <w:tabs>
          <w:tab w:val="left" w:pos="0"/>
        </w:tabs>
        <w:ind w:left="1134"/>
      </w:pPr>
      <w:r w:rsidRPr="005D213B">
        <w:t>118.</w:t>
      </w:r>
      <w:r w:rsidRPr="005D213B">
        <w:tab/>
      </w:r>
      <w:r w:rsidR="00263BCB" w:rsidRPr="005D213B">
        <w:t xml:space="preserve">In keeping with the priorities set, the Government annually adopts programs, which are implemented by the MoH. </w:t>
      </w:r>
    </w:p>
    <w:p w14:paraId="58446DF8" w14:textId="29EC7625" w:rsidR="00263BCB" w:rsidRPr="005D213B" w:rsidRDefault="00570685" w:rsidP="00570685">
      <w:pPr>
        <w:pStyle w:val="ParaNoG"/>
        <w:numPr>
          <w:ilvl w:val="0"/>
          <w:numId w:val="0"/>
        </w:numPr>
        <w:tabs>
          <w:tab w:val="left" w:pos="0"/>
        </w:tabs>
        <w:ind w:left="1134"/>
      </w:pPr>
      <w:r w:rsidRPr="005D213B">
        <w:t>119.</w:t>
      </w:r>
      <w:r w:rsidRPr="005D213B">
        <w:tab/>
      </w:r>
      <w:r w:rsidR="00263BCB" w:rsidRPr="005D213B">
        <w:t>Since 2017, in cooperation with the Macedonian Medical Association and the Association of Nurses and Obstetricians, UNICEF has been working on developing the capacities of family medicine specialists and primary healthcare professionals for early detection of developmental disabilities in children and early intervention in cases detected .</w:t>
      </w:r>
    </w:p>
    <w:p w14:paraId="543BAC11" w14:textId="02A909E0" w:rsidR="00263BCB" w:rsidRPr="005D213B" w:rsidRDefault="00570685" w:rsidP="00570685">
      <w:pPr>
        <w:pStyle w:val="ParaNoG"/>
        <w:numPr>
          <w:ilvl w:val="0"/>
          <w:numId w:val="0"/>
        </w:numPr>
        <w:tabs>
          <w:tab w:val="left" w:pos="0"/>
        </w:tabs>
        <w:ind w:left="1134"/>
      </w:pPr>
      <w:r w:rsidRPr="005D213B">
        <w:t>120.</w:t>
      </w:r>
      <w:r w:rsidRPr="005D213B">
        <w:tab/>
      </w:r>
      <w:r w:rsidR="00263BCB" w:rsidRPr="005D213B">
        <w:t>In cooperation with the Macedonian Medical Association, the use of ICF will be piloted in the beginning of 2019 in 10 primary healthcare institutions over the course of the entire year using the</w:t>
      </w:r>
      <w:r w:rsidR="00AE332F">
        <w:t xml:space="preserve"> </w:t>
      </w:r>
      <w:r w:rsidR="00A21C4B">
        <w:t>“</w:t>
      </w:r>
      <w:r w:rsidR="00263BCB" w:rsidRPr="005D213B">
        <w:t>follow the child</w:t>
      </w:r>
      <w:r w:rsidR="00A21C4B">
        <w:t>”</w:t>
      </w:r>
      <w:r w:rsidR="00263BCB" w:rsidRPr="005D213B">
        <w:t xml:space="preserve"> model.</w:t>
      </w:r>
    </w:p>
    <w:p w14:paraId="1044F460" w14:textId="52EDAA3F" w:rsidR="00263BCB" w:rsidRPr="005D213B" w:rsidRDefault="00570685" w:rsidP="00570685">
      <w:pPr>
        <w:pStyle w:val="ParaNoG"/>
        <w:numPr>
          <w:ilvl w:val="0"/>
          <w:numId w:val="0"/>
        </w:numPr>
        <w:tabs>
          <w:tab w:val="left" w:pos="0"/>
        </w:tabs>
        <w:ind w:left="1134"/>
      </w:pPr>
      <w:r w:rsidRPr="005D213B">
        <w:t>121.</w:t>
      </w:r>
      <w:r w:rsidRPr="005D213B">
        <w:tab/>
      </w:r>
      <w:r w:rsidR="00263BCB" w:rsidRPr="005D213B">
        <w:t>As set forth in the Guidelines on Practicing Evidence-based Medicine, prenatal screening for malformations of the cardiovascular system is regularly performed on newborns for purposes of early detection of congenital heart disease.</w:t>
      </w:r>
    </w:p>
    <w:p w14:paraId="405FC571" w14:textId="06CF1F3A" w:rsidR="00263BCB" w:rsidRPr="005D213B" w:rsidRDefault="00570685" w:rsidP="00570685">
      <w:pPr>
        <w:pStyle w:val="ParaNoG"/>
        <w:numPr>
          <w:ilvl w:val="0"/>
          <w:numId w:val="0"/>
        </w:numPr>
        <w:tabs>
          <w:tab w:val="left" w:pos="0"/>
        </w:tabs>
        <w:ind w:left="1134"/>
      </w:pPr>
      <w:r w:rsidRPr="005D213B">
        <w:t>122.</w:t>
      </w:r>
      <w:r w:rsidRPr="005D213B">
        <w:tab/>
      </w:r>
      <w:r w:rsidR="00263BCB" w:rsidRPr="005D213B">
        <w:t xml:space="preserve">In keeping with the Guidelines on Antenatal Care during Pregnancy, a number of measures are being taken to protect the health of pregnant women and ensure the proper development of the foetus, i.e. a set of interventions aimed at enabling pregnant women to obtain information and advice on pregnancy, childbirth and care for newborn children, identifying risks to their health, conducting timely measures and interventions as necessary, </w:t>
      </w:r>
      <w:r w:rsidR="00263BCB" w:rsidRPr="005D213B">
        <w:lastRenderedPageBreak/>
        <w:t>providing care for various diseases and illnesses, and providing appropriate education to pregnant women, families, and communities.</w:t>
      </w:r>
    </w:p>
    <w:p w14:paraId="35264D3A" w14:textId="02B57827" w:rsidR="00263BCB" w:rsidRPr="005D213B" w:rsidRDefault="00570685" w:rsidP="00570685">
      <w:pPr>
        <w:pStyle w:val="ParaNoG"/>
        <w:numPr>
          <w:ilvl w:val="0"/>
          <w:numId w:val="0"/>
        </w:numPr>
        <w:tabs>
          <w:tab w:val="left" w:pos="0"/>
        </w:tabs>
        <w:ind w:left="1134"/>
      </w:pPr>
      <w:r w:rsidRPr="005D213B">
        <w:t>123.</w:t>
      </w:r>
      <w:r w:rsidRPr="005D213B">
        <w:tab/>
      </w:r>
      <w:r w:rsidR="00263BCB" w:rsidRPr="005D213B">
        <w:t>As set forth under the Law on Records Keeping in the Field of Healthcare, an Individual Report for Children with Developmental Disabilities (0</w:t>
      </w:r>
      <w:r w:rsidR="00AE332F" w:rsidRPr="005D213B">
        <w:t>–</w:t>
      </w:r>
      <w:r w:rsidR="00263BCB" w:rsidRPr="005D213B">
        <w:t>18 years old) has been prepared together with the accompanying Report-filling Instructions. Plans are also in place to develop special software for recording persons with developmental disabilities in in-patient treatment and admitted to day hospitals as a useful tool for monitoring the health status of this category of patients.</w:t>
      </w:r>
    </w:p>
    <w:p w14:paraId="196D875C" w14:textId="77777777" w:rsidR="00263BCB" w:rsidRPr="005D213B" w:rsidRDefault="00263BCB" w:rsidP="00263BCB">
      <w:pPr>
        <w:pStyle w:val="H23G"/>
        <w:rPr>
          <w:lang w:val="mk-MK"/>
        </w:rPr>
      </w:pPr>
      <w:r>
        <w:tab/>
      </w:r>
      <w:r>
        <w:tab/>
      </w:r>
      <w:bookmarkStart w:id="41" w:name="_Toc56781443"/>
      <w:r w:rsidRPr="005D213B">
        <w:t>Safe Motherhood Healthcare</w:t>
      </w:r>
      <w:bookmarkEnd w:id="41"/>
    </w:p>
    <w:p w14:paraId="19EE8D5F" w14:textId="63A9C347" w:rsidR="00263BCB" w:rsidRPr="005D213B" w:rsidRDefault="00570685" w:rsidP="00570685">
      <w:pPr>
        <w:pStyle w:val="ParaNoG"/>
        <w:numPr>
          <w:ilvl w:val="0"/>
          <w:numId w:val="0"/>
        </w:numPr>
        <w:tabs>
          <w:tab w:val="left" w:pos="0"/>
        </w:tabs>
        <w:ind w:left="1134"/>
      </w:pPr>
      <w:r w:rsidRPr="005D213B">
        <w:t>124.</w:t>
      </w:r>
      <w:r w:rsidRPr="005D213B">
        <w:tab/>
      </w:r>
      <w:r w:rsidR="00263BCB" w:rsidRPr="005D213B">
        <w:t>Women in reproductive age and children are provided healthcare through a network of health institutions at all three levels of healthcare.</w:t>
      </w:r>
    </w:p>
    <w:p w14:paraId="6FB22AC8" w14:textId="03A4C86E" w:rsidR="00263BCB" w:rsidRPr="005D213B" w:rsidRDefault="00570685" w:rsidP="00570685">
      <w:pPr>
        <w:pStyle w:val="ParaNoG"/>
        <w:numPr>
          <w:ilvl w:val="0"/>
          <w:numId w:val="0"/>
        </w:numPr>
        <w:tabs>
          <w:tab w:val="left" w:pos="0"/>
        </w:tabs>
        <w:ind w:left="1134"/>
      </w:pPr>
      <w:r w:rsidRPr="005D213B">
        <w:t>125.</w:t>
      </w:r>
      <w:r w:rsidRPr="005D213B">
        <w:tab/>
      </w:r>
      <w:r w:rsidR="00263BCB" w:rsidRPr="005D213B">
        <w:t xml:space="preserve">At primary healthcare level, family planning services are provided by gynaecologists and partially by public health nurses. </w:t>
      </w:r>
    </w:p>
    <w:p w14:paraId="2120407B" w14:textId="1BFE3E32" w:rsidR="00263BCB" w:rsidRPr="005D213B" w:rsidRDefault="00570685" w:rsidP="00570685">
      <w:pPr>
        <w:pStyle w:val="ParaNoG"/>
        <w:numPr>
          <w:ilvl w:val="0"/>
          <w:numId w:val="0"/>
        </w:numPr>
        <w:tabs>
          <w:tab w:val="left" w:pos="0"/>
        </w:tabs>
        <w:ind w:left="1134"/>
      </w:pPr>
      <w:r w:rsidRPr="005D213B">
        <w:t>126.</w:t>
      </w:r>
      <w:r w:rsidRPr="005D213B">
        <w:tab/>
      </w:r>
      <w:r w:rsidR="00263BCB" w:rsidRPr="005D213B">
        <w:t>In 2017, Action Plans for Family Planning and for Improving Maternal and Neonatal Health were drafted as part of the 2010</w:t>
      </w:r>
      <w:r w:rsidR="00AE332F" w:rsidRPr="005D213B">
        <w:t>–</w:t>
      </w:r>
      <w:r w:rsidR="00263BCB" w:rsidRPr="005D213B">
        <w:t xml:space="preserve">2020 SRH Strategy. </w:t>
      </w:r>
    </w:p>
    <w:p w14:paraId="6D56720B" w14:textId="3D0C2A5A" w:rsidR="00263BCB" w:rsidRPr="00A21C4B" w:rsidRDefault="00263BCB" w:rsidP="00263BCB">
      <w:pPr>
        <w:pStyle w:val="H23G"/>
        <w:rPr>
          <w:rStyle w:val="FootnoteReference"/>
        </w:rPr>
      </w:pPr>
      <w:r>
        <w:tab/>
      </w:r>
      <w:r>
        <w:tab/>
      </w:r>
      <w:bookmarkStart w:id="42" w:name="_Toc56781444"/>
      <w:r w:rsidRPr="005D213B">
        <w:t xml:space="preserve">Chart: Access to family planning services </w:t>
      </w:r>
      <w:r w:rsidR="00AF6BE7">
        <w:t>–</w:t>
      </w:r>
      <w:r w:rsidRPr="005D213B">
        <w:t xml:space="preserve"> number of visits and number of contraceptives administered (2010</w:t>
      </w:r>
      <w:r w:rsidR="00AE332F" w:rsidRPr="005D213B">
        <w:t>–</w:t>
      </w:r>
      <w:r w:rsidRPr="005D213B">
        <w:t>2016)</w:t>
      </w:r>
      <w:r w:rsidRPr="00964853">
        <w:rPr>
          <w:rStyle w:val="FootnoteReference"/>
          <w:b w:val="0"/>
          <w:bCs/>
        </w:rPr>
        <w:footnoteReference w:id="29"/>
      </w:r>
      <w:bookmarkEnd w:id="42"/>
    </w:p>
    <w:p w14:paraId="2861F527" w14:textId="77777777" w:rsidR="00263BCB" w:rsidRPr="005D213B" w:rsidRDefault="00263BCB" w:rsidP="00263BCB">
      <w:pPr>
        <w:pStyle w:val="SingleTxtG"/>
        <w:spacing w:line="240" w:lineRule="atLeast"/>
      </w:pPr>
      <w:r w:rsidRPr="005502B4">
        <w:rPr>
          <w:rFonts w:eastAsia="Times New Roman"/>
          <w:noProof/>
          <w:lang w:eastAsia="en-GB"/>
        </w:rPr>
        <mc:AlternateContent>
          <mc:Choice Requires="wps">
            <w:drawing>
              <wp:anchor distT="0" distB="0" distL="114300" distR="114300" simplePos="0" relativeHeight="251657216" behindDoc="0" locked="0" layoutInCell="1" allowOverlap="1" wp14:anchorId="58712897" wp14:editId="082F18CD">
                <wp:simplePos x="0" y="0"/>
                <wp:positionH relativeFrom="margin">
                  <wp:posOffset>737774</wp:posOffset>
                </wp:positionH>
                <wp:positionV relativeFrom="paragraph">
                  <wp:posOffset>76428</wp:posOffset>
                </wp:positionV>
                <wp:extent cx="1587261" cy="603717"/>
                <wp:effectExtent l="0" t="0" r="1333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261" cy="603717"/>
                        </a:xfrm>
                        <a:prstGeom prst="rect">
                          <a:avLst/>
                        </a:prstGeom>
                        <a:solidFill>
                          <a:srgbClr val="FFFFFF"/>
                        </a:solidFill>
                        <a:ln w="9525">
                          <a:solidFill>
                            <a:srgbClr val="000000"/>
                          </a:solidFill>
                          <a:miter lim="800000"/>
                          <a:headEnd/>
                          <a:tailEnd/>
                        </a:ln>
                      </wps:spPr>
                      <wps:txbx>
                        <w:txbxContent>
                          <w:p w14:paraId="3AADBF0C" w14:textId="77777777" w:rsidR="006B0754" w:rsidRDefault="006B0754" w:rsidP="00263BCB">
                            <w:pPr>
                              <w:jc w:val="both"/>
                              <w:rPr>
                                <w:rFonts w:ascii="StobiSerif Regular" w:hAnsi="StobiSerif Regular"/>
                                <w:color w:val="000000"/>
                                <w:sz w:val="16"/>
                                <w:szCs w:val="16"/>
                                <w:lang w:val="en-US"/>
                              </w:rPr>
                            </w:pPr>
                          </w:p>
                          <w:p w14:paraId="368712B7" w14:textId="4E46732E" w:rsidR="006B0754" w:rsidRPr="00674B76" w:rsidRDefault="006B0754" w:rsidP="00263BCB">
                            <w:pPr>
                              <w:ind w:left="540" w:hanging="360"/>
                              <w:jc w:val="both"/>
                              <w:rPr>
                                <w:rFonts w:ascii="StobiSerif Regular" w:hAnsi="StobiSerif Regular"/>
                                <w:color w:val="000000"/>
                                <w:sz w:val="16"/>
                                <w:szCs w:val="16"/>
                                <w:lang w:val="en-US"/>
                              </w:rPr>
                            </w:pPr>
                            <w:r w:rsidRPr="00674B76">
                              <w:rPr>
                                <w:rFonts w:ascii="Symbol" w:hAnsi="Symbol"/>
                                <w:sz w:val="16"/>
                                <w:szCs w:val="16"/>
                                <w:lang w:val="en-US"/>
                              </w:rPr>
                              <w:t></w:t>
                            </w:r>
                            <w:r w:rsidRPr="00674B76">
                              <w:rPr>
                                <w:rFonts w:ascii="Symbol" w:hAnsi="Symbol"/>
                                <w:sz w:val="16"/>
                                <w:szCs w:val="16"/>
                                <w:lang w:val="en-US"/>
                              </w:rPr>
                              <w:tab/>
                            </w:r>
                            <w:r w:rsidRPr="00674B76">
                              <w:rPr>
                                <w:rFonts w:ascii="StobiSerif Regular" w:hAnsi="StobiSerif Regular"/>
                                <w:color w:val="000000"/>
                                <w:sz w:val="16"/>
                                <w:szCs w:val="16"/>
                                <w:lang w:val="en-US"/>
                              </w:rPr>
                              <w:t>Family planning advices</w:t>
                            </w:r>
                          </w:p>
                          <w:p w14:paraId="76E5CAC6" w14:textId="77777777" w:rsidR="006B0754" w:rsidRDefault="006B0754" w:rsidP="00263BCB">
                            <w:pPr>
                              <w:ind w:left="540" w:hanging="360"/>
                              <w:jc w:val="both"/>
                              <w:rPr>
                                <w:rFonts w:ascii="StobiSerif Regular" w:hAnsi="StobiSerif Regular"/>
                                <w:color w:val="000000"/>
                                <w:sz w:val="16"/>
                                <w:szCs w:val="16"/>
                                <w:lang w:val="en-US"/>
                              </w:rPr>
                            </w:pPr>
                          </w:p>
                          <w:p w14:paraId="68A0F507" w14:textId="3571152F" w:rsidR="006B0754" w:rsidRPr="00674B76" w:rsidRDefault="006B0754" w:rsidP="00263BCB">
                            <w:pPr>
                              <w:ind w:left="540" w:hanging="360"/>
                              <w:jc w:val="both"/>
                              <w:rPr>
                                <w:rFonts w:ascii="StobiSerif Regular" w:hAnsi="StobiSerif Regular"/>
                                <w:color w:val="000000"/>
                                <w:sz w:val="16"/>
                                <w:szCs w:val="16"/>
                                <w:lang w:val="en-US"/>
                              </w:rPr>
                            </w:pPr>
                            <w:r w:rsidRPr="00674B76">
                              <w:rPr>
                                <w:rFonts w:ascii="Symbol" w:hAnsi="Symbol"/>
                                <w:sz w:val="16"/>
                                <w:szCs w:val="16"/>
                                <w:lang w:val="en-US"/>
                              </w:rPr>
                              <w:t></w:t>
                            </w:r>
                            <w:r w:rsidRPr="00674B76">
                              <w:rPr>
                                <w:rFonts w:ascii="Symbol" w:hAnsi="Symbol"/>
                                <w:sz w:val="16"/>
                                <w:szCs w:val="16"/>
                                <w:lang w:val="en-US"/>
                              </w:rPr>
                              <w:tab/>
                            </w:r>
                            <w:r w:rsidRPr="00674B76">
                              <w:rPr>
                                <w:rFonts w:ascii="StobiSerif Regular" w:hAnsi="StobiSerif Regular"/>
                                <w:color w:val="000000"/>
                                <w:sz w:val="16"/>
                                <w:szCs w:val="16"/>
                                <w:lang w:val="en-US"/>
                              </w:rPr>
                              <w:t xml:space="preserve">Contraceptives administered </w:t>
                            </w:r>
                          </w:p>
                          <w:p w14:paraId="01E50B5A" w14:textId="77777777" w:rsidR="006B0754" w:rsidRPr="00674B76" w:rsidRDefault="006B0754" w:rsidP="00263BC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12897" id="_x0000_t202" coordsize="21600,21600" o:spt="202" path="m,l,21600r21600,l21600,xe">
                <v:stroke joinstyle="miter"/>
                <v:path gradientshapeok="t" o:connecttype="rect"/>
              </v:shapetype>
              <v:shape id="Text Box 3" o:spid="_x0000_s1026" type="#_x0000_t202" style="position:absolute;left:0;text-align:left;margin-left:58.1pt;margin-top:6pt;width:125pt;height:47.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">
                <v:textbox>
                  <w:txbxContent>
                    <w:p w14:paraId="3AADBF0C" w14:textId="77777777" w:rsidR="006B0754" w:rsidRDefault="006B0754" w:rsidP="00263BCB">
                      <w:pPr>
                        <w:jc w:val="both"/>
                        <w:rPr>
                          <w:rFonts w:ascii="StobiSerif Regular" w:hAnsi="StobiSerif Regular"/>
                          <w:color w:val="000000"/>
                          <w:sz w:val="16"/>
                          <w:szCs w:val="16"/>
                          <w:lang w:val="en-US"/>
                        </w:rPr>
                      </w:pPr>
                    </w:p>
                    <w:p w14:paraId="368712B7" w14:textId="4E46732E" w:rsidR="006B0754" w:rsidRPr="00674B76" w:rsidRDefault="006B0754" w:rsidP="00263BCB">
                      <w:pPr>
                        <w:ind w:left="540" w:hanging="360"/>
                        <w:jc w:val="both"/>
                        <w:rPr>
                          <w:rFonts w:ascii="StobiSerif Regular" w:hAnsi="StobiSerif Regular"/>
                          <w:color w:val="000000"/>
                          <w:sz w:val="16"/>
                          <w:szCs w:val="16"/>
                          <w:lang w:val="en-US"/>
                        </w:rPr>
                      </w:pPr>
                      <w:r w:rsidRPr="00674B76">
                        <w:rPr>
                          <w:rFonts w:ascii="Symbol" w:hAnsi="Symbol"/>
                          <w:sz w:val="16"/>
                          <w:szCs w:val="16"/>
                          <w:lang w:val="en-US"/>
                        </w:rPr>
                        <w:t></w:t>
                      </w:r>
                      <w:r w:rsidRPr="00674B76">
                        <w:rPr>
                          <w:rFonts w:ascii="Symbol" w:hAnsi="Symbol"/>
                          <w:sz w:val="16"/>
                          <w:szCs w:val="16"/>
                          <w:lang w:val="en-US"/>
                        </w:rPr>
                        <w:tab/>
                      </w:r>
                      <w:r w:rsidRPr="00674B76">
                        <w:rPr>
                          <w:rFonts w:ascii="StobiSerif Regular" w:hAnsi="StobiSerif Regular"/>
                          <w:color w:val="000000"/>
                          <w:sz w:val="16"/>
                          <w:szCs w:val="16"/>
                          <w:lang w:val="en-US"/>
                        </w:rPr>
                        <w:t>Family planning advices</w:t>
                      </w:r>
                    </w:p>
                    <w:p w14:paraId="76E5CAC6" w14:textId="77777777" w:rsidR="006B0754" w:rsidRDefault="006B0754" w:rsidP="00263BCB">
                      <w:pPr>
                        <w:ind w:left="540" w:hanging="360"/>
                        <w:jc w:val="both"/>
                        <w:rPr>
                          <w:rFonts w:ascii="StobiSerif Regular" w:hAnsi="StobiSerif Regular"/>
                          <w:color w:val="000000"/>
                          <w:sz w:val="16"/>
                          <w:szCs w:val="16"/>
                          <w:lang w:val="en-US"/>
                        </w:rPr>
                      </w:pPr>
                    </w:p>
                    <w:p w14:paraId="68A0F507" w14:textId="3571152F" w:rsidR="006B0754" w:rsidRPr="00674B76" w:rsidRDefault="006B0754" w:rsidP="00263BCB">
                      <w:pPr>
                        <w:ind w:left="540" w:hanging="360"/>
                        <w:jc w:val="both"/>
                        <w:rPr>
                          <w:rFonts w:ascii="StobiSerif Regular" w:hAnsi="StobiSerif Regular"/>
                          <w:color w:val="000000"/>
                          <w:sz w:val="16"/>
                          <w:szCs w:val="16"/>
                          <w:lang w:val="en-US"/>
                        </w:rPr>
                      </w:pPr>
                      <w:r w:rsidRPr="00674B76">
                        <w:rPr>
                          <w:rFonts w:ascii="Symbol" w:hAnsi="Symbol"/>
                          <w:sz w:val="16"/>
                          <w:szCs w:val="16"/>
                          <w:lang w:val="en-US"/>
                        </w:rPr>
                        <w:t></w:t>
                      </w:r>
                      <w:r w:rsidRPr="00674B76">
                        <w:rPr>
                          <w:rFonts w:ascii="Symbol" w:hAnsi="Symbol"/>
                          <w:sz w:val="16"/>
                          <w:szCs w:val="16"/>
                          <w:lang w:val="en-US"/>
                        </w:rPr>
                        <w:tab/>
                      </w:r>
                      <w:r w:rsidRPr="00674B76">
                        <w:rPr>
                          <w:rFonts w:ascii="StobiSerif Regular" w:hAnsi="StobiSerif Regular"/>
                          <w:color w:val="000000"/>
                          <w:sz w:val="16"/>
                          <w:szCs w:val="16"/>
                          <w:lang w:val="en-US"/>
                        </w:rPr>
                        <w:t xml:space="preserve">Contraceptives administered </w:t>
                      </w:r>
                    </w:p>
                    <w:p w14:paraId="01E50B5A" w14:textId="77777777" w:rsidR="006B0754" w:rsidRPr="00674B76" w:rsidRDefault="006B0754" w:rsidP="00263BCB">
                      <w:pPr>
                        <w:rPr>
                          <w:sz w:val="16"/>
                          <w:szCs w:val="16"/>
                        </w:rPr>
                      </w:pPr>
                    </w:p>
                  </w:txbxContent>
                </v:textbox>
                <w10:wrap anchorx="margin"/>
              </v:shape>
            </w:pict>
          </mc:Fallback>
        </mc:AlternateContent>
      </w:r>
      <w:r w:rsidRPr="005D213B">
        <w:rPr>
          <w:b/>
          <w:noProof/>
          <w:lang w:eastAsia="en-GB"/>
        </w:rPr>
        <w:drawing>
          <wp:inline distT="0" distB="0" distL="0" distR="0" wp14:anchorId="11D73230" wp14:editId="07AD1A62">
            <wp:extent cx="4813540" cy="1613140"/>
            <wp:effectExtent l="0" t="0" r="6350" b="6350"/>
            <wp:docPr id="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cstate="print"/>
                    <a:srcRect/>
                    <a:stretch>
                      <a:fillRect/>
                    </a:stretch>
                  </pic:blipFill>
                  <pic:spPr bwMode="auto">
                    <a:xfrm>
                      <a:off x="0" y="0"/>
                      <a:ext cx="4855987" cy="1627365"/>
                    </a:xfrm>
                    <a:prstGeom prst="rect">
                      <a:avLst/>
                    </a:prstGeom>
                    <a:noFill/>
                    <a:ln w="9525">
                      <a:noFill/>
                      <a:miter lim="800000"/>
                      <a:headEnd/>
                      <a:tailEnd/>
                    </a:ln>
                  </pic:spPr>
                </pic:pic>
              </a:graphicData>
            </a:graphic>
          </wp:inline>
        </w:drawing>
      </w:r>
    </w:p>
    <w:p w14:paraId="51069509" w14:textId="77777777" w:rsidR="00263BCB" w:rsidRPr="005D213B" w:rsidRDefault="00263BCB" w:rsidP="00263BCB">
      <w:pPr>
        <w:pStyle w:val="H23G"/>
      </w:pPr>
      <w:bookmarkStart w:id="43" w:name="_Hlk511388090"/>
      <w:r>
        <w:tab/>
      </w:r>
      <w:r>
        <w:tab/>
      </w:r>
      <w:bookmarkStart w:id="44" w:name="_Toc56781445"/>
      <w:r w:rsidRPr="005D213B">
        <w:t>Antenatal Healthcare</w:t>
      </w:r>
      <w:bookmarkEnd w:id="44"/>
    </w:p>
    <w:p w14:paraId="04905922" w14:textId="1E0A51B9" w:rsidR="00263BCB" w:rsidRPr="005D213B" w:rsidRDefault="00570685" w:rsidP="00570685">
      <w:pPr>
        <w:pStyle w:val="ParaNoG"/>
        <w:numPr>
          <w:ilvl w:val="0"/>
          <w:numId w:val="0"/>
        </w:numPr>
        <w:tabs>
          <w:tab w:val="left" w:pos="0"/>
        </w:tabs>
        <w:ind w:left="1134"/>
      </w:pPr>
      <w:r w:rsidRPr="005D213B">
        <w:t>127.</w:t>
      </w:r>
      <w:r w:rsidRPr="005D213B">
        <w:tab/>
      </w:r>
      <w:r w:rsidR="00263BCB" w:rsidRPr="005D213B">
        <w:t>Availability of timely and quality antenatal care is vital for the reduction and early detection of all risks that contribute to maternal and infant mortality.</w:t>
      </w:r>
    </w:p>
    <w:p w14:paraId="30B81F2E" w14:textId="00E2F62A" w:rsidR="00263BCB" w:rsidRPr="005D213B" w:rsidRDefault="00570685" w:rsidP="00570685">
      <w:pPr>
        <w:pStyle w:val="ParaNoG"/>
        <w:numPr>
          <w:ilvl w:val="0"/>
          <w:numId w:val="0"/>
        </w:numPr>
        <w:tabs>
          <w:tab w:val="left" w:pos="0"/>
        </w:tabs>
        <w:ind w:left="1134"/>
      </w:pPr>
      <w:r w:rsidRPr="005D213B">
        <w:t>128.</w:t>
      </w:r>
      <w:r w:rsidRPr="005D213B">
        <w:tab/>
      </w:r>
      <w:r w:rsidR="00263BCB" w:rsidRPr="005D213B">
        <w:t>PHC for pregnant women is provided by their primary care (PCP) gynaecologists. In 2016, a total of 141 doctors or 1 doctor per around 3,600 women in reproductive age worked in the public health sector. The percentage of pregnant women having access to and using prenatal and postnatal care is relatively high.</w:t>
      </w:r>
    </w:p>
    <w:p w14:paraId="2290F989" w14:textId="49C81E19" w:rsidR="00263BCB" w:rsidRPr="00D76B8A" w:rsidRDefault="00263BCB" w:rsidP="00263BCB">
      <w:pPr>
        <w:pStyle w:val="H23G"/>
        <w:rPr>
          <w:rStyle w:val="FootnoteReference"/>
          <w:b w:val="0"/>
          <w:bCs/>
        </w:rPr>
      </w:pPr>
      <w:r w:rsidRPr="005D213B">
        <w:tab/>
      </w:r>
      <w:r>
        <w:tab/>
      </w:r>
      <w:bookmarkStart w:id="45" w:name="_Toc56781446"/>
      <w:r w:rsidRPr="008E78C1">
        <w:rPr>
          <w:b w:val="0"/>
        </w:rPr>
        <w:t>Table 1</w:t>
      </w:r>
      <w:r w:rsidRPr="005D213B">
        <w:t xml:space="preserve"> </w:t>
      </w:r>
      <w:r>
        <w:br/>
      </w:r>
      <w:r w:rsidRPr="005D213B">
        <w:t>Percentage of pregnant women having access to and using prenatal (antenatal) healthcare by a gynaecologist</w:t>
      </w:r>
      <w:r w:rsidRPr="00D76B8A">
        <w:rPr>
          <w:rStyle w:val="FootnoteReference"/>
          <w:b w:val="0"/>
          <w:bCs/>
        </w:rPr>
        <w:footnoteReference w:id="30"/>
      </w:r>
      <w:bookmarkEnd w:id="45"/>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046"/>
        <w:gridCol w:w="643"/>
        <w:gridCol w:w="855"/>
        <w:gridCol w:w="855"/>
        <w:gridCol w:w="854"/>
        <w:gridCol w:w="520"/>
        <w:gridCol w:w="597"/>
      </w:tblGrid>
      <w:tr w:rsidR="00263BCB" w:rsidRPr="00AE332F" w14:paraId="72C26979" w14:textId="77777777" w:rsidTr="00AE332F">
        <w:trPr>
          <w:tblHeader/>
        </w:trPr>
        <w:tc>
          <w:tcPr>
            <w:tcW w:w="3046" w:type="dxa"/>
            <w:tcBorders>
              <w:top w:val="single" w:sz="4" w:space="0" w:color="auto"/>
              <w:bottom w:val="single" w:sz="12" w:space="0" w:color="auto"/>
            </w:tcBorders>
            <w:shd w:val="clear" w:color="auto" w:fill="auto"/>
            <w:vAlign w:val="bottom"/>
          </w:tcPr>
          <w:p w14:paraId="2EC1BDBC" w14:textId="77777777" w:rsidR="00263BCB" w:rsidRPr="00AE332F" w:rsidRDefault="00263BCB" w:rsidP="00AE332F">
            <w:pPr>
              <w:pStyle w:val="SingleTxtG"/>
              <w:spacing w:before="80" w:after="80" w:line="200" w:lineRule="exact"/>
              <w:ind w:left="0" w:right="113"/>
              <w:jc w:val="left"/>
              <w:rPr>
                <w:bCs/>
                <w:i/>
                <w:sz w:val="16"/>
              </w:rPr>
            </w:pPr>
            <w:r w:rsidRPr="00AE332F">
              <w:rPr>
                <w:i/>
                <w:sz w:val="16"/>
              </w:rPr>
              <w:t xml:space="preserve">Indicator </w:t>
            </w:r>
          </w:p>
        </w:tc>
        <w:tc>
          <w:tcPr>
            <w:tcW w:w="643" w:type="dxa"/>
            <w:tcBorders>
              <w:top w:val="single" w:sz="4" w:space="0" w:color="auto"/>
              <w:bottom w:val="single" w:sz="12" w:space="0" w:color="auto"/>
            </w:tcBorders>
            <w:shd w:val="clear" w:color="auto" w:fill="auto"/>
            <w:vAlign w:val="bottom"/>
          </w:tcPr>
          <w:p w14:paraId="59989B47"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2011</w:t>
            </w:r>
          </w:p>
        </w:tc>
        <w:tc>
          <w:tcPr>
            <w:tcW w:w="855" w:type="dxa"/>
            <w:tcBorders>
              <w:top w:val="single" w:sz="4" w:space="0" w:color="auto"/>
              <w:bottom w:val="single" w:sz="12" w:space="0" w:color="auto"/>
            </w:tcBorders>
            <w:shd w:val="clear" w:color="auto" w:fill="auto"/>
            <w:vAlign w:val="bottom"/>
          </w:tcPr>
          <w:p w14:paraId="4E89E5A8"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2012</w:t>
            </w:r>
          </w:p>
        </w:tc>
        <w:tc>
          <w:tcPr>
            <w:tcW w:w="855" w:type="dxa"/>
            <w:tcBorders>
              <w:top w:val="single" w:sz="4" w:space="0" w:color="auto"/>
              <w:bottom w:val="single" w:sz="12" w:space="0" w:color="auto"/>
            </w:tcBorders>
            <w:shd w:val="clear" w:color="auto" w:fill="auto"/>
            <w:vAlign w:val="bottom"/>
          </w:tcPr>
          <w:p w14:paraId="1B3C4955"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2013</w:t>
            </w:r>
          </w:p>
        </w:tc>
        <w:tc>
          <w:tcPr>
            <w:tcW w:w="854" w:type="dxa"/>
            <w:tcBorders>
              <w:top w:val="single" w:sz="4" w:space="0" w:color="auto"/>
              <w:bottom w:val="single" w:sz="12" w:space="0" w:color="auto"/>
            </w:tcBorders>
            <w:shd w:val="clear" w:color="auto" w:fill="auto"/>
            <w:vAlign w:val="bottom"/>
          </w:tcPr>
          <w:p w14:paraId="72D5F98C"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2014</w:t>
            </w:r>
          </w:p>
        </w:tc>
        <w:tc>
          <w:tcPr>
            <w:tcW w:w="520" w:type="dxa"/>
            <w:tcBorders>
              <w:top w:val="single" w:sz="4" w:space="0" w:color="auto"/>
              <w:bottom w:val="single" w:sz="12" w:space="0" w:color="auto"/>
            </w:tcBorders>
            <w:shd w:val="clear" w:color="auto" w:fill="auto"/>
            <w:vAlign w:val="bottom"/>
          </w:tcPr>
          <w:p w14:paraId="15D36E7E"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2015</w:t>
            </w:r>
          </w:p>
        </w:tc>
        <w:tc>
          <w:tcPr>
            <w:tcW w:w="597" w:type="dxa"/>
            <w:tcBorders>
              <w:top w:val="single" w:sz="4" w:space="0" w:color="auto"/>
              <w:bottom w:val="single" w:sz="12" w:space="0" w:color="auto"/>
            </w:tcBorders>
            <w:shd w:val="clear" w:color="auto" w:fill="auto"/>
            <w:vAlign w:val="bottom"/>
          </w:tcPr>
          <w:p w14:paraId="6B428A59"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2016</w:t>
            </w:r>
          </w:p>
        </w:tc>
      </w:tr>
      <w:tr w:rsidR="00263BCB" w:rsidRPr="00AE332F" w14:paraId="1EF0D739" w14:textId="77777777" w:rsidTr="00AE332F">
        <w:tc>
          <w:tcPr>
            <w:tcW w:w="3046" w:type="dxa"/>
            <w:tcBorders>
              <w:top w:val="single" w:sz="12" w:space="0" w:color="auto"/>
            </w:tcBorders>
            <w:shd w:val="clear" w:color="auto" w:fill="auto"/>
          </w:tcPr>
          <w:p w14:paraId="27552B96" w14:textId="77777777" w:rsidR="00263BCB" w:rsidRPr="00AE332F" w:rsidRDefault="00263BCB" w:rsidP="00AE332F">
            <w:pPr>
              <w:pStyle w:val="SingleTxtG"/>
              <w:spacing w:before="40" w:after="40" w:line="220" w:lineRule="exact"/>
              <w:ind w:left="0" w:right="113"/>
              <w:jc w:val="left"/>
              <w:rPr>
                <w:sz w:val="18"/>
              </w:rPr>
            </w:pPr>
            <w:r w:rsidRPr="00AE332F">
              <w:rPr>
                <w:sz w:val="18"/>
              </w:rPr>
              <w:t>Percentage of pregnant women having access to antenatal healthcare</w:t>
            </w:r>
          </w:p>
        </w:tc>
        <w:tc>
          <w:tcPr>
            <w:tcW w:w="643" w:type="dxa"/>
            <w:tcBorders>
              <w:top w:val="single" w:sz="12" w:space="0" w:color="auto"/>
            </w:tcBorders>
            <w:shd w:val="clear" w:color="auto" w:fill="auto"/>
            <w:vAlign w:val="bottom"/>
          </w:tcPr>
          <w:p w14:paraId="0975F13D" w14:textId="77777777" w:rsidR="00263BCB" w:rsidRPr="00AE332F" w:rsidRDefault="00263BCB" w:rsidP="00AE332F">
            <w:pPr>
              <w:pStyle w:val="SingleTxtG"/>
              <w:spacing w:before="40" w:after="40" w:line="220" w:lineRule="exact"/>
              <w:ind w:left="0" w:right="113"/>
              <w:jc w:val="right"/>
              <w:rPr>
                <w:sz w:val="18"/>
              </w:rPr>
            </w:pPr>
            <w:r w:rsidRPr="00AE332F">
              <w:rPr>
                <w:sz w:val="18"/>
              </w:rPr>
              <w:t>N/A</w:t>
            </w:r>
          </w:p>
        </w:tc>
        <w:tc>
          <w:tcPr>
            <w:tcW w:w="855" w:type="dxa"/>
            <w:tcBorders>
              <w:top w:val="single" w:sz="12" w:space="0" w:color="auto"/>
            </w:tcBorders>
            <w:shd w:val="clear" w:color="auto" w:fill="auto"/>
            <w:vAlign w:val="bottom"/>
          </w:tcPr>
          <w:p w14:paraId="0CB4592D" w14:textId="77777777" w:rsidR="00263BCB" w:rsidRPr="00AE332F" w:rsidRDefault="00263BCB" w:rsidP="00AE332F">
            <w:pPr>
              <w:pStyle w:val="SingleTxtG"/>
              <w:spacing w:before="40" w:after="40" w:line="220" w:lineRule="exact"/>
              <w:ind w:left="0" w:right="113"/>
              <w:jc w:val="right"/>
              <w:rPr>
                <w:sz w:val="18"/>
              </w:rPr>
            </w:pPr>
            <w:r w:rsidRPr="00AE332F">
              <w:rPr>
                <w:sz w:val="18"/>
              </w:rPr>
              <w:t>N/A</w:t>
            </w:r>
          </w:p>
        </w:tc>
        <w:tc>
          <w:tcPr>
            <w:tcW w:w="855" w:type="dxa"/>
            <w:tcBorders>
              <w:top w:val="single" w:sz="12" w:space="0" w:color="auto"/>
            </w:tcBorders>
            <w:shd w:val="clear" w:color="auto" w:fill="auto"/>
            <w:vAlign w:val="bottom"/>
          </w:tcPr>
          <w:p w14:paraId="7DCDC6AC" w14:textId="77777777" w:rsidR="00263BCB" w:rsidRPr="00AE332F" w:rsidRDefault="00263BCB" w:rsidP="00AE332F">
            <w:pPr>
              <w:pStyle w:val="SingleTxtG"/>
              <w:spacing w:before="40" w:after="40" w:line="220" w:lineRule="exact"/>
              <w:ind w:left="0" w:right="113"/>
              <w:jc w:val="right"/>
              <w:rPr>
                <w:sz w:val="18"/>
              </w:rPr>
            </w:pPr>
            <w:r w:rsidRPr="00AE332F">
              <w:rPr>
                <w:sz w:val="18"/>
              </w:rPr>
              <w:t>87.8</w:t>
            </w:r>
          </w:p>
        </w:tc>
        <w:tc>
          <w:tcPr>
            <w:tcW w:w="854" w:type="dxa"/>
            <w:tcBorders>
              <w:top w:val="single" w:sz="12" w:space="0" w:color="auto"/>
            </w:tcBorders>
            <w:shd w:val="clear" w:color="auto" w:fill="auto"/>
            <w:vAlign w:val="bottom"/>
          </w:tcPr>
          <w:p w14:paraId="5A4B9E95" w14:textId="77777777" w:rsidR="00263BCB" w:rsidRPr="00AE332F" w:rsidRDefault="00263BCB" w:rsidP="00AE332F">
            <w:pPr>
              <w:pStyle w:val="SingleTxtG"/>
              <w:spacing w:before="40" w:after="40" w:line="220" w:lineRule="exact"/>
              <w:ind w:left="0" w:right="113"/>
              <w:jc w:val="right"/>
              <w:rPr>
                <w:sz w:val="18"/>
              </w:rPr>
            </w:pPr>
            <w:r w:rsidRPr="00AE332F">
              <w:rPr>
                <w:sz w:val="18"/>
              </w:rPr>
              <w:t>89.9</w:t>
            </w:r>
          </w:p>
        </w:tc>
        <w:tc>
          <w:tcPr>
            <w:tcW w:w="520" w:type="dxa"/>
            <w:tcBorders>
              <w:top w:val="single" w:sz="12" w:space="0" w:color="auto"/>
            </w:tcBorders>
            <w:shd w:val="clear" w:color="auto" w:fill="auto"/>
            <w:vAlign w:val="bottom"/>
          </w:tcPr>
          <w:p w14:paraId="220F9BC3" w14:textId="77777777" w:rsidR="00263BCB" w:rsidRPr="00AE332F" w:rsidRDefault="00263BCB" w:rsidP="00AE332F">
            <w:pPr>
              <w:pStyle w:val="SingleTxtG"/>
              <w:spacing w:before="40" w:after="40" w:line="220" w:lineRule="exact"/>
              <w:ind w:left="0" w:right="113"/>
              <w:jc w:val="right"/>
              <w:rPr>
                <w:sz w:val="18"/>
              </w:rPr>
            </w:pPr>
            <w:r w:rsidRPr="00AE332F">
              <w:rPr>
                <w:sz w:val="18"/>
              </w:rPr>
              <w:t>90.1</w:t>
            </w:r>
          </w:p>
        </w:tc>
        <w:tc>
          <w:tcPr>
            <w:tcW w:w="597" w:type="dxa"/>
            <w:tcBorders>
              <w:top w:val="single" w:sz="12" w:space="0" w:color="auto"/>
            </w:tcBorders>
            <w:shd w:val="clear" w:color="auto" w:fill="auto"/>
            <w:vAlign w:val="bottom"/>
          </w:tcPr>
          <w:p w14:paraId="4BD75551" w14:textId="77777777" w:rsidR="00263BCB" w:rsidRPr="00AE332F" w:rsidRDefault="00263BCB" w:rsidP="00AE332F">
            <w:pPr>
              <w:pStyle w:val="SingleTxtG"/>
              <w:spacing w:before="40" w:after="40" w:line="220" w:lineRule="exact"/>
              <w:ind w:left="0" w:right="113"/>
              <w:jc w:val="right"/>
              <w:rPr>
                <w:sz w:val="18"/>
              </w:rPr>
            </w:pPr>
            <w:r w:rsidRPr="00AE332F">
              <w:rPr>
                <w:sz w:val="18"/>
              </w:rPr>
              <w:t>90.3</w:t>
            </w:r>
          </w:p>
        </w:tc>
      </w:tr>
    </w:tbl>
    <w:p w14:paraId="187D7489" w14:textId="0E342102" w:rsidR="00263BCB" w:rsidRPr="005D213B" w:rsidRDefault="00570685" w:rsidP="00570685">
      <w:pPr>
        <w:pStyle w:val="ParaNoG"/>
        <w:numPr>
          <w:ilvl w:val="0"/>
          <w:numId w:val="0"/>
        </w:numPr>
        <w:tabs>
          <w:tab w:val="left" w:pos="0"/>
        </w:tabs>
        <w:spacing w:before="240"/>
        <w:ind w:left="1134"/>
      </w:pPr>
      <w:r w:rsidRPr="005D213B">
        <w:t>129.</w:t>
      </w:r>
      <w:r w:rsidRPr="005D213B">
        <w:tab/>
      </w:r>
      <w:r w:rsidR="00263BCB" w:rsidRPr="005D213B">
        <w:t>The public health nursing service conducts public health nursing visits to the homes of puerperal women after leaving maternity hospitals.</w:t>
      </w:r>
      <w:r w:rsidR="00A21C4B">
        <w:t xml:space="preserve"> </w:t>
      </w:r>
    </w:p>
    <w:p w14:paraId="1FEC628B" w14:textId="77777777" w:rsidR="00263BCB" w:rsidRPr="00A21C4B" w:rsidRDefault="00263BCB" w:rsidP="00263BCB">
      <w:pPr>
        <w:pStyle w:val="H23G"/>
        <w:rPr>
          <w:rStyle w:val="FootnoteReference"/>
        </w:rPr>
      </w:pPr>
      <w:r>
        <w:lastRenderedPageBreak/>
        <w:tab/>
      </w:r>
      <w:r>
        <w:tab/>
      </w:r>
      <w:bookmarkStart w:id="46" w:name="_Toc56781447"/>
      <w:r w:rsidRPr="008E78C1">
        <w:rPr>
          <w:b w:val="0"/>
        </w:rPr>
        <w:t>Table 2</w:t>
      </w:r>
      <w:r w:rsidRPr="005D213B">
        <w:t xml:space="preserve"> </w:t>
      </w:r>
      <w:r>
        <w:br/>
      </w:r>
      <w:r w:rsidRPr="005D213B">
        <w:t>Percentage of pregnant women having access to and using post-natal healthcare (visits from a public health nurse)</w:t>
      </w:r>
      <w:r w:rsidRPr="0026480D">
        <w:rPr>
          <w:rStyle w:val="FootnoteReference"/>
          <w:b w:val="0"/>
          <w:bCs/>
        </w:rPr>
        <w:footnoteReference w:id="31"/>
      </w:r>
      <w:bookmarkEnd w:id="46"/>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784"/>
        <w:gridCol w:w="850"/>
        <w:gridCol w:w="851"/>
        <w:gridCol w:w="851"/>
        <w:gridCol w:w="851"/>
        <w:gridCol w:w="734"/>
        <w:gridCol w:w="449"/>
      </w:tblGrid>
      <w:tr w:rsidR="00263BCB" w:rsidRPr="00AE332F" w14:paraId="5FEE5226" w14:textId="77777777" w:rsidTr="00AE332F">
        <w:trPr>
          <w:tblHeader/>
        </w:trPr>
        <w:tc>
          <w:tcPr>
            <w:tcW w:w="2784" w:type="dxa"/>
            <w:tcBorders>
              <w:top w:val="single" w:sz="4" w:space="0" w:color="auto"/>
              <w:bottom w:val="single" w:sz="12" w:space="0" w:color="auto"/>
            </w:tcBorders>
            <w:shd w:val="clear" w:color="auto" w:fill="auto"/>
            <w:vAlign w:val="bottom"/>
          </w:tcPr>
          <w:p w14:paraId="4A8D3FDE" w14:textId="77777777" w:rsidR="00263BCB" w:rsidRPr="00AE332F" w:rsidRDefault="00263BCB" w:rsidP="00AE332F">
            <w:pPr>
              <w:pStyle w:val="SingleTxtG"/>
              <w:spacing w:before="80" w:after="80" w:line="200" w:lineRule="exact"/>
              <w:ind w:left="0" w:right="113"/>
              <w:jc w:val="left"/>
              <w:rPr>
                <w:bCs/>
                <w:i/>
                <w:sz w:val="16"/>
              </w:rPr>
            </w:pPr>
            <w:r w:rsidRPr="00AE332F">
              <w:rPr>
                <w:i/>
                <w:sz w:val="16"/>
              </w:rPr>
              <w:t>Indicator</w:t>
            </w:r>
          </w:p>
        </w:tc>
        <w:tc>
          <w:tcPr>
            <w:tcW w:w="850" w:type="dxa"/>
            <w:tcBorders>
              <w:top w:val="single" w:sz="4" w:space="0" w:color="auto"/>
              <w:bottom w:val="single" w:sz="12" w:space="0" w:color="auto"/>
            </w:tcBorders>
            <w:shd w:val="clear" w:color="auto" w:fill="auto"/>
            <w:vAlign w:val="bottom"/>
          </w:tcPr>
          <w:p w14:paraId="27D80B88"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2011</w:t>
            </w:r>
          </w:p>
        </w:tc>
        <w:tc>
          <w:tcPr>
            <w:tcW w:w="851" w:type="dxa"/>
            <w:tcBorders>
              <w:top w:val="single" w:sz="4" w:space="0" w:color="auto"/>
              <w:bottom w:val="single" w:sz="12" w:space="0" w:color="auto"/>
            </w:tcBorders>
            <w:shd w:val="clear" w:color="auto" w:fill="auto"/>
            <w:vAlign w:val="bottom"/>
          </w:tcPr>
          <w:p w14:paraId="263F18C1"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2012</w:t>
            </w:r>
          </w:p>
        </w:tc>
        <w:tc>
          <w:tcPr>
            <w:tcW w:w="851" w:type="dxa"/>
            <w:tcBorders>
              <w:top w:val="single" w:sz="4" w:space="0" w:color="auto"/>
              <w:bottom w:val="single" w:sz="12" w:space="0" w:color="auto"/>
            </w:tcBorders>
            <w:shd w:val="clear" w:color="auto" w:fill="auto"/>
            <w:vAlign w:val="bottom"/>
          </w:tcPr>
          <w:p w14:paraId="5DA56E5E"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2013</w:t>
            </w:r>
          </w:p>
        </w:tc>
        <w:tc>
          <w:tcPr>
            <w:tcW w:w="851" w:type="dxa"/>
            <w:tcBorders>
              <w:top w:val="single" w:sz="4" w:space="0" w:color="auto"/>
              <w:bottom w:val="single" w:sz="12" w:space="0" w:color="auto"/>
            </w:tcBorders>
            <w:shd w:val="clear" w:color="auto" w:fill="auto"/>
            <w:vAlign w:val="bottom"/>
          </w:tcPr>
          <w:p w14:paraId="2E87E637"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2014</w:t>
            </w:r>
          </w:p>
        </w:tc>
        <w:tc>
          <w:tcPr>
            <w:tcW w:w="734" w:type="dxa"/>
            <w:tcBorders>
              <w:top w:val="single" w:sz="4" w:space="0" w:color="auto"/>
              <w:bottom w:val="single" w:sz="12" w:space="0" w:color="auto"/>
            </w:tcBorders>
            <w:shd w:val="clear" w:color="auto" w:fill="auto"/>
            <w:vAlign w:val="bottom"/>
          </w:tcPr>
          <w:p w14:paraId="2E978C32"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2015</w:t>
            </w:r>
          </w:p>
        </w:tc>
        <w:tc>
          <w:tcPr>
            <w:tcW w:w="449" w:type="dxa"/>
            <w:tcBorders>
              <w:top w:val="single" w:sz="4" w:space="0" w:color="auto"/>
              <w:bottom w:val="single" w:sz="12" w:space="0" w:color="auto"/>
            </w:tcBorders>
            <w:shd w:val="clear" w:color="auto" w:fill="auto"/>
            <w:vAlign w:val="bottom"/>
          </w:tcPr>
          <w:p w14:paraId="06EA2732"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2016</w:t>
            </w:r>
          </w:p>
        </w:tc>
      </w:tr>
      <w:tr w:rsidR="00263BCB" w:rsidRPr="00AE332F" w14:paraId="7BE08FA6" w14:textId="77777777" w:rsidTr="00AE332F">
        <w:tc>
          <w:tcPr>
            <w:tcW w:w="2784" w:type="dxa"/>
            <w:tcBorders>
              <w:top w:val="single" w:sz="12" w:space="0" w:color="auto"/>
            </w:tcBorders>
            <w:shd w:val="clear" w:color="auto" w:fill="auto"/>
          </w:tcPr>
          <w:p w14:paraId="54D2635B" w14:textId="77777777" w:rsidR="00263BCB" w:rsidRPr="00AE332F" w:rsidRDefault="00263BCB" w:rsidP="00AE332F">
            <w:pPr>
              <w:pStyle w:val="SingleTxtG"/>
              <w:spacing w:before="40" w:after="40" w:line="220" w:lineRule="exact"/>
              <w:ind w:left="0" w:right="113"/>
              <w:jc w:val="left"/>
              <w:rPr>
                <w:sz w:val="18"/>
              </w:rPr>
            </w:pPr>
            <w:r w:rsidRPr="00AE332F">
              <w:rPr>
                <w:sz w:val="18"/>
              </w:rPr>
              <w:t xml:space="preserve">Percentage of puerperal women visited by public health nurses </w:t>
            </w:r>
          </w:p>
        </w:tc>
        <w:tc>
          <w:tcPr>
            <w:tcW w:w="850" w:type="dxa"/>
            <w:tcBorders>
              <w:top w:val="single" w:sz="12" w:space="0" w:color="auto"/>
            </w:tcBorders>
            <w:shd w:val="clear" w:color="auto" w:fill="auto"/>
            <w:vAlign w:val="bottom"/>
          </w:tcPr>
          <w:p w14:paraId="263A74F3" w14:textId="77777777" w:rsidR="00263BCB" w:rsidRPr="00AE332F" w:rsidRDefault="00263BCB" w:rsidP="00AE332F">
            <w:pPr>
              <w:pStyle w:val="SingleTxtG"/>
              <w:spacing w:before="40" w:after="40" w:line="220" w:lineRule="exact"/>
              <w:ind w:left="0" w:right="113"/>
              <w:jc w:val="right"/>
              <w:rPr>
                <w:sz w:val="18"/>
              </w:rPr>
            </w:pPr>
            <w:r w:rsidRPr="00AE332F">
              <w:rPr>
                <w:sz w:val="18"/>
              </w:rPr>
              <w:t>90%</w:t>
            </w:r>
          </w:p>
        </w:tc>
        <w:tc>
          <w:tcPr>
            <w:tcW w:w="851" w:type="dxa"/>
            <w:tcBorders>
              <w:top w:val="single" w:sz="12" w:space="0" w:color="auto"/>
            </w:tcBorders>
            <w:shd w:val="clear" w:color="auto" w:fill="auto"/>
            <w:vAlign w:val="bottom"/>
          </w:tcPr>
          <w:p w14:paraId="2BA54E6B" w14:textId="77777777" w:rsidR="00263BCB" w:rsidRPr="00AE332F" w:rsidRDefault="00263BCB" w:rsidP="00AE332F">
            <w:pPr>
              <w:pStyle w:val="SingleTxtG"/>
              <w:spacing w:before="40" w:after="40" w:line="220" w:lineRule="exact"/>
              <w:ind w:left="0" w:right="113"/>
              <w:jc w:val="right"/>
              <w:rPr>
                <w:sz w:val="18"/>
              </w:rPr>
            </w:pPr>
            <w:r w:rsidRPr="00AE332F">
              <w:rPr>
                <w:sz w:val="18"/>
              </w:rPr>
              <w:t>89%</w:t>
            </w:r>
          </w:p>
        </w:tc>
        <w:tc>
          <w:tcPr>
            <w:tcW w:w="851" w:type="dxa"/>
            <w:tcBorders>
              <w:top w:val="single" w:sz="12" w:space="0" w:color="auto"/>
            </w:tcBorders>
            <w:shd w:val="clear" w:color="auto" w:fill="auto"/>
            <w:vAlign w:val="bottom"/>
          </w:tcPr>
          <w:p w14:paraId="7FBE24ED" w14:textId="77777777" w:rsidR="00263BCB" w:rsidRPr="00AE332F" w:rsidRDefault="00263BCB" w:rsidP="00AE332F">
            <w:pPr>
              <w:pStyle w:val="SingleTxtG"/>
              <w:spacing w:before="40" w:after="40" w:line="220" w:lineRule="exact"/>
              <w:ind w:left="0" w:right="113"/>
              <w:jc w:val="right"/>
              <w:rPr>
                <w:sz w:val="18"/>
              </w:rPr>
            </w:pPr>
            <w:r w:rsidRPr="00AE332F">
              <w:rPr>
                <w:sz w:val="18"/>
              </w:rPr>
              <w:t>92%</w:t>
            </w:r>
          </w:p>
        </w:tc>
        <w:tc>
          <w:tcPr>
            <w:tcW w:w="851" w:type="dxa"/>
            <w:tcBorders>
              <w:top w:val="single" w:sz="12" w:space="0" w:color="auto"/>
            </w:tcBorders>
            <w:shd w:val="clear" w:color="auto" w:fill="auto"/>
            <w:vAlign w:val="bottom"/>
          </w:tcPr>
          <w:p w14:paraId="3C9B91EE" w14:textId="77777777" w:rsidR="00263BCB" w:rsidRPr="00AE332F" w:rsidRDefault="00263BCB" w:rsidP="00AE332F">
            <w:pPr>
              <w:pStyle w:val="SingleTxtG"/>
              <w:spacing w:before="40" w:after="40" w:line="220" w:lineRule="exact"/>
              <w:ind w:left="0" w:right="113"/>
              <w:jc w:val="right"/>
              <w:rPr>
                <w:sz w:val="18"/>
              </w:rPr>
            </w:pPr>
            <w:r w:rsidRPr="00AE332F">
              <w:rPr>
                <w:sz w:val="18"/>
              </w:rPr>
              <w:t>83%</w:t>
            </w:r>
          </w:p>
        </w:tc>
        <w:tc>
          <w:tcPr>
            <w:tcW w:w="734" w:type="dxa"/>
            <w:tcBorders>
              <w:top w:val="single" w:sz="12" w:space="0" w:color="auto"/>
            </w:tcBorders>
            <w:shd w:val="clear" w:color="auto" w:fill="auto"/>
            <w:vAlign w:val="bottom"/>
          </w:tcPr>
          <w:p w14:paraId="373A3ECA" w14:textId="77777777" w:rsidR="00263BCB" w:rsidRPr="00AE332F" w:rsidRDefault="00263BCB" w:rsidP="00AE332F">
            <w:pPr>
              <w:pStyle w:val="SingleTxtG"/>
              <w:spacing w:before="40" w:after="40" w:line="220" w:lineRule="exact"/>
              <w:ind w:left="0" w:right="113"/>
              <w:jc w:val="right"/>
              <w:rPr>
                <w:sz w:val="18"/>
              </w:rPr>
            </w:pPr>
            <w:r w:rsidRPr="00AE332F">
              <w:rPr>
                <w:sz w:val="18"/>
              </w:rPr>
              <w:t>83%</w:t>
            </w:r>
          </w:p>
        </w:tc>
        <w:tc>
          <w:tcPr>
            <w:tcW w:w="449" w:type="dxa"/>
            <w:tcBorders>
              <w:top w:val="single" w:sz="12" w:space="0" w:color="auto"/>
            </w:tcBorders>
            <w:shd w:val="clear" w:color="auto" w:fill="auto"/>
            <w:vAlign w:val="bottom"/>
          </w:tcPr>
          <w:p w14:paraId="5087915D" w14:textId="77777777" w:rsidR="00263BCB" w:rsidRPr="00AE332F" w:rsidRDefault="00263BCB" w:rsidP="00AE332F">
            <w:pPr>
              <w:pStyle w:val="SingleTxtG"/>
              <w:spacing w:before="40" w:after="40" w:line="220" w:lineRule="exact"/>
              <w:ind w:left="0" w:right="113"/>
              <w:jc w:val="right"/>
              <w:rPr>
                <w:sz w:val="18"/>
              </w:rPr>
            </w:pPr>
            <w:r w:rsidRPr="00AE332F">
              <w:rPr>
                <w:sz w:val="18"/>
              </w:rPr>
              <w:t>83%</w:t>
            </w:r>
          </w:p>
        </w:tc>
      </w:tr>
    </w:tbl>
    <w:p w14:paraId="70F3BE99" w14:textId="56657B32" w:rsidR="00263BCB" w:rsidRPr="005D213B" w:rsidRDefault="00570685" w:rsidP="00570685">
      <w:pPr>
        <w:pStyle w:val="ParaNoG"/>
        <w:numPr>
          <w:ilvl w:val="0"/>
          <w:numId w:val="0"/>
        </w:numPr>
        <w:tabs>
          <w:tab w:val="left" w:pos="0"/>
        </w:tabs>
        <w:spacing w:before="240"/>
        <w:ind w:left="1134"/>
      </w:pPr>
      <w:r w:rsidRPr="005D213B">
        <w:t>130.</w:t>
      </w:r>
      <w:r w:rsidRPr="005D213B">
        <w:tab/>
      </w:r>
      <w:r w:rsidR="00263BCB" w:rsidRPr="005D213B">
        <w:t>The percentage of deliveries assisted by professionals remains high (99.9%).</w:t>
      </w:r>
    </w:p>
    <w:p w14:paraId="51E3F7FB" w14:textId="6C90BD4E" w:rsidR="00263BCB" w:rsidRPr="00A21C4B" w:rsidRDefault="00263BCB" w:rsidP="00263BCB">
      <w:pPr>
        <w:pStyle w:val="H23G"/>
        <w:rPr>
          <w:rStyle w:val="FootnoteReference"/>
        </w:rPr>
      </w:pPr>
      <w:r>
        <w:tab/>
      </w:r>
      <w:r>
        <w:tab/>
      </w:r>
      <w:bookmarkStart w:id="47" w:name="_Toc56781448"/>
      <w:r w:rsidRPr="008E78C1">
        <w:rPr>
          <w:b w:val="0"/>
        </w:rPr>
        <w:t>Table 3</w:t>
      </w:r>
      <w:r w:rsidRPr="005D213B">
        <w:t xml:space="preserve"> </w:t>
      </w:r>
      <w:r>
        <w:br/>
      </w:r>
      <w:r w:rsidRPr="005D213B">
        <w:t>Percentage of children born in hospitals</w:t>
      </w:r>
      <w:r w:rsidRPr="00964853">
        <w:rPr>
          <w:rStyle w:val="FootnoteReference"/>
          <w:b w:val="0"/>
          <w:bCs/>
        </w:rPr>
        <w:footnoteReference w:id="32"/>
      </w:r>
      <w:bookmarkEnd w:id="47"/>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843"/>
        <w:gridCol w:w="1276"/>
        <w:gridCol w:w="850"/>
        <w:gridCol w:w="851"/>
        <w:gridCol w:w="850"/>
        <w:gridCol w:w="851"/>
        <w:gridCol w:w="849"/>
      </w:tblGrid>
      <w:tr w:rsidR="00263BCB" w:rsidRPr="00AE332F" w14:paraId="7B5B9F6F" w14:textId="77777777" w:rsidTr="00AE332F">
        <w:trPr>
          <w:tblHeader/>
        </w:trPr>
        <w:tc>
          <w:tcPr>
            <w:tcW w:w="1843" w:type="dxa"/>
            <w:tcBorders>
              <w:top w:val="single" w:sz="4" w:space="0" w:color="auto"/>
              <w:bottom w:val="single" w:sz="12" w:space="0" w:color="auto"/>
            </w:tcBorders>
            <w:shd w:val="clear" w:color="auto" w:fill="auto"/>
            <w:vAlign w:val="bottom"/>
          </w:tcPr>
          <w:p w14:paraId="31AD3086" w14:textId="77777777" w:rsidR="00263BCB" w:rsidRPr="00AE332F" w:rsidRDefault="00263BCB" w:rsidP="00AE332F">
            <w:pPr>
              <w:pStyle w:val="SingleTxtG"/>
              <w:spacing w:before="80" w:after="80" w:line="200" w:lineRule="exact"/>
              <w:ind w:left="0" w:right="113"/>
              <w:jc w:val="left"/>
              <w:rPr>
                <w:bCs/>
                <w:i/>
                <w:sz w:val="16"/>
              </w:rPr>
            </w:pPr>
            <w:r w:rsidRPr="00AE332F">
              <w:rPr>
                <w:i/>
                <w:sz w:val="16"/>
              </w:rPr>
              <w:t>Indicator</w:t>
            </w:r>
          </w:p>
        </w:tc>
        <w:tc>
          <w:tcPr>
            <w:tcW w:w="1276" w:type="dxa"/>
            <w:tcBorders>
              <w:top w:val="single" w:sz="4" w:space="0" w:color="auto"/>
              <w:bottom w:val="single" w:sz="12" w:space="0" w:color="auto"/>
            </w:tcBorders>
            <w:shd w:val="clear" w:color="auto" w:fill="auto"/>
            <w:vAlign w:val="bottom"/>
          </w:tcPr>
          <w:p w14:paraId="5C2B6470"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2011</w:t>
            </w:r>
          </w:p>
        </w:tc>
        <w:tc>
          <w:tcPr>
            <w:tcW w:w="850" w:type="dxa"/>
            <w:tcBorders>
              <w:top w:val="single" w:sz="4" w:space="0" w:color="auto"/>
              <w:bottom w:val="single" w:sz="12" w:space="0" w:color="auto"/>
            </w:tcBorders>
            <w:shd w:val="clear" w:color="auto" w:fill="auto"/>
            <w:vAlign w:val="bottom"/>
          </w:tcPr>
          <w:p w14:paraId="07B8FBC6"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2012</w:t>
            </w:r>
          </w:p>
        </w:tc>
        <w:tc>
          <w:tcPr>
            <w:tcW w:w="851" w:type="dxa"/>
            <w:tcBorders>
              <w:top w:val="single" w:sz="4" w:space="0" w:color="auto"/>
              <w:bottom w:val="single" w:sz="12" w:space="0" w:color="auto"/>
            </w:tcBorders>
            <w:shd w:val="clear" w:color="auto" w:fill="auto"/>
            <w:vAlign w:val="bottom"/>
          </w:tcPr>
          <w:p w14:paraId="5E9FA1A9"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2013</w:t>
            </w:r>
          </w:p>
        </w:tc>
        <w:tc>
          <w:tcPr>
            <w:tcW w:w="850" w:type="dxa"/>
            <w:tcBorders>
              <w:top w:val="single" w:sz="4" w:space="0" w:color="auto"/>
              <w:bottom w:val="single" w:sz="12" w:space="0" w:color="auto"/>
            </w:tcBorders>
            <w:shd w:val="clear" w:color="auto" w:fill="auto"/>
            <w:vAlign w:val="bottom"/>
          </w:tcPr>
          <w:p w14:paraId="2D09BC38"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2014</w:t>
            </w:r>
          </w:p>
        </w:tc>
        <w:tc>
          <w:tcPr>
            <w:tcW w:w="851" w:type="dxa"/>
            <w:tcBorders>
              <w:top w:val="single" w:sz="4" w:space="0" w:color="auto"/>
              <w:bottom w:val="single" w:sz="12" w:space="0" w:color="auto"/>
            </w:tcBorders>
            <w:shd w:val="clear" w:color="auto" w:fill="auto"/>
            <w:vAlign w:val="bottom"/>
          </w:tcPr>
          <w:p w14:paraId="6986726E"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2015</w:t>
            </w:r>
          </w:p>
        </w:tc>
        <w:tc>
          <w:tcPr>
            <w:tcW w:w="849" w:type="dxa"/>
            <w:tcBorders>
              <w:top w:val="single" w:sz="4" w:space="0" w:color="auto"/>
              <w:bottom w:val="single" w:sz="12" w:space="0" w:color="auto"/>
            </w:tcBorders>
            <w:shd w:val="clear" w:color="auto" w:fill="auto"/>
            <w:vAlign w:val="bottom"/>
          </w:tcPr>
          <w:p w14:paraId="65E0C7BE"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2016</w:t>
            </w:r>
          </w:p>
        </w:tc>
      </w:tr>
      <w:tr w:rsidR="00263BCB" w:rsidRPr="00AE332F" w14:paraId="7CA5CD0E" w14:textId="77777777" w:rsidTr="00AE332F">
        <w:tc>
          <w:tcPr>
            <w:tcW w:w="1843" w:type="dxa"/>
            <w:tcBorders>
              <w:top w:val="single" w:sz="12" w:space="0" w:color="auto"/>
            </w:tcBorders>
            <w:shd w:val="clear" w:color="auto" w:fill="auto"/>
          </w:tcPr>
          <w:p w14:paraId="0500563F" w14:textId="77777777" w:rsidR="00263BCB" w:rsidRPr="00AE332F" w:rsidRDefault="00263BCB" w:rsidP="00AE332F">
            <w:pPr>
              <w:pStyle w:val="SingleTxtG"/>
              <w:spacing w:before="40" w:after="40" w:line="220" w:lineRule="exact"/>
              <w:ind w:left="0" w:right="113"/>
              <w:jc w:val="left"/>
              <w:rPr>
                <w:sz w:val="18"/>
              </w:rPr>
            </w:pPr>
            <w:r w:rsidRPr="00AE332F">
              <w:rPr>
                <w:sz w:val="18"/>
              </w:rPr>
              <w:t>Percentage of children born in hospitals</w:t>
            </w:r>
          </w:p>
        </w:tc>
        <w:tc>
          <w:tcPr>
            <w:tcW w:w="1276" w:type="dxa"/>
            <w:tcBorders>
              <w:top w:val="single" w:sz="12" w:space="0" w:color="auto"/>
            </w:tcBorders>
            <w:shd w:val="clear" w:color="auto" w:fill="auto"/>
            <w:vAlign w:val="bottom"/>
          </w:tcPr>
          <w:p w14:paraId="78F9582B" w14:textId="77777777" w:rsidR="00263BCB" w:rsidRPr="00AE332F" w:rsidRDefault="00263BCB" w:rsidP="00AE332F">
            <w:pPr>
              <w:pStyle w:val="SingleTxtG"/>
              <w:spacing w:before="40" w:after="40" w:line="220" w:lineRule="exact"/>
              <w:ind w:left="0" w:right="113"/>
              <w:jc w:val="right"/>
              <w:rPr>
                <w:sz w:val="18"/>
              </w:rPr>
            </w:pPr>
            <w:r w:rsidRPr="00AE332F">
              <w:rPr>
                <w:sz w:val="18"/>
              </w:rPr>
              <w:t>99.8</w:t>
            </w:r>
          </w:p>
        </w:tc>
        <w:tc>
          <w:tcPr>
            <w:tcW w:w="850" w:type="dxa"/>
            <w:tcBorders>
              <w:top w:val="single" w:sz="12" w:space="0" w:color="auto"/>
            </w:tcBorders>
            <w:shd w:val="clear" w:color="auto" w:fill="auto"/>
            <w:vAlign w:val="bottom"/>
          </w:tcPr>
          <w:p w14:paraId="10B86D0C" w14:textId="77777777" w:rsidR="00263BCB" w:rsidRPr="00AE332F" w:rsidRDefault="00263BCB" w:rsidP="00AE332F">
            <w:pPr>
              <w:pStyle w:val="SingleTxtG"/>
              <w:spacing w:before="40" w:after="40" w:line="220" w:lineRule="exact"/>
              <w:ind w:left="0" w:right="113"/>
              <w:jc w:val="right"/>
              <w:rPr>
                <w:sz w:val="18"/>
              </w:rPr>
            </w:pPr>
            <w:r w:rsidRPr="00AE332F">
              <w:rPr>
                <w:sz w:val="18"/>
              </w:rPr>
              <w:t>99.7</w:t>
            </w:r>
          </w:p>
        </w:tc>
        <w:tc>
          <w:tcPr>
            <w:tcW w:w="851" w:type="dxa"/>
            <w:tcBorders>
              <w:top w:val="single" w:sz="12" w:space="0" w:color="auto"/>
            </w:tcBorders>
            <w:shd w:val="clear" w:color="auto" w:fill="auto"/>
            <w:vAlign w:val="bottom"/>
          </w:tcPr>
          <w:p w14:paraId="0E3C2FEB" w14:textId="77777777" w:rsidR="00263BCB" w:rsidRPr="00AE332F" w:rsidRDefault="00263BCB" w:rsidP="00AE332F">
            <w:pPr>
              <w:pStyle w:val="SingleTxtG"/>
              <w:spacing w:before="40" w:after="40" w:line="220" w:lineRule="exact"/>
              <w:ind w:left="0" w:right="113"/>
              <w:jc w:val="right"/>
              <w:rPr>
                <w:sz w:val="18"/>
              </w:rPr>
            </w:pPr>
            <w:r w:rsidRPr="00AE332F">
              <w:rPr>
                <w:sz w:val="18"/>
              </w:rPr>
              <w:t>99.8</w:t>
            </w:r>
          </w:p>
        </w:tc>
        <w:tc>
          <w:tcPr>
            <w:tcW w:w="850" w:type="dxa"/>
            <w:tcBorders>
              <w:top w:val="single" w:sz="12" w:space="0" w:color="auto"/>
            </w:tcBorders>
            <w:shd w:val="clear" w:color="auto" w:fill="auto"/>
            <w:vAlign w:val="bottom"/>
          </w:tcPr>
          <w:p w14:paraId="3606F395" w14:textId="77777777" w:rsidR="00263BCB" w:rsidRPr="00AE332F" w:rsidRDefault="00263BCB" w:rsidP="00AE332F">
            <w:pPr>
              <w:pStyle w:val="SingleTxtG"/>
              <w:spacing w:before="40" w:after="40" w:line="220" w:lineRule="exact"/>
              <w:ind w:left="0" w:right="113"/>
              <w:jc w:val="right"/>
              <w:rPr>
                <w:sz w:val="18"/>
              </w:rPr>
            </w:pPr>
            <w:r w:rsidRPr="00AE332F">
              <w:rPr>
                <w:sz w:val="18"/>
              </w:rPr>
              <w:t>99.8</w:t>
            </w:r>
          </w:p>
        </w:tc>
        <w:tc>
          <w:tcPr>
            <w:tcW w:w="851" w:type="dxa"/>
            <w:tcBorders>
              <w:top w:val="single" w:sz="12" w:space="0" w:color="auto"/>
            </w:tcBorders>
            <w:shd w:val="clear" w:color="auto" w:fill="auto"/>
            <w:vAlign w:val="bottom"/>
          </w:tcPr>
          <w:p w14:paraId="43BB7139" w14:textId="77777777" w:rsidR="00263BCB" w:rsidRPr="00AE332F" w:rsidRDefault="00263BCB" w:rsidP="00AE332F">
            <w:pPr>
              <w:pStyle w:val="SingleTxtG"/>
              <w:spacing w:before="40" w:after="40" w:line="220" w:lineRule="exact"/>
              <w:ind w:left="0" w:right="113"/>
              <w:jc w:val="right"/>
              <w:rPr>
                <w:sz w:val="18"/>
              </w:rPr>
            </w:pPr>
            <w:r w:rsidRPr="00AE332F">
              <w:rPr>
                <w:sz w:val="18"/>
              </w:rPr>
              <w:t>9.9</w:t>
            </w:r>
          </w:p>
        </w:tc>
        <w:tc>
          <w:tcPr>
            <w:tcW w:w="849" w:type="dxa"/>
            <w:tcBorders>
              <w:top w:val="single" w:sz="12" w:space="0" w:color="auto"/>
            </w:tcBorders>
            <w:shd w:val="clear" w:color="auto" w:fill="auto"/>
            <w:vAlign w:val="bottom"/>
          </w:tcPr>
          <w:p w14:paraId="08F3663C" w14:textId="77777777" w:rsidR="00263BCB" w:rsidRPr="00AE332F" w:rsidRDefault="00263BCB" w:rsidP="00AE332F">
            <w:pPr>
              <w:pStyle w:val="SingleTxtG"/>
              <w:spacing w:before="40" w:after="40" w:line="220" w:lineRule="exact"/>
              <w:ind w:left="0" w:right="113"/>
              <w:jc w:val="right"/>
              <w:rPr>
                <w:sz w:val="18"/>
              </w:rPr>
            </w:pPr>
            <w:r w:rsidRPr="00AE332F">
              <w:rPr>
                <w:sz w:val="18"/>
              </w:rPr>
              <w:t>99.9</w:t>
            </w:r>
          </w:p>
        </w:tc>
      </w:tr>
    </w:tbl>
    <w:bookmarkEnd w:id="43"/>
    <w:p w14:paraId="7FB89A4D" w14:textId="1F35B6CE" w:rsidR="00263BCB" w:rsidRPr="00A21C4B" w:rsidRDefault="00263BCB" w:rsidP="00263BCB">
      <w:pPr>
        <w:pStyle w:val="H23G"/>
        <w:rPr>
          <w:rStyle w:val="FootnoteReference"/>
        </w:rPr>
      </w:pPr>
      <w:r>
        <w:tab/>
      </w:r>
      <w:r>
        <w:tab/>
      </w:r>
      <w:bookmarkStart w:id="48" w:name="_Toc56781449"/>
      <w:r w:rsidRPr="008E78C1">
        <w:rPr>
          <w:b w:val="0"/>
        </w:rPr>
        <w:t>Table 4</w:t>
      </w:r>
      <w:r w:rsidRPr="005D213B">
        <w:t xml:space="preserve"> </w:t>
      </w:r>
      <w:r>
        <w:br/>
      </w:r>
      <w:r w:rsidRPr="005D213B">
        <w:t xml:space="preserve">Maternal Mortality Ratio </w:t>
      </w:r>
      <w:r w:rsidR="00AE332F" w:rsidRPr="005D213B">
        <w:t>–</w:t>
      </w:r>
      <w:r w:rsidRPr="005D213B">
        <w:t xml:space="preserve"> MMR (2011</w:t>
      </w:r>
      <w:r w:rsidR="00AE332F" w:rsidRPr="005D213B">
        <w:t>–</w:t>
      </w:r>
      <w:r w:rsidRPr="005D213B">
        <w:t>2016)</w:t>
      </w:r>
      <w:r w:rsidRPr="00964853">
        <w:rPr>
          <w:rStyle w:val="FootnoteReference"/>
          <w:b w:val="0"/>
          <w:bCs/>
        </w:rPr>
        <w:footnoteReference w:id="33"/>
      </w:r>
      <w:bookmarkEnd w:id="48"/>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843"/>
        <w:gridCol w:w="1276"/>
        <w:gridCol w:w="850"/>
        <w:gridCol w:w="851"/>
        <w:gridCol w:w="850"/>
        <w:gridCol w:w="851"/>
        <w:gridCol w:w="849"/>
      </w:tblGrid>
      <w:tr w:rsidR="00263BCB" w:rsidRPr="00AE332F" w14:paraId="0E4F5B56" w14:textId="77777777" w:rsidTr="00AE332F">
        <w:trPr>
          <w:tblHeader/>
        </w:trPr>
        <w:tc>
          <w:tcPr>
            <w:tcW w:w="1843" w:type="dxa"/>
            <w:tcBorders>
              <w:top w:val="single" w:sz="4" w:space="0" w:color="auto"/>
              <w:bottom w:val="single" w:sz="12" w:space="0" w:color="auto"/>
            </w:tcBorders>
            <w:shd w:val="clear" w:color="auto" w:fill="auto"/>
            <w:vAlign w:val="bottom"/>
          </w:tcPr>
          <w:p w14:paraId="680484DD" w14:textId="77777777" w:rsidR="00263BCB" w:rsidRPr="00AE332F" w:rsidRDefault="00263BCB" w:rsidP="00AE332F">
            <w:pPr>
              <w:pStyle w:val="SingleTxtG"/>
              <w:spacing w:before="80" w:after="80" w:line="200" w:lineRule="exact"/>
              <w:ind w:left="0" w:right="113"/>
              <w:jc w:val="left"/>
              <w:rPr>
                <w:bCs/>
                <w:i/>
                <w:sz w:val="16"/>
              </w:rPr>
            </w:pPr>
            <w:r w:rsidRPr="00AE332F">
              <w:rPr>
                <w:i/>
                <w:sz w:val="16"/>
              </w:rPr>
              <w:t>Indicator</w:t>
            </w:r>
          </w:p>
        </w:tc>
        <w:tc>
          <w:tcPr>
            <w:tcW w:w="1276" w:type="dxa"/>
            <w:tcBorders>
              <w:top w:val="single" w:sz="4" w:space="0" w:color="auto"/>
              <w:bottom w:val="single" w:sz="12" w:space="0" w:color="auto"/>
            </w:tcBorders>
            <w:shd w:val="clear" w:color="auto" w:fill="auto"/>
            <w:vAlign w:val="bottom"/>
          </w:tcPr>
          <w:p w14:paraId="106A0D19"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2011</w:t>
            </w:r>
          </w:p>
        </w:tc>
        <w:tc>
          <w:tcPr>
            <w:tcW w:w="850" w:type="dxa"/>
            <w:tcBorders>
              <w:top w:val="single" w:sz="4" w:space="0" w:color="auto"/>
              <w:bottom w:val="single" w:sz="12" w:space="0" w:color="auto"/>
            </w:tcBorders>
            <w:shd w:val="clear" w:color="auto" w:fill="auto"/>
            <w:vAlign w:val="bottom"/>
          </w:tcPr>
          <w:p w14:paraId="4F852065"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2012</w:t>
            </w:r>
          </w:p>
        </w:tc>
        <w:tc>
          <w:tcPr>
            <w:tcW w:w="851" w:type="dxa"/>
            <w:tcBorders>
              <w:top w:val="single" w:sz="4" w:space="0" w:color="auto"/>
              <w:bottom w:val="single" w:sz="12" w:space="0" w:color="auto"/>
            </w:tcBorders>
            <w:shd w:val="clear" w:color="auto" w:fill="auto"/>
            <w:vAlign w:val="bottom"/>
          </w:tcPr>
          <w:p w14:paraId="413891E4"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2013</w:t>
            </w:r>
          </w:p>
        </w:tc>
        <w:tc>
          <w:tcPr>
            <w:tcW w:w="850" w:type="dxa"/>
            <w:tcBorders>
              <w:top w:val="single" w:sz="4" w:space="0" w:color="auto"/>
              <w:bottom w:val="single" w:sz="12" w:space="0" w:color="auto"/>
            </w:tcBorders>
            <w:shd w:val="clear" w:color="auto" w:fill="auto"/>
            <w:vAlign w:val="bottom"/>
          </w:tcPr>
          <w:p w14:paraId="3241B172"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2014</w:t>
            </w:r>
          </w:p>
        </w:tc>
        <w:tc>
          <w:tcPr>
            <w:tcW w:w="851" w:type="dxa"/>
            <w:tcBorders>
              <w:top w:val="single" w:sz="4" w:space="0" w:color="auto"/>
              <w:bottom w:val="single" w:sz="12" w:space="0" w:color="auto"/>
            </w:tcBorders>
            <w:shd w:val="clear" w:color="auto" w:fill="auto"/>
            <w:vAlign w:val="bottom"/>
          </w:tcPr>
          <w:p w14:paraId="1D411F2F"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2015</w:t>
            </w:r>
          </w:p>
        </w:tc>
        <w:tc>
          <w:tcPr>
            <w:tcW w:w="849" w:type="dxa"/>
            <w:tcBorders>
              <w:top w:val="single" w:sz="4" w:space="0" w:color="auto"/>
              <w:bottom w:val="single" w:sz="12" w:space="0" w:color="auto"/>
            </w:tcBorders>
            <w:shd w:val="clear" w:color="auto" w:fill="auto"/>
            <w:vAlign w:val="bottom"/>
          </w:tcPr>
          <w:p w14:paraId="66560D76" w14:textId="77777777" w:rsidR="00263BCB" w:rsidRPr="00AE332F" w:rsidRDefault="00263BCB" w:rsidP="00AE332F">
            <w:pPr>
              <w:pStyle w:val="SingleTxtG"/>
              <w:spacing w:before="80" w:after="80" w:line="200" w:lineRule="exact"/>
              <w:ind w:left="0" w:right="113"/>
              <w:jc w:val="right"/>
              <w:rPr>
                <w:bCs/>
                <w:i/>
                <w:sz w:val="16"/>
              </w:rPr>
            </w:pPr>
            <w:r w:rsidRPr="00AE332F">
              <w:rPr>
                <w:i/>
                <w:sz w:val="16"/>
              </w:rPr>
              <w:t>2016</w:t>
            </w:r>
          </w:p>
        </w:tc>
      </w:tr>
      <w:tr w:rsidR="00263BCB" w:rsidRPr="00AE332F" w14:paraId="299D7CDA" w14:textId="77777777" w:rsidTr="00AE332F">
        <w:tc>
          <w:tcPr>
            <w:tcW w:w="1843" w:type="dxa"/>
            <w:tcBorders>
              <w:top w:val="single" w:sz="12" w:space="0" w:color="auto"/>
            </w:tcBorders>
            <w:shd w:val="clear" w:color="auto" w:fill="auto"/>
          </w:tcPr>
          <w:p w14:paraId="156FA233" w14:textId="77777777" w:rsidR="00263BCB" w:rsidRPr="00AE332F" w:rsidRDefault="00263BCB" w:rsidP="00AE332F">
            <w:pPr>
              <w:pStyle w:val="SingleTxtG"/>
              <w:spacing w:before="40" w:after="40" w:line="220" w:lineRule="exact"/>
              <w:ind w:left="0" w:right="113"/>
              <w:jc w:val="left"/>
              <w:rPr>
                <w:b/>
                <w:bCs/>
                <w:sz w:val="18"/>
              </w:rPr>
            </w:pPr>
            <w:r w:rsidRPr="00AE332F">
              <w:rPr>
                <w:sz w:val="18"/>
              </w:rPr>
              <w:t xml:space="preserve">Maternal Mortality Ratio (per 100,000 live births) </w:t>
            </w:r>
          </w:p>
        </w:tc>
        <w:tc>
          <w:tcPr>
            <w:tcW w:w="1276" w:type="dxa"/>
            <w:tcBorders>
              <w:top w:val="single" w:sz="12" w:space="0" w:color="auto"/>
            </w:tcBorders>
            <w:shd w:val="clear" w:color="auto" w:fill="auto"/>
            <w:vAlign w:val="bottom"/>
          </w:tcPr>
          <w:p w14:paraId="76AE3B97" w14:textId="77777777" w:rsidR="00263BCB" w:rsidRPr="00AE332F" w:rsidRDefault="00263BCB" w:rsidP="00AE332F">
            <w:pPr>
              <w:pStyle w:val="SingleTxtG"/>
              <w:spacing w:before="40" w:after="40" w:line="220" w:lineRule="exact"/>
              <w:ind w:left="0" w:right="113"/>
              <w:jc w:val="right"/>
              <w:rPr>
                <w:sz w:val="18"/>
              </w:rPr>
            </w:pPr>
            <w:r w:rsidRPr="00AE332F">
              <w:rPr>
                <w:sz w:val="18"/>
              </w:rPr>
              <w:t>4.4</w:t>
            </w:r>
          </w:p>
        </w:tc>
        <w:tc>
          <w:tcPr>
            <w:tcW w:w="850" w:type="dxa"/>
            <w:tcBorders>
              <w:top w:val="single" w:sz="12" w:space="0" w:color="auto"/>
            </w:tcBorders>
            <w:shd w:val="clear" w:color="auto" w:fill="auto"/>
            <w:vAlign w:val="bottom"/>
          </w:tcPr>
          <w:p w14:paraId="1531117C" w14:textId="77777777" w:rsidR="00263BCB" w:rsidRPr="00AE332F" w:rsidRDefault="00263BCB" w:rsidP="00AE332F">
            <w:pPr>
              <w:pStyle w:val="SingleTxtG"/>
              <w:spacing w:before="40" w:after="40" w:line="220" w:lineRule="exact"/>
              <w:ind w:left="0" w:right="113"/>
              <w:jc w:val="right"/>
              <w:rPr>
                <w:sz w:val="18"/>
              </w:rPr>
            </w:pPr>
            <w:r w:rsidRPr="00AE332F">
              <w:rPr>
                <w:sz w:val="18"/>
              </w:rPr>
              <w:t>4.2</w:t>
            </w:r>
          </w:p>
        </w:tc>
        <w:tc>
          <w:tcPr>
            <w:tcW w:w="851" w:type="dxa"/>
            <w:tcBorders>
              <w:top w:val="single" w:sz="12" w:space="0" w:color="auto"/>
            </w:tcBorders>
            <w:shd w:val="clear" w:color="auto" w:fill="auto"/>
            <w:vAlign w:val="bottom"/>
          </w:tcPr>
          <w:p w14:paraId="16787ED1" w14:textId="77777777" w:rsidR="00263BCB" w:rsidRPr="00AE332F" w:rsidRDefault="00263BCB" w:rsidP="00AE332F">
            <w:pPr>
              <w:pStyle w:val="SingleTxtG"/>
              <w:spacing w:before="40" w:after="40" w:line="220" w:lineRule="exact"/>
              <w:ind w:left="0" w:right="113"/>
              <w:jc w:val="right"/>
              <w:rPr>
                <w:sz w:val="18"/>
              </w:rPr>
            </w:pPr>
            <w:r w:rsidRPr="00AE332F">
              <w:rPr>
                <w:sz w:val="18"/>
              </w:rPr>
              <w:t>4.3</w:t>
            </w:r>
          </w:p>
        </w:tc>
        <w:tc>
          <w:tcPr>
            <w:tcW w:w="850" w:type="dxa"/>
            <w:tcBorders>
              <w:top w:val="single" w:sz="12" w:space="0" w:color="auto"/>
            </w:tcBorders>
            <w:shd w:val="clear" w:color="auto" w:fill="auto"/>
            <w:vAlign w:val="bottom"/>
          </w:tcPr>
          <w:p w14:paraId="27A5D751" w14:textId="77777777" w:rsidR="00263BCB" w:rsidRPr="00AE332F" w:rsidRDefault="00263BCB" w:rsidP="00AE332F">
            <w:pPr>
              <w:pStyle w:val="SingleTxtG"/>
              <w:spacing w:before="40" w:after="40" w:line="220" w:lineRule="exact"/>
              <w:ind w:left="0" w:right="113"/>
              <w:jc w:val="right"/>
              <w:rPr>
                <w:sz w:val="18"/>
              </w:rPr>
            </w:pPr>
            <w:r w:rsidRPr="00AE332F">
              <w:rPr>
                <w:sz w:val="18"/>
              </w:rPr>
              <w:t>12.7</w:t>
            </w:r>
          </w:p>
        </w:tc>
        <w:tc>
          <w:tcPr>
            <w:tcW w:w="851" w:type="dxa"/>
            <w:tcBorders>
              <w:top w:val="single" w:sz="12" w:space="0" w:color="auto"/>
            </w:tcBorders>
            <w:shd w:val="clear" w:color="auto" w:fill="auto"/>
            <w:vAlign w:val="bottom"/>
          </w:tcPr>
          <w:p w14:paraId="20420B87" w14:textId="77777777" w:rsidR="00263BCB" w:rsidRPr="00AE332F" w:rsidRDefault="00263BCB" w:rsidP="00AE332F">
            <w:pPr>
              <w:pStyle w:val="SingleTxtG"/>
              <w:spacing w:before="40" w:after="40" w:line="220" w:lineRule="exact"/>
              <w:ind w:left="0" w:right="113"/>
              <w:jc w:val="right"/>
              <w:rPr>
                <w:sz w:val="18"/>
              </w:rPr>
            </w:pPr>
            <w:r w:rsidRPr="00AE332F">
              <w:rPr>
                <w:sz w:val="18"/>
              </w:rPr>
              <w:t>0</w:t>
            </w:r>
          </w:p>
        </w:tc>
        <w:tc>
          <w:tcPr>
            <w:tcW w:w="849" w:type="dxa"/>
            <w:tcBorders>
              <w:top w:val="single" w:sz="12" w:space="0" w:color="auto"/>
            </w:tcBorders>
            <w:shd w:val="clear" w:color="auto" w:fill="auto"/>
            <w:vAlign w:val="bottom"/>
          </w:tcPr>
          <w:p w14:paraId="20C1105D" w14:textId="77777777" w:rsidR="00263BCB" w:rsidRPr="00AE332F" w:rsidRDefault="00263BCB" w:rsidP="00AE332F">
            <w:pPr>
              <w:pStyle w:val="SingleTxtG"/>
              <w:spacing w:before="40" w:after="40" w:line="220" w:lineRule="exact"/>
              <w:ind w:left="0" w:right="113"/>
              <w:jc w:val="right"/>
              <w:rPr>
                <w:sz w:val="18"/>
              </w:rPr>
            </w:pPr>
            <w:r w:rsidRPr="00AE332F">
              <w:rPr>
                <w:sz w:val="18"/>
              </w:rPr>
              <w:t>0</w:t>
            </w:r>
          </w:p>
        </w:tc>
      </w:tr>
    </w:tbl>
    <w:p w14:paraId="19CB9276" w14:textId="43CE24C5" w:rsidR="00263BCB" w:rsidRPr="005434D5" w:rsidRDefault="00570685" w:rsidP="00570685">
      <w:pPr>
        <w:pStyle w:val="ParaNoG"/>
        <w:numPr>
          <w:ilvl w:val="0"/>
          <w:numId w:val="0"/>
        </w:numPr>
        <w:tabs>
          <w:tab w:val="left" w:pos="0"/>
        </w:tabs>
        <w:spacing w:before="240"/>
        <w:ind w:left="1134"/>
      </w:pPr>
      <w:r w:rsidRPr="005434D5">
        <w:t>131.</w:t>
      </w:r>
      <w:r w:rsidRPr="005434D5">
        <w:tab/>
      </w:r>
      <w:r w:rsidR="00263BCB" w:rsidRPr="005D213B">
        <w:t>In 2017, in cooperation with the UNFPA Country Office, the MoH started training of trainers on the Beyond the Numbers (BTN) methodology of the WHO, intended to enable gynaecologists from maternity hospitals to professionally review maternal morbidity and mortality (near miss cases), the ultimate goal of which is to achieve systematic improvement of the quality of healthcare during pregnancy, childbirth and in the postnatal period.</w:t>
      </w:r>
    </w:p>
    <w:p w14:paraId="31BE757C" w14:textId="25BFA29D" w:rsidR="00263BCB" w:rsidRPr="005434D5" w:rsidRDefault="00570685" w:rsidP="00570685">
      <w:pPr>
        <w:pStyle w:val="ParaNoG"/>
        <w:numPr>
          <w:ilvl w:val="0"/>
          <w:numId w:val="0"/>
        </w:numPr>
        <w:tabs>
          <w:tab w:val="left" w:pos="0"/>
        </w:tabs>
        <w:ind w:left="1134"/>
      </w:pPr>
      <w:r w:rsidRPr="005434D5">
        <w:t>132.</w:t>
      </w:r>
      <w:r w:rsidRPr="005434D5">
        <w:tab/>
      </w:r>
      <w:r w:rsidR="00263BCB" w:rsidRPr="005D213B">
        <w:t>Several measures have been introduced to increase access to antenatal care, in particular for vulnerable groups of women facing financial barriers by means of free medical screenings during pregnancy and free delivery for uninsured women, and exemptions from co-payments for health services for health-insured pregnant women. This measure facilitates the access to these services for vulnerable groups of women, including Roma women.</w:t>
      </w:r>
    </w:p>
    <w:p w14:paraId="72ADEDDC" w14:textId="2FFA05DC" w:rsidR="00263BCB" w:rsidRPr="005434D5" w:rsidRDefault="00570685" w:rsidP="00570685">
      <w:pPr>
        <w:pStyle w:val="ParaNoG"/>
        <w:numPr>
          <w:ilvl w:val="0"/>
          <w:numId w:val="0"/>
        </w:numPr>
        <w:tabs>
          <w:tab w:val="left" w:pos="0"/>
        </w:tabs>
        <w:ind w:left="1134"/>
      </w:pPr>
      <w:r w:rsidRPr="005434D5">
        <w:t>133.</w:t>
      </w:r>
      <w:r w:rsidRPr="005434D5">
        <w:tab/>
      </w:r>
      <w:r w:rsidR="00263BCB" w:rsidRPr="005D213B">
        <w:t>An extensive number of clinical guidelines pertaining to this matter have been developed, such as the Clinical Guide for Early Detection of Risky Pregnancies and the Guidelines for the Treatment of Postpartum Haemorrhage.</w:t>
      </w:r>
    </w:p>
    <w:p w14:paraId="158B0CA2" w14:textId="47E825AC" w:rsidR="00263BCB" w:rsidRPr="005434D5" w:rsidRDefault="00570685" w:rsidP="00570685">
      <w:pPr>
        <w:pStyle w:val="ParaNoG"/>
        <w:numPr>
          <w:ilvl w:val="0"/>
          <w:numId w:val="0"/>
        </w:numPr>
        <w:tabs>
          <w:tab w:val="left" w:pos="0"/>
        </w:tabs>
        <w:ind w:left="1134"/>
      </w:pPr>
      <w:r w:rsidRPr="005434D5">
        <w:t>134.</w:t>
      </w:r>
      <w:r w:rsidRPr="005434D5">
        <w:tab/>
      </w:r>
      <w:r w:rsidR="00263BCB" w:rsidRPr="005D213B">
        <w:t>An electronic personal maternity record (note) is underway to serve as a link between PHC gynaecologists and those working in maternity hospitals. Information materials for pregnant women have also been developed aimed at informing pregnant women on the necessity of visiting gynaecologists and what antenatal care entails, as well as offering clinical guidelines on family planning, antenatal care, intrapartum and postpartum care, care for the health of newborns, gynaecological care, infertility, safe abortion, breastfeeding, etc.</w:t>
      </w:r>
    </w:p>
    <w:p w14:paraId="12705222" w14:textId="68560AC5" w:rsidR="00263BCB" w:rsidRPr="005D213B" w:rsidRDefault="00570685" w:rsidP="00570685">
      <w:pPr>
        <w:pStyle w:val="ParaNoG"/>
        <w:numPr>
          <w:ilvl w:val="0"/>
          <w:numId w:val="0"/>
        </w:numPr>
        <w:tabs>
          <w:tab w:val="left" w:pos="0"/>
        </w:tabs>
        <w:ind w:left="1134"/>
      </w:pPr>
      <w:r w:rsidRPr="005D213B">
        <w:t>135.</w:t>
      </w:r>
      <w:r w:rsidRPr="005D213B">
        <w:tab/>
      </w:r>
      <w:r w:rsidR="00263BCB" w:rsidRPr="005D213B">
        <w:t xml:space="preserve">In order to address the problem of increasing neonatal mortality in the country, UNICEF has been developing a methodology for reviewing each individual newborn death and preparing materials to be used for the training of 20 representatives of the National Body for Reviewing Neonatal Mortality to be established by the MoH. </w:t>
      </w:r>
    </w:p>
    <w:p w14:paraId="7A0BAD6D" w14:textId="7F4A8179" w:rsidR="00263BCB" w:rsidRPr="005D213B" w:rsidRDefault="00570685" w:rsidP="00570685">
      <w:pPr>
        <w:pStyle w:val="ParaNoG"/>
        <w:numPr>
          <w:ilvl w:val="0"/>
          <w:numId w:val="0"/>
        </w:numPr>
        <w:tabs>
          <w:tab w:val="left" w:pos="0"/>
        </w:tabs>
        <w:ind w:left="1134"/>
      </w:pPr>
      <w:r w:rsidRPr="005D213B">
        <w:lastRenderedPageBreak/>
        <w:t>136.</w:t>
      </w:r>
      <w:r w:rsidRPr="005D213B">
        <w:tab/>
      </w:r>
      <w:r w:rsidR="00263BCB" w:rsidRPr="005D213B">
        <w:t>In collaboration with the Safe Motherhood Committee, UNICEF has been developing guidelines for perinatal transport, as well as standards for the protection and control of the transport of newborns in order to avert preventable causes for their mortality.</w:t>
      </w:r>
      <w:r w:rsidR="00A21C4B">
        <w:t xml:space="preserve"> </w:t>
      </w:r>
    </w:p>
    <w:p w14:paraId="2D092EF4" w14:textId="77777777" w:rsidR="00263BCB" w:rsidRPr="005D213B" w:rsidRDefault="00263BCB" w:rsidP="00263BCB">
      <w:pPr>
        <w:pStyle w:val="H23G"/>
      </w:pPr>
      <w:r>
        <w:tab/>
      </w:r>
      <w:r>
        <w:tab/>
      </w:r>
      <w:bookmarkStart w:id="49" w:name="_Toc56781450"/>
      <w:r w:rsidRPr="005D213B">
        <w:t>Breastfeeding</w:t>
      </w:r>
      <w:bookmarkEnd w:id="49"/>
    </w:p>
    <w:p w14:paraId="545AFFF6" w14:textId="1B3C9C72" w:rsidR="00263BCB" w:rsidRPr="005D213B" w:rsidRDefault="00570685" w:rsidP="00570685">
      <w:pPr>
        <w:pStyle w:val="ParaNoG"/>
        <w:numPr>
          <w:ilvl w:val="0"/>
          <w:numId w:val="0"/>
        </w:numPr>
        <w:tabs>
          <w:tab w:val="left" w:pos="0"/>
        </w:tabs>
        <w:ind w:left="1134"/>
      </w:pPr>
      <w:r w:rsidRPr="005D213B">
        <w:t>137.</w:t>
      </w:r>
      <w:r w:rsidRPr="005D213B">
        <w:tab/>
      </w:r>
      <w:r w:rsidR="00263BCB" w:rsidRPr="005D213B">
        <w:t>As regards breastfeeding, 90% of mothers breastfeed in the first month after childbirth. According to the data gathered after a survey of a representative sample conducted by UNICEF in 2011, 41% of mothers engage in predominant breastfeeding (adding water, tea, or juice to newborn diets aside from breast milk as the predominant form of nourishment), while 23% of mothers engage in exclusive breastfeeding (breast milk only).</w:t>
      </w:r>
    </w:p>
    <w:p w14:paraId="421A587C" w14:textId="77777777" w:rsidR="00263BCB" w:rsidRPr="00A21C4B" w:rsidRDefault="00263BCB" w:rsidP="00263BCB">
      <w:pPr>
        <w:pStyle w:val="H23G"/>
        <w:rPr>
          <w:rStyle w:val="FootnoteReference"/>
        </w:rPr>
      </w:pPr>
      <w:r>
        <w:tab/>
      </w:r>
      <w:r>
        <w:tab/>
      </w:r>
      <w:bookmarkStart w:id="50" w:name="_Toc56781451"/>
      <w:r w:rsidRPr="008E78C1">
        <w:rPr>
          <w:b w:val="0"/>
        </w:rPr>
        <w:t>Table 5</w:t>
      </w:r>
      <w:r w:rsidRPr="005D213B">
        <w:t xml:space="preserve"> </w:t>
      </w:r>
      <w:r>
        <w:br/>
      </w:r>
      <w:r w:rsidRPr="005D213B">
        <w:t>Breastfeeding rate (exclusive, predominant, and a</w:t>
      </w:r>
      <w:r>
        <w:t>verage length of breastfeeding)</w:t>
      </w:r>
      <w:r w:rsidRPr="00323CC7">
        <w:rPr>
          <w:rStyle w:val="FootnoteReference"/>
          <w:b w:val="0"/>
          <w:bCs/>
        </w:rPr>
        <w:footnoteReference w:id="34"/>
      </w:r>
      <w:bookmarkEnd w:id="50"/>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6115"/>
        <w:gridCol w:w="1255"/>
      </w:tblGrid>
      <w:tr w:rsidR="00263BCB" w:rsidRPr="001E1BD8" w14:paraId="40FE31F9" w14:textId="77777777" w:rsidTr="001E1BD8">
        <w:trPr>
          <w:tblHeader/>
        </w:trPr>
        <w:tc>
          <w:tcPr>
            <w:tcW w:w="6115" w:type="dxa"/>
            <w:tcBorders>
              <w:top w:val="single" w:sz="4" w:space="0" w:color="auto"/>
              <w:bottom w:val="single" w:sz="12" w:space="0" w:color="auto"/>
            </w:tcBorders>
            <w:shd w:val="clear" w:color="auto" w:fill="auto"/>
            <w:vAlign w:val="bottom"/>
          </w:tcPr>
          <w:p w14:paraId="07C157E7" w14:textId="77777777" w:rsidR="00263BCB" w:rsidRPr="001E1BD8" w:rsidRDefault="00263BCB" w:rsidP="001E1BD8">
            <w:pPr>
              <w:pStyle w:val="SingleTxtG"/>
              <w:spacing w:before="80" w:after="80" w:line="200" w:lineRule="exact"/>
              <w:ind w:left="0" w:right="113"/>
              <w:jc w:val="left"/>
              <w:rPr>
                <w:bCs/>
                <w:i/>
                <w:sz w:val="16"/>
              </w:rPr>
            </w:pPr>
            <w:r w:rsidRPr="001E1BD8">
              <w:rPr>
                <w:i/>
                <w:sz w:val="16"/>
              </w:rPr>
              <w:t>Indicator</w:t>
            </w:r>
          </w:p>
        </w:tc>
        <w:tc>
          <w:tcPr>
            <w:tcW w:w="1255" w:type="dxa"/>
            <w:tcBorders>
              <w:top w:val="single" w:sz="4" w:space="0" w:color="auto"/>
              <w:bottom w:val="single" w:sz="12" w:space="0" w:color="auto"/>
            </w:tcBorders>
            <w:shd w:val="clear" w:color="auto" w:fill="auto"/>
            <w:vAlign w:val="bottom"/>
          </w:tcPr>
          <w:p w14:paraId="1F55FE01" w14:textId="77777777" w:rsidR="00263BCB" w:rsidRPr="001E1BD8" w:rsidRDefault="00263BCB" w:rsidP="001E1BD8">
            <w:pPr>
              <w:pStyle w:val="SingleTxtG"/>
              <w:spacing w:before="80" w:after="80" w:line="200" w:lineRule="exact"/>
              <w:ind w:left="0" w:right="113"/>
              <w:jc w:val="right"/>
              <w:rPr>
                <w:bCs/>
                <w:i/>
                <w:sz w:val="16"/>
              </w:rPr>
            </w:pPr>
            <w:r w:rsidRPr="001E1BD8">
              <w:rPr>
                <w:i/>
                <w:sz w:val="16"/>
              </w:rPr>
              <w:t>2011</w:t>
            </w:r>
          </w:p>
        </w:tc>
      </w:tr>
      <w:tr w:rsidR="00263BCB" w:rsidRPr="001E1BD8" w14:paraId="145CA3F2" w14:textId="77777777" w:rsidTr="001E1BD8">
        <w:tc>
          <w:tcPr>
            <w:tcW w:w="6115" w:type="dxa"/>
            <w:tcBorders>
              <w:top w:val="single" w:sz="12" w:space="0" w:color="auto"/>
            </w:tcBorders>
            <w:shd w:val="clear" w:color="auto" w:fill="auto"/>
          </w:tcPr>
          <w:p w14:paraId="72CFED7A" w14:textId="77777777" w:rsidR="00263BCB" w:rsidRPr="001E1BD8" w:rsidRDefault="00263BCB" w:rsidP="001E1BD8">
            <w:pPr>
              <w:pStyle w:val="SingleTxtG"/>
              <w:spacing w:before="40" w:after="40" w:line="220" w:lineRule="exact"/>
              <w:ind w:left="0" w:right="113"/>
              <w:jc w:val="left"/>
              <w:rPr>
                <w:b/>
                <w:bCs/>
                <w:sz w:val="18"/>
              </w:rPr>
            </w:pPr>
            <w:r w:rsidRPr="001E1BD8">
              <w:rPr>
                <w:sz w:val="18"/>
              </w:rPr>
              <w:t>Rate of exclusive breastfeeding within the first 6 months since childbirth</w:t>
            </w:r>
          </w:p>
        </w:tc>
        <w:tc>
          <w:tcPr>
            <w:tcW w:w="1255" w:type="dxa"/>
            <w:tcBorders>
              <w:top w:val="single" w:sz="12" w:space="0" w:color="auto"/>
            </w:tcBorders>
            <w:shd w:val="clear" w:color="auto" w:fill="auto"/>
            <w:vAlign w:val="bottom"/>
          </w:tcPr>
          <w:p w14:paraId="2DD66139" w14:textId="77777777" w:rsidR="00263BCB" w:rsidRPr="001E1BD8" w:rsidRDefault="00263BCB" w:rsidP="001E1BD8">
            <w:pPr>
              <w:pStyle w:val="SingleTxtG"/>
              <w:spacing w:before="40" w:after="40" w:line="220" w:lineRule="exact"/>
              <w:ind w:left="0" w:right="113"/>
              <w:jc w:val="right"/>
              <w:rPr>
                <w:sz w:val="18"/>
              </w:rPr>
            </w:pPr>
            <w:r w:rsidRPr="001E1BD8">
              <w:rPr>
                <w:sz w:val="18"/>
              </w:rPr>
              <w:t>23%</w:t>
            </w:r>
          </w:p>
        </w:tc>
      </w:tr>
      <w:tr w:rsidR="00263BCB" w:rsidRPr="001E1BD8" w14:paraId="3A1FC9D3" w14:textId="77777777" w:rsidTr="001E1BD8">
        <w:tc>
          <w:tcPr>
            <w:tcW w:w="6115" w:type="dxa"/>
            <w:shd w:val="clear" w:color="auto" w:fill="auto"/>
          </w:tcPr>
          <w:p w14:paraId="410A4565" w14:textId="77777777" w:rsidR="00263BCB" w:rsidRPr="001E1BD8" w:rsidRDefault="00263BCB" w:rsidP="001E1BD8">
            <w:pPr>
              <w:pStyle w:val="SingleTxtG"/>
              <w:spacing w:before="40" w:after="40" w:line="220" w:lineRule="exact"/>
              <w:ind w:left="0" w:right="113"/>
              <w:jc w:val="left"/>
              <w:rPr>
                <w:sz w:val="18"/>
              </w:rPr>
            </w:pPr>
            <w:r w:rsidRPr="001E1BD8">
              <w:rPr>
                <w:sz w:val="18"/>
              </w:rPr>
              <w:t>Predominant breastfeeding rate</w:t>
            </w:r>
          </w:p>
        </w:tc>
        <w:tc>
          <w:tcPr>
            <w:tcW w:w="1255" w:type="dxa"/>
            <w:shd w:val="clear" w:color="auto" w:fill="auto"/>
            <w:vAlign w:val="bottom"/>
          </w:tcPr>
          <w:p w14:paraId="4214FC4C" w14:textId="77777777" w:rsidR="00263BCB" w:rsidRPr="001E1BD8" w:rsidRDefault="00263BCB" w:rsidP="001E1BD8">
            <w:pPr>
              <w:pStyle w:val="SingleTxtG"/>
              <w:spacing w:before="40" w:after="40" w:line="220" w:lineRule="exact"/>
              <w:ind w:left="0" w:right="113"/>
              <w:jc w:val="right"/>
              <w:rPr>
                <w:sz w:val="18"/>
              </w:rPr>
            </w:pPr>
            <w:r w:rsidRPr="001E1BD8">
              <w:rPr>
                <w:sz w:val="18"/>
              </w:rPr>
              <w:t>44.1%</w:t>
            </w:r>
          </w:p>
        </w:tc>
      </w:tr>
      <w:tr w:rsidR="00263BCB" w:rsidRPr="001E1BD8" w14:paraId="4C749402" w14:textId="77777777" w:rsidTr="001E1BD8">
        <w:tc>
          <w:tcPr>
            <w:tcW w:w="6115" w:type="dxa"/>
            <w:shd w:val="clear" w:color="auto" w:fill="auto"/>
          </w:tcPr>
          <w:p w14:paraId="708E71CD" w14:textId="77777777" w:rsidR="00263BCB" w:rsidRPr="001E1BD8" w:rsidRDefault="00263BCB" w:rsidP="001E1BD8">
            <w:pPr>
              <w:pStyle w:val="SingleTxtG"/>
              <w:spacing w:before="40" w:after="40" w:line="220" w:lineRule="exact"/>
              <w:ind w:left="0" w:right="113"/>
              <w:jc w:val="left"/>
              <w:rPr>
                <w:sz w:val="18"/>
              </w:rPr>
            </w:pPr>
            <w:r w:rsidRPr="001E1BD8">
              <w:rPr>
                <w:sz w:val="18"/>
              </w:rPr>
              <w:t>Average length of breastfeeding (all types) - months</w:t>
            </w:r>
          </w:p>
        </w:tc>
        <w:tc>
          <w:tcPr>
            <w:tcW w:w="1255" w:type="dxa"/>
            <w:shd w:val="clear" w:color="auto" w:fill="auto"/>
            <w:vAlign w:val="bottom"/>
          </w:tcPr>
          <w:p w14:paraId="23B0B09F" w14:textId="77777777" w:rsidR="00263BCB" w:rsidRPr="001E1BD8" w:rsidRDefault="00263BCB" w:rsidP="001E1BD8">
            <w:pPr>
              <w:pStyle w:val="SingleTxtG"/>
              <w:spacing w:before="40" w:after="40" w:line="220" w:lineRule="exact"/>
              <w:ind w:left="0" w:right="113"/>
              <w:jc w:val="right"/>
              <w:rPr>
                <w:sz w:val="18"/>
              </w:rPr>
            </w:pPr>
            <w:r w:rsidRPr="001E1BD8">
              <w:rPr>
                <w:sz w:val="18"/>
              </w:rPr>
              <w:t>12.1 months</w:t>
            </w:r>
          </w:p>
        </w:tc>
      </w:tr>
    </w:tbl>
    <w:p w14:paraId="2F5EFF2C" w14:textId="6C6FE1F6" w:rsidR="00263BCB" w:rsidRPr="005434D5" w:rsidRDefault="00570685" w:rsidP="00570685">
      <w:pPr>
        <w:pStyle w:val="ParaNoG"/>
        <w:numPr>
          <w:ilvl w:val="0"/>
          <w:numId w:val="0"/>
        </w:numPr>
        <w:tabs>
          <w:tab w:val="left" w:pos="0"/>
        </w:tabs>
        <w:spacing w:before="240"/>
        <w:ind w:left="1134"/>
      </w:pPr>
      <w:r w:rsidRPr="005434D5">
        <w:t>138.</w:t>
      </w:r>
      <w:r w:rsidRPr="005434D5">
        <w:tab/>
      </w:r>
      <w:r w:rsidR="00263BCB" w:rsidRPr="005D213B">
        <w:t xml:space="preserve">The national body responsible for coordinating activities aimed at promoting breastfeeding is the Commission for the Promotion of and Support for Breastfeeding. Moreover, activities are being carried out under the Active Healthcare for Mothers and Children Program of the MoH aimed at promoting and protecting breastfeeding, training health workers, organizing events to mark the World Breastfeeding Week, and preparing information materials (Breastfeeding Brochure for Parents). </w:t>
      </w:r>
    </w:p>
    <w:p w14:paraId="6A700AC8" w14:textId="4DDE83B7" w:rsidR="00263BCB" w:rsidRPr="005434D5" w:rsidRDefault="00570685" w:rsidP="00570685">
      <w:pPr>
        <w:pStyle w:val="ParaNoG"/>
        <w:numPr>
          <w:ilvl w:val="0"/>
          <w:numId w:val="0"/>
        </w:numPr>
        <w:tabs>
          <w:tab w:val="left" w:pos="0"/>
        </w:tabs>
        <w:ind w:left="1134"/>
      </w:pPr>
      <w:r w:rsidRPr="005434D5">
        <w:t>139.</w:t>
      </w:r>
      <w:r w:rsidRPr="005434D5">
        <w:tab/>
      </w:r>
      <w:r w:rsidR="00263BCB" w:rsidRPr="005D213B">
        <w:t>Existing maternity-related legislation treats maternity favourably both in terms of the length of maternity leave it allows and the right to breastfeeding it guarantees to employed mothers (regulated under the Law on Labour Relations). The Rulebook on the Minimum Workplace Safety and Health Requirements for Pregnant Workers, Workers Who Have Recently Given Birth or Are Breastfeeding also applies for employed breastfeeding mothers, providing a list of harmful factors and working conditions they should not and must not be exposed to.</w:t>
      </w:r>
    </w:p>
    <w:p w14:paraId="675A85A7" w14:textId="0D31E302" w:rsidR="00263BCB" w:rsidRPr="005434D5" w:rsidRDefault="00570685" w:rsidP="00570685">
      <w:pPr>
        <w:pStyle w:val="ParaNoG"/>
        <w:numPr>
          <w:ilvl w:val="0"/>
          <w:numId w:val="0"/>
        </w:numPr>
        <w:tabs>
          <w:tab w:val="left" w:pos="0"/>
        </w:tabs>
        <w:ind w:left="1134"/>
      </w:pPr>
      <w:r w:rsidRPr="005434D5">
        <w:t>140.</w:t>
      </w:r>
      <w:r w:rsidRPr="005434D5">
        <w:tab/>
      </w:r>
      <w:r w:rsidR="00263BCB" w:rsidRPr="005D213B">
        <w:t>Furthermore, a 2018</w:t>
      </w:r>
      <w:bookmarkStart w:id="51" w:name="_Hlk56690414"/>
      <w:r w:rsidR="001E1BD8">
        <w:t>–</w:t>
      </w:r>
      <w:bookmarkEnd w:id="51"/>
      <w:r w:rsidR="00263BCB" w:rsidRPr="005D213B">
        <w:t>2020 Action Plan for the Promotion of Breastfeeding has been prepared aiming to promote the health of infants, young children, and mothers by providing optimum conditions for initiating and sustaining breastfeeding. Strategic Operational Procedures on Breastfeeding and the Nourishment of Infants and Young Children in Crisis Situations have also been developed (2016) and health professionals have received training on their practical application.</w:t>
      </w:r>
    </w:p>
    <w:p w14:paraId="16C64032" w14:textId="0DB21B84" w:rsidR="00263BCB" w:rsidRPr="00F75FC7" w:rsidRDefault="00263BCB" w:rsidP="00263BCB">
      <w:pPr>
        <w:pStyle w:val="H23G"/>
        <w:rPr>
          <w:lang w:val="mk-MK"/>
        </w:rPr>
      </w:pPr>
      <w:r>
        <w:tab/>
      </w:r>
      <w:bookmarkStart w:id="52" w:name="_Toc56781452"/>
      <w:r>
        <w:t>(</w:t>
      </w:r>
      <w:r w:rsidR="000B7818">
        <w:t>b</w:t>
      </w:r>
      <w:r w:rsidRPr="005D213B">
        <w:t>)</w:t>
      </w:r>
      <w:r>
        <w:tab/>
      </w:r>
      <w:r w:rsidRPr="00F75FC7">
        <w:rPr>
          <w:lang w:val="mk-MK"/>
        </w:rPr>
        <w:t>Efforts to address the most prevalent health challenges, to promote the physical and mental health and well-being of children and to prevent and deal with communicable and non-communicable diseases</w:t>
      </w:r>
      <w:bookmarkEnd w:id="52"/>
    </w:p>
    <w:p w14:paraId="4E99808D" w14:textId="4B7CC8D8" w:rsidR="00263BCB" w:rsidRPr="005D213B" w:rsidRDefault="00570685" w:rsidP="00570685">
      <w:pPr>
        <w:pStyle w:val="ParaNoG"/>
        <w:numPr>
          <w:ilvl w:val="0"/>
          <w:numId w:val="0"/>
        </w:numPr>
        <w:tabs>
          <w:tab w:val="left" w:pos="0"/>
        </w:tabs>
        <w:ind w:left="1134"/>
      </w:pPr>
      <w:r w:rsidRPr="005D213B">
        <w:t>141.</w:t>
      </w:r>
      <w:r w:rsidRPr="005D213B">
        <w:tab/>
      </w:r>
      <w:r w:rsidR="00263BCB" w:rsidRPr="005D213B">
        <w:t>According to the latest population estimation</w:t>
      </w:r>
      <w:r w:rsidR="001E1BD8">
        <w:t>,</w:t>
      </w:r>
      <w:r w:rsidR="00263BCB" w:rsidRPr="00A21C4B">
        <w:rPr>
          <w:rStyle w:val="FootnoteReference"/>
        </w:rPr>
        <w:footnoteReference w:id="35"/>
      </w:r>
      <w:r w:rsidR="00263BCB" w:rsidRPr="00A21C4B">
        <w:rPr>
          <w:rStyle w:val="FootnoteReference"/>
        </w:rPr>
        <w:t xml:space="preserve"> </w:t>
      </w:r>
      <w:r w:rsidR="00263BCB" w:rsidRPr="005D213B">
        <w:t>21.6% of the total population was composed of children aged 0</w:t>
      </w:r>
      <w:r w:rsidR="001E1BD8">
        <w:t>–</w:t>
      </w:r>
      <w:r w:rsidR="00263BCB" w:rsidRPr="005D213B">
        <w:t>18, 7.8% of whom were aged 0</w:t>
      </w:r>
      <w:r w:rsidR="001E1BD8">
        <w:t>–</w:t>
      </w:r>
      <w:r w:rsidR="00263BCB" w:rsidRPr="005D213B">
        <w:t>6. Preventive healthcare services aimed at improving the health of children aged 0</w:t>
      </w:r>
      <w:r w:rsidR="001E1BD8">
        <w:t>–</w:t>
      </w:r>
      <w:r w:rsidR="00263BCB" w:rsidRPr="005D213B">
        <w:t>6 have been focused on monitoring their growth and development, as well as their protection against communicable diseases, all being carried out by preventive and family supporting teams tasked with the promotion of health with the help of the public health nursing service. The healthcare and treatment of sick children is carried out by primary care physicians/paediatricians.</w:t>
      </w:r>
    </w:p>
    <w:p w14:paraId="71E57883" w14:textId="055E8F28" w:rsidR="00263BCB" w:rsidRPr="00A21C4B" w:rsidRDefault="00263BCB" w:rsidP="00263BCB">
      <w:pPr>
        <w:pStyle w:val="H23G"/>
        <w:rPr>
          <w:rStyle w:val="FootnoteReference"/>
        </w:rPr>
      </w:pPr>
      <w:r>
        <w:lastRenderedPageBreak/>
        <w:tab/>
      </w:r>
      <w:r>
        <w:tab/>
      </w:r>
      <w:bookmarkStart w:id="53" w:name="_Toc56781453"/>
      <w:r w:rsidRPr="008E78C1">
        <w:rPr>
          <w:b w:val="0"/>
        </w:rPr>
        <w:t>Table 6</w:t>
      </w:r>
      <w:r w:rsidRPr="005D213B">
        <w:t xml:space="preserve"> </w:t>
      </w:r>
      <w:r>
        <w:br/>
      </w:r>
      <w:r w:rsidRPr="005D213B">
        <w:t>Infant mortality and mortality of children of up to 5 years of age rates (per</w:t>
      </w:r>
      <w:r>
        <w:t xml:space="preserve"> 1,000 live births) (2011</w:t>
      </w:r>
      <w:r w:rsidR="001E1BD8">
        <w:t>–</w:t>
      </w:r>
      <w:r>
        <w:t>2016)</w:t>
      </w:r>
      <w:r w:rsidRPr="00323CC7">
        <w:rPr>
          <w:rStyle w:val="FootnoteReference"/>
          <w:b w:val="0"/>
          <w:bCs/>
        </w:rPr>
        <w:footnoteReference w:id="36"/>
      </w:r>
      <w:bookmarkEnd w:id="53"/>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77"/>
        <w:gridCol w:w="851"/>
        <w:gridCol w:w="708"/>
        <w:gridCol w:w="709"/>
        <w:gridCol w:w="709"/>
        <w:gridCol w:w="709"/>
        <w:gridCol w:w="707"/>
      </w:tblGrid>
      <w:tr w:rsidR="00263BCB" w:rsidRPr="001E1BD8" w14:paraId="2B6F043C" w14:textId="77777777" w:rsidTr="007A6092">
        <w:trPr>
          <w:tblHeader/>
        </w:trPr>
        <w:tc>
          <w:tcPr>
            <w:tcW w:w="2977" w:type="dxa"/>
            <w:tcBorders>
              <w:top w:val="single" w:sz="4" w:space="0" w:color="auto"/>
              <w:bottom w:val="single" w:sz="12" w:space="0" w:color="auto"/>
            </w:tcBorders>
            <w:shd w:val="clear" w:color="auto" w:fill="auto"/>
            <w:vAlign w:val="bottom"/>
          </w:tcPr>
          <w:p w14:paraId="0B4D2AE3" w14:textId="77777777" w:rsidR="00263BCB" w:rsidRPr="001E1BD8" w:rsidRDefault="00263BCB" w:rsidP="001E1BD8">
            <w:pPr>
              <w:pStyle w:val="SingleTxtG"/>
              <w:spacing w:before="80" w:after="80" w:line="200" w:lineRule="exact"/>
              <w:ind w:left="0" w:right="113"/>
              <w:jc w:val="left"/>
              <w:rPr>
                <w:bCs/>
                <w:i/>
                <w:sz w:val="16"/>
              </w:rPr>
            </w:pPr>
            <w:r w:rsidRPr="001E1BD8">
              <w:rPr>
                <w:i/>
                <w:sz w:val="16"/>
              </w:rPr>
              <w:t>Indicator</w:t>
            </w:r>
          </w:p>
        </w:tc>
        <w:tc>
          <w:tcPr>
            <w:tcW w:w="851" w:type="dxa"/>
            <w:tcBorders>
              <w:top w:val="single" w:sz="4" w:space="0" w:color="auto"/>
              <w:bottom w:val="single" w:sz="12" w:space="0" w:color="auto"/>
            </w:tcBorders>
            <w:shd w:val="clear" w:color="auto" w:fill="auto"/>
            <w:vAlign w:val="bottom"/>
          </w:tcPr>
          <w:p w14:paraId="2A72EC28" w14:textId="77777777" w:rsidR="00263BCB" w:rsidRPr="001E1BD8" w:rsidRDefault="00263BCB" w:rsidP="001E1BD8">
            <w:pPr>
              <w:pStyle w:val="SingleTxtG"/>
              <w:spacing w:before="80" w:after="80" w:line="200" w:lineRule="exact"/>
              <w:ind w:left="0" w:right="113"/>
              <w:jc w:val="right"/>
              <w:rPr>
                <w:bCs/>
                <w:i/>
                <w:sz w:val="16"/>
              </w:rPr>
            </w:pPr>
            <w:r w:rsidRPr="001E1BD8">
              <w:rPr>
                <w:i/>
                <w:sz w:val="16"/>
              </w:rPr>
              <w:t>2011</w:t>
            </w:r>
          </w:p>
        </w:tc>
        <w:tc>
          <w:tcPr>
            <w:tcW w:w="708" w:type="dxa"/>
            <w:tcBorders>
              <w:top w:val="single" w:sz="4" w:space="0" w:color="auto"/>
              <w:bottom w:val="single" w:sz="12" w:space="0" w:color="auto"/>
            </w:tcBorders>
            <w:shd w:val="clear" w:color="auto" w:fill="auto"/>
            <w:vAlign w:val="bottom"/>
          </w:tcPr>
          <w:p w14:paraId="15DA7C05" w14:textId="77777777" w:rsidR="00263BCB" w:rsidRPr="001E1BD8" w:rsidRDefault="00263BCB" w:rsidP="001E1BD8">
            <w:pPr>
              <w:pStyle w:val="SingleTxtG"/>
              <w:spacing w:before="80" w:after="80" w:line="200" w:lineRule="exact"/>
              <w:ind w:left="0" w:right="113"/>
              <w:jc w:val="right"/>
              <w:rPr>
                <w:bCs/>
                <w:i/>
                <w:sz w:val="16"/>
              </w:rPr>
            </w:pPr>
            <w:r w:rsidRPr="001E1BD8">
              <w:rPr>
                <w:i/>
                <w:sz w:val="16"/>
              </w:rPr>
              <w:t>2012</w:t>
            </w:r>
          </w:p>
        </w:tc>
        <w:tc>
          <w:tcPr>
            <w:tcW w:w="709" w:type="dxa"/>
            <w:tcBorders>
              <w:top w:val="single" w:sz="4" w:space="0" w:color="auto"/>
              <w:bottom w:val="single" w:sz="12" w:space="0" w:color="auto"/>
            </w:tcBorders>
            <w:shd w:val="clear" w:color="auto" w:fill="auto"/>
            <w:vAlign w:val="bottom"/>
          </w:tcPr>
          <w:p w14:paraId="79D49C36" w14:textId="77777777" w:rsidR="00263BCB" w:rsidRPr="001E1BD8" w:rsidRDefault="00263BCB" w:rsidP="001E1BD8">
            <w:pPr>
              <w:pStyle w:val="SingleTxtG"/>
              <w:spacing w:before="80" w:after="80" w:line="200" w:lineRule="exact"/>
              <w:ind w:left="0" w:right="113"/>
              <w:jc w:val="right"/>
              <w:rPr>
                <w:bCs/>
                <w:i/>
                <w:sz w:val="16"/>
              </w:rPr>
            </w:pPr>
            <w:r w:rsidRPr="001E1BD8">
              <w:rPr>
                <w:i/>
                <w:sz w:val="16"/>
              </w:rPr>
              <w:t>2013</w:t>
            </w:r>
          </w:p>
        </w:tc>
        <w:tc>
          <w:tcPr>
            <w:tcW w:w="709" w:type="dxa"/>
            <w:tcBorders>
              <w:top w:val="single" w:sz="4" w:space="0" w:color="auto"/>
              <w:bottom w:val="single" w:sz="12" w:space="0" w:color="auto"/>
            </w:tcBorders>
            <w:shd w:val="clear" w:color="auto" w:fill="auto"/>
            <w:vAlign w:val="bottom"/>
          </w:tcPr>
          <w:p w14:paraId="6C79BFFF" w14:textId="77777777" w:rsidR="00263BCB" w:rsidRPr="001E1BD8" w:rsidRDefault="00263BCB" w:rsidP="001E1BD8">
            <w:pPr>
              <w:pStyle w:val="SingleTxtG"/>
              <w:spacing w:before="80" w:after="80" w:line="200" w:lineRule="exact"/>
              <w:ind w:left="0" w:right="113"/>
              <w:jc w:val="right"/>
              <w:rPr>
                <w:bCs/>
                <w:i/>
                <w:sz w:val="16"/>
              </w:rPr>
            </w:pPr>
            <w:r w:rsidRPr="001E1BD8">
              <w:rPr>
                <w:i/>
                <w:sz w:val="16"/>
              </w:rPr>
              <w:t>2014</w:t>
            </w:r>
          </w:p>
        </w:tc>
        <w:tc>
          <w:tcPr>
            <w:tcW w:w="709" w:type="dxa"/>
            <w:tcBorders>
              <w:top w:val="single" w:sz="4" w:space="0" w:color="auto"/>
              <w:bottom w:val="single" w:sz="12" w:space="0" w:color="auto"/>
            </w:tcBorders>
            <w:shd w:val="clear" w:color="auto" w:fill="auto"/>
            <w:vAlign w:val="bottom"/>
          </w:tcPr>
          <w:p w14:paraId="15C7878F" w14:textId="77777777" w:rsidR="00263BCB" w:rsidRPr="001E1BD8" w:rsidRDefault="00263BCB" w:rsidP="001E1BD8">
            <w:pPr>
              <w:pStyle w:val="SingleTxtG"/>
              <w:spacing w:before="80" w:after="80" w:line="200" w:lineRule="exact"/>
              <w:ind w:left="0" w:right="113"/>
              <w:jc w:val="right"/>
              <w:rPr>
                <w:bCs/>
                <w:i/>
                <w:sz w:val="16"/>
              </w:rPr>
            </w:pPr>
            <w:r w:rsidRPr="001E1BD8">
              <w:rPr>
                <w:i/>
                <w:sz w:val="16"/>
              </w:rPr>
              <w:t>2015</w:t>
            </w:r>
          </w:p>
        </w:tc>
        <w:tc>
          <w:tcPr>
            <w:tcW w:w="707" w:type="dxa"/>
            <w:tcBorders>
              <w:top w:val="single" w:sz="4" w:space="0" w:color="auto"/>
              <w:bottom w:val="single" w:sz="12" w:space="0" w:color="auto"/>
            </w:tcBorders>
            <w:shd w:val="clear" w:color="auto" w:fill="auto"/>
            <w:vAlign w:val="bottom"/>
          </w:tcPr>
          <w:p w14:paraId="22A83E69" w14:textId="77777777" w:rsidR="00263BCB" w:rsidRPr="001E1BD8" w:rsidRDefault="00263BCB" w:rsidP="001E1BD8">
            <w:pPr>
              <w:pStyle w:val="SingleTxtG"/>
              <w:spacing w:before="80" w:after="80" w:line="200" w:lineRule="exact"/>
              <w:ind w:left="0" w:right="113"/>
              <w:jc w:val="right"/>
              <w:rPr>
                <w:bCs/>
                <w:i/>
                <w:sz w:val="16"/>
              </w:rPr>
            </w:pPr>
            <w:r w:rsidRPr="001E1BD8">
              <w:rPr>
                <w:i/>
                <w:sz w:val="16"/>
              </w:rPr>
              <w:t>2016</w:t>
            </w:r>
          </w:p>
        </w:tc>
      </w:tr>
      <w:tr w:rsidR="00263BCB" w:rsidRPr="001E1BD8" w14:paraId="121B7000" w14:textId="77777777" w:rsidTr="007A6092">
        <w:tc>
          <w:tcPr>
            <w:tcW w:w="2977" w:type="dxa"/>
            <w:tcBorders>
              <w:top w:val="single" w:sz="12" w:space="0" w:color="auto"/>
            </w:tcBorders>
            <w:shd w:val="clear" w:color="auto" w:fill="auto"/>
          </w:tcPr>
          <w:p w14:paraId="5D022D37" w14:textId="77777777" w:rsidR="00263BCB" w:rsidRPr="001E1BD8" w:rsidRDefault="00263BCB" w:rsidP="001E1BD8">
            <w:pPr>
              <w:pStyle w:val="SingleTxtG"/>
              <w:spacing w:before="40" w:after="40" w:line="220" w:lineRule="exact"/>
              <w:ind w:left="0" w:right="113"/>
              <w:jc w:val="left"/>
              <w:rPr>
                <w:sz w:val="18"/>
              </w:rPr>
            </w:pPr>
            <w:r w:rsidRPr="001E1BD8">
              <w:rPr>
                <w:sz w:val="18"/>
              </w:rPr>
              <w:t>Infant mortality rate (per 1,000 live births)</w:t>
            </w:r>
          </w:p>
        </w:tc>
        <w:tc>
          <w:tcPr>
            <w:tcW w:w="851" w:type="dxa"/>
            <w:tcBorders>
              <w:top w:val="single" w:sz="12" w:space="0" w:color="auto"/>
            </w:tcBorders>
            <w:shd w:val="clear" w:color="auto" w:fill="auto"/>
            <w:vAlign w:val="bottom"/>
          </w:tcPr>
          <w:p w14:paraId="378D7265" w14:textId="77777777" w:rsidR="00263BCB" w:rsidRPr="001E1BD8" w:rsidRDefault="00263BCB" w:rsidP="001E1BD8">
            <w:pPr>
              <w:pStyle w:val="SingleTxtG"/>
              <w:spacing w:before="40" w:after="40" w:line="220" w:lineRule="exact"/>
              <w:ind w:left="0" w:right="113"/>
              <w:jc w:val="right"/>
              <w:rPr>
                <w:sz w:val="18"/>
              </w:rPr>
            </w:pPr>
            <w:r w:rsidRPr="001E1BD8">
              <w:rPr>
                <w:sz w:val="18"/>
              </w:rPr>
              <w:t>7.5</w:t>
            </w:r>
          </w:p>
        </w:tc>
        <w:tc>
          <w:tcPr>
            <w:tcW w:w="708" w:type="dxa"/>
            <w:tcBorders>
              <w:top w:val="single" w:sz="12" w:space="0" w:color="auto"/>
            </w:tcBorders>
            <w:shd w:val="clear" w:color="auto" w:fill="auto"/>
            <w:vAlign w:val="bottom"/>
          </w:tcPr>
          <w:p w14:paraId="486A573F" w14:textId="77777777" w:rsidR="00263BCB" w:rsidRPr="001E1BD8" w:rsidRDefault="00263BCB" w:rsidP="001E1BD8">
            <w:pPr>
              <w:pStyle w:val="SingleTxtG"/>
              <w:spacing w:before="40" w:after="40" w:line="220" w:lineRule="exact"/>
              <w:ind w:left="0" w:right="113"/>
              <w:jc w:val="right"/>
              <w:rPr>
                <w:sz w:val="18"/>
              </w:rPr>
            </w:pPr>
            <w:r w:rsidRPr="001E1BD8">
              <w:rPr>
                <w:sz w:val="18"/>
              </w:rPr>
              <w:t>9.7</w:t>
            </w:r>
          </w:p>
        </w:tc>
        <w:tc>
          <w:tcPr>
            <w:tcW w:w="709" w:type="dxa"/>
            <w:tcBorders>
              <w:top w:val="single" w:sz="12" w:space="0" w:color="auto"/>
            </w:tcBorders>
            <w:shd w:val="clear" w:color="auto" w:fill="auto"/>
            <w:vAlign w:val="bottom"/>
          </w:tcPr>
          <w:p w14:paraId="32A1DB76" w14:textId="77777777" w:rsidR="00263BCB" w:rsidRPr="001E1BD8" w:rsidRDefault="00263BCB" w:rsidP="001E1BD8">
            <w:pPr>
              <w:pStyle w:val="SingleTxtG"/>
              <w:spacing w:before="40" w:after="40" w:line="220" w:lineRule="exact"/>
              <w:ind w:left="0" w:right="113"/>
              <w:jc w:val="right"/>
              <w:rPr>
                <w:sz w:val="18"/>
              </w:rPr>
            </w:pPr>
            <w:r w:rsidRPr="001E1BD8">
              <w:rPr>
                <w:sz w:val="18"/>
              </w:rPr>
              <w:t>10.2</w:t>
            </w:r>
          </w:p>
        </w:tc>
        <w:tc>
          <w:tcPr>
            <w:tcW w:w="709" w:type="dxa"/>
            <w:tcBorders>
              <w:top w:val="single" w:sz="12" w:space="0" w:color="auto"/>
            </w:tcBorders>
            <w:shd w:val="clear" w:color="auto" w:fill="auto"/>
            <w:vAlign w:val="bottom"/>
          </w:tcPr>
          <w:p w14:paraId="066D13F7" w14:textId="77777777" w:rsidR="00263BCB" w:rsidRPr="001E1BD8" w:rsidRDefault="00263BCB" w:rsidP="001E1BD8">
            <w:pPr>
              <w:pStyle w:val="SingleTxtG"/>
              <w:spacing w:before="40" w:after="40" w:line="220" w:lineRule="exact"/>
              <w:ind w:left="0" w:right="113"/>
              <w:jc w:val="right"/>
              <w:rPr>
                <w:sz w:val="18"/>
              </w:rPr>
            </w:pPr>
            <w:r w:rsidRPr="001E1BD8">
              <w:rPr>
                <w:sz w:val="18"/>
              </w:rPr>
              <w:t>9.9</w:t>
            </w:r>
          </w:p>
        </w:tc>
        <w:tc>
          <w:tcPr>
            <w:tcW w:w="709" w:type="dxa"/>
            <w:tcBorders>
              <w:top w:val="single" w:sz="12" w:space="0" w:color="auto"/>
            </w:tcBorders>
            <w:shd w:val="clear" w:color="auto" w:fill="auto"/>
            <w:vAlign w:val="bottom"/>
          </w:tcPr>
          <w:p w14:paraId="21A392E5" w14:textId="77777777" w:rsidR="00263BCB" w:rsidRPr="001E1BD8" w:rsidRDefault="00263BCB" w:rsidP="001E1BD8">
            <w:pPr>
              <w:pStyle w:val="SingleTxtG"/>
              <w:spacing w:before="40" w:after="40" w:line="220" w:lineRule="exact"/>
              <w:ind w:left="0" w:right="113"/>
              <w:jc w:val="right"/>
              <w:rPr>
                <w:sz w:val="18"/>
              </w:rPr>
            </w:pPr>
            <w:r w:rsidRPr="001E1BD8">
              <w:rPr>
                <w:sz w:val="18"/>
              </w:rPr>
              <w:t>8.6</w:t>
            </w:r>
          </w:p>
        </w:tc>
        <w:tc>
          <w:tcPr>
            <w:tcW w:w="707" w:type="dxa"/>
            <w:tcBorders>
              <w:top w:val="single" w:sz="12" w:space="0" w:color="auto"/>
            </w:tcBorders>
            <w:shd w:val="clear" w:color="auto" w:fill="auto"/>
            <w:vAlign w:val="bottom"/>
          </w:tcPr>
          <w:p w14:paraId="1B471C75" w14:textId="77777777" w:rsidR="00263BCB" w:rsidRPr="001E1BD8" w:rsidRDefault="00263BCB" w:rsidP="001E1BD8">
            <w:pPr>
              <w:pStyle w:val="SingleTxtG"/>
              <w:spacing w:before="40" w:after="40" w:line="220" w:lineRule="exact"/>
              <w:ind w:left="0" w:right="113"/>
              <w:jc w:val="right"/>
              <w:rPr>
                <w:sz w:val="18"/>
              </w:rPr>
            </w:pPr>
            <w:r w:rsidRPr="001E1BD8">
              <w:rPr>
                <w:sz w:val="18"/>
              </w:rPr>
              <w:t>11.9</w:t>
            </w:r>
          </w:p>
        </w:tc>
      </w:tr>
      <w:tr w:rsidR="00263BCB" w:rsidRPr="001E1BD8" w14:paraId="48D2817C" w14:textId="77777777" w:rsidTr="007A6092">
        <w:tc>
          <w:tcPr>
            <w:tcW w:w="2977" w:type="dxa"/>
            <w:shd w:val="clear" w:color="auto" w:fill="auto"/>
          </w:tcPr>
          <w:p w14:paraId="41A46C05" w14:textId="77777777" w:rsidR="00263BCB" w:rsidRPr="001E1BD8" w:rsidRDefault="00263BCB" w:rsidP="001E1BD8">
            <w:pPr>
              <w:pStyle w:val="SingleTxtG"/>
              <w:spacing w:before="40" w:after="40" w:line="220" w:lineRule="exact"/>
              <w:ind w:left="0" w:right="113"/>
              <w:jc w:val="left"/>
              <w:rPr>
                <w:sz w:val="18"/>
              </w:rPr>
            </w:pPr>
            <w:r w:rsidRPr="001E1BD8">
              <w:rPr>
                <w:sz w:val="18"/>
              </w:rPr>
              <w:t>Mortality of children of up to 5 years of age rates (per 1,000 live births)</w:t>
            </w:r>
          </w:p>
        </w:tc>
        <w:tc>
          <w:tcPr>
            <w:tcW w:w="851" w:type="dxa"/>
            <w:shd w:val="clear" w:color="auto" w:fill="auto"/>
            <w:vAlign w:val="bottom"/>
          </w:tcPr>
          <w:p w14:paraId="72B8E132" w14:textId="77777777" w:rsidR="00263BCB" w:rsidRPr="001E1BD8" w:rsidRDefault="00263BCB" w:rsidP="001E1BD8">
            <w:pPr>
              <w:pStyle w:val="SingleTxtG"/>
              <w:spacing w:before="40" w:after="40" w:line="220" w:lineRule="exact"/>
              <w:ind w:left="0" w:right="113"/>
              <w:jc w:val="right"/>
              <w:rPr>
                <w:sz w:val="18"/>
              </w:rPr>
            </w:pPr>
            <w:r w:rsidRPr="001E1BD8">
              <w:rPr>
                <w:sz w:val="18"/>
              </w:rPr>
              <w:t>8.6</w:t>
            </w:r>
          </w:p>
        </w:tc>
        <w:tc>
          <w:tcPr>
            <w:tcW w:w="708" w:type="dxa"/>
            <w:shd w:val="clear" w:color="auto" w:fill="auto"/>
            <w:vAlign w:val="bottom"/>
          </w:tcPr>
          <w:p w14:paraId="6B6F8383" w14:textId="77777777" w:rsidR="00263BCB" w:rsidRPr="001E1BD8" w:rsidRDefault="00263BCB" w:rsidP="001E1BD8">
            <w:pPr>
              <w:pStyle w:val="SingleTxtG"/>
              <w:spacing w:before="40" w:after="40" w:line="220" w:lineRule="exact"/>
              <w:ind w:left="0" w:right="113"/>
              <w:jc w:val="right"/>
              <w:rPr>
                <w:sz w:val="18"/>
              </w:rPr>
            </w:pPr>
            <w:r w:rsidRPr="001E1BD8">
              <w:rPr>
                <w:sz w:val="18"/>
              </w:rPr>
              <w:t>11.0</w:t>
            </w:r>
          </w:p>
        </w:tc>
        <w:tc>
          <w:tcPr>
            <w:tcW w:w="709" w:type="dxa"/>
            <w:shd w:val="clear" w:color="auto" w:fill="auto"/>
            <w:vAlign w:val="bottom"/>
          </w:tcPr>
          <w:p w14:paraId="37E044B3" w14:textId="77777777" w:rsidR="00263BCB" w:rsidRPr="001E1BD8" w:rsidRDefault="00263BCB" w:rsidP="001E1BD8">
            <w:pPr>
              <w:pStyle w:val="SingleTxtG"/>
              <w:spacing w:before="40" w:after="40" w:line="220" w:lineRule="exact"/>
              <w:ind w:left="0" w:right="113"/>
              <w:jc w:val="right"/>
              <w:rPr>
                <w:sz w:val="18"/>
              </w:rPr>
            </w:pPr>
            <w:r w:rsidRPr="001E1BD8">
              <w:rPr>
                <w:sz w:val="18"/>
              </w:rPr>
              <w:t>11.3</w:t>
            </w:r>
          </w:p>
        </w:tc>
        <w:tc>
          <w:tcPr>
            <w:tcW w:w="709" w:type="dxa"/>
            <w:shd w:val="clear" w:color="auto" w:fill="auto"/>
            <w:vAlign w:val="bottom"/>
          </w:tcPr>
          <w:p w14:paraId="08F31BA0" w14:textId="77777777" w:rsidR="00263BCB" w:rsidRPr="001E1BD8" w:rsidRDefault="00263BCB" w:rsidP="001E1BD8">
            <w:pPr>
              <w:pStyle w:val="SingleTxtG"/>
              <w:spacing w:before="40" w:after="40" w:line="220" w:lineRule="exact"/>
              <w:ind w:left="0" w:right="113"/>
              <w:jc w:val="right"/>
              <w:rPr>
                <w:sz w:val="18"/>
              </w:rPr>
            </w:pPr>
            <w:r w:rsidRPr="001E1BD8">
              <w:rPr>
                <w:sz w:val="18"/>
              </w:rPr>
              <w:t>10.7</w:t>
            </w:r>
          </w:p>
        </w:tc>
        <w:tc>
          <w:tcPr>
            <w:tcW w:w="709" w:type="dxa"/>
            <w:shd w:val="clear" w:color="auto" w:fill="auto"/>
            <w:vAlign w:val="bottom"/>
          </w:tcPr>
          <w:p w14:paraId="1235B7A0" w14:textId="77777777" w:rsidR="00263BCB" w:rsidRPr="001E1BD8" w:rsidRDefault="00263BCB" w:rsidP="001E1BD8">
            <w:pPr>
              <w:pStyle w:val="SingleTxtG"/>
              <w:spacing w:before="40" w:after="40" w:line="220" w:lineRule="exact"/>
              <w:ind w:left="0" w:right="113"/>
              <w:jc w:val="right"/>
              <w:rPr>
                <w:sz w:val="18"/>
              </w:rPr>
            </w:pPr>
            <w:r w:rsidRPr="001E1BD8">
              <w:rPr>
                <w:sz w:val="18"/>
              </w:rPr>
              <w:t>9.7</w:t>
            </w:r>
          </w:p>
        </w:tc>
        <w:tc>
          <w:tcPr>
            <w:tcW w:w="707" w:type="dxa"/>
            <w:shd w:val="clear" w:color="auto" w:fill="auto"/>
            <w:vAlign w:val="bottom"/>
          </w:tcPr>
          <w:p w14:paraId="68B6D33C" w14:textId="77777777" w:rsidR="00263BCB" w:rsidRPr="001E1BD8" w:rsidRDefault="00263BCB" w:rsidP="001E1BD8">
            <w:pPr>
              <w:pStyle w:val="SingleTxtG"/>
              <w:spacing w:before="40" w:after="40" w:line="220" w:lineRule="exact"/>
              <w:ind w:left="0" w:right="113"/>
              <w:jc w:val="right"/>
              <w:rPr>
                <w:sz w:val="18"/>
              </w:rPr>
            </w:pPr>
            <w:r w:rsidRPr="001E1BD8">
              <w:rPr>
                <w:sz w:val="18"/>
              </w:rPr>
              <w:t>12.9</w:t>
            </w:r>
          </w:p>
        </w:tc>
      </w:tr>
    </w:tbl>
    <w:p w14:paraId="4EBE3FF9" w14:textId="4A161051" w:rsidR="00263BCB" w:rsidRPr="005D213B" w:rsidRDefault="00570685" w:rsidP="00570685">
      <w:pPr>
        <w:pStyle w:val="ParaNoG"/>
        <w:numPr>
          <w:ilvl w:val="0"/>
          <w:numId w:val="0"/>
        </w:numPr>
        <w:tabs>
          <w:tab w:val="left" w:pos="0"/>
        </w:tabs>
        <w:spacing w:before="240"/>
        <w:ind w:left="1134"/>
      </w:pPr>
      <w:r w:rsidRPr="005D213B">
        <w:t>142.</w:t>
      </w:r>
      <w:r w:rsidRPr="005D213B">
        <w:tab/>
      </w:r>
      <w:r w:rsidR="00263BCB" w:rsidRPr="005D213B">
        <w:t>The most common causes for infant mortality (infants aged 0</w:t>
      </w:r>
      <w:r w:rsidR="007A6092">
        <w:t>–</w:t>
      </w:r>
      <w:r w:rsidR="00263BCB" w:rsidRPr="005D213B">
        <w:t>12 months) are perinatal causes (81.3%) and congenital anomalies (6.9%). Preterm birth has been identified as the predominant cause for these deaths.</w:t>
      </w:r>
    </w:p>
    <w:p w14:paraId="73A909B2" w14:textId="4543836F" w:rsidR="00263BCB" w:rsidRPr="005D213B" w:rsidRDefault="00570685" w:rsidP="00570685">
      <w:pPr>
        <w:pStyle w:val="ParaNoG"/>
        <w:numPr>
          <w:ilvl w:val="0"/>
          <w:numId w:val="0"/>
        </w:numPr>
        <w:tabs>
          <w:tab w:val="left" w:pos="0"/>
        </w:tabs>
        <w:ind w:left="1134"/>
      </w:pPr>
      <w:r w:rsidRPr="005D213B">
        <w:t>143.</w:t>
      </w:r>
      <w:r w:rsidRPr="005D213B">
        <w:tab/>
      </w:r>
      <w:r w:rsidR="00263BCB" w:rsidRPr="005D213B">
        <w:t>There is a declining trend in the differences in infant mortality rates as seen from the aspect of the socio-demographic characteristics of mothers (ethnicity, education, age, place of residence).</w:t>
      </w:r>
    </w:p>
    <w:p w14:paraId="36E5F47D" w14:textId="13DE0732" w:rsidR="00263BCB" w:rsidRPr="00A21C4B" w:rsidRDefault="00263BCB" w:rsidP="00263BCB">
      <w:pPr>
        <w:pStyle w:val="H23G"/>
        <w:rPr>
          <w:rStyle w:val="FootnoteReference"/>
        </w:rPr>
      </w:pPr>
      <w:r>
        <w:tab/>
      </w:r>
      <w:r>
        <w:tab/>
      </w:r>
      <w:bookmarkStart w:id="54" w:name="_Toc56781454"/>
      <w:r w:rsidRPr="00763DB9">
        <w:rPr>
          <w:b w:val="0"/>
        </w:rPr>
        <w:t>Table 7</w:t>
      </w:r>
      <w:r>
        <w:t xml:space="preserve"> </w:t>
      </w:r>
      <w:r>
        <w:br/>
      </w:r>
      <w:r w:rsidRPr="005D213B">
        <w:t>Infant mortality rates according to the e</w:t>
      </w:r>
      <w:r>
        <w:t>thnicity of mothers (2011</w:t>
      </w:r>
      <w:r w:rsidR="007A6092">
        <w:t>–</w:t>
      </w:r>
      <w:r>
        <w:t>2016)</w:t>
      </w:r>
      <w:r w:rsidRPr="00422787">
        <w:rPr>
          <w:rStyle w:val="FootnoteReference"/>
          <w:b w:val="0"/>
          <w:bCs/>
        </w:rPr>
        <w:footnoteReference w:id="37"/>
      </w:r>
      <w:bookmarkEnd w:id="54"/>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34"/>
        <w:gridCol w:w="1022"/>
        <w:gridCol w:w="1022"/>
        <w:gridCol w:w="1023"/>
        <w:gridCol w:w="1023"/>
        <w:gridCol w:w="1023"/>
        <w:gridCol w:w="1023"/>
      </w:tblGrid>
      <w:tr w:rsidR="00263BCB" w:rsidRPr="007A6092" w14:paraId="5BBBF5CF" w14:textId="77777777" w:rsidTr="00422787">
        <w:trPr>
          <w:tblHeader/>
        </w:trPr>
        <w:tc>
          <w:tcPr>
            <w:tcW w:w="1234" w:type="dxa"/>
            <w:tcBorders>
              <w:top w:val="single" w:sz="4" w:space="0" w:color="auto"/>
              <w:bottom w:val="single" w:sz="12" w:space="0" w:color="auto"/>
            </w:tcBorders>
            <w:shd w:val="clear" w:color="auto" w:fill="auto"/>
            <w:vAlign w:val="bottom"/>
          </w:tcPr>
          <w:p w14:paraId="2EE13EF2" w14:textId="77777777" w:rsidR="00263BCB" w:rsidRPr="007A6092" w:rsidRDefault="00263BCB" w:rsidP="007A6092">
            <w:pPr>
              <w:pStyle w:val="SingleTxtG"/>
              <w:spacing w:before="80" w:after="80" w:line="200" w:lineRule="exact"/>
              <w:ind w:left="0" w:right="113"/>
              <w:jc w:val="left"/>
              <w:rPr>
                <w:i/>
                <w:sz w:val="16"/>
              </w:rPr>
            </w:pPr>
            <w:r w:rsidRPr="007A6092">
              <w:rPr>
                <w:i/>
                <w:sz w:val="16"/>
              </w:rPr>
              <w:t>Ethnicity</w:t>
            </w:r>
          </w:p>
        </w:tc>
        <w:tc>
          <w:tcPr>
            <w:tcW w:w="1022" w:type="dxa"/>
            <w:tcBorders>
              <w:top w:val="single" w:sz="4" w:space="0" w:color="auto"/>
              <w:bottom w:val="single" w:sz="12" w:space="0" w:color="auto"/>
            </w:tcBorders>
            <w:shd w:val="clear" w:color="auto" w:fill="auto"/>
            <w:vAlign w:val="bottom"/>
          </w:tcPr>
          <w:p w14:paraId="12389419"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2011</w:t>
            </w:r>
          </w:p>
        </w:tc>
        <w:tc>
          <w:tcPr>
            <w:tcW w:w="1022" w:type="dxa"/>
            <w:tcBorders>
              <w:top w:val="single" w:sz="4" w:space="0" w:color="auto"/>
              <w:bottom w:val="single" w:sz="12" w:space="0" w:color="auto"/>
            </w:tcBorders>
            <w:shd w:val="clear" w:color="auto" w:fill="auto"/>
            <w:vAlign w:val="bottom"/>
          </w:tcPr>
          <w:p w14:paraId="1F962FD1"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2012</w:t>
            </w:r>
          </w:p>
        </w:tc>
        <w:tc>
          <w:tcPr>
            <w:tcW w:w="1023" w:type="dxa"/>
            <w:tcBorders>
              <w:top w:val="single" w:sz="4" w:space="0" w:color="auto"/>
              <w:bottom w:val="single" w:sz="12" w:space="0" w:color="auto"/>
            </w:tcBorders>
            <w:shd w:val="clear" w:color="auto" w:fill="auto"/>
            <w:vAlign w:val="bottom"/>
          </w:tcPr>
          <w:p w14:paraId="5FB52942"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2013</w:t>
            </w:r>
          </w:p>
        </w:tc>
        <w:tc>
          <w:tcPr>
            <w:tcW w:w="1023" w:type="dxa"/>
            <w:tcBorders>
              <w:top w:val="single" w:sz="4" w:space="0" w:color="auto"/>
              <w:bottom w:val="single" w:sz="12" w:space="0" w:color="auto"/>
            </w:tcBorders>
            <w:shd w:val="clear" w:color="auto" w:fill="auto"/>
            <w:vAlign w:val="bottom"/>
          </w:tcPr>
          <w:p w14:paraId="43FCBBFE"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2014</w:t>
            </w:r>
          </w:p>
        </w:tc>
        <w:tc>
          <w:tcPr>
            <w:tcW w:w="1023" w:type="dxa"/>
            <w:tcBorders>
              <w:top w:val="single" w:sz="4" w:space="0" w:color="auto"/>
              <w:bottom w:val="single" w:sz="12" w:space="0" w:color="auto"/>
            </w:tcBorders>
            <w:shd w:val="clear" w:color="auto" w:fill="auto"/>
            <w:vAlign w:val="bottom"/>
          </w:tcPr>
          <w:p w14:paraId="51C4D225"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2015</w:t>
            </w:r>
          </w:p>
        </w:tc>
        <w:tc>
          <w:tcPr>
            <w:tcW w:w="1023" w:type="dxa"/>
            <w:tcBorders>
              <w:top w:val="single" w:sz="4" w:space="0" w:color="auto"/>
              <w:bottom w:val="single" w:sz="12" w:space="0" w:color="auto"/>
            </w:tcBorders>
            <w:shd w:val="clear" w:color="auto" w:fill="auto"/>
            <w:vAlign w:val="bottom"/>
          </w:tcPr>
          <w:p w14:paraId="06BEAB3D"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2016</w:t>
            </w:r>
          </w:p>
        </w:tc>
      </w:tr>
      <w:tr w:rsidR="00263BCB" w:rsidRPr="00422787" w14:paraId="27078929" w14:textId="77777777" w:rsidTr="00422787">
        <w:tc>
          <w:tcPr>
            <w:tcW w:w="1234" w:type="dxa"/>
            <w:tcBorders>
              <w:top w:val="single" w:sz="12" w:space="0" w:color="auto"/>
              <w:bottom w:val="single" w:sz="4" w:space="0" w:color="auto"/>
            </w:tcBorders>
            <w:shd w:val="clear" w:color="auto" w:fill="auto"/>
          </w:tcPr>
          <w:p w14:paraId="54D1FE4F" w14:textId="77777777" w:rsidR="00263BCB" w:rsidRPr="00422787" w:rsidRDefault="00263BCB" w:rsidP="00422787">
            <w:pPr>
              <w:pStyle w:val="SingleTxtG"/>
              <w:spacing w:before="80" w:after="80" w:line="220" w:lineRule="exact"/>
              <w:ind w:left="288" w:right="113"/>
              <w:jc w:val="left"/>
              <w:rPr>
                <w:b/>
                <w:sz w:val="18"/>
              </w:rPr>
            </w:pPr>
            <w:r w:rsidRPr="00422787">
              <w:rPr>
                <w:b/>
                <w:sz w:val="18"/>
              </w:rPr>
              <w:t>Total</w:t>
            </w:r>
          </w:p>
        </w:tc>
        <w:tc>
          <w:tcPr>
            <w:tcW w:w="1022" w:type="dxa"/>
            <w:tcBorders>
              <w:top w:val="single" w:sz="12" w:space="0" w:color="auto"/>
              <w:bottom w:val="single" w:sz="4" w:space="0" w:color="auto"/>
            </w:tcBorders>
            <w:shd w:val="clear" w:color="auto" w:fill="auto"/>
            <w:vAlign w:val="bottom"/>
          </w:tcPr>
          <w:p w14:paraId="1715FD0F" w14:textId="77777777" w:rsidR="00263BCB" w:rsidRPr="00422787" w:rsidRDefault="00263BCB" w:rsidP="00422787">
            <w:pPr>
              <w:pStyle w:val="SingleTxtG"/>
              <w:spacing w:before="80" w:after="80" w:line="220" w:lineRule="exact"/>
              <w:ind w:left="0" w:right="113"/>
              <w:jc w:val="right"/>
              <w:rPr>
                <w:b/>
                <w:sz w:val="18"/>
              </w:rPr>
            </w:pPr>
            <w:r w:rsidRPr="00422787">
              <w:rPr>
                <w:b/>
                <w:sz w:val="18"/>
              </w:rPr>
              <w:t>7.5</w:t>
            </w:r>
          </w:p>
        </w:tc>
        <w:tc>
          <w:tcPr>
            <w:tcW w:w="1022" w:type="dxa"/>
            <w:tcBorders>
              <w:top w:val="single" w:sz="12" w:space="0" w:color="auto"/>
              <w:bottom w:val="single" w:sz="4" w:space="0" w:color="auto"/>
            </w:tcBorders>
            <w:shd w:val="clear" w:color="auto" w:fill="auto"/>
            <w:vAlign w:val="bottom"/>
          </w:tcPr>
          <w:p w14:paraId="4199F28E" w14:textId="77777777" w:rsidR="00263BCB" w:rsidRPr="00422787" w:rsidRDefault="00263BCB" w:rsidP="00422787">
            <w:pPr>
              <w:pStyle w:val="SingleTxtG"/>
              <w:spacing w:before="80" w:after="80" w:line="220" w:lineRule="exact"/>
              <w:ind w:left="0" w:right="113"/>
              <w:jc w:val="right"/>
              <w:rPr>
                <w:b/>
                <w:sz w:val="18"/>
              </w:rPr>
            </w:pPr>
            <w:r w:rsidRPr="00422787">
              <w:rPr>
                <w:b/>
                <w:sz w:val="18"/>
              </w:rPr>
              <w:t>9.8</w:t>
            </w:r>
          </w:p>
        </w:tc>
        <w:tc>
          <w:tcPr>
            <w:tcW w:w="1023" w:type="dxa"/>
            <w:tcBorders>
              <w:top w:val="single" w:sz="12" w:space="0" w:color="auto"/>
              <w:bottom w:val="single" w:sz="4" w:space="0" w:color="auto"/>
            </w:tcBorders>
            <w:shd w:val="clear" w:color="auto" w:fill="auto"/>
            <w:vAlign w:val="bottom"/>
          </w:tcPr>
          <w:p w14:paraId="49FAFDB6" w14:textId="77777777" w:rsidR="00263BCB" w:rsidRPr="00422787" w:rsidRDefault="00263BCB" w:rsidP="00422787">
            <w:pPr>
              <w:pStyle w:val="SingleTxtG"/>
              <w:spacing w:before="80" w:after="80" w:line="220" w:lineRule="exact"/>
              <w:ind w:left="0" w:right="113"/>
              <w:jc w:val="right"/>
              <w:rPr>
                <w:b/>
                <w:sz w:val="18"/>
              </w:rPr>
            </w:pPr>
            <w:r w:rsidRPr="00422787">
              <w:rPr>
                <w:b/>
                <w:sz w:val="18"/>
              </w:rPr>
              <w:t>10.2</w:t>
            </w:r>
          </w:p>
        </w:tc>
        <w:tc>
          <w:tcPr>
            <w:tcW w:w="1023" w:type="dxa"/>
            <w:tcBorders>
              <w:top w:val="single" w:sz="12" w:space="0" w:color="auto"/>
              <w:bottom w:val="single" w:sz="4" w:space="0" w:color="auto"/>
            </w:tcBorders>
            <w:shd w:val="clear" w:color="auto" w:fill="auto"/>
            <w:vAlign w:val="bottom"/>
          </w:tcPr>
          <w:p w14:paraId="3CE41DF0" w14:textId="77777777" w:rsidR="00263BCB" w:rsidRPr="00422787" w:rsidRDefault="00263BCB" w:rsidP="00422787">
            <w:pPr>
              <w:pStyle w:val="SingleTxtG"/>
              <w:spacing w:before="80" w:after="80" w:line="220" w:lineRule="exact"/>
              <w:ind w:left="0" w:right="113"/>
              <w:jc w:val="right"/>
              <w:rPr>
                <w:b/>
                <w:sz w:val="18"/>
              </w:rPr>
            </w:pPr>
            <w:r w:rsidRPr="00422787">
              <w:rPr>
                <w:b/>
                <w:sz w:val="18"/>
              </w:rPr>
              <w:t>9.9</w:t>
            </w:r>
          </w:p>
        </w:tc>
        <w:tc>
          <w:tcPr>
            <w:tcW w:w="1023" w:type="dxa"/>
            <w:tcBorders>
              <w:top w:val="single" w:sz="12" w:space="0" w:color="auto"/>
              <w:bottom w:val="single" w:sz="4" w:space="0" w:color="auto"/>
            </w:tcBorders>
            <w:shd w:val="clear" w:color="auto" w:fill="auto"/>
            <w:vAlign w:val="bottom"/>
          </w:tcPr>
          <w:p w14:paraId="165D4C78" w14:textId="77777777" w:rsidR="00263BCB" w:rsidRPr="00422787" w:rsidRDefault="00263BCB" w:rsidP="00422787">
            <w:pPr>
              <w:pStyle w:val="SingleTxtG"/>
              <w:spacing w:before="80" w:after="80" w:line="220" w:lineRule="exact"/>
              <w:ind w:left="0" w:right="113"/>
              <w:jc w:val="right"/>
              <w:rPr>
                <w:b/>
                <w:sz w:val="18"/>
              </w:rPr>
            </w:pPr>
            <w:r w:rsidRPr="00422787">
              <w:rPr>
                <w:b/>
                <w:sz w:val="18"/>
              </w:rPr>
              <w:t>8.6</w:t>
            </w:r>
          </w:p>
        </w:tc>
        <w:tc>
          <w:tcPr>
            <w:tcW w:w="1023" w:type="dxa"/>
            <w:tcBorders>
              <w:top w:val="single" w:sz="12" w:space="0" w:color="auto"/>
              <w:bottom w:val="single" w:sz="4" w:space="0" w:color="auto"/>
            </w:tcBorders>
            <w:shd w:val="clear" w:color="auto" w:fill="auto"/>
            <w:vAlign w:val="bottom"/>
          </w:tcPr>
          <w:p w14:paraId="144B47A0" w14:textId="77777777" w:rsidR="00263BCB" w:rsidRPr="00422787" w:rsidRDefault="00263BCB" w:rsidP="00422787">
            <w:pPr>
              <w:pStyle w:val="SingleTxtG"/>
              <w:spacing w:before="80" w:after="80" w:line="220" w:lineRule="exact"/>
              <w:ind w:left="0" w:right="113"/>
              <w:jc w:val="right"/>
              <w:rPr>
                <w:b/>
                <w:sz w:val="18"/>
              </w:rPr>
            </w:pPr>
            <w:r w:rsidRPr="00422787">
              <w:rPr>
                <w:b/>
                <w:sz w:val="18"/>
              </w:rPr>
              <w:t>11.9</w:t>
            </w:r>
          </w:p>
        </w:tc>
      </w:tr>
      <w:tr w:rsidR="00263BCB" w:rsidRPr="007A6092" w14:paraId="633BEE98" w14:textId="77777777" w:rsidTr="00422787">
        <w:tc>
          <w:tcPr>
            <w:tcW w:w="1234" w:type="dxa"/>
            <w:tcBorders>
              <w:top w:val="single" w:sz="4" w:space="0" w:color="auto"/>
            </w:tcBorders>
            <w:shd w:val="clear" w:color="auto" w:fill="auto"/>
          </w:tcPr>
          <w:p w14:paraId="6725C109" w14:textId="77777777" w:rsidR="00263BCB" w:rsidRPr="007A6092" w:rsidRDefault="00263BCB" w:rsidP="007A6092">
            <w:pPr>
              <w:pStyle w:val="SingleTxtG"/>
              <w:spacing w:before="40" w:after="40" w:line="220" w:lineRule="exact"/>
              <w:ind w:left="0" w:right="113"/>
              <w:jc w:val="left"/>
              <w:rPr>
                <w:sz w:val="18"/>
              </w:rPr>
            </w:pPr>
            <w:r w:rsidRPr="007A6092">
              <w:rPr>
                <w:sz w:val="18"/>
              </w:rPr>
              <w:t>Macedonians</w:t>
            </w:r>
          </w:p>
        </w:tc>
        <w:tc>
          <w:tcPr>
            <w:tcW w:w="1022" w:type="dxa"/>
            <w:tcBorders>
              <w:top w:val="single" w:sz="4" w:space="0" w:color="auto"/>
            </w:tcBorders>
            <w:shd w:val="clear" w:color="auto" w:fill="auto"/>
            <w:vAlign w:val="bottom"/>
          </w:tcPr>
          <w:p w14:paraId="2E6B59A0" w14:textId="77777777" w:rsidR="00263BCB" w:rsidRPr="007A6092" w:rsidRDefault="00263BCB" w:rsidP="007A6092">
            <w:pPr>
              <w:pStyle w:val="SingleTxtG"/>
              <w:spacing w:before="40" w:after="40" w:line="220" w:lineRule="exact"/>
              <w:ind w:left="0" w:right="113"/>
              <w:jc w:val="right"/>
              <w:rPr>
                <w:sz w:val="18"/>
              </w:rPr>
            </w:pPr>
            <w:r w:rsidRPr="007A6092">
              <w:rPr>
                <w:sz w:val="18"/>
              </w:rPr>
              <w:t>6.0</w:t>
            </w:r>
          </w:p>
        </w:tc>
        <w:tc>
          <w:tcPr>
            <w:tcW w:w="1022" w:type="dxa"/>
            <w:tcBorders>
              <w:top w:val="single" w:sz="4" w:space="0" w:color="auto"/>
            </w:tcBorders>
            <w:shd w:val="clear" w:color="auto" w:fill="auto"/>
            <w:vAlign w:val="bottom"/>
          </w:tcPr>
          <w:p w14:paraId="675A236B" w14:textId="77777777" w:rsidR="00263BCB" w:rsidRPr="007A6092" w:rsidRDefault="00263BCB" w:rsidP="007A6092">
            <w:pPr>
              <w:pStyle w:val="SingleTxtG"/>
              <w:spacing w:before="40" w:after="40" w:line="220" w:lineRule="exact"/>
              <w:ind w:left="0" w:right="113"/>
              <w:jc w:val="right"/>
              <w:rPr>
                <w:sz w:val="18"/>
              </w:rPr>
            </w:pPr>
            <w:r w:rsidRPr="007A6092">
              <w:rPr>
                <w:sz w:val="18"/>
              </w:rPr>
              <w:t>8.2</w:t>
            </w:r>
          </w:p>
        </w:tc>
        <w:tc>
          <w:tcPr>
            <w:tcW w:w="1023" w:type="dxa"/>
            <w:tcBorders>
              <w:top w:val="single" w:sz="4" w:space="0" w:color="auto"/>
            </w:tcBorders>
            <w:shd w:val="clear" w:color="auto" w:fill="auto"/>
            <w:vAlign w:val="bottom"/>
          </w:tcPr>
          <w:p w14:paraId="080DA6FA" w14:textId="77777777" w:rsidR="00263BCB" w:rsidRPr="007A6092" w:rsidRDefault="00263BCB" w:rsidP="007A6092">
            <w:pPr>
              <w:pStyle w:val="SingleTxtG"/>
              <w:spacing w:before="40" w:after="40" w:line="220" w:lineRule="exact"/>
              <w:ind w:left="0" w:right="113"/>
              <w:jc w:val="right"/>
              <w:rPr>
                <w:sz w:val="18"/>
              </w:rPr>
            </w:pPr>
            <w:r w:rsidRPr="007A6092">
              <w:rPr>
                <w:sz w:val="18"/>
              </w:rPr>
              <w:t>8.4</w:t>
            </w:r>
          </w:p>
        </w:tc>
        <w:tc>
          <w:tcPr>
            <w:tcW w:w="1023" w:type="dxa"/>
            <w:tcBorders>
              <w:top w:val="single" w:sz="4" w:space="0" w:color="auto"/>
            </w:tcBorders>
            <w:shd w:val="clear" w:color="auto" w:fill="auto"/>
            <w:vAlign w:val="bottom"/>
          </w:tcPr>
          <w:p w14:paraId="0ECB75E7" w14:textId="77777777" w:rsidR="00263BCB" w:rsidRPr="007A6092" w:rsidRDefault="00263BCB" w:rsidP="007A6092">
            <w:pPr>
              <w:pStyle w:val="SingleTxtG"/>
              <w:spacing w:before="40" w:after="40" w:line="220" w:lineRule="exact"/>
              <w:ind w:left="0" w:right="113"/>
              <w:jc w:val="right"/>
              <w:rPr>
                <w:sz w:val="18"/>
              </w:rPr>
            </w:pPr>
            <w:r w:rsidRPr="007A6092">
              <w:rPr>
                <w:sz w:val="18"/>
              </w:rPr>
              <w:t>10.7</w:t>
            </w:r>
          </w:p>
        </w:tc>
        <w:tc>
          <w:tcPr>
            <w:tcW w:w="1023" w:type="dxa"/>
            <w:tcBorders>
              <w:top w:val="single" w:sz="4" w:space="0" w:color="auto"/>
            </w:tcBorders>
            <w:shd w:val="clear" w:color="auto" w:fill="auto"/>
            <w:vAlign w:val="bottom"/>
          </w:tcPr>
          <w:p w14:paraId="2E76D16C" w14:textId="77777777" w:rsidR="00263BCB" w:rsidRPr="007A6092" w:rsidRDefault="00263BCB" w:rsidP="007A6092">
            <w:pPr>
              <w:pStyle w:val="SingleTxtG"/>
              <w:spacing w:before="40" w:after="40" w:line="220" w:lineRule="exact"/>
              <w:ind w:left="0" w:right="113"/>
              <w:jc w:val="right"/>
              <w:rPr>
                <w:sz w:val="18"/>
              </w:rPr>
            </w:pPr>
            <w:r w:rsidRPr="007A6092">
              <w:rPr>
                <w:sz w:val="18"/>
              </w:rPr>
              <w:t>7.7</w:t>
            </w:r>
          </w:p>
        </w:tc>
        <w:tc>
          <w:tcPr>
            <w:tcW w:w="1023" w:type="dxa"/>
            <w:tcBorders>
              <w:top w:val="single" w:sz="4" w:space="0" w:color="auto"/>
            </w:tcBorders>
            <w:shd w:val="clear" w:color="auto" w:fill="auto"/>
            <w:vAlign w:val="bottom"/>
          </w:tcPr>
          <w:p w14:paraId="1F4CE00C" w14:textId="77777777" w:rsidR="00263BCB" w:rsidRPr="007A6092" w:rsidRDefault="00263BCB" w:rsidP="007A6092">
            <w:pPr>
              <w:pStyle w:val="SingleTxtG"/>
              <w:spacing w:before="40" w:after="40" w:line="220" w:lineRule="exact"/>
              <w:ind w:left="0" w:right="113"/>
              <w:jc w:val="right"/>
              <w:rPr>
                <w:sz w:val="18"/>
              </w:rPr>
            </w:pPr>
            <w:r w:rsidRPr="007A6092">
              <w:rPr>
                <w:sz w:val="18"/>
              </w:rPr>
              <w:t>10.4</w:t>
            </w:r>
          </w:p>
        </w:tc>
      </w:tr>
      <w:tr w:rsidR="00263BCB" w:rsidRPr="007A6092" w14:paraId="38A6FAE6" w14:textId="77777777" w:rsidTr="007A6092">
        <w:tc>
          <w:tcPr>
            <w:tcW w:w="1234" w:type="dxa"/>
            <w:shd w:val="clear" w:color="auto" w:fill="auto"/>
          </w:tcPr>
          <w:p w14:paraId="0D3D2CF1" w14:textId="77777777" w:rsidR="00263BCB" w:rsidRPr="007A6092" w:rsidRDefault="00263BCB" w:rsidP="007A6092">
            <w:pPr>
              <w:pStyle w:val="SingleTxtG"/>
              <w:spacing w:before="40" w:after="40" w:line="220" w:lineRule="exact"/>
              <w:ind w:left="0" w:right="113"/>
              <w:jc w:val="left"/>
              <w:rPr>
                <w:sz w:val="18"/>
              </w:rPr>
            </w:pPr>
            <w:r w:rsidRPr="007A6092">
              <w:rPr>
                <w:sz w:val="18"/>
              </w:rPr>
              <w:t>Albanians</w:t>
            </w:r>
          </w:p>
        </w:tc>
        <w:tc>
          <w:tcPr>
            <w:tcW w:w="1022" w:type="dxa"/>
            <w:shd w:val="clear" w:color="auto" w:fill="auto"/>
            <w:vAlign w:val="bottom"/>
          </w:tcPr>
          <w:p w14:paraId="1C5382BA" w14:textId="40B4167A" w:rsidR="00263BCB" w:rsidRPr="007A6092" w:rsidRDefault="00263BCB" w:rsidP="007A6092">
            <w:pPr>
              <w:pStyle w:val="SingleTxtG"/>
              <w:spacing w:before="40" w:after="40" w:line="220" w:lineRule="exact"/>
              <w:ind w:left="0" w:right="113"/>
              <w:jc w:val="right"/>
              <w:rPr>
                <w:sz w:val="18"/>
              </w:rPr>
            </w:pPr>
            <w:r w:rsidRPr="007A6092">
              <w:rPr>
                <w:sz w:val="18"/>
              </w:rPr>
              <w:t>10.1</w:t>
            </w:r>
          </w:p>
        </w:tc>
        <w:tc>
          <w:tcPr>
            <w:tcW w:w="1022" w:type="dxa"/>
            <w:shd w:val="clear" w:color="auto" w:fill="auto"/>
            <w:vAlign w:val="bottom"/>
          </w:tcPr>
          <w:p w14:paraId="6453B28F" w14:textId="57CF2301" w:rsidR="00263BCB" w:rsidRPr="007A6092" w:rsidRDefault="00263BCB" w:rsidP="007A6092">
            <w:pPr>
              <w:pStyle w:val="SingleTxtG"/>
              <w:spacing w:before="40" w:after="40" w:line="220" w:lineRule="exact"/>
              <w:ind w:left="0" w:right="113"/>
              <w:jc w:val="right"/>
              <w:rPr>
                <w:sz w:val="18"/>
              </w:rPr>
            </w:pPr>
            <w:r w:rsidRPr="007A6092">
              <w:rPr>
                <w:sz w:val="18"/>
              </w:rPr>
              <w:t>10.8</w:t>
            </w:r>
          </w:p>
        </w:tc>
        <w:tc>
          <w:tcPr>
            <w:tcW w:w="1023" w:type="dxa"/>
            <w:shd w:val="clear" w:color="auto" w:fill="auto"/>
            <w:vAlign w:val="bottom"/>
          </w:tcPr>
          <w:p w14:paraId="79F60C76" w14:textId="77777777" w:rsidR="00263BCB" w:rsidRPr="007A6092" w:rsidRDefault="00263BCB" w:rsidP="007A6092">
            <w:pPr>
              <w:pStyle w:val="SingleTxtG"/>
              <w:spacing w:before="40" w:after="40" w:line="220" w:lineRule="exact"/>
              <w:ind w:left="0" w:right="113"/>
              <w:jc w:val="right"/>
              <w:rPr>
                <w:sz w:val="18"/>
              </w:rPr>
            </w:pPr>
            <w:r w:rsidRPr="007A6092">
              <w:rPr>
                <w:sz w:val="18"/>
              </w:rPr>
              <w:t>11.9</w:t>
            </w:r>
          </w:p>
        </w:tc>
        <w:tc>
          <w:tcPr>
            <w:tcW w:w="1023" w:type="dxa"/>
            <w:shd w:val="clear" w:color="auto" w:fill="auto"/>
            <w:vAlign w:val="bottom"/>
          </w:tcPr>
          <w:p w14:paraId="5D12C7B3" w14:textId="407ED1A7" w:rsidR="00263BCB" w:rsidRPr="007A6092" w:rsidRDefault="00263BCB" w:rsidP="007A6092">
            <w:pPr>
              <w:pStyle w:val="SingleTxtG"/>
              <w:spacing w:before="40" w:after="40" w:line="220" w:lineRule="exact"/>
              <w:ind w:left="0" w:right="113"/>
              <w:jc w:val="right"/>
              <w:rPr>
                <w:sz w:val="18"/>
              </w:rPr>
            </w:pPr>
            <w:r w:rsidRPr="007A6092">
              <w:rPr>
                <w:sz w:val="18"/>
              </w:rPr>
              <w:t>8.6</w:t>
            </w:r>
          </w:p>
        </w:tc>
        <w:tc>
          <w:tcPr>
            <w:tcW w:w="1023" w:type="dxa"/>
            <w:shd w:val="clear" w:color="auto" w:fill="auto"/>
            <w:vAlign w:val="bottom"/>
          </w:tcPr>
          <w:p w14:paraId="48E22DA0" w14:textId="5C3DC9E9" w:rsidR="00263BCB" w:rsidRPr="007A6092" w:rsidRDefault="00263BCB" w:rsidP="007A6092">
            <w:pPr>
              <w:pStyle w:val="SingleTxtG"/>
              <w:spacing w:before="40" w:after="40" w:line="220" w:lineRule="exact"/>
              <w:ind w:left="0" w:right="113"/>
              <w:jc w:val="right"/>
              <w:rPr>
                <w:sz w:val="18"/>
              </w:rPr>
            </w:pPr>
            <w:r w:rsidRPr="007A6092">
              <w:rPr>
                <w:sz w:val="18"/>
              </w:rPr>
              <w:t>10.3</w:t>
            </w:r>
          </w:p>
        </w:tc>
        <w:tc>
          <w:tcPr>
            <w:tcW w:w="1023" w:type="dxa"/>
            <w:shd w:val="clear" w:color="auto" w:fill="auto"/>
            <w:vAlign w:val="bottom"/>
          </w:tcPr>
          <w:p w14:paraId="27FD3A01" w14:textId="77777777" w:rsidR="00263BCB" w:rsidRPr="007A6092" w:rsidRDefault="00263BCB" w:rsidP="007A6092">
            <w:pPr>
              <w:pStyle w:val="SingleTxtG"/>
              <w:spacing w:before="40" w:after="40" w:line="220" w:lineRule="exact"/>
              <w:ind w:left="0" w:right="113"/>
              <w:jc w:val="right"/>
              <w:rPr>
                <w:sz w:val="18"/>
              </w:rPr>
            </w:pPr>
            <w:r w:rsidRPr="007A6092">
              <w:rPr>
                <w:sz w:val="18"/>
              </w:rPr>
              <w:t>14.3</w:t>
            </w:r>
          </w:p>
        </w:tc>
      </w:tr>
      <w:tr w:rsidR="00263BCB" w:rsidRPr="007A6092" w14:paraId="1E7E71D1" w14:textId="77777777" w:rsidTr="007A6092">
        <w:tc>
          <w:tcPr>
            <w:tcW w:w="1234" w:type="dxa"/>
            <w:shd w:val="clear" w:color="auto" w:fill="auto"/>
          </w:tcPr>
          <w:p w14:paraId="78F42EC8" w14:textId="77777777" w:rsidR="00263BCB" w:rsidRPr="007A6092" w:rsidRDefault="00263BCB" w:rsidP="007A6092">
            <w:pPr>
              <w:pStyle w:val="SingleTxtG"/>
              <w:spacing w:before="40" w:after="40" w:line="220" w:lineRule="exact"/>
              <w:ind w:left="0" w:right="113"/>
              <w:jc w:val="left"/>
              <w:rPr>
                <w:sz w:val="18"/>
              </w:rPr>
            </w:pPr>
            <w:r w:rsidRPr="007A6092">
              <w:rPr>
                <w:sz w:val="18"/>
              </w:rPr>
              <w:t>Turks</w:t>
            </w:r>
          </w:p>
        </w:tc>
        <w:tc>
          <w:tcPr>
            <w:tcW w:w="1022" w:type="dxa"/>
            <w:shd w:val="clear" w:color="auto" w:fill="auto"/>
            <w:vAlign w:val="bottom"/>
          </w:tcPr>
          <w:p w14:paraId="4AB397B5" w14:textId="77777777" w:rsidR="00263BCB" w:rsidRPr="007A6092" w:rsidRDefault="00263BCB" w:rsidP="007A6092">
            <w:pPr>
              <w:pStyle w:val="SingleTxtG"/>
              <w:spacing w:before="40" w:after="40" w:line="220" w:lineRule="exact"/>
              <w:ind w:left="0" w:right="113"/>
              <w:jc w:val="right"/>
              <w:rPr>
                <w:sz w:val="18"/>
              </w:rPr>
            </w:pPr>
            <w:r w:rsidRPr="007A6092">
              <w:rPr>
                <w:sz w:val="18"/>
              </w:rPr>
              <w:t>3.8</w:t>
            </w:r>
          </w:p>
        </w:tc>
        <w:tc>
          <w:tcPr>
            <w:tcW w:w="1022" w:type="dxa"/>
            <w:shd w:val="clear" w:color="auto" w:fill="auto"/>
            <w:vAlign w:val="bottom"/>
          </w:tcPr>
          <w:p w14:paraId="66CFC7B4" w14:textId="77777777" w:rsidR="00263BCB" w:rsidRPr="007A6092" w:rsidRDefault="00263BCB" w:rsidP="007A6092">
            <w:pPr>
              <w:pStyle w:val="SingleTxtG"/>
              <w:spacing w:before="40" w:after="40" w:line="220" w:lineRule="exact"/>
              <w:ind w:left="0" w:right="113"/>
              <w:jc w:val="right"/>
              <w:rPr>
                <w:sz w:val="18"/>
              </w:rPr>
            </w:pPr>
            <w:r w:rsidRPr="007A6092">
              <w:rPr>
                <w:sz w:val="18"/>
              </w:rPr>
              <w:t>16.5</w:t>
            </w:r>
          </w:p>
        </w:tc>
        <w:tc>
          <w:tcPr>
            <w:tcW w:w="1023" w:type="dxa"/>
            <w:shd w:val="clear" w:color="auto" w:fill="auto"/>
            <w:vAlign w:val="bottom"/>
          </w:tcPr>
          <w:p w14:paraId="4C2D3322" w14:textId="77777777" w:rsidR="00263BCB" w:rsidRPr="007A6092" w:rsidRDefault="00263BCB" w:rsidP="007A6092">
            <w:pPr>
              <w:pStyle w:val="SingleTxtG"/>
              <w:spacing w:before="40" w:after="40" w:line="220" w:lineRule="exact"/>
              <w:ind w:left="0" w:right="113"/>
              <w:jc w:val="right"/>
              <w:rPr>
                <w:sz w:val="18"/>
              </w:rPr>
            </w:pPr>
            <w:r w:rsidRPr="007A6092">
              <w:rPr>
                <w:sz w:val="18"/>
              </w:rPr>
              <w:t>8.1</w:t>
            </w:r>
          </w:p>
        </w:tc>
        <w:tc>
          <w:tcPr>
            <w:tcW w:w="1023" w:type="dxa"/>
            <w:shd w:val="clear" w:color="auto" w:fill="auto"/>
            <w:vAlign w:val="bottom"/>
          </w:tcPr>
          <w:p w14:paraId="7D0F8B05" w14:textId="77777777" w:rsidR="00263BCB" w:rsidRPr="007A6092" w:rsidRDefault="00263BCB" w:rsidP="007A6092">
            <w:pPr>
              <w:pStyle w:val="SingleTxtG"/>
              <w:spacing w:before="40" w:after="40" w:line="220" w:lineRule="exact"/>
              <w:ind w:left="0" w:right="113"/>
              <w:jc w:val="right"/>
              <w:rPr>
                <w:sz w:val="18"/>
              </w:rPr>
            </w:pPr>
            <w:r w:rsidRPr="007A6092">
              <w:rPr>
                <w:sz w:val="18"/>
              </w:rPr>
              <w:t>7</w:t>
            </w:r>
          </w:p>
        </w:tc>
        <w:tc>
          <w:tcPr>
            <w:tcW w:w="1023" w:type="dxa"/>
            <w:shd w:val="clear" w:color="auto" w:fill="auto"/>
            <w:vAlign w:val="bottom"/>
          </w:tcPr>
          <w:p w14:paraId="58553FB1" w14:textId="77777777" w:rsidR="00263BCB" w:rsidRPr="007A6092" w:rsidRDefault="00263BCB" w:rsidP="007A6092">
            <w:pPr>
              <w:pStyle w:val="SingleTxtG"/>
              <w:spacing w:before="40" w:after="40" w:line="220" w:lineRule="exact"/>
              <w:ind w:left="0" w:right="113"/>
              <w:jc w:val="right"/>
              <w:rPr>
                <w:sz w:val="18"/>
              </w:rPr>
            </w:pPr>
            <w:r w:rsidRPr="007A6092">
              <w:rPr>
                <w:sz w:val="18"/>
              </w:rPr>
              <w:t>4.5</w:t>
            </w:r>
          </w:p>
        </w:tc>
        <w:tc>
          <w:tcPr>
            <w:tcW w:w="1023" w:type="dxa"/>
            <w:shd w:val="clear" w:color="auto" w:fill="auto"/>
            <w:vAlign w:val="bottom"/>
          </w:tcPr>
          <w:p w14:paraId="59795353" w14:textId="77777777" w:rsidR="00263BCB" w:rsidRPr="007A6092" w:rsidRDefault="00263BCB" w:rsidP="007A6092">
            <w:pPr>
              <w:pStyle w:val="SingleTxtG"/>
              <w:spacing w:before="40" w:after="40" w:line="220" w:lineRule="exact"/>
              <w:ind w:left="0" w:right="113"/>
              <w:jc w:val="right"/>
              <w:rPr>
                <w:sz w:val="18"/>
              </w:rPr>
            </w:pPr>
            <w:r w:rsidRPr="007A6092">
              <w:rPr>
                <w:sz w:val="18"/>
              </w:rPr>
              <w:t>8.7</w:t>
            </w:r>
          </w:p>
        </w:tc>
      </w:tr>
      <w:tr w:rsidR="00263BCB" w:rsidRPr="007A6092" w14:paraId="613203F1" w14:textId="77777777" w:rsidTr="007A6092">
        <w:tc>
          <w:tcPr>
            <w:tcW w:w="1234" w:type="dxa"/>
            <w:shd w:val="clear" w:color="auto" w:fill="auto"/>
          </w:tcPr>
          <w:p w14:paraId="73E13085" w14:textId="77777777" w:rsidR="00263BCB" w:rsidRPr="007A6092" w:rsidRDefault="00263BCB" w:rsidP="007A6092">
            <w:pPr>
              <w:pStyle w:val="SingleTxtG"/>
              <w:spacing w:before="40" w:after="40" w:line="220" w:lineRule="exact"/>
              <w:ind w:left="0" w:right="113"/>
              <w:jc w:val="left"/>
              <w:rPr>
                <w:sz w:val="18"/>
              </w:rPr>
            </w:pPr>
            <w:r w:rsidRPr="007A6092">
              <w:rPr>
                <w:sz w:val="18"/>
              </w:rPr>
              <w:t>Roma</w:t>
            </w:r>
          </w:p>
        </w:tc>
        <w:tc>
          <w:tcPr>
            <w:tcW w:w="1022" w:type="dxa"/>
            <w:shd w:val="clear" w:color="auto" w:fill="auto"/>
            <w:vAlign w:val="bottom"/>
          </w:tcPr>
          <w:p w14:paraId="210F571A" w14:textId="77777777" w:rsidR="00263BCB" w:rsidRPr="007A6092" w:rsidRDefault="00263BCB" w:rsidP="007A6092">
            <w:pPr>
              <w:pStyle w:val="SingleTxtG"/>
              <w:spacing w:before="40" w:after="40" w:line="220" w:lineRule="exact"/>
              <w:ind w:left="0" w:right="113"/>
              <w:jc w:val="right"/>
              <w:rPr>
                <w:sz w:val="18"/>
              </w:rPr>
            </w:pPr>
            <w:r w:rsidRPr="007A6092">
              <w:rPr>
                <w:sz w:val="18"/>
              </w:rPr>
              <w:t>10.2</w:t>
            </w:r>
          </w:p>
        </w:tc>
        <w:tc>
          <w:tcPr>
            <w:tcW w:w="1022" w:type="dxa"/>
            <w:shd w:val="clear" w:color="auto" w:fill="auto"/>
            <w:vAlign w:val="bottom"/>
          </w:tcPr>
          <w:p w14:paraId="648D52CA" w14:textId="77777777" w:rsidR="00263BCB" w:rsidRPr="007A6092" w:rsidRDefault="00263BCB" w:rsidP="007A6092">
            <w:pPr>
              <w:pStyle w:val="SingleTxtG"/>
              <w:spacing w:before="40" w:after="40" w:line="220" w:lineRule="exact"/>
              <w:ind w:left="0" w:right="113"/>
              <w:jc w:val="right"/>
              <w:rPr>
                <w:sz w:val="18"/>
              </w:rPr>
            </w:pPr>
            <w:r w:rsidRPr="007A6092">
              <w:rPr>
                <w:sz w:val="18"/>
              </w:rPr>
              <w:t>11.6</w:t>
            </w:r>
          </w:p>
        </w:tc>
        <w:tc>
          <w:tcPr>
            <w:tcW w:w="1023" w:type="dxa"/>
            <w:shd w:val="clear" w:color="auto" w:fill="auto"/>
            <w:vAlign w:val="bottom"/>
          </w:tcPr>
          <w:p w14:paraId="1CAE0120" w14:textId="77777777" w:rsidR="00263BCB" w:rsidRPr="007A6092" w:rsidRDefault="00263BCB" w:rsidP="007A6092">
            <w:pPr>
              <w:pStyle w:val="SingleTxtG"/>
              <w:spacing w:before="40" w:after="40" w:line="220" w:lineRule="exact"/>
              <w:ind w:left="0" w:right="113"/>
              <w:jc w:val="right"/>
              <w:rPr>
                <w:sz w:val="18"/>
              </w:rPr>
            </w:pPr>
            <w:r w:rsidRPr="007A6092">
              <w:rPr>
                <w:sz w:val="18"/>
              </w:rPr>
              <w:t>17.4</w:t>
            </w:r>
          </w:p>
        </w:tc>
        <w:tc>
          <w:tcPr>
            <w:tcW w:w="1023" w:type="dxa"/>
            <w:shd w:val="clear" w:color="auto" w:fill="auto"/>
            <w:vAlign w:val="bottom"/>
          </w:tcPr>
          <w:p w14:paraId="5A6DF81F" w14:textId="77777777" w:rsidR="00263BCB" w:rsidRPr="007A6092" w:rsidRDefault="00263BCB" w:rsidP="007A6092">
            <w:pPr>
              <w:pStyle w:val="SingleTxtG"/>
              <w:spacing w:before="40" w:after="40" w:line="220" w:lineRule="exact"/>
              <w:ind w:left="0" w:right="113"/>
              <w:jc w:val="right"/>
              <w:rPr>
                <w:sz w:val="18"/>
              </w:rPr>
            </w:pPr>
            <w:r w:rsidRPr="007A6092">
              <w:rPr>
                <w:sz w:val="18"/>
              </w:rPr>
              <w:t>14.2</w:t>
            </w:r>
          </w:p>
        </w:tc>
        <w:tc>
          <w:tcPr>
            <w:tcW w:w="1023" w:type="dxa"/>
            <w:shd w:val="clear" w:color="auto" w:fill="auto"/>
            <w:vAlign w:val="bottom"/>
          </w:tcPr>
          <w:p w14:paraId="47D4B2C0" w14:textId="77777777" w:rsidR="00263BCB" w:rsidRPr="007A6092" w:rsidRDefault="00263BCB" w:rsidP="007A6092">
            <w:pPr>
              <w:pStyle w:val="SingleTxtG"/>
              <w:spacing w:before="40" w:after="40" w:line="220" w:lineRule="exact"/>
              <w:ind w:left="0" w:right="113"/>
              <w:jc w:val="right"/>
              <w:rPr>
                <w:sz w:val="18"/>
              </w:rPr>
            </w:pPr>
            <w:r w:rsidRPr="007A6092">
              <w:rPr>
                <w:sz w:val="18"/>
              </w:rPr>
              <w:t>11.8</w:t>
            </w:r>
          </w:p>
        </w:tc>
        <w:tc>
          <w:tcPr>
            <w:tcW w:w="1023" w:type="dxa"/>
            <w:shd w:val="clear" w:color="auto" w:fill="auto"/>
            <w:vAlign w:val="bottom"/>
          </w:tcPr>
          <w:p w14:paraId="45DA4265" w14:textId="77777777" w:rsidR="00263BCB" w:rsidRPr="007A6092" w:rsidRDefault="00263BCB" w:rsidP="007A6092">
            <w:pPr>
              <w:pStyle w:val="SingleTxtG"/>
              <w:spacing w:before="40" w:after="40" w:line="220" w:lineRule="exact"/>
              <w:ind w:left="0" w:right="113"/>
              <w:jc w:val="right"/>
              <w:rPr>
                <w:sz w:val="18"/>
              </w:rPr>
            </w:pPr>
            <w:r w:rsidRPr="007A6092">
              <w:rPr>
                <w:sz w:val="18"/>
              </w:rPr>
              <w:t>11.2</w:t>
            </w:r>
          </w:p>
        </w:tc>
      </w:tr>
      <w:tr w:rsidR="00263BCB" w:rsidRPr="007A6092" w14:paraId="6CB63DC4" w14:textId="77777777" w:rsidTr="007A6092">
        <w:tc>
          <w:tcPr>
            <w:tcW w:w="1234" w:type="dxa"/>
            <w:shd w:val="clear" w:color="auto" w:fill="auto"/>
          </w:tcPr>
          <w:p w14:paraId="56CE19ED" w14:textId="77777777" w:rsidR="00263BCB" w:rsidRPr="007A6092" w:rsidRDefault="00263BCB" w:rsidP="007A6092">
            <w:pPr>
              <w:pStyle w:val="SingleTxtG"/>
              <w:spacing w:before="40" w:after="40" w:line="220" w:lineRule="exact"/>
              <w:ind w:left="0" w:right="113"/>
              <w:jc w:val="left"/>
              <w:rPr>
                <w:sz w:val="18"/>
              </w:rPr>
            </w:pPr>
            <w:r w:rsidRPr="007A6092">
              <w:rPr>
                <w:sz w:val="18"/>
              </w:rPr>
              <w:t>Others</w:t>
            </w:r>
          </w:p>
        </w:tc>
        <w:tc>
          <w:tcPr>
            <w:tcW w:w="1022" w:type="dxa"/>
            <w:shd w:val="clear" w:color="auto" w:fill="auto"/>
            <w:vAlign w:val="bottom"/>
          </w:tcPr>
          <w:p w14:paraId="3BC59016" w14:textId="77777777" w:rsidR="00263BCB" w:rsidRPr="007A6092" w:rsidRDefault="00263BCB" w:rsidP="007A6092">
            <w:pPr>
              <w:pStyle w:val="SingleTxtG"/>
              <w:spacing w:before="40" w:after="40" w:line="220" w:lineRule="exact"/>
              <w:ind w:left="0" w:right="113"/>
              <w:jc w:val="right"/>
              <w:rPr>
                <w:sz w:val="18"/>
              </w:rPr>
            </w:pPr>
            <w:r w:rsidRPr="007A6092">
              <w:rPr>
                <w:sz w:val="18"/>
              </w:rPr>
              <w:t>5.7</w:t>
            </w:r>
          </w:p>
        </w:tc>
        <w:tc>
          <w:tcPr>
            <w:tcW w:w="1022" w:type="dxa"/>
            <w:shd w:val="clear" w:color="auto" w:fill="auto"/>
            <w:vAlign w:val="bottom"/>
          </w:tcPr>
          <w:p w14:paraId="2535608E" w14:textId="77777777" w:rsidR="00263BCB" w:rsidRPr="007A6092" w:rsidRDefault="00263BCB" w:rsidP="007A6092">
            <w:pPr>
              <w:pStyle w:val="SingleTxtG"/>
              <w:spacing w:before="40" w:after="40" w:line="220" w:lineRule="exact"/>
              <w:ind w:left="0" w:right="113"/>
              <w:jc w:val="right"/>
              <w:rPr>
                <w:sz w:val="18"/>
              </w:rPr>
            </w:pPr>
            <w:r w:rsidRPr="007A6092">
              <w:rPr>
                <w:sz w:val="18"/>
              </w:rPr>
              <w:t>10.1</w:t>
            </w:r>
          </w:p>
        </w:tc>
        <w:tc>
          <w:tcPr>
            <w:tcW w:w="1023" w:type="dxa"/>
            <w:shd w:val="clear" w:color="auto" w:fill="auto"/>
            <w:vAlign w:val="bottom"/>
          </w:tcPr>
          <w:p w14:paraId="0BC5E2C8" w14:textId="77777777" w:rsidR="00263BCB" w:rsidRPr="007A6092" w:rsidRDefault="00263BCB" w:rsidP="007A6092">
            <w:pPr>
              <w:pStyle w:val="SingleTxtG"/>
              <w:spacing w:before="40" w:after="40" w:line="220" w:lineRule="exact"/>
              <w:ind w:left="0" w:right="113"/>
              <w:jc w:val="right"/>
              <w:rPr>
                <w:sz w:val="18"/>
              </w:rPr>
            </w:pPr>
            <w:r w:rsidRPr="007A6092">
              <w:rPr>
                <w:sz w:val="18"/>
              </w:rPr>
              <w:t>9</w:t>
            </w:r>
          </w:p>
        </w:tc>
        <w:tc>
          <w:tcPr>
            <w:tcW w:w="1023" w:type="dxa"/>
            <w:shd w:val="clear" w:color="auto" w:fill="auto"/>
            <w:vAlign w:val="bottom"/>
          </w:tcPr>
          <w:p w14:paraId="4199D92A" w14:textId="77777777" w:rsidR="00263BCB" w:rsidRPr="007A6092" w:rsidRDefault="00263BCB" w:rsidP="007A6092">
            <w:pPr>
              <w:pStyle w:val="SingleTxtG"/>
              <w:spacing w:before="40" w:after="40" w:line="220" w:lineRule="exact"/>
              <w:ind w:left="0" w:right="113"/>
              <w:jc w:val="right"/>
              <w:rPr>
                <w:sz w:val="18"/>
              </w:rPr>
            </w:pPr>
            <w:r w:rsidRPr="007A6092">
              <w:rPr>
                <w:sz w:val="18"/>
              </w:rPr>
              <w:t>6.6</w:t>
            </w:r>
          </w:p>
        </w:tc>
        <w:tc>
          <w:tcPr>
            <w:tcW w:w="1023" w:type="dxa"/>
            <w:shd w:val="clear" w:color="auto" w:fill="auto"/>
            <w:vAlign w:val="bottom"/>
          </w:tcPr>
          <w:p w14:paraId="462CF72D" w14:textId="77777777" w:rsidR="00263BCB" w:rsidRPr="007A6092" w:rsidRDefault="00263BCB" w:rsidP="007A6092">
            <w:pPr>
              <w:pStyle w:val="SingleTxtG"/>
              <w:spacing w:before="40" w:after="40" w:line="220" w:lineRule="exact"/>
              <w:ind w:left="0" w:right="113"/>
              <w:jc w:val="right"/>
              <w:rPr>
                <w:sz w:val="18"/>
              </w:rPr>
            </w:pPr>
            <w:r w:rsidRPr="007A6092">
              <w:rPr>
                <w:sz w:val="18"/>
              </w:rPr>
              <w:t>10</w:t>
            </w:r>
          </w:p>
        </w:tc>
        <w:tc>
          <w:tcPr>
            <w:tcW w:w="1023" w:type="dxa"/>
            <w:shd w:val="clear" w:color="auto" w:fill="auto"/>
            <w:vAlign w:val="bottom"/>
          </w:tcPr>
          <w:p w14:paraId="461347CC" w14:textId="77777777" w:rsidR="00263BCB" w:rsidRPr="007A6092" w:rsidRDefault="00263BCB" w:rsidP="007A6092">
            <w:pPr>
              <w:pStyle w:val="SingleTxtG"/>
              <w:spacing w:before="40" w:after="40" w:line="220" w:lineRule="exact"/>
              <w:ind w:left="0" w:right="113"/>
              <w:jc w:val="right"/>
              <w:rPr>
                <w:sz w:val="18"/>
              </w:rPr>
            </w:pPr>
            <w:r w:rsidRPr="007A6092">
              <w:rPr>
                <w:sz w:val="18"/>
              </w:rPr>
              <w:t>7.5</w:t>
            </w:r>
          </w:p>
        </w:tc>
      </w:tr>
    </w:tbl>
    <w:p w14:paraId="266C6E2F" w14:textId="3AF694A8" w:rsidR="00263BCB" w:rsidRPr="005D213B" w:rsidRDefault="00263BCB" w:rsidP="00263BCB">
      <w:pPr>
        <w:pStyle w:val="H23G"/>
        <w:rPr>
          <w:lang w:val="mk-MK"/>
        </w:rPr>
      </w:pPr>
      <w:r>
        <w:tab/>
      </w:r>
      <w:r>
        <w:tab/>
      </w:r>
      <w:bookmarkStart w:id="55" w:name="_Toc56781455"/>
      <w:r w:rsidRPr="00763DB9">
        <w:rPr>
          <w:b w:val="0"/>
        </w:rPr>
        <w:t>Table 8</w:t>
      </w:r>
      <w:r>
        <w:t xml:space="preserve"> </w:t>
      </w:r>
      <w:r>
        <w:br/>
      </w:r>
      <w:r w:rsidRPr="005D213B">
        <w:t>Infant mortality rate per age of mothers (2011</w:t>
      </w:r>
      <w:r w:rsidR="007A6092">
        <w:t>–</w:t>
      </w:r>
      <w:r w:rsidRPr="005D213B">
        <w:t>2016)</w:t>
      </w:r>
      <w:bookmarkEnd w:id="55"/>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059"/>
        <w:gridCol w:w="1051"/>
        <w:gridCol w:w="1052"/>
        <w:gridCol w:w="1052"/>
        <w:gridCol w:w="1052"/>
        <w:gridCol w:w="1052"/>
        <w:gridCol w:w="1052"/>
      </w:tblGrid>
      <w:tr w:rsidR="00263BCB" w:rsidRPr="007A6092" w14:paraId="2B99CD84" w14:textId="77777777" w:rsidTr="00422787">
        <w:trPr>
          <w:tblHeader/>
        </w:trPr>
        <w:tc>
          <w:tcPr>
            <w:tcW w:w="1059" w:type="dxa"/>
            <w:tcBorders>
              <w:top w:val="single" w:sz="4" w:space="0" w:color="auto"/>
              <w:bottom w:val="single" w:sz="12" w:space="0" w:color="auto"/>
            </w:tcBorders>
            <w:shd w:val="clear" w:color="auto" w:fill="auto"/>
            <w:vAlign w:val="bottom"/>
          </w:tcPr>
          <w:p w14:paraId="28CBBCCB" w14:textId="77777777" w:rsidR="00263BCB" w:rsidRPr="007A6092" w:rsidRDefault="00263BCB" w:rsidP="007A6092">
            <w:pPr>
              <w:pStyle w:val="SingleTxtG"/>
              <w:spacing w:before="80" w:after="80" w:line="200" w:lineRule="exact"/>
              <w:ind w:left="0" w:right="113"/>
              <w:jc w:val="left"/>
              <w:rPr>
                <w:i/>
                <w:sz w:val="16"/>
              </w:rPr>
            </w:pPr>
            <w:r w:rsidRPr="007A6092">
              <w:rPr>
                <w:i/>
                <w:sz w:val="16"/>
              </w:rPr>
              <w:t>Age</w:t>
            </w:r>
          </w:p>
        </w:tc>
        <w:tc>
          <w:tcPr>
            <w:tcW w:w="1051" w:type="dxa"/>
            <w:tcBorders>
              <w:top w:val="single" w:sz="4" w:space="0" w:color="auto"/>
              <w:bottom w:val="single" w:sz="12" w:space="0" w:color="auto"/>
            </w:tcBorders>
            <w:shd w:val="clear" w:color="auto" w:fill="auto"/>
            <w:vAlign w:val="bottom"/>
          </w:tcPr>
          <w:p w14:paraId="2B1688AC"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2011</w:t>
            </w:r>
          </w:p>
        </w:tc>
        <w:tc>
          <w:tcPr>
            <w:tcW w:w="1052" w:type="dxa"/>
            <w:tcBorders>
              <w:top w:val="single" w:sz="4" w:space="0" w:color="auto"/>
              <w:bottom w:val="single" w:sz="12" w:space="0" w:color="auto"/>
            </w:tcBorders>
            <w:shd w:val="clear" w:color="auto" w:fill="auto"/>
            <w:vAlign w:val="bottom"/>
          </w:tcPr>
          <w:p w14:paraId="1A85E88E"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2012</w:t>
            </w:r>
          </w:p>
        </w:tc>
        <w:tc>
          <w:tcPr>
            <w:tcW w:w="1052" w:type="dxa"/>
            <w:tcBorders>
              <w:top w:val="single" w:sz="4" w:space="0" w:color="auto"/>
              <w:bottom w:val="single" w:sz="12" w:space="0" w:color="auto"/>
            </w:tcBorders>
            <w:shd w:val="clear" w:color="auto" w:fill="auto"/>
            <w:vAlign w:val="bottom"/>
          </w:tcPr>
          <w:p w14:paraId="1E3760A9"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2013</w:t>
            </w:r>
          </w:p>
        </w:tc>
        <w:tc>
          <w:tcPr>
            <w:tcW w:w="1052" w:type="dxa"/>
            <w:tcBorders>
              <w:top w:val="single" w:sz="4" w:space="0" w:color="auto"/>
              <w:bottom w:val="single" w:sz="12" w:space="0" w:color="auto"/>
            </w:tcBorders>
            <w:shd w:val="clear" w:color="auto" w:fill="auto"/>
            <w:vAlign w:val="bottom"/>
          </w:tcPr>
          <w:p w14:paraId="4D83FB66"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2014</w:t>
            </w:r>
          </w:p>
        </w:tc>
        <w:tc>
          <w:tcPr>
            <w:tcW w:w="1052" w:type="dxa"/>
            <w:tcBorders>
              <w:top w:val="single" w:sz="4" w:space="0" w:color="auto"/>
              <w:bottom w:val="single" w:sz="12" w:space="0" w:color="auto"/>
            </w:tcBorders>
            <w:shd w:val="clear" w:color="auto" w:fill="auto"/>
            <w:vAlign w:val="bottom"/>
          </w:tcPr>
          <w:p w14:paraId="5B50673F"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2015</w:t>
            </w:r>
          </w:p>
        </w:tc>
        <w:tc>
          <w:tcPr>
            <w:tcW w:w="1052" w:type="dxa"/>
            <w:tcBorders>
              <w:top w:val="single" w:sz="4" w:space="0" w:color="auto"/>
              <w:bottom w:val="single" w:sz="12" w:space="0" w:color="auto"/>
            </w:tcBorders>
            <w:shd w:val="clear" w:color="auto" w:fill="auto"/>
            <w:vAlign w:val="bottom"/>
          </w:tcPr>
          <w:p w14:paraId="3695CB02"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2016</w:t>
            </w:r>
          </w:p>
        </w:tc>
      </w:tr>
      <w:tr w:rsidR="00263BCB" w:rsidRPr="007A6092" w14:paraId="05735797" w14:textId="77777777" w:rsidTr="00422787">
        <w:tc>
          <w:tcPr>
            <w:tcW w:w="1059" w:type="dxa"/>
            <w:tcBorders>
              <w:top w:val="single" w:sz="12" w:space="0" w:color="auto"/>
              <w:bottom w:val="single" w:sz="4" w:space="0" w:color="auto"/>
            </w:tcBorders>
            <w:shd w:val="clear" w:color="auto" w:fill="auto"/>
          </w:tcPr>
          <w:p w14:paraId="466E06DC" w14:textId="77777777" w:rsidR="00263BCB" w:rsidRPr="00422787" w:rsidRDefault="00263BCB" w:rsidP="00AD1AF0">
            <w:pPr>
              <w:pStyle w:val="SingleTxtG"/>
              <w:spacing w:before="80" w:after="80" w:line="220" w:lineRule="exact"/>
              <w:ind w:left="284" w:right="113"/>
              <w:jc w:val="left"/>
              <w:rPr>
                <w:b/>
                <w:sz w:val="18"/>
              </w:rPr>
            </w:pPr>
            <w:r w:rsidRPr="00422787">
              <w:rPr>
                <w:b/>
                <w:sz w:val="18"/>
              </w:rPr>
              <w:t>Total</w:t>
            </w:r>
          </w:p>
        </w:tc>
        <w:tc>
          <w:tcPr>
            <w:tcW w:w="1051" w:type="dxa"/>
            <w:tcBorders>
              <w:top w:val="single" w:sz="12" w:space="0" w:color="auto"/>
              <w:bottom w:val="single" w:sz="4" w:space="0" w:color="auto"/>
            </w:tcBorders>
            <w:shd w:val="clear" w:color="auto" w:fill="auto"/>
            <w:vAlign w:val="bottom"/>
          </w:tcPr>
          <w:p w14:paraId="060A11D3" w14:textId="77777777" w:rsidR="00263BCB" w:rsidRPr="00422787" w:rsidRDefault="00263BCB" w:rsidP="00422787">
            <w:pPr>
              <w:pStyle w:val="SingleTxtG"/>
              <w:spacing w:before="80" w:after="80" w:line="220" w:lineRule="exact"/>
              <w:ind w:left="0" w:right="113"/>
              <w:jc w:val="right"/>
              <w:rPr>
                <w:b/>
                <w:sz w:val="18"/>
              </w:rPr>
            </w:pPr>
            <w:r w:rsidRPr="00422787">
              <w:rPr>
                <w:b/>
                <w:sz w:val="18"/>
              </w:rPr>
              <w:t>7.5</w:t>
            </w:r>
          </w:p>
        </w:tc>
        <w:tc>
          <w:tcPr>
            <w:tcW w:w="1052" w:type="dxa"/>
            <w:tcBorders>
              <w:top w:val="single" w:sz="12" w:space="0" w:color="auto"/>
              <w:bottom w:val="single" w:sz="4" w:space="0" w:color="auto"/>
            </w:tcBorders>
            <w:shd w:val="clear" w:color="auto" w:fill="auto"/>
            <w:vAlign w:val="bottom"/>
          </w:tcPr>
          <w:p w14:paraId="4B5A6E58" w14:textId="77777777" w:rsidR="00263BCB" w:rsidRPr="00422787" w:rsidRDefault="00263BCB" w:rsidP="00422787">
            <w:pPr>
              <w:pStyle w:val="SingleTxtG"/>
              <w:spacing w:before="80" w:after="80" w:line="220" w:lineRule="exact"/>
              <w:ind w:left="0" w:right="113"/>
              <w:jc w:val="right"/>
              <w:rPr>
                <w:b/>
                <w:sz w:val="18"/>
              </w:rPr>
            </w:pPr>
            <w:r w:rsidRPr="00422787">
              <w:rPr>
                <w:b/>
                <w:sz w:val="18"/>
              </w:rPr>
              <w:t>9.8</w:t>
            </w:r>
          </w:p>
        </w:tc>
        <w:tc>
          <w:tcPr>
            <w:tcW w:w="1052" w:type="dxa"/>
            <w:tcBorders>
              <w:top w:val="single" w:sz="12" w:space="0" w:color="auto"/>
              <w:bottom w:val="single" w:sz="4" w:space="0" w:color="auto"/>
            </w:tcBorders>
            <w:shd w:val="clear" w:color="auto" w:fill="auto"/>
            <w:vAlign w:val="bottom"/>
          </w:tcPr>
          <w:p w14:paraId="674803A1" w14:textId="77777777" w:rsidR="00263BCB" w:rsidRPr="00422787" w:rsidRDefault="00263BCB" w:rsidP="00422787">
            <w:pPr>
              <w:pStyle w:val="SingleTxtG"/>
              <w:spacing w:before="80" w:after="80" w:line="220" w:lineRule="exact"/>
              <w:ind w:left="0" w:right="113"/>
              <w:jc w:val="right"/>
              <w:rPr>
                <w:b/>
                <w:sz w:val="18"/>
              </w:rPr>
            </w:pPr>
            <w:r w:rsidRPr="00422787">
              <w:rPr>
                <w:b/>
                <w:sz w:val="18"/>
              </w:rPr>
              <w:t>10.2</w:t>
            </w:r>
          </w:p>
        </w:tc>
        <w:tc>
          <w:tcPr>
            <w:tcW w:w="1052" w:type="dxa"/>
            <w:tcBorders>
              <w:top w:val="single" w:sz="12" w:space="0" w:color="auto"/>
              <w:bottom w:val="single" w:sz="4" w:space="0" w:color="auto"/>
            </w:tcBorders>
            <w:shd w:val="clear" w:color="auto" w:fill="auto"/>
            <w:vAlign w:val="bottom"/>
          </w:tcPr>
          <w:p w14:paraId="50C01346" w14:textId="77777777" w:rsidR="00263BCB" w:rsidRPr="00422787" w:rsidRDefault="00263BCB" w:rsidP="00422787">
            <w:pPr>
              <w:pStyle w:val="SingleTxtG"/>
              <w:spacing w:before="80" w:after="80" w:line="220" w:lineRule="exact"/>
              <w:ind w:left="0" w:right="113"/>
              <w:jc w:val="right"/>
              <w:rPr>
                <w:b/>
                <w:sz w:val="18"/>
              </w:rPr>
            </w:pPr>
            <w:r w:rsidRPr="00422787">
              <w:rPr>
                <w:b/>
                <w:sz w:val="18"/>
              </w:rPr>
              <w:t>9.9</w:t>
            </w:r>
          </w:p>
        </w:tc>
        <w:tc>
          <w:tcPr>
            <w:tcW w:w="1052" w:type="dxa"/>
            <w:tcBorders>
              <w:top w:val="single" w:sz="12" w:space="0" w:color="auto"/>
              <w:bottom w:val="single" w:sz="4" w:space="0" w:color="auto"/>
            </w:tcBorders>
            <w:shd w:val="clear" w:color="auto" w:fill="auto"/>
            <w:vAlign w:val="bottom"/>
          </w:tcPr>
          <w:p w14:paraId="73B051D2" w14:textId="77777777" w:rsidR="00263BCB" w:rsidRPr="00422787" w:rsidRDefault="00263BCB" w:rsidP="00422787">
            <w:pPr>
              <w:pStyle w:val="SingleTxtG"/>
              <w:spacing w:before="80" w:after="80" w:line="220" w:lineRule="exact"/>
              <w:ind w:left="0" w:right="113"/>
              <w:jc w:val="right"/>
              <w:rPr>
                <w:b/>
                <w:sz w:val="18"/>
              </w:rPr>
            </w:pPr>
            <w:r w:rsidRPr="00422787">
              <w:rPr>
                <w:b/>
                <w:sz w:val="18"/>
              </w:rPr>
              <w:t>8.6</w:t>
            </w:r>
          </w:p>
        </w:tc>
        <w:tc>
          <w:tcPr>
            <w:tcW w:w="1052" w:type="dxa"/>
            <w:tcBorders>
              <w:top w:val="single" w:sz="12" w:space="0" w:color="auto"/>
              <w:bottom w:val="single" w:sz="4" w:space="0" w:color="auto"/>
            </w:tcBorders>
            <w:shd w:val="clear" w:color="auto" w:fill="auto"/>
            <w:vAlign w:val="bottom"/>
          </w:tcPr>
          <w:p w14:paraId="4E3FECFC" w14:textId="77777777" w:rsidR="00263BCB" w:rsidRPr="00422787" w:rsidRDefault="00263BCB" w:rsidP="00422787">
            <w:pPr>
              <w:pStyle w:val="SingleTxtG"/>
              <w:spacing w:before="80" w:after="80" w:line="220" w:lineRule="exact"/>
              <w:ind w:left="0" w:right="113"/>
              <w:jc w:val="right"/>
              <w:rPr>
                <w:b/>
                <w:sz w:val="18"/>
              </w:rPr>
            </w:pPr>
            <w:r w:rsidRPr="00422787">
              <w:rPr>
                <w:b/>
                <w:sz w:val="18"/>
              </w:rPr>
              <w:t>11.9</w:t>
            </w:r>
          </w:p>
        </w:tc>
      </w:tr>
      <w:tr w:rsidR="00263BCB" w:rsidRPr="007A6092" w14:paraId="7A2970D5" w14:textId="77777777" w:rsidTr="00422787">
        <w:tc>
          <w:tcPr>
            <w:tcW w:w="1059" w:type="dxa"/>
            <w:tcBorders>
              <w:top w:val="single" w:sz="4" w:space="0" w:color="auto"/>
            </w:tcBorders>
            <w:shd w:val="clear" w:color="auto" w:fill="auto"/>
          </w:tcPr>
          <w:p w14:paraId="34F3FFBE" w14:textId="77777777" w:rsidR="00263BCB" w:rsidRPr="007A6092" w:rsidRDefault="00263BCB" w:rsidP="007A6092">
            <w:pPr>
              <w:pStyle w:val="SingleTxtG"/>
              <w:spacing w:before="40" w:after="40" w:line="220" w:lineRule="exact"/>
              <w:ind w:left="0" w:right="113"/>
              <w:jc w:val="left"/>
              <w:rPr>
                <w:sz w:val="18"/>
              </w:rPr>
            </w:pPr>
            <w:r w:rsidRPr="007A6092">
              <w:rPr>
                <w:sz w:val="18"/>
              </w:rPr>
              <w:t>&lt;20</w:t>
            </w:r>
          </w:p>
        </w:tc>
        <w:tc>
          <w:tcPr>
            <w:tcW w:w="1051" w:type="dxa"/>
            <w:tcBorders>
              <w:top w:val="single" w:sz="4" w:space="0" w:color="auto"/>
            </w:tcBorders>
            <w:shd w:val="clear" w:color="auto" w:fill="auto"/>
            <w:vAlign w:val="bottom"/>
          </w:tcPr>
          <w:p w14:paraId="0FA6E53B" w14:textId="77777777" w:rsidR="00263BCB" w:rsidRPr="007A6092" w:rsidRDefault="00263BCB" w:rsidP="007A6092">
            <w:pPr>
              <w:pStyle w:val="SingleTxtG"/>
              <w:spacing w:before="40" w:after="40" w:line="220" w:lineRule="exact"/>
              <w:ind w:left="0" w:right="113"/>
              <w:jc w:val="right"/>
              <w:rPr>
                <w:sz w:val="18"/>
              </w:rPr>
            </w:pPr>
            <w:r w:rsidRPr="007A6092">
              <w:rPr>
                <w:sz w:val="18"/>
              </w:rPr>
              <w:t>N/А</w:t>
            </w:r>
          </w:p>
        </w:tc>
        <w:tc>
          <w:tcPr>
            <w:tcW w:w="1052" w:type="dxa"/>
            <w:tcBorders>
              <w:top w:val="single" w:sz="4" w:space="0" w:color="auto"/>
            </w:tcBorders>
            <w:shd w:val="clear" w:color="auto" w:fill="auto"/>
            <w:vAlign w:val="bottom"/>
          </w:tcPr>
          <w:p w14:paraId="10B4CDAC" w14:textId="77777777" w:rsidR="00263BCB" w:rsidRPr="007A6092" w:rsidRDefault="00263BCB" w:rsidP="007A6092">
            <w:pPr>
              <w:pStyle w:val="SingleTxtG"/>
              <w:spacing w:before="40" w:after="40" w:line="220" w:lineRule="exact"/>
              <w:ind w:left="0" w:right="113"/>
              <w:jc w:val="right"/>
              <w:rPr>
                <w:sz w:val="18"/>
              </w:rPr>
            </w:pPr>
            <w:r w:rsidRPr="007A6092">
              <w:rPr>
                <w:sz w:val="18"/>
              </w:rPr>
              <w:t>11.0</w:t>
            </w:r>
          </w:p>
        </w:tc>
        <w:tc>
          <w:tcPr>
            <w:tcW w:w="1052" w:type="dxa"/>
            <w:tcBorders>
              <w:top w:val="single" w:sz="4" w:space="0" w:color="auto"/>
            </w:tcBorders>
            <w:shd w:val="clear" w:color="auto" w:fill="auto"/>
            <w:vAlign w:val="bottom"/>
          </w:tcPr>
          <w:p w14:paraId="0342ECAC" w14:textId="77777777" w:rsidR="00263BCB" w:rsidRPr="007A6092" w:rsidRDefault="00263BCB" w:rsidP="007A6092">
            <w:pPr>
              <w:pStyle w:val="SingleTxtG"/>
              <w:spacing w:before="40" w:after="40" w:line="220" w:lineRule="exact"/>
              <w:ind w:left="0" w:right="113"/>
              <w:jc w:val="right"/>
              <w:rPr>
                <w:sz w:val="18"/>
              </w:rPr>
            </w:pPr>
            <w:r w:rsidRPr="007A6092">
              <w:rPr>
                <w:sz w:val="18"/>
              </w:rPr>
              <w:t>12.7</w:t>
            </w:r>
          </w:p>
        </w:tc>
        <w:tc>
          <w:tcPr>
            <w:tcW w:w="1052" w:type="dxa"/>
            <w:tcBorders>
              <w:top w:val="single" w:sz="4" w:space="0" w:color="auto"/>
            </w:tcBorders>
            <w:shd w:val="clear" w:color="auto" w:fill="auto"/>
            <w:vAlign w:val="bottom"/>
          </w:tcPr>
          <w:p w14:paraId="397E23E7" w14:textId="77777777" w:rsidR="00263BCB" w:rsidRPr="007A6092" w:rsidRDefault="00263BCB" w:rsidP="007A6092">
            <w:pPr>
              <w:pStyle w:val="SingleTxtG"/>
              <w:spacing w:before="40" w:after="40" w:line="220" w:lineRule="exact"/>
              <w:ind w:left="0" w:right="113"/>
              <w:jc w:val="right"/>
              <w:rPr>
                <w:sz w:val="18"/>
              </w:rPr>
            </w:pPr>
            <w:r w:rsidRPr="007A6092">
              <w:rPr>
                <w:sz w:val="18"/>
              </w:rPr>
              <w:t>14.6</w:t>
            </w:r>
          </w:p>
        </w:tc>
        <w:tc>
          <w:tcPr>
            <w:tcW w:w="1052" w:type="dxa"/>
            <w:tcBorders>
              <w:top w:val="single" w:sz="4" w:space="0" w:color="auto"/>
            </w:tcBorders>
            <w:shd w:val="clear" w:color="auto" w:fill="auto"/>
            <w:vAlign w:val="bottom"/>
          </w:tcPr>
          <w:p w14:paraId="37342F36" w14:textId="77777777" w:rsidR="00263BCB" w:rsidRPr="007A6092" w:rsidRDefault="00263BCB" w:rsidP="007A6092">
            <w:pPr>
              <w:pStyle w:val="SingleTxtG"/>
              <w:spacing w:before="40" w:after="40" w:line="220" w:lineRule="exact"/>
              <w:ind w:left="0" w:right="113"/>
              <w:jc w:val="right"/>
              <w:rPr>
                <w:sz w:val="18"/>
              </w:rPr>
            </w:pPr>
            <w:r w:rsidRPr="007A6092">
              <w:rPr>
                <w:sz w:val="18"/>
              </w:rPr>
              <w:t>19.2</w:t>
            </w:r>
          </w:p>
        </w:tc>
        <w:tc>
          <w:tcPr>
            <w:tcW w:w="1052" w:type="dxa"/>
            <w:tcBorders>
              <w:top w:val="single" w:sz="4" w:space="0" w:color="auto"/>
            </w:tcBorders>
            <w:shd w:val="clear" w:color="auto" w:fill="auto"/>
            <w:vAlign w:val="bottom"/>
          </w:tcPr>
          <w:p w14:paraId="6803F060" w14:textId="77777777" w:rsidR="00263BCB" w:rsidRPr="007A6092" w:rsidRDefault="00263BCB" w:rsidP="007A6092">
            <w:pPr>
              <w:pStyle w:val="SingleTxtG"/>
              <w:spacing w:before="40" w:after="40" w:line="220" w:lineRule="exact"/>
              <w:ind w:left="0" w:right="113"/>
              <w:jc w:val="right"/>
              <w:rPr>
                <w:sz w:val="18"/>
              </w:rPr>
            </w:pPr>
            <w:r w:rsidRPr="007A6092">
              <w:rPr>
                <w:sz w:val="18"/>
              </w:rPr>
              <w:t>13.9</w:t>
            </w:r>
          </w:p>
        </w:tc>
      </w:tr>
      <w:tr w:rsidR="00263BCB" w:rsidRPr="007A6092" w14:paraId="530E64A4" w14:textId="77777777" w:rsidTr="007A6092">
        <w:tc>
          <w:tcPr>
            <w:tcW w:w="1059" w:type="dxa"/>
            <w:shd w:val="clear" w:color="auto" w:fill="auto"/>
          </w:tcPr>
          <w:p w14:paraId="22DA930B" w14:textId="2D112320" w:rsidR="00263BCB" w:rsidRPr="007A6092" w:rsidRDefault="00263BCB" w:rsidP="007A6092">
            <w:pPr>
              <w:pStyle w:val="SingleTxtG"/>
              <w:spacing w:before="40" w:after="40" w:line="220" w:lineRule="exact"/>
              <w:ind w:left="0" w:right="113"/>
              <w:jc w:val="left"/>
              <w:rPr>
                <w:sz w:val="18"/>
              </w:rPr>
            </w:pPr>
            <w:r w:rsidRPr="007A6092">
              <w:rPr>
                <w:sz w:val="18"/>
              </w:rPr>
              <w:t>20</w:t>
            </w:r>
            <w:r w:rsidR="007A6092">
              <w:t>–</w:t>
            </w:r>
            <w:r w:rsidRPr="007A6092">
              <w:rPr>
                <w:sz w:val="18"/>
              </w:rPr>
              <w:t>29</w:t>
            </w:r>
          </w:p>
        </w:tc>
        <w:tc>
          <w:tcPr>
            <w:tcW w:w="1051" w:type="dxa"/>
            <w:shd w:val="clear" w:color="auto" w:fill="auto"/>
            <w:vAlign w:val="bottom"/>
          </w:tcPr>
          <w:p w14:paraId="3647C39F" w14:textId="77777777" w:rsidR="00263BCB" w:rsidRPr="007A6092" w:rsidRDefault="00263BCB" w:rsidP="007A6092">
            <w:pPr>
              <w:pStyle w:val="SingleTxtG"/>
              <w:spacing w:before="40" w:after="40" w:line="220" w:lineRule="exact"/>
              <w:ind w:left="0" w:right="113"/>
              <w:jc w:val="right"/>
              <w:rPr>
                <w:sz w:val="18"/>
              </w:rPr>
            </w:pPr>
            <w:r w:rsidRPr="007A6092">
              <w:rPr>
                <w:sz w:val="18"/>
              </w:rPr>
              <w:t>N/А</w:t>
            </w:r>
          </w:p>
        </w:tc>
        <w:tc>
          <w:tcPr>
            <w:tcW w:w="1052" w:type="dxa"/>
            <w:shd w:val="clear" w:color="auto" w:fill="auto"/>
            <w:vAlign w:val="bottom"/>
          </w:tcPr>
          <w:p w14:paraId="7A286E32" w14:textId="77777777" w:rsidR="00263BCB" w:rsidRPr="007A6092" w:rsidRDefault="00263BCB" w:rsidP="007A6092">
            <w:pPr>
              <w:pStyle w:val="SingleTxtG"/>
              <w:spacing w:before="40" w:after="40" w:line="220" w:lineRule="exact"/>
              <w:ind w:left="0" w:right="113"/>
              <w:jc w:val="right"/>
              <w:rPr>
                <w:sz w:val="18"/>
              </w:rPr>
            </w:pPr>
            <w:r w:rsidRPr="007A6092">
              <w:rPr>
                <w:sz w:val="18"/>
              </w:rPr>
              <w:t>7.5</w:t>
            </w:r>
          </w:p>
        </w:tc>
        <w:tc>
          <w:tcPr>
            <w:tcW w:w="1052" w:type="dxa"/>
            <w:shd w:val="clear" w:color="auto" w:fill="auto"/>
            <w:vAlign w:val="bottom"/>
          </w:tcPr>
          <w:p w14:paraId="7C186048" w14:textId="77777777" w:rsidR="00263BCB" w:rsidRPr="007A6092" w:rsidRDefault="00263BCB" w:rsidP="007A6092">
            <w:pPr>
              <w:pStyle w:val="SingleTxtG"/>
              <w:spacing w:before="40" w:after="40" w:line="220" w:lineRule="exact"/>
              <w:ind w:left="0" w:right="113"/>
              <w:jc w:val="right"/>
              <w:rPr>
                <w:sz w:val="18"/>
              </w:rPr>
            </w:pPr>
            <w:r w:rsidRPr="007A6092">
              <w:rPr>
                <w:sz w:val="18"/>
              </w:rPr>
              <w:t>9.1</w:t>
            </w:r>
          </w:p>
        </w:tc>
        <w:tc>
          <w:tcPr>
            <w:tcW w:w="1052" w:type="dxa"/>
            <w:shd w:val="clear" w:color="auto" w:fill="auto"/>
            <w:vAlign w:val="bottom"/>
          </w:tcPr>
          <w:p w14:paraId="4E32AE8E" w14:textId="77777777" w:rsidR="00263BCB" w:rsidRPr="007A6092" w:rsidRDefault="00263BCB" w:rsidP="007A6092">
            <w:pPr>
              <w:pStyle w:val="SingleTxtG"/>
              <w:spacing w:before="40" w:after="40" w:line="220" w:lineRule="exact"/>
              <w:ind w:left="0" w:right="113"/>
              <w:jc w:val="right"/>
              <w:rPr>
                <w:sz w:val="18"/>
              </w:rPr>
            </w:pPr>
            <w:r w:rsidRPr="007A6092">
              <w:rPr>
                <w:sz w:val="18"/>
              </w:rPr>
              <w:t>8.5</w:t>
            </w:r>
          </w:p>
        </w:tc>
        <w:tc>
          <w:tcPr>
            <w:tcW w:w="1052" w:type="dxa"/>
            <w:shd w:val="clear" w:color="auto" w:fill="auto"/>
            <w:vAlign w:val="bottom"/>
          </w:tcPr>
          <w:p w14:paraId="095F55EE" w14:textId="77777777" w:rsidR="00263BCB" w:rsidRPr="007A6092" w:rsidRDefault="00263BCB" w:rsidP="007A6092">
            <w:pPr>
              <w:pStyle w:val="SingleTxtG"/>
              <w:spacing w:before="40" w:after="40" w:line="220" w:lineRule="exact"/>
              <w:ind w:left="0" w:right="113"/>
              <w:jc w:val="right"/>
              <w:rPr>
                <w:sz w:val="18"/>
              </w:rPr>
            </w:pPr>
            <w:r w:rsidRPr="007A6092">
              <w:rPr>
                <w:sz w:val="18"/>
              </w:rPr>
              <w:t>8.4</w:t>
            </w:r>
          </w:p>
        </w:tc>
        <w:tc>
          <w:tcPr>
            <w:tcW w:w="1052" w:type="dxa"/>
            <w:shd w:val="clear" w:color="auto" w:fill="auto"/>
            <w:vAlign w:val="bottom"/>
          </w:tcPr>
          <w:p w14:paraId="297044DC" w14:textId="77777777" w:rsidR="00263BCB" w:rsidRPr="007A6092" w:rsidRDefault="00263BCB" w:rsidP="007A6092">
            <w:pPr>
              <w:pStyle w:val="SingleTxtG"/>
              <w:spacing w:before="40" w:after="40" w:line="220" w:lineRule="exact"/>
              <w:ind w:left="0" w:right="113"/>
              <w:jc w:val="right"/>
              <w:rPr>
                <w:sz w:val="18"/>
              </w:rPr>
            </w:pPr>
            <w:r w:rsidRPr="007A6092">
              <w:rPr>
                <w:sz w:val="18"/>
              </w:rPr>
              <w:t>9.8</w:t>
            </w:r>
          </w:p>
        </w:tc>
      </w:tr>
      <w:tr w:rsidR="00263BCB" w:rsidRPr="007A6092" w14:paraId="08FDA85D" w14:textId="77777777" w:rsidTr="007A6092">
        <w:tc>
          <w:tcPr>
            <w:tcW w:w="1059" w:type="dxa"/>
            <w:shd w:val="clear" w:color="auto" w:fill="auto"/>
          </w:tcPr>
          <w:p w14:paraId="6A37D4AC" w14:textId="5BF24DDF" w:rsidR="00263BCB" w:rsidRPr="007A6092" w:rsidRDefault="00263BCB" w:rsidP="007A6092">
            <w:pPr>
              <w:pStyle w:val="SingleTxtG"/>
              <w:spacing w:before="40" w:after="40" w:line="220" w:lineRule="exact"/>
              <w:ind w:left="0" w:right="113"/>
              <w:jc w:val="left"/>
              <w:rPr>
                <w:sz w:val="18"/>
              </w:rPr>
            </w:pPr>
            <w:r w:rsidRPr="007A6092">
              <w:rPr>
                <w:sz w:val="18"/>
              </w:rPr>
              <w:t>30</w:t>
            </w:r>
            <w:r w:rsidR="007A6092">
              <w:t>–</w:t>
            </w:r>
            <w:r w:rsidRPr="007A6092">
              <w:rPr>
                <w:sz w:val="18"/>
              </w:rPr>
              <w:t>39</w:t>
            </w:r>
          </w:p>
        </w:tc>
        <w:tc>
          <w:tcPr>
            <w:tcW w:w="1051" w:type="dxa"/>
            <w:shd w:val="clear" w:color="auto" w:fill="auto"/>
            <w:vAlign w:val="bottom"/>
          </w:tcPr>
          <w:p w14:paraId="7AE6B64E" w14:textId="77777777" w:rsidR="00263BCB" w:rsidRPr="007A6092" w:rsidRDefault="00263BCB" w:rsidP="007A6092">
            <w:pPr>
              <w:pStyle w:val="SingleTxtG"/>
              <w:spacing w:before="40" w:after="40" w:line="220" w:lineRule="exact"/>
              <w:ind w:left="0" w:right="113"/>
              <w:jc w:val="right"/>
              <w:rPr>
                <w:sz w:val="18"/>
              </w:rPr>
            </w:pPr>
            <w:r w:rsidRPr="007A6092">
              <w:rPr>
                <w:sz w:val="18"/>
              </w:rPr>
              <w:t>N/А</w:t>
            </w:r>
          </w:p>
        </w:tc>
        <w:tc>
          <w:tcPr>
            <w:tcW w:w="1052" w:type="dxa"/>
            <w:shd w:val="clear" w:color="auto" w:fill="auto"/>
            <w:vAlign w:val="bottom"/>
          </w:tcPr>
          <w:p w14:paraId="7FECB6C8" w14:textId="77777777" w:rsidR="00263BCB" w:rsidRPr="007A6092" w:rsidRDefault="00263BCB" w:rsidP="007A6092">
            <w:pPr>
              <w:pStyle w:val="SingleTxtG"/>
              <w:spacing w:before="40" w:after="40" w:line="220" w:lineRule="exact"/>
              <w:ind w:left="0" w:right="113"/>
              <w:jc w:val="right"/>
              <w:rPr>
                <w:sz w:val="18"/>
              </w:rPr>
            </w:pPr>
            <w:r w:rsidRPr="007A6092">
              <w:rPr>
                <w:sz w:val="18"/>
              </w:rPr>
              <w:t>13</w:t>
            </w:r>
          </w:p>
        </w:tc>
        <w:tc>
          <w:tcPr>
            <w:tcW w:w="1052" w:type="dxa"/>
            <w:shd w:val="clear" w:color="auto" w:fill="auto"/>
            <w:vAlign w:val="bottom"/>
          </w:tcPr>
          <w:p w14:paraId="372D1EF4" w14:textId="77777777" w:rsidR="00263BCB" w:rsidRPr="007A6092" w:rsidRDefault="00263BCB" w:rsidP="007A6092">
            <w:pPr>
              <w:pStyle w:val="SingleTxtG"/>
              <w:spacing w:before="40" w:after="40" w:line="220" w:lineRule="exact"/>
              <w:ind w:left="0" w:right="113"/>
              <w:jc w:val="right"/>
              <w:rPr>
                <w:sz w:val="18"/>
              </w:rPr>
            </w:pPr>
            <w:r w:rsidRPr="007A6092">
              <w:rPr>
                <w:sz w:val="18"/>
              </w:rPr>
              <w:t>10.8</w:t>
            </w:r>
          </w:p>
        </w:tc>
        <w:tc>
          <w:tcPr>
            <w:tcW w:w="1052" w:type="dxa"/>
            <w:shd w:val="clear" w:color="auto" w:fill="auto"/>
            <w:vAlign w:val="bottom"/>
          </w:tcPr>
          <w:p w14:paraId="590939B3" w14:textId="77777777" w:rsidR="00263BCB" w:rsidRPr="007A6092" w:rsidRDefault="00263BCB" w:rsidP="007A6092">
            <w:pPr>
              <w:pStyle w:val="SingleTxtG"/>
              <w:spacing w:before="40" w:after="40" w:line="220" w:lineRule="exact"/>
              <w:ind w:left="0" w:right="113"/>
              <w:jc w:val="right"/>
              <w:rPr>
                <w:sz w:val="18"/>
              </w:rPr>
            </w:pPr>
            <w:r w:rsidRPr="007A6092">
              <w:rPr>
                <w:sz w:val="18"/>
              </w:rPr>
              <w:t>11.4</w:t>
            </w:r>
          </w:p>
        </w:tc>
        <w:tc>
          <w:tcPr>
            <w:tcW w:w="1052" w:type="dxa"/>
            <w:shd w:val="clear" w:color="auto" w:fill="auto"/>
            <w:vAlign w:val="bottom"/>
          </w:tcPr>
          <w:p w14:paraId="51F777AB" w14:textId="77777777" w:rsidR="00263BCB" w:rsidRPr="007A6092" w:rsidRDefault="00263BCB" w:rsidP="007A6092">
            <w:pPr>
              <w:pStyle w:val="SingleTxtG"/>
              <w:spacing w:before="40" w:after="40" w:line="220" w:lineRule="exact"/>
              <w:ind w:left="0" w:right="113"/>
              <w:jc w:val="right"/>
              <w:rPr>
                <w:sz w:val="18"/>
              </w:rPr>
            </w:pPr>
            <w:r w:rsidRPr="007A6092">
              <w:rPr>
                <w:sz w:val="18"/>
              </w:rPr>
              <w:t>8.3</w:t>
            </w:r>
          </w:p>
        </w:tc>
        <w:tc>
          <w:tcPr>
            <w:tcW w:w="1052" w:type="dxa"/>
            <w:shd w:val="clear" w:color="auto" w:fill="auto"/>
            <w:vAlign w:val="bottom"/>
          </w:tcPr>
          <w:p w14:paraId="1DB6CDB0" w14:textId="77777777" w:rsidR="00263BCB" w:rsidRPr="007A6092" w:rsidRDefault="00263BCB" w:rsidP="007A6092">
            <w:pPr>
              <w:pStyle w:val="SingleTxtG"/>
              <w:spacing w:before="40" w:after="40" w:line="220" w:lineRule="exact"/>
              <w:ind w:left="0" w:right="113"/>
              <w:jc w:val="right"/>
              <w:rPr>
                <w:sz w:val="18"/>
              </w:rPr>
            </w:pPr>
            <w:r w:rsidRPr="007A6092">
              <w:rPr>
                <w:sz w:val="18"/>
              </w:rPr>
              <w:t>14.7</w:t>
            </w:r>
          </w:p>
        </w:tc>
      </w:tr>
      <w:tr w:rsidR="00263BCB" w:rsidRPr="007A6092" w14:paraId="2A2E55AE" w14:textId="77777777" w:rsidTr="007A6092">
        <w:tc>
          <w:tcPr>
            <w:tcW w:w="1059" w:type="dxa"/>
            <w:shd w:val="clear" w:color="auto" w:fill="auto"/>
          </w:tcPr>
          <w:p w14:paraId="0630BFF2" w14:textId="77777777" w:rsidR="00263BCB" w:rsidRPr="007A6092" w:rsidRDefault="00263BCB" w:rsidP="007A6092">
            <w:pPr>
              <w:pStyle w:val="SingleTxtG"/>
              <w:spacing w:before="40" w:after="40" w:line="220" w:lineRule="exact"/>
              <w:ind w:left="0" w:right="113"/>
              <w:jc w:val="left"/>
              <w:rPr>
                <w:sz w:val="18"/>
              </w:rPr>
            </w:pPr>
            <w:r w:rsidRPr="007A6092">
              <w:rPr>
                <w:sz w:val="18"/>
              </w:rPr>
              <w:t>&gt;40</w:t>
            </w:r>
          </w:p>
        </w:tc>
        <w:tc>
          <w:tcPr>
            <w:tcW w:w="1051" w:type="dxa"/>
            <w:shd w:val="clear" w:color="auto" w:fill="auto"/>
            <w:vAlign w:val="bottom"/>
          </w:tcPr>
          <w:p w14:paraId="17405752" w14:textId="77777777" w:rsidR="00263BCB" w:rsidRPr="007A6092" w:rsidRDefault="00263BCB" w:rsidP="007A6092">
            <w:pPr>
              <w:pStyle w:val="SingleTxtG"/>
              <w:spacing w:before="40" w:after="40" w:line="220" w:lineRule="exact"/>
              <w:ind w:left="0" w:right="113"/>
              <w:jc w:val="right"/>
              <w:rPr>
                <w:sz w:val="18"/>
              </w:rPr>
            </w:pPr>
            <w:r w:rsidRPr="007A6092">
              <w:rPr>
                <w:sz w:val="18"/>
              </w:rPr>
              <w:t>N/А</w:t>
            </w:r>
          </w:p>
        </w:tc>
        <w:tc>
          <w:tcPr>
            <w:tcW w:w="1052" w:type="dxa"/>
            <w:shd w:val="clear" w:color="auto" w:fill="auto"/>
            <w:vAlign w:val="bottom"/>
          </w:tcPr>
          <w:p w14:paraId="1A62A54E" w14:textId="77777777" w:rsidR="00263BCB" w:rsidRPr="007A6092" w:rsidRDefault="00263BCB" w:rsidP="007A6092">
            <w:pPr>
              <w:pStyle w:val="SingleTxtG"/>
              <w:spacing w:before="40" w:after="40" w:line="220" w:lineRule="exact"/>
              <w:ind w:left="0" w:right="113"/>
              <w:jc w:val="right"/>
              <w:rPr>
                <w:sz w:val="18"/>
              </w:rPr>
            </w:pPr>
            <w:r w:rsidRPr="007A6092">
              <w:rPr>
                <w:sz w:val="18"/>
              </w:rPr>
              <w:t>25.1</w:t>
            </w:r>
          </w:p>
        </w:tc>
        <w:tc>
          <w:tcPr>
            <w:tcW w:w="1052" w:type="dxa"/>
            <w:shd w:val="clear" w:color="auto" w:fill="auto"/>
            <w:vAlign w:val="bottom"/>
          </w:tcPr>
          <w:p w14:paraId="556C63DF" w14:textId="77777777" w:rsidR="00263BCB" w:rsidRPr="007A6092" w:rsidRDefault="00263BCB" w:rsidP="007A6092">
            <w:pPr>
              <w:pStyle w:val="SingleTxtG"/>
              <w:spacing w:before="40" w:after="40" w:line="220" w:lineRule="exact"/>
              <w:ind w:left="0" w:right="113"/>
              <w:jc w:val="right"/>
              <w:rPr>
                <w:sz w:val="18"/>
              </w:rPr>
            </w:pPr>
            <w:r w:rsidRPr="007A6092">
              <w:rPr>
                <w:sz w:val="18"/>
              </w:rPr>
              <w:t>24.8</w:t>
            </w:r>
          </w:p>
        </w:tc>
        <w:tc>
          <w:tcPr>
            <w:tcW w:w="1052" w:type="dxa"/>
            <w:shd w:val="clear" w:color="auto" w:fill="auto"/>
            <w:vAlign w:val="bottom"/>
          </w:tcPr>
          <w:p w14:paraId="3A40473E" w14:textId="77777777" w:rsidR="00263BCB" w:rsidRPr="007A6092" w:rsidRDefault="00263BCB" w:rsidP="007A6092">
            <w:pPr>
              <w:pStyle w:val="SingleTxtG"/>
              <w:spacing w:before="40" w:after="40" w:line="220" w:lineRule="exact"/>
              <w:ind w:left="0" w:right="113"/>
              <w:jc w:val="right"/>
              <w:rPr>
                <w:sz w:val="18"/>
              </w:rPr>
            </w:pPr>
            <w:r w:rsidRPr="007A6092">
              <w:rPr>
                <w:sz w:val="18"/>
              </w:rPr>
              <w:t>13.5</w:t>
            </w:r>
          </w:p>
        </w:tc>
        <w:tc>
          <w:tcPr>
            <w:tcW w:w="1052" w:type="dxa"/>
            <w:shd w:val="clear" w:color="auto" w:fill="auto"/>
            <w:vAlign w:val="bottom"/>
          </w:tcPr>
          <w:p w14:paraId="4EF9D836" w14:textId="77777777" w:rsidR="00263BCB" w:rsidRPr="007A6092" w:rsidRDefault="00263BCB" w:rsidP="007A6092">
            <w:pPr>
              <w:pStyle w:val="SingleTxtG"/>
              <w:spacing w:before="40" w:after="40" w:line="220" w:lineRule="exact"/>
              <w:ind w:left="0" w:right="113"/>
              <w:jc w:val="right"/>
              <w:rPr>
                <w:sz w:val="18"/>
              </w:rPr>
            </w:pPr>
            <w:r w:rsidRPr="007A6092">
              <w:rPr>
                <w:sz w:val="18"/>
              </w:rPr>
              <w:t>11.8</w:t>
            </w:r>
          </w:p>
        </w:tc>
        <w:tc>
          <w:tcPr>
            <w:tcW w:w="1052" w:type="dxa"/>
            <w:shd w:val="clear" w:color="auto" w:fill="auto"/>
            <w:vAlign w:val="bottom"/>
          </w:tcPr>
          <w:p w14:paraId="61E85C6B" w14:textId="77777777" w:rsidR="00263BCB" w:rsidRPr="007A6092" w:rsidRDefault="00263BCB" w:rsidP="007A6092">
            <w:pPr>
              <w:pStyle w:val="SingleTxtG"/>
              <w:spacing w:before="40" w:after="40" w:line="220" w:lineRule="exact"/>
              <w:ind w:left="0" w:right="113"/>
              <w:jc w:val="right"/>
              <w:rPr>
                <w:sz w:val="18"/>
              </w:rPr>
            </w:pPr>
            <w:r w:rsidRPr="007A6092">
              <w:rPr>
                <w:sz w:val="18"/>
              </w:rPr>
              <w:t>9.6</w:t>
            </w:r>
          </w:p>
        </w:tc>
      </w:tr>
    </w:tbl>
    <w:p w14:paraId="4E99C1C3" w14:textId="0063EAEC" w:rsidR="00263BCB" w:rsidRPr="00763DB9" w:rsidRDefault="00263BCB" w:rsidP="00263BCB">
      <w:pPr>
        <w:pStyle w:val="H23G"/>
      </w:pPr>
      <w:r>
        <w:tab/>
      </w:r>
      <w:r>
        <w:tab/>
      </w:r>
      <w:bookmarkStart w:id="56" w:name="_Toc56781456"/>
      <w:r w:rsidRPr="00763DB9">
        <w:rPr>
          <w:b w:val="0"/>
        </w:rPr>
        <w:t>Table 9</w:t>
      </w:r>
      <w:r>
        <w:t xml:space="preserve"> </w:t>
      </w:r>
      <w:r>
        <w:br/>
      </w:r>
      <w:r w:rsidRPr="005D213B">
        <w:t>Infant mortality according to the level of education of mothers (2011</w:t>
      </w:r>
      <w:r w:rsidR="007A6092">
        <w:t>–</w:t>
      </w:r>
      <w:r w:rsidRPr="005D213B">
        <w:t>2016)</w:t>
      </w:r>
      <w:bookmarkEnd w:id="56"/>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418"/>
        <w:gridCol w:w="907"/>
        <w:gridCol w:w="1009"/>
        <w:gridCol w:w="1009"/>
        <w:gridCol w:w="1009"/>
        <w:gridCol w:w="1009"/>
        <w:gridCol w:w="1009"/>
      </w:tblGrid>
      <w:tr w:rsidR="00263BCB" w:rsidRPr="007A6092" w14:paraId="0BAC15E8" w14:textId="77777777" w:rsidTr="007A6092">
        <w:trPr>
          <w:tblHeader/>
        </w:trPr>
        <w:tc>
          <w:tcPr>
            <w:tcW w:w="1418" w:type="dxa"/>
            <w:tcBorders>
              <w:top w:val="single" w:sz="4" w:space="0" w:color="auto"/>
              <w:bottom w:val="single" w:sz="12" w:space="0" w:color="auto"/>
            </w:tcBorders>
            <w:shd w:val="clear" w:color="auto" w:fill="auto"/>
            <w:vAlign w:val="bottom"/>
          </w:tcPr>
          <w:p w14:paraId="7BAB2F9A" w14:textId="77777777" w:rsidR="00263BCB" w:rsidRPr="007A6092" w:rsidRDefault="00263BCB" w:rsidP="007A6092">
            <w:pPr>
              <w:pStyle w:val="SingleTxtG"/>
              <w:spacing w:before="80" w:after="80" w:line="200" w:lineRule="exact"/>
              <w:ind w:left="0" w:right="113"/>
              <w:jc w:val="left"/>
              <w:rPr>
                <w:i/>
                <w:sz w:val="16"/>
              </w:rPr>
            </w:pPr>
            <w:r w:rsidRPr="007A6092">
              <w:rPr>
                <w:i/>
                <w:sz w:val="16"/>
              </w:rPr>
              <w:t>Education level</w:t>
            </w:r>
          </w:p>
        </w:tc>
        <w:tc>
          <w:tcPr>
            <w:tcW w:w="907" w:type="dxa"/>
            <w:tcBorders>
              <w:top w:val="single" w:sz="4" w:space="0" w:color="auto"/>
              <w:bottom w:val="single" w:sz="12" w:space="0" w:color="auto"/>
            </w:tcBorders>
            <w:shd w:val="clear" w:color="auto" w:fill="auto"/>
            <w:vAlign w:val="bottom"/>
          </w:tcPr>
          <w:p w14:paraId="714E1802"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2011</w:t>
            </w:r>
          </w:p>
        </w:tc>
        <w:tc>
          <w:tcPr>
            <w:tcW w:w="1009" w:type="dxa"/>
            <w:tcBorders>
              <w:top w:val="single" w:sz="4" w:space="0" w:color="auto"/>
              <w:bottom w:val="single" w:sz="12" w:space="0" w:color="auto"/>
            </w:tcBorders>
            <w:shd w:val="clear" w:color="auto" w:fill="auto"/>
            <w:vAlign w:val="bottom"/>
          </w:tcPr>
          <w:p w14:paraId="5BFC08AD"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2012</w:t>
            </w:r>
          </w:p>
        </w:tc>
        <w:tc>
          <w:tcPr>
            <w:tcW w:w="1009" w:type="dxa"/>
            <w:tcBorders>
              <w:top w:val="single" w:sz="4" w:space="0" w:color="auto"/>
              <w:bottom w:val="single" w:sz="12" w:space="0" w:color="auto"/>
            </w:tcBorders>
            <w:shd w:val="clear" w:color="auto" w:fill="auto"/>
            <w:vAlign w:val="bottom"/>
          </w:tcPr>
          <w:p w14:paraId="6EE5A9BD"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2013</w:t>
            </w:r>
          </w:p>
        </w:tc>
        <w:tc>
          <w:tcPr>
            <w:tcW w:w="1009" w:type="dxa"/>
            <w:tcBorders>
              <w:top w:val="single" w:sz="4" w:space="0" w:color="auto"/>
              <w:bottom w:val="single" w:sz="12" w:space="0" w:color="auto"/>
            </w:tcBorders>
            <w:shd w:val="clear" w:color="auto" w:fill="auto"/>
            <w:vAlign w:val="bottom"/>
          </w:tcPr>
          <w:p w14:paraId="7BADB024"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2014</w:t>
            </w:r>
          </w:p>
        </w:tc>
        <w:tc>
          <w:tcPr>
            <w:tcW w:w="1009" w:type="dxa"/>
            <w:tcBorders>
              <w:top w:val="single" w:sz="4" w:space="0" w:color="auto"/>
              <w:bottom w:val="single" w:sz="12" w:space="0" w:color="auto"/>
            </w:tcBorders>
            <w:shd w:val="clear" w:color="auto" w:fill="auto"/>
            <w:vAlign w:val="bottom"/>
          </w:tcPr>
          <w:p w14:paraId="514B5847"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2015</w:t>
            </w:r>
          </w:p>
        </w:tc>
        <w:tc>
          <w:tcPr>
            <w:tcW w:w="1009" w:type="dxa"/>
            <w:tcBorders>
              <w:top w:val="single" w:sz="4" w:space="0" w:color="auto"/>
              <w:bottom w:val="single" w:sz="12" w:space="0" w:color="auto"/>
            </w:tcBorders>
            <w:shd w:val="clear" w:color="auto" w:fill="auto"/>
            <w:vAlign w:val="bottom"/>
          </w:tcPr>
          <w:p w14:paraId="528677BB"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2016</w:t>
            </w:r>
          </w:p>
        </w:tc>
      </w:tr>
      <w:tr w:rsidR="00263BCB" w:rsidRPr="007A6092" w14:paraId="151E5218" w14:textId="77777777" w:rsidTr="007A6092">
        <w:tc>
          <w:tcPr>
            <w:tcW w:w="1418" w:type="dxa"/>
            <w:tcBorders>
              <w:top w:val="single" w:sz="12" w:space="0" w:color="auto"/>
              <w:bottom w:val="single" w:sz="4" w:space="0" w:color="auto"/>
            </w:tcBorders>
            <w:shd w:val="clear" w:color="auto" w:fill="auto"/>
          </w:tcPr>
          <w:p w14:paraId="63D11801" w14:textId="77777777" w:rsidR="00263BCB" w:rsidRPr="007A6092" w:rsidRDefault="00263BCB" w:rsidP="007A6092">
            <w:pPr>
              <w:pStyle w:val="SingleTxtG"/>
              <w:spacing w:before="80" w:after="80" w:line="220" w:lineRule="exact"/>
              <w:ind w:left="283" w:right="113"/>
              <w:jc w:val="left"/>
              <w:rPr>
                <w:b/>
                <w:sz w:val="18"/>
              </w:rPr>
            </w:pPr>
            <w:r w:rsidRPr="007A6092">
              <w:rPr>
                <w:b/>
                <w:sz w:val="18"/>
              </w:rPr>
              <w:t>Total</w:t>
            </w:r>
          </w:p>
        </w:tc>
        <w:tc>
          <w:tcPr>
            <w:tcW w:w="907" w:type="dxa"/>
            <w:tcBorders>
              <w:top w:val="single" w:sz="12" w:space="0" w:color="auto"/>
              <w:bottom w:val="single" w:sz="4" w:space="0" w:color="auto"/>
            </w:tcBorders>
            <w:shd w:val="clear" w:color="auto" w:fill="auto"/>
            <w:vAlign w:val="bottom"/>
          </w:tcPr>
          <w:p w14:paraId="6792DD71" w14:textId="77777777" w:rsidR="00263BCB" w:rsidRPr="007A6092" w:rsidRDefault="00263BCB" w:rsidP="007A6092">
            <w:pPr>
              <w:pStyle w:val="SingleTxtG"/>
              <w:spacing w:before="80" w:after="80" w:line="220" w:lineRule="exact"/>
              <w:ind w:left="0" w:right="113"/>
              <w:jc w:val="right"/>
              <w:rPr>
                <w:b/>
                <w:sz w:val="18"/>
              </w:rPr>
            </w:pPr>
            <w:r w:rsidRPr="007A6092">
              <w:rPr>
                <w:b/>
                <w:sz w:val="18"/>
              </w:rPr>
              <w:t>7.5</w:t>
            </w:r>
          </w:p>
        </w:tc>
        <w:tc>
          <w:tcPr>
            <w:tcW w:w="1009" w:type="dxa"/>
            <w:tcBorders>
              <w:top w:val="single" w:sz="12" w:space="0" w:color="auto"/>
              <w:bottom w:val="single" w:sz="4" w:space="0" w:color="auto"/>
            </w:tcBorders>
            <w:shd w:val="clear" w:color="auto" w:fill="auto"/>
            <w:vAlign w:val="bottom"/>
          </w:tcPr>
          <w:p w14:paraId="0846144B" w14:textId="77777777" w:rsidR="00263BCB" w:rsidRPr="007A6092" w:rsidRDefault="00263BCB" w:rsidP="007A6092">
            <w:pPr>
              <w:pStyle w:val="SingleTxtG"/>
              <w:spacing w:before="80" w:after="80" w:line="220" w:lineRule="exact"/>
              <w:ind w:left="0" w:right="113"/>
              <w:jc w:val="right"/>
              <w:rPr>
                <w:b/>
                <w:sz w:val="18"/>
              </w:rPr>
            </w:pPr>
            <w:r w:rsidRPr="007A6092">
              <w:rPr>
                <w:b/>
                <w:sz w:val="18"/>
              </w:rPr>
              <w:t>9.8</w:t>
            </w:r>
          </w:p>
        </w:tc>
        <w:tc>
          <w:tcPr>
            <w:tcW w:w="1009" w:type="dxa"/>
            <w:tcBorders>
              <w:top w:val="single" w:sz="12" w:space="0" w:color="auto"/>
              <w:bottom w:val="single" w:sz="4" w:space="0" w:color="auto"/>
            </w:tcBorders>
            <w:shd w:val="clear" w:color="auto" w:fill="auto"/>
            <w:vAlign w:val="bottom"/>
          </w:tcPr>
          <w:p w14:paraId="0385255E" w14:textId="77777777" w:rsidR="00263BCB" w:rsidRPr="007A6092" w:rsidRDefault="00263BCB" w:rsidP="007A6092">
            <w:pPr>
              <w:pStyle w:val="SingleTxtG"/>
              <w:spacing w:before="80" w:after="80" w:line="220" w:lineRule="exact"/>
              <w:ind w:left="0" w:right="113"/>
              <w:jc w:val="right"/>
              <w:rPr>
                <w:b/>
                <w:sz w:val="18"/>
              </w:rPr>
            </w:pPr>
            <w:r w:rsidRPr="007A6092">
              <w:rPr>
                <w:b/>
                <w:sz w:val="18"/>
              </w:rPr>
              <w:t>10.2</w:t>
            </w:r>
          </w:p>
        </w:tc>
        <w:tc>
          <w:tcPr>
            <w:tcW w:w="1009" w:type="dxa"/>
            <w:tcBorders>
              <w:top w:val="single" w:sz="12" w:space="0" w:color="auto"/>
              <w:bottom w:val="single" w:sz="4" w:space="0" w:color="auto"/>
            </w:tcBorders>
            <w:shd w:val="clear" w:color="auto" w:fill="auto"/>
            <w:vAlign w:val="bottom"/>
          </w:tcPr>
          <w:p w14:paraId="25F72965" w14:textId="77777777" w:rsidR="00263BCB" w:rsidRPr="007A6092" w:rsidRDefault="00263BCB" w:rsidP="007A6092">
            <w:pPr>
              <w:pStyle w:val="SingleTxtG"/>
              <w:spacing w:before="80" w:after="80" w:line="220" w:lineRule="exact"/>
              <w:ind w:left="0" w:right="113"/>
              <w:jc w:val="right"/>
              <w:rPr>
                <w:b/>
                <w:sz w:val="18"/>
              </w:rPr>
            </w:pPr>
            <w:r w:rsidRPr="007A6092">
              <w:rPr>
                <w:b/>
                <w:sz w:val="18"/>
              </w:rPr>
              <w:t>9.9</w:t>
            </w:r>
          </w:p>
        </w:tc>
        <w:tc>
          <w:tcPr>
            <w:tcW w:w="1009" w:type="dxa"/>
            <w:tcBorders>
              <w:top w:val="single" w:sz="12" w:space="0" w:color="auto"/>
              <w:bottom w:val="single" w:sz="4" w:space="0" w:color="auto"/>
            </w:tcBorders>
            <w:shd w:val="clear" w:color="auto" w:fill="auto"/>
            <w:vAlign w:val="bottom"/>
          </w:tcPr>
          <w:p w14:paraId="15FBBB8B" w14:textId="77777777" w:rsidR="00263BCB" w:rsidRPr="007A6092" w:rsidRDefault="00263BCB" w:rsidP="007A6092">
            <w:pPr>
              <w:pStyle w:val="SingleTxtG"/>
              <w:spacing w:before="80" w:after="80" w:line="220" w:lineRule="exact"/>
              <w:ind w:left="0" w:right="113"/>
              <w:jc w:val="right"/>
              <w:rPr>
                <w:b/>
                <w:sz w:val="18"/>
              </w:rPr>
            </w:pPr>
            <w:r w:rsidRPr="007A6092">
              <w:rPr>
                <w:b/>
                <w:sz w:val="18"/>
              </w:rPr>
              <w:t>8.6</w:t>
            </w:r>
          </w:p>
        </w:tc>
        <w:tc>
          <w:tcPr>
            <w:tcW w:w="1009" w:type="dxa"/>
            <w:tcBorders>
              <w:top w:val="single" w:sz="12" w:space="0" w:color="auto"/>
              <w:bottom w:val="single" w:sz="4" w:space="0" w:color="auto"/>
            </w:tcBorders>
            <w:shd w:val="clear" w:color="auto" w:fill="auto"/>
            <w:vAlign w:val="bottom"/>
          </w:tcPr>
          <w:p w14:paraId="755691A5" w14:textId="77777777" w:rsidR="00263BCB" w:rsidRPr="007A6092" w:rsidRDefault="00263BCB" w:rsidP="007A6092">
            <w:pPr>
              <w:pStyle w:val="SingleTxtG"/>
              <w:spacing w:before="80" w:after="80" w:line="220" w:lineRule="exact"/>
              <w:ind w:left="0" w:right="113"/>
              <w:jc w:val="right"/>
              <w:rPr>
                <w:b/>
                <w:sz w:val="18"/>
              </w:rPr>
            </w:pPr>
            <w:r w:rsidRPr="007A6092">
              <w:rPr>
                <w:b/>
                <w:sz w:val="18"/>
              </w:rPr>
              <w:t>11.9</w:t>
            </w:r>
          </w:p>
        </w:tc>
      </w:tr>
      <w:tr w:rsidR="00263BCB" w:rsidRPr="007A6092" w14:paraId="16221EED" w14:textId="77777777" w:rsidTr="007A6092">
        <w:tc>
          <w:tcPr>
            <w:tcW w:w="1418" w:type="dxa"/>
            <w:tcBorders>
              <w:top w:val="single" w:sz="4" w:space="0" w:color="auto"/>
            </w:tcBorders>
            <w:shd w:val="clear" w:color="auto" w:fill="auto"/>
          </w:tcPr>
          <w:p w14:paraId="47400C9B" w14:textId="77777777" w:rsidR="00263BCB" w:rsidRPr="007A6092" w:rsidRDefault="00263BCB" w:rsidP="007A6092">
            <w:pPr>
              <w:pStyle w:val="SingleTxtG"/>
              <w:spacing w:before="40" w:after="40" w:line="220" w:lineRule="exact"/>
              <w:ind w:left="0" w:right="113"/>
              <w:jc w:val="left"/>
              <w:rPr>
                <w:sz w:val="18"/>
              </w:rPr>
            </w:pPr>
            <w:r w:rsidRPr="007A6092">
              <w:rPr>
                <w:sz w:val="18"/>
              </w:rPr>
              <w:t>No education</w:t>
            </w:r>
          </w:p>
        </w:tc>
        <w:tc>
          <w:tcPr>
            <w:tcW w:w="907" w:type="dxa"/>
            <w:tcBorders>
              <w:top w:val="single" w:sz="4" w:space="0" w:color="auto"/>
            </w:tcBorders>
            <w:shd w:val="clear" w:color="auto" w:fill="auto"/>
            <w:vAlign w:val="bottom"/>
          </w:tcPr>
          <w:p w14:paraId="7F305E63" w14:textId="77777777" w:rsidR="00263BCB" w:rsidRPr="007A6092" w:rsidRDefault="00263BCB" w:rsidP="007A6092">
            <w:pPr>
              <w:pStyle w:val="SingleTxtG"/>
              <w:spacing w:before="40" w:after="40" w:line="220" w:lineRule="exact"/>
              <w:ind w:left="0" w:right="113"/>
              <w:jc w:val="right"/>
              <w:rPr>
                <w:sz w:val="18"/>
              </w:rPr>
            </w:pPr>
            <w:r w:rsidRPr="007A6092">
              <w:rPr>
                <w:sz w:val="18"/>
              </w:rPr>
              <w:t>10.3</w:t>
            </w:r>
          </w:p>
        </w:tc>
        <w:tc>
          <w:tcPr>
            <w:tcW w:w="1009" w:type="dxa"/>
            <w:tcBorders>
              <w:top w:val="single" w:sz="4" w:space="0" w:color="auto"/>
            </w:tcBorders>
            <w:shd w:val="clear" w:color="auto" w:fill="auto"/>
            <w:vAlign w:val="bottom"/>
          </w:tcPr>
          <w:p w14:paraId="7DA1F220" w14:textId="77777777" w:rsidR="00263BCB" w:rsidRPr="007A6092" w:rsidRDefault="00263BCB" w:rsidP="007A6092">
            <w:pPr>
              <w:pStyle w:val="SingleTxtG"/>
              <w:spacing w:before="40" w:after="40" w:line="220" w:lineRule="exact"/>
              <w:ind w:left="0" w:right="113"/>
              <w:jc w:val="right"/>
              <w:rPr>
                <w:sz w:val="18"/>
              </w:rPr>
            </w:pPr>
            <w:r w:rsidRPr="007A6092">
              <w:rPr>
                <w:sz w:val="18"/>
              </w:rPr>
              <w:t>15.9</w:t>
            </w:r>
          </w:p>
        </w:tc>
        <w:tc>
          <w:tcPr>
            <w:tcW w:w="1009" w:type="dxa"/>
            <w:tcBorders>
              <w:top w:val="single" w:sz="4" w:space="0" w:color="auto"/>
            </w:tcBorders>
            <w:shd w:val="clear" w:color="auto" w:fill="auto"/>
            <w:vAlign w:val="bottom"/>
          </w:tcPr>
          <w:p w14:paraId="48D2A0B3" w14:textId="77777777" w:rsidR="00263BCB" w:rsidRPr="007A6092" w:rsidRDefault="00263BCB" w:rsidP="007A6092">
            <w:pPr>
              <w:pStyle w:val="SingleTxtG"/>
              <w:spacing w:before="40" w:after="40" w:line="220" w:lineRule="exact"/>
              <w:ind w:left="0" w:right="113"/>
              <w:jc w:val="right"/>
              <w:rPr>
                <w:sz w:val="18"/>
              </w:rPr>
            </w:pPr>
            <w:r w:rsidRPr="007A6092">
              <w:rPr>
                <w:sz w:val="18"/>
              </w:rPr>
              <w:t>16.4</w:t>
            </w:r>
          </w:p>
        </w:tc>
        <w:tc>
          <w:tcPr>
            <w:tcW w:w="1009" w:type="dxa"/>
            <w:tcBorders>
              <w:top w:val="single" w:sz="4" w:space="0" w:color="auto"/>
            </w:tcBorders>
            <w:shd w:val="clear" w:color="auto" w:fill="auto"/>
            <w:vAlign w:val="bottom"/>
          </w:tcPr>
          <w:p w14:paraId="536BBC3B" w14:textId="77777777" w:rsidR="00263BCB" w:rsidRPr="007A6092" w:rsidRDefault="00263BCB" w:rsidP="007A6092">
            <w:pPr>
              <w:pStyle w:val="SingleTxtG"/>
              <w:spacing w:before="40" w:after="40" w:line="220" w:lineRule="exact"/>
              <w:ind w:left="0" w:right="113"/>
              <w:jc w:val="right"/>
              <w:rPr>
                <w:sz w:val="18"/>
              </w:rPr>
            </w:pPr>
            <w:r w:rsidRPr="007A6092">
              <w:rPr>
                <w:sz w:val="18"/>
              </w:rPr>
              <w:t>12.4</w:t>
            </w:r>
          </w:p>
        </w:tc>
        <w:tc>
          <w:tcPr>
            <w:tcW w:w="1009" w:type="dxa"/>
            <w:tcBorders>
              <w:top w:val="single" w:sz="4" w:space="0" w:color="auto"/>
            </w:tcBorders>
            <w:shd w:val="clear" w:color="auto" w:fill="auto"/>
            <w:vAlign w:val="bottom"/>
          </w:tcPr>
          <w:p w14:paraId="67210F07" w14:textId="77777777" w:rsidR="00263BCB" w:rsidRPr="007A6092" w:rsidRDefault="00263BCB" w:rsidP="007A6092">
            <w:pPr>
              <w:pStyle w:val="SingleTxtG"/>
              <w:spacing w:before="40" w:after="40" w:line="220" w:lineRule="exact"/>
              <w:ind w:left="0" w:right="113"/>
              <w:jc w:val="right"/>
              <w:rPr>
                <w:sz w:val="18"/>
              </w:rPr>
            </w:pPr>
            <w:r w:rsidRPr="007A6092">
              <w:rPr>
                <w:sz w:val="18"/>
              </w:rPr>
              <w:t>10.4</w:t>
            </w:r>
          </w:p>
        </w:tc>
        <w:tc>
          <w:tcPr>
            <w:tcW w:w="1009" w:type="dxa"/>
            <w:tcBorders>
              <w:top w:val="single" w:sz="4" w:space="0" w:color="auto"/>
            </w:tcBorders>
            <w:shd w:val="clear" w:color="auto" w:fill="auto"/>
            <w:vAlign w:val="bottom"/>
          </w:tcPr>
          <w:p w14:paraId="7A4A7973" w14:textId="77777777" w:rsidR="00263BCB" w:rsidRPr="007A6092" w:rsidRDefault="00263BCB" w:rsidP="007A6092">
            <w:pPr>
              <w:pStyle w:val="SingleTxtG"/>
              <w:spacing w:before="40" w:after="40" w:line="220" w:lineRule="exact"/>
              <w:ind w:left="0" w:right="113"/>
              <w:jc w:val="right"/>
              <w:rPr>
                <w:sz w:val="18"/>
              </w:rPr>
            </w:pPr>
            <w:r w:rsidRPr="007A6092">
              <w:rPr>
                <w:sz w:val="18"/>
              </w:rPr>
              <w:t>10.7</w:t>
            </w:r>
          </w:p>
        </w:tc>
      </w:tr>
      <w:tr w:rsidR="00263BCB" w:rsidRPr="007A6092" w14:paraId="45CD5ED9" w14:textId="77777777" w:rsidTr="003E477B">
        <w:tc>
          <w:tcPr>
            <w:tcW w:w="1418" w:type="dxa"/>
            <w:tcBorders>
              <w:bottom w:val="nil"/>
            </w:tcBorders>
            <w:shd w:val="clear" w:color="auto" w:fill="auto"/>
          </w:tcPr>
          <w:p w14:paraId="36091E2C" w14:textId="77777777" w:rsidR="00263BCB" w:rsidRPr="007A6092" w:rsidRDefault="00263BCB" w:rsidP="007A6092">
            <w:pPr>
              <w:pStyle w:val="SingleTxtG"/>
              <w:spacing w:before="40" w:after="40" w:line="220" w:lineRule="exact"/>
              <w:ind w:left="0" w:right="113"/>
              <w:jc w:val="left"/>
              <w:rPr>
                <w:sz w:val="18"/>
              </w:rPr>
            </w:pPr>
            <w:r w:rsidRPr="007A6092">
              <w:rPr>
                <w:sz w:val="18"/>
              </w:rPr>
              <w:t>Primary education completed</w:t>
            </w:r>
          </w:p>
        </w:tc>
        <w:tc>
          <w:tcPr>
            <w:tcW w:w="907" w:type="dxa"/>
            <w:tcBorders>
              <w:bottom w:val="nil"/>
            </w:tcBorders>
            <w:shd w:val="clear" w:color="auto" w:fill="auto"/>
            <w:vAlign w:val="bottom"/>
          </w:tcPr>
          <w:p w14:paraId="16D7610B" w14:textId="77777777" w:rsidR="00263BCB" w:rsidRPr="007A6092" w:rsidRDefault="00263BCB" w:rsidP="007A6092">
            <w:pPr>
              <w:pStyle w:val="SingleTxtG"/>
              <w:spacing w:before="40" w:after="40" w:line="220" w:lineRule="exact"/>
              <w:ind w:left="0" w:right="113"/>
              <w:jc w:val="right"/>
              <w:rPr>
                <w:sz w:val="18"/>
              </w:rPr>
            </w:pPr>
            <w:r w:rsidRPr="007A6092">
              <w:rPr>
                <w:sz w:val="18"/>
              </w:rPr>
              <w:t>10.9</w:t>
            </w:r>
          </w:p>
        </w:tc>
        <w:tc>
          <w:tcPr>
            <w:tcW w:w="1009" w:type="dxa"/>
            <w:tcBorders>
              <w:bottom w:val="nil"/>
            </w:tcBorders>
            <w:shd w:val="clear" w:color="auto" w:fill="auto"/>
            <w:vAlign w:val="bottom"/>
          </w:tcPr>
          <w:p w14:paraId="5FB29B6A" w14:textId="77777777" w:rsidR="00263BCB" w:rsidRPr="007A6092" w:rsidRDefault="00263BCB" w:rsidP="007A6092">
            <w:pPr>
              <w:pStyle w:val="SingleTxtG"/>
              <w:spacing w:before="40" w:after="40" w:line="220" w:lineRule="exact"/>
              <w:ind w:left="0" w:right="113"/>
              <w:jc w:val="right"/>
              <w:rPr>
                <w:sz w:val="18"/>
              </w:rPr>
            </w:pPr>
            <w:r w:rsidRPr="007A6092">
              <w:rPr>
                <w:sz w:val="18"/>
              </w:rPr>
              <w:t>11.1</w:t>
            </w:r>
          </w:p>
        </w:tc>
        <w:tc>
          <w:tcPr>
            <w:tcW w:w="1009" w:type="dxa"/>
            <w:tcBorders>
              <w:bottom w:val="nil"/>
            </w:tcBorders>
            <w:shd w:val="clear" w:color="auto" w:fill="auto"/>
            <w:vAlign w:val="bottom"/>
          </w:tcPr>
          <w:p w14:paraId="62012917" w14:textId="77777777" w:rsidR="00263BCB" w:rsidRPr="007A6092" w:rsidRDefault="00263BCB" w:rsidP="007A6092">
            <w:pPr>
              <w:pStyle w:val="SingleTxtG"/>
              <w:spacing w:before="40" w:after="40" w:line="220" w:lineRule="exact"/>
              <w:ind w:left="0" w:right="113"/>
              <w:jc w:val="right"/>
              <w:rPr>
                <w:sz w:val="18"/>
              </w:rPr>
            </w:pPr>
            <w:r w:rsidRPr="007A6092">
              <w:rPr>
                <w:sz w:val="18"/>
              </w:rPr>
              <w:t>13.7</w:t>
            </w:r>
          </w:p>
        </w:tc>
        <w:tc>
          <w:tcPr>
            <w:tcW w:w="1009" w:type="dxa"/>
            <w:tcBorders>
              <w:bottom w:val="nil"/>
            </w:tcBorders>
            <w:shd w:val="clear" w:color="auto" w:fill="auto"/>
            <w:vAlign w:val="bottom"/>
          </w:tcPr>
          <w:p w14:paraId="619253A9" w14:textId="77777777" w:rsidR="00263BCB" w:rsidRPr="007A6092" w:rsidRDefault="00263BCB" w:rsidP="007A6092">
            <w:pPr>
              <w:pStyle w:val="SingleTxtG"/>
              <w:spacing w:before="40" w:after="40" w:line="220" w:lineRule="exact"/>
              <w:ind w:left="0" w:right="113"/>
              <w:jc w:val="right"/>
              <w:rPr>
                <w:sz w:val="18"/>
              </w:rPr>
            </w:pPr>
            <w:r w:rsidRPr="007A6092">
              <w:rPr>
                <w:sz w:val="18"/>
              </w:rPr>
              <w:t>8.7</w:t>
            </w:r>
          </w:p>
        </w:tc>
        <w:tc>
          <w:tcPr>
            <w:tcW w:w="1009" w:type="dxa"/>
            <w:tcBorders>
              <w:bottom w:val="nil"/>
            </w:tcBorders>
            <w:shd w:val="clear" w:color="auto" w:fill="auto"/>
            <w:vAlign w:val="bottom"/>
          </w:tcPr>
          <w:p w14:paraId="45A06159" w14:textId="77777777" w:rsidR="00263BCB" w:rsidRPr="007A6092" w:rsidRDefault="00263BCB" w:rsidP="007A6092">
            <w:pPr>
              <w:pStyle w:val="SingleTxtG"/>
              <w:spacing w:before="40" w:after="40" w:line="220" w:lineRule="exact"/>
              <w:ind w:left="0" w:right="113"/>
              <w:jc w:val="right"/>
              <w:rPr>
                <w:sz w:val="18"/>
              </w:rPr>
            </w:pPr>
            <w:r w:rsidRPr="007A6092">
              <w:rPr>
                <w:sz w:val="18"/>
              </w:rPr>
              <w:t>8.5</w:t>
            </w:r>
          </w:p>
        </w:tc>
        <w:tc>
          <w:tcPr>
            <w:tcW w:w="1009" w:type="dxa"/>
            <w:tcBorders>
              <w:bottom w:val="nil"/>
            </w:tcBorders>
            <w:shd w:val="clear" w:color="auto" w:fill="auto"/>
            <w:vAlign w:val="bottom"/>
          </w:tcPr>
          <w:p w14:paraId="34C35CD6" w14:textId="77777777" w:rsidR="00263BCB" w:rsidRPr="007A6092" w:rsidRDefault="00263BCB" w:rsidP="007A6092">
            <w:pPr>
              <w:pStyle w:val="SingleTxtG"/>
              <w:spacing w:before="40" w:after="40" w:line="220" w:lineRule="exact"/>
              <w:ind w:left="0" w:right="113"/>
              <w:jc w:val="right"/>
              <w:rPr>
                <w:sz w:val="18"/>
              </w:rPr>
            </w:pPr>
            <w:r w:rsidRPr="007A6092">
              <w:rPr>
                <w:sz w:val="18"/>
              </w:rPr>
              <w:t>10.9</w:t>
            </w:r>
          </w:p>
        </w:tc>
      </w:tr>
      <w:tr w:rsidR="00263BCB" w:rsidRPr="007A6092" w14:paraId="4E2A7318" w14:textId="77777777" w:rsidTr="003E477B">
        <w:tc>
          <w:tcPr>
            <w:tcW w:w="1418" w:type="dxa"/>
            <w:tcBorders>
              <w:top w:val="nil"/>
              <w:bottom w:val="nil"/>
            </w:tcBorders>
            <w:shd w:val="clear" w:color="auto" w:fill="auto"/>
          </w:tcPr>
          <w:p w14:paraId="72BC9441" w14:textId="77777777" w:rsidR="00263BCB" w:rsidRPr="007A6092" w:rsidRDefault="00263BCB" w:rsidP="007D5B1E">
            <w:pPr>
              <w:pStyle w:val="SingleTxtG"/>
              <w:keepNext/>
              <w:spacing w:before="40" w:after="40" w:line="220" w:lineRule="exact"/>
              <w:ind w:left="0" w:right="113"/>
              <w:jc w:val="left"/>
              <w:rPr>
                <w:sz w:val="18"/>
              </w:rPr>
            </w:pPr>
            <w:r w:rsidRPr="007A6092">
              <w:rPr>
                <w:sz w:val="18"/>
              </w:rPr>
              <w:lastRenderedPageBreak/>
              <w:t>Secondary education completed</w:t>
            </w:r>
          </w:p>
        </w:tc>
        <w:tc>
          <w:tcPr>
            <w:tcW w:w="907" w:type="dxa"/>
            <w:tcBorders>
              <w:top w:val="nil"/>
              <w:bottom w:val="nil"/>
            </w:tcBorders>
            <w:shd w:val="clear" w:color="auto" w:fill="auto"/>
            <w:vAlign w:val="bottom"/>
          </w:tcPr>
          <w:p w14:paraId="47907142" w14:textId="77777777" w:rsidR="00263BCB" w:rsidRPr="007A6092" w:rsidRDefault="00263BCB" w:rsidP="007D5B1E">
            <w:pPr>
              <w:pStyle w:val="SingleTxtG"/>
              <w:keepNext/>
              <w:spacing w:before="40" w:after="40" w:line="220" w:lineRule="exact"/>
              <w:ind w:left="0" w:right="113"/>
              <w:jc w:val="right"/>
              <w:rPr>
                <w:sz w:val="18"/>
              </w:rPr>
            </w:pPr>
            <w:r w:rsidRPr="007A6092">
              <w:rPr>
                <w:sz w:val="18"/>
              </w:rPr>
              <w:t>7.0</w:t>
            </w:r>
          </w:p>
        </w:tc>
        <w:tc>
          <w:tcPr>
            <w:tcW w:w="1009" w:type="dxa"/>
            <w:tcBorders>
              <w:top w:val="nil"/>
              <w:bottom w:val="nil"/>
            </w:tcBorders>
            <w:shd w:val="clear" w:color="auto" w:fill="auto"/>
            <w:vAlign w:val="bottom"/>
          </w:tcPr>
          <w:p w14:paraId="0B55BD55" w14:textId="77777777" w:rsidR="00263BCB" w:rsidRPr="007A6092" w:rsidRDefault="00263BCB" w:rsidP="007D5B1E">
            <w:pPr>
              <w:pStyle w:val="SingleTxtG"/>
              <w:keepNext/>
              <w:spacing w:before="40" w:after="40" w:line="220" w:lineRule="exact"/>
              <w:ind w:left="0" w:right="113"/>
              <w:jc w:val="right"/>
              <w:rPr>
                <w:sz w:val="18"/>
              </w:rPr>
            </w:pPr>
            <w:r w:rsidRPr="007A6092">
              <w:rPr>
                <w:sz w:val="18"/>
              </w:rPr>
              <w:t>9.0</w:t>
            </w:r>
          </w:p>
        </w:tc>
        <w:tc>
          <w:tcPr>
            <w:tcW w:w="1009" w:type="dxa"/>
            <w:tcBorders>
              <w:top w:val="nil"/>
              <w:bottom w:val="nil"/>
            </w:tcBorders>
            <w:shd w:val="clear" w:color="auto" w:fill="auto"/>
            <w:vAlign w:val="bottom"/>
          </w:tcPr>
          <w:p w14:paraId="734D1CE0" w14:textId="77777777" w:rsidR="00263BCB" w:rsidRPr="007A6092" w:rsidRDefault="00263BCB" w:rsidP="007D5B1E">
            <w:pPr>
              <w:pStyle w:val="SingleTxtG"/>
              <w:keepNext/>
              <w:spacing w:before="40" w:after="40" w:line="220" w:lineRule="exact"/>
              <w:ind w:left="0" w:right="113"/>
              <w:jc w:val="right"/>
              <w:rPr>
                <w:sz w:val="18"/>
              </w:rPr>
            </w:pPr>
            <w:r w:rsidRPr="007A6092">
              <w:rPr>
                <w:sz w:val="18"/>
              </w:rPr>
              <w:t>7.4</w:t>
            </w:r>
          </w:p>
        </w:tc>
        <w:tc>
          <w:tcPr>
            <w:tcW w:w="1009" w:type="dxa"/>
            <w:tcBorders>
              <w:top w:val="nil"/>
              <w:bottom w:val="nil"/>
            </w:tcBorders>
            <w:shd w:val="clear" w:color="auto" w:fill="auto"/>
            <w:vAlign w:val="bottom"/>
          </w:tcPr>
          <w:p w14:paraId="7059A3A6" w14:textId="77777777" w:rsidR="00263BCB" w:rsidRPr="007A6092" w:rsidRDefault="00263BCB" w:rsidP="007D5B1E">
            <w:pPr>
              <w:pStyle w:val="SingleTxtG"/>
              <w:keepNext/>
              <w:spacing w:before="40" w:after="40" w:line="220" w:lineRule="exact"/>
              <w:ind w:left="0" w:right="113"/>
              <w:jc w:val="right"/>
              <w:rPr>
                <w:sz w:val="18"/>
              </w:rPr>
            </w:pPr>
            <w:r w:rsidRPr="007A6092">
              <w:rPr>
                <w:sz w:val="18"/>
              </w:rPr>
              <w:t>9.3</w:t>
            </w:r>
          </w:p>
        </w:tc>
        <w:tc>
          <w:tcPr>
            <w:tcW w:w="1009" w:type="dxa"/>
            <w:tcBorders>
              <w:top w:val="nil"/>
              <w:bottom w:val="nil"/>
            </w:tcBorders>
            <w:shd w:val="clear" w:color="auto" w:fill="auto"/>
            <w:vAlign w:val="bottom"/>
          </w:tcPr>
          <w:p w14:paraId="39E81543" w14:textId="77777777" w:rsidR="00263BCB" w:rsidRPr="007A6092" w:rsidRDefault="00263BCB" w:rsidP="007D5B1E">
            <w:pPr>
              <w:pStyle w:val="SingleTxtG"/>
              <w:keepNext/>
              <w:spacing w:before="40" w:after="40" w:line="220" w:lineRule="exact"/>
              <w:ind w:left="0" w:right="113"/>
              <w:jc w:val="right"/>
              <w:rPr>
                <w:sz w:val="18"/>
              </w:rPr>
            </w:pPr>
            <w:r w:rsidRPr="007A6092">
              <w:rPr>
                <w:sz w:val="18"/>
              </w:rPr>
              <w:t>8.3</w:t>
            </w:r>
          </w:p>
        </w:tc>
        <w:tc>
          <w:tcPr>
            <w:tcW w:w="1009" w:type="dxa"/>
            <w:tcBorders>
              <w:top w:val="nil"/>
              <w:bottom w:val="nil"/>
            </w:tcBorders>
            <w:shd w:val="clear" w:color="auto" w:fill="auto"/>
            <w:vAlign w:val="bottom"/>
          </w:tcPr>
          <w:p w14:paraId="17846BDB" w14:textId="77777777" w:rsidR="00263BCB" w:rsidRPr="007A6092" w:rsidRDefault="00263BCB" w:rsidP="007D5B1E">
            <w:pPr>
              <w:pStyle w:val="SingleTxtG"/>
              <w:keepNext/>
              <w:spacing w:before="40" w:after="40" w:line="220" w:lineRule="exact"/>
              <w:ind w:left="0" w:right="113"/>
              <w:jc w:val="right"/>
              <w:rPr>
                <w:sz w:val="18"/>
              </w:rPr>
            </w:pPr>
            <w:r w:rsidRPr="007A6092">
              <w:rPr>
                <w:sz w:val="18"/>
              </w:rPr>
              <w:t>10.6</w:t>
            </w:r>
          </w:p>
        </w:tc>
      </w:tr>
      <w:tr w:rsidR="00263BCB" w:rsidRPr="007A6092" w14:paraId="5A327330" w14:textId="77777777" w:rsidTr="003E477B">
        <w:tc>
          <w:tcPr>
            <w:tcW w:w="1418" w:type="dxa"/>
            <w:tcBorders>
              <w:top w:val="nil"/>
            </w:tcBorders>
            <w:shd w:val="clear" w:color="auto" w:fill="auto"/>
          </w:tcPr>
          <w:p w14:paraId="4D8E44F2" w14:textId="77777777" w:rsidR="00263BCB" w:rsidRPr="007A6092" w:rsidRDefault="00263BCB" w:rsidP="007D5B1E">
            <w:pPr>
              <w:pStyle w:val="SingleTxtG"/>
              <w:keepNext/>
              <w:spacing w:before="40" w:after="40" w:line="220" w:lineRule="exact"/>
              <w:ind w:left="0" w:right="113"/>
              <w:jc w:val="left"/>
              <w:rPr>
                <w:sz w:val="18"/>
              </w:rPr>
            </w:pPr>
            <w:r w:rsidRPr="007A6092">
              <w:rPr>
                <w:sz w:val="18"/>
              </w:rPr>
              <w:t xml:space="preserve">Post-secondary/higher education completed </w:t>
            </w:r>
          </w:p>
        </w:tc>
        <w:tc>
          <w:tcPr>
            <w:tcW w:w="907" w:type="dxa"/>
            <w:tcBorders>
              <w:top w:val="nil"/>
            </w:tcBorders>
            <w:shd w:val="clear" w:color="auto" w:fill="auto"/>
            <w:vAlign w:val="bottom"/>
          </w:tcPr>
          <w:p w14:paraId="65F7E0F6" w14:textId="77777777" w:rsidR="00263BCB" w:rsidRPr="007A6092" w:rsidRDefault="00263BCB" w:rsidP="007D5B1E">
            <w:pPr>
              <w:pStyle w:val="SingleTxtG"/>
              <w:keepNext/>
              <w:spacing w:before="40" w:after="40" w:line="220" w:lineRule="exact"/>
              <w:ind w:left="0" w:right="113"/>
              <w:jc w:val="right"/>
              <w:rPr>
                <w:sz w:val="18"/>
              </w:rPr>
            </w:pPr>
            <w:r w:rsidRPr="007A6092">
              <w:rPr>
                <w:sz w:val="18"/>
              </w:rPr>
              <w:t>2.4</w:t>
            </w:r>
          </w:p>
        </w:tc>
        <w:tc>
          <w:tcPr>
            <w:tcW w:w="1009" w:type="dxa"/>
            <w:tcBorders>
              <w:top w:val="nil"/>
            </w:tcBorders>
            <w:shd w:val="clear" w:color="auto" w:fill="auto"/>
            <w:vAlign w:val="bottom"/>
          </w:tcPr>
          <w:p w14:paraId="717E3087" w14:textId="77777777" w:rsidR="00263BCB" w:rsidRPr="007A6092" w:rsidRDefault="00263BCB" w:rsidP="007D5B1E">
            <w:pPr>
              <w:pStyle w:val="SingleTxtG"/>
              <w:keepNext/>
              <w:spacing w:before="40" w:after="40" w:line="220" w:lineRule="exact"/>
              <w:ind w:left="0" w:right="113"/>
              <w:jc w:val="right"/>
              <w:rPr>
                <w:sz w:val="18"/>
              </w:rPr>
            </w:pPr>
            <w:r w:rsidRPr="007A6092">
              <w:rPr>
                <w:sz w:val="18"/>
              </w:rPr>
              <w:t>4.7</w:t>
            </w:r>
          </w:p>
        </w:tc>
        <w:tc>
          <w:tcPr>
            <w:tcW w:w="1009" w:type="dxa"/>
            <w:tcBorders>
              <w:top w:val="nil"/>
            </w:tcBorders>
            <w:shd w:val="clear" w:color="auto" w:fill="auto"/>
            <w:vAlign w:val="bottom"/>
          </w:tcPr>
          <w:p w14:paraId="1118B237" w14:textId="77777777" w:rsidR="00263BCB" w:rsidRPr="007A6092" w:rsidRDefault="00263BCB" w:rsidP="007D5B1E">
            <w:pPr>
              <w:pStyle w:val="SingleTxtG"/>
              <w:keepNext/>
              <w:spacing w:before="40" w:after="40" w:line="220" w:lineRule="exact"/>
              <w:ind w:left="0" w:right="113"/>
              <w:jc w:val="right"/>
              <w:rPr>
                <w:sz w:val="18"/>
              </w:rPr>
            </w:pPr>
            <w:r w:rsidRPr="007A6092">
              <w:rPr>
                <w:sz w:val="18"/>
              </w:rPr>
              <w:t>5.9</w:t>
            </w:r>
          </w:p>
        </w:tc>
        <w:tc>
          <w:tcPr>
            <w:tcW w:w="1009" w:type="dxa"/>
            <w:tcBorders>
              <w:top w:val="nil"/>
            </w:tcBorders>
            <w:shd w:val="clear" w:color="auto" w:fill="auto"/>
            <w:vAlign w:val="bottom"/>
          </w:tcPr>
          <w:p w14:paraId="7B79B587" w14:textId="77777777" w:rsidR="00263BCB" w:rsidRPr="007A6092" w:rsidRDefault="00263BCB" w:rsidP="007D5B1E">
            <w:pPr>
              <w:pStyle w:val="SingleTxtG"/>
              <w:keepNext/>
              <w:spacing w:before="40" w:after="40" w:line="220" w:lineRule="exact"/>
              <w:ind w:left="0" w:right="113"/>
              <w:jc w:val="right"/>
              <w:rPr>
                <w:sz w:val="18"/>
              </w:rPr>
            </w:pPr>
            <w:r w:rsidRPr="007A6092">
              <w:rPr>
                <w:sz w:val="18"/>
              </w:rPr>
              <w:t>6.6</w:t>
            </w:r>
          </w:p>
        </w:tc>
        <w:tc>
          <w:tcPr>
            <w:tcW w:w="1009" w:type="dxa"/>
            <w:tcBorders>
              <w:top w:val="nil"/>
            </w:tcBorders>
            <w:shd w:val="clear" w:color="auto" w:fill="auto"/>
            <w:vAlign w:val="bottom"/>
          </w:tcPr>
          <w:p w14:paraId="0735FC2D" w14:textId="77777777" w:rsidR="00263BCB" w:rsidRPr="007A6092" w:rsidRDefault="00263BCB" w:rsidP="007D5B1E">
            <w:pPr>
              <w:pStyle w:val="SingleTxtG"/>
              <w:keepNext/>
              <w:spacing w:before="40" w:after="40" w:line="220" w:lineRule="exact"/>
              <w:ind w:left="0" w:right="113"/>
              <w:jc w:val="right"/>
              <w:rPr>
                <w:sz w:val="18"/>
              </w:rPr>
            </w:pPr>
            <w:r w:rsidRPr="007A6092">
              <w:rPr>
                <w:sz w:val="18"/>
              </w:rPr>
              <w:t>5.1</w:t>
            </w:r>
          </w:p>
        </w:tc>
        <w:tc>
          <w:tcPr>
            <w:tcW w:w="1009" w:type="dxa"/>
            <w:tcBorders>
              <w:top w:val="nil"/>
            </w:tcBorders>
            <w:shd w:val="clear" w:color="auto" w:fill="auto"/>
            <w:vAlign w:val="bottom"/>
          </w:tcPr>
          <w:p w14:paraId="3D17EED7" w14:textId="77777777" w:rsidR="00263BCB" w:rsidRPr="007A6092" w:rsidRDefault="00263BCB" w:rsidP="007D5B1E">
            <w:pPr>
              <w:pStyle w:val="SingleTxtG"/>
              <w:keepNext/>
              <w:spacing w:before="40" w:after="40" w:line="220" w:lineRule="exact"/>
              <w:ind w:left="0" w:right="113"/>
              <w:jc w:val="right"/>
              <w:rPr>
                <w:sz w:val="18"/>
              </w:rPr>
            </w:pPr>
            <w:r w:rsidRPr="007A6092">
              <w:rPr>
                <w:sz w:val="18"/>
              </w:rPr>
              <w:t>9</w:t>
            </w:r>
          </w:p>
        </w:tc>
      </w:tr>
    </w:tbl>
    <w:p w14:paraId="5C79E468" w14:textId="4914610D" w:rsidR="00263BCB" w:rsidRPr="005D213B" w:rsidRDefault="00263BCB" w:rsidP="00263BCB">
      <w:pPr>
        <w:pStyle w:val="H23G"/>
        <w:rPr>
          <w:lang w:val="mk-MK"/>
        </w:rPr>
      </w:pPr>
      <w:r>
        <w:tab/>
      </w:r>
      <w:r>
        <w:tab/>
      </w:r>
      <w:bookmarkStart w:id="57" w:name="_Toc56781457"/>
      <w:r w:rsidRPr="00763DB9">
        <w:rPr>
          <w:b w:val="0"/>
        </w:rPr>
        <w:t>Table 10</w:t>
      </w:r>
      <w:r>
        <w:t xml:space="preserve"> </w:t>
      </w:r>
      <w:r>
        <w:br/>
      </w:r>
      <w:r w:rsidRPr="005D213B">
        <w:t>Infant mortality by place of residence of mothers (rural/urban) (2011</w:t>
      </w:r>
      <w:r w:rsidR="007A6092">
        <w:t>–</w:t>
      </w:r>
      <w:r w:rsidRPr="005D213B">
        <w:t>2016)</w:t>
      </w:r>
      <w:bookmarkEnd w:id="57"/>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082"/>
        <w:gridCol w:w="1048"/>
        <w:gridCol w:w="1048"/>
        <w:gridCol w:w="1048"/>
        <w:gridCol w:w="1048"/>
        <w:gridCol w:w="1048"/>
        <w:gridCol w:w="1048"/>
      </w:tblGrid>
      <w:tr w:rsidR="00263BCB" w:rsidRPr="007A6092" w14:paraId="1B942627" w14:textId="77777777" w:rsidTr="007A6092">
        <w:trPr>
          <w:tblHeader/>
        </w:trPr>
        <w:tc>
          <w:tcPr>
            <w:tcW w:w="1082" w:type="dxa"/>
            <w:tcBorders>
              <w:top w:val="single" w:sz="4" w:space="0" w:color="auto"/>
              <w:bottom w:val="single" w:sz="12" w:space="0" w:color="auto"/>
            </w:tcBorders>
            <w:shd w:val="clear" w:color="auto" w:fill="auto"/>
            <w:vAlign w:val="bottom"/>
          </w:tcPr>
          <w:p w14:paraId="4B3C602B" w14:textId="77777777" w:rsidR="00263BCB" w:rsidRPr="007A6092" w:rsidRDefault="00263BCB" w:rsidP="007A6092">
            <w:pPr>
              <w:pStyle w:val="SingleTxtG"/>
              <w:spacing w:before="80" w:after="80" w:line="200" w:lineRule="exact"/>
              <w:ind w:left="0" w:right="113"/>
              <w:jc w:val="left"/>
              <w:rPr>
                <w:i/>
                <w:sz w:val="16"/>
              </w:rPr>
            </w:pPr>
          </w:p>
        </w:tc>
        <w:tc>
          <w:tcPr>
            <w:tcW w:w="1048" w:type="dxa"/>
            <w:tcBorders>
              <w:top w:val="single" w:sz="4" w:space="0" w:color="auto"/>
              <w:bottom w:val="single" w:sz="12" w:space="0" w:color="auto"/>
            </w:tcBorders>
            <w:shd w:val="clear" w:color="auto" w:fill="auto"/>
            <w:vAlign w:val="bottom"/>
          </w:tcPr>
          <w:p w14:paraId="66422B29"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2011</w:t>
            </w:r>
          </w:p>
        </w:tc>
        <w:tc>
          <w:tcPr>
            <w:tcW w:w="1048" w:type="dxa"/>
            <w:tcBorders>
              <w:top w:val="single" w:sz="4" w:space="0" w:color="auto"/>
              <w:bottom w:val="single" w:sz="12" w:space="0" w:color="auto"/>
            </w:tcBorders>
            <w:shd w:val="clear" w:color="auto" w:fill="auto"/>
            <w:vAlign w:val="bottom"/>
          </w:tcPr>
          <w:p w14:paraId="137EA00F"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2012</w:t>
            </w:r>
          </w:p>
        </w:tc>
        <w:tc>
          <w:tcPr>
            <w:tcW w:w="1048" w:type="dxa"/>
            <w:tcBorders>
              <w:top w:val="single" w:sz="4" w:space="0" w:color="auto"/>
              <w:bottom w:val="single" w:sz="12" w:space="0" w:color="auto"/>
            </w:tcBorders>
            <w:shd w:val="clear" w:color="auto" w:fill="auto"/>
            <w:vAlign w:val="bottom"/>
          </w:tcPr>
          <w:p w14:paraId="7BCF22F5"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2013</w:t>
            </w:r>
          </w:p>
        </w:tc>
        <w:tc>
          <w:tcPr>
            <w:tcW w:w="1048" w:type="dxa"/>
            <w:tcBorders>
              <w:top w:val="single" w:sz="4" w:space="0" w:color="auto"/>
              <w:bottom w:val="single" w:sz="12" w:space="0" w:color="auto"/>
            </w:tcBorders>
            <w:shd w:val="clear" w:color="auto" w:fill="auto"/>
            <w:vAlign w:val="bottom"/>
          </w:tcPr>
          <w:p w14:paraId="547D0418"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2014</w:t>
            </w:r>
          </w:p>
        </w:tc>
        <w:tc>
          <w:tcPr>
            <w:tcW w:w="1048" w:type="dxa"/>
            <w:tcBorders>
              <w:top w:val="single" w:sz="4" w:space="0" w:color="auto"/>
              <w:bottom w:val="single" w:sz="12" w:space="0" w:color="auto"/>
            </w:tcBorders>
            <w:shd w:val="clear" w:color="auto" w:fill="auto"/>
            <w:vAlign w:val="bottom"/>
          </w:tcPr>
          <w:p w14:paraId="5B12E68E"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2015</w:t>
            </w:r>
          </w:p>
        </w:tc>
        <w:tc>
          <w:tcPr>
            <w:tcW w:w="1048" w:type="dxa"/>
            <w:tcBorders>
              <w:top w:val="single" w:sz="4" w:space="0" w:color="auto"/>
              <w:bottom w:val="single" w:sz="12" w:space="0" w:color="auto"/>
            </w:tcBorders>
            <w:shd w:val="clear" w:color="auto" w:fill="auto"/>
            <w:vAlign w:val="bottom"/>
          </w:tcPr>
          <w:p w14:paraId="7F23CD9E"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2016</w:t>
            </w:r>
          </w:p>
        </w:tc>
      </w:tr>
      <w:tr w:rsidR="00263BCB" w:rsidRPr="007A6092" w14:paraId="306C53B2" w14:textId="77777777" w:rsidTr="007A6092">
        <w:tc>
          <w:tcPr>
            <w:tcW w:w="1082" w:type="dxa"/>
            <w:tcBorders>
              <w:top w:val="single" w:sz="12" w:space="0" w:color="auto"/>
              <w:bottom w:val="single" w:sz="4" w:space="0" w:color="auto"/>
            </w:tcBorders>
            <w:shd w:val="clear" w:color="auto" w:fill="auto"/>
          </w:tcPr>
          <w:p w14:paraId="1D887478" w14:textId="77777777" w:rsidR="00263BCB" w:rsidRPr="007A6092" w:rsidRDefault="00263BCB" w:rsidP="007A6092">
            <w:pPr>
              <w:pStyle w:val="SingleTxtG"/>
              <w:spacing w:before="80" w:after="80" w:line="220" w:lineRule="exact"/>
              <w:ind w:left="141" w:right="113"/>
              <w:jc w:val="left"/>
              <w:rPr>
                <w:b/>
                <w:sz w:val="18"/>
              </w:rPr>
            </w:pPr>
            <w:r w:rsidRPr="007A6092">
              <w:rPr>
                <w:b/>
                <w:sz w:val="18"/>
              </w:rPr>
              <w:t>Total</w:t>
            </w:r>
          </w:p>
        </w:tc>
        <w:tc>
          <w:tcPr>
            <w:tcW w:w="1048" w:type="dxa"/>
            <w:tcBorders>
              <w:top w:val="single" w:sz="12" w:space="0" w:color="auto"/>
              <w:bottom w:val="single" w:sz="4" w:space="0" w:color="auto"/>
            </w:tcBorders>
            <w:shd w:val="clear" w:color="auto" w:fill="auto"/>
            <w:vAlign w:val="bottom"/>
          </w:tcPr>
          <w:p w14:paraId="16E8F251" w14:textId="77777777" w:rsidR="00263BCB" w:rsidRPr="007A6092" w:rsidRDefault="00263BCB" w:rsidP="007A6092">
            <w:pPr>
              <w:pStyle w:val="SingleTxtG"/>
              <w:spacing w:before="80" w:after="80" w:line="220" w:lineRule="exact"/>
              <w:ind w:left="0" w:right="113"/>
              <w:jc w:val="right"/>
              <w:rPr>
                <w:b/>
                <w:sz w:val="18"/>
              </w:rPr>
            </w:pPr>
            <w:r w:rsidRPr="007A6092">
              <w:rPr>
                <w:b/>
                <w:sz w:val="18"/>
              </w:rPr>
              <w:t>7.5</w:t>
            </w:r>
          </w:p>
        </w:tc>
        <w:tc>
          <w:tcPr>
            <w:tcW w:w="1048" w:type="dxa"/>
            <w:tcBorders>
              <w:top w:val="single" w:sz="12" w:space="0" w:color="auto"/>
              <w:bottom w:val="single" w:sz="4" w:space="0" w:color="auto"/>
            </w:tcBorders>
            <w:shd w:val="clear" w:color="auto" w:fill="auto"/>
            <w:vAlign w:val="bottom"/>
          </w:tcPr>
          <w:p w14:paraId="01A4D549" w14:textId="77777777" w:rsidR="00263BCB" w:rsidRPr="007A6092" w:rsidRDefault="00263BCB" w:rsidP="007A6092">
            <w:pPr>
              <w:pStyle w:val="SingleTxtG"/>
              <w:spacing w:before="80" w:after="80" w:line="220" w:lineRule="exact"/>
              <w:ind w:left="0" w:right="113"/>
              <w:jc w:val="right"/>
              <w:rPr>
                <w:b/>
                <w:sz w:val="18"/>
              </w:rPr>
            </w:pPr>
            <w:r w:rsidRPr="007A6092">
              <w:rPr>
                <w:b/>
                <w:sz w:val="18"/>
              </w:rPr>
              <w:t>9.8</w:t>
            </w:r>
          </w:p>
        </w:tc>
        <w:tc>
          <w:tcPr>
            <w:tcW w:w="1048" w:type="dxa"/>
            <w:tcBorders>
              <w:top w:val="single" w:sz="12" w:space="0" w:color="auto"/>
              <w:bottom w:val="single" w:sz="4" w:space="0" w:color="auto"/>
            </w:tcBorders>
            <w:shd w:val="clear" w:color="auto" w:fill="auto"/>
            <w:vAlign w:val="bottom"/>
          </w:tcPr>
          <w:p w14:paraId="2B970C6A" w14:textId="77777777" w:rsidR="00263BCB" w:rsidRPr="007A6092" w:rsidRDefault="00263BCB" w:rsidP="007A6092">
            <w:pPr>
              <w:pStyle w:val="SingleTxtG"/>
              <w:spacing w:before="80" w:after="80" w:line="220" w:lineRule="exact"/>
              <w:ind w:left="0" w:right="113"/>
              <w:jc w:val="right"/>
              <w:rPr>
                <w:b/>
                <w:sz w:val="18"/>
              </w:rPr>
            </w:pPr>
            <w:r w:rsidRPr="007A6092">
              <w:rPr>
                <w:b/>
                <w:sz w:val="18"/>
              </w:rPr>
              <w:t>10.2</w:t>
            </w:r>
          </w:p>
        </w:tc>
        <w:tc>
          <w:tcPr>
            <w:tcW w:w="1048" w:type="dxa"/>
            <w:tcBorders>
              <w:top w:val="single" w:sz="12" w:space="0" w:color="auto"/>
              <w:bottom w:val="single" w:sz="4" w:space="0" w:color="auto"/>
            </w:tcBorders>
            <w:shd w:val="clear" w:color="auto" w:fill="auto"/>
            <w:vAlign w:val="bottom"/>
          </w:tcPr>
          <w:p w14:paraId="5CC40F81" w14:textId="77777777" w:rsidR="00263BCB" w:rsidRPr="007A6092" w:rsidRDefault="00263BCB" w:rsidP="007A6092">
            <w:pPr>
              <w:pStyle w:val="SingleTxtG"/>
              <w:spacing w:before="80" w:after="80" w:line="220" w:lineRule="exact"/>
              <w:ind w:left="0" w:right="113"/>
              <w:jc w:val="right"/>
              <w:rPr>
                <w:b/>
                <w:sz w:val="18"/>
              </w:rPr>
            </w:pPr>
            <w:r w:rsidRPr="007A6092">
              <w:rPr>
                <w:b/>
                <w:sz w:val="18"/>
              </w:rPr>
              <w:t>9.9</w:t>
            </w:r>
          </w:p>
        </w:tc>
        <w:tc>
          <w:tcPr>
            <w:tcW w:w="1048" w:type="dxa"/>
            <w:tcBorders>
              <w:top w:val="single" w:sz="12" w:space="0" w:color="auto"/>
              <w:bottom w:val="single" w:sz="4" w:space="0" w:color="auto"/>
            </w:tcBorders>
            <w:shd w:val="clear" w:color="auto" w:fill="auto"/>
            <w:vAlign w:val="bottom"/>
          </w:tcPr>
          <w:p w14:paraId="6893BAC3" w14:textId="77777777" w:rsidR="00263BCB" w:rsidRPr="007A6092" w:rsidRDefault="00263BCB" w:rsidP="007A6092">
            <w:pPr>
              <w:pStyle w:val="SingleTxtG"/>
              <w:spacing w:before="80" w:after="80" w:line="220" w:lineRule="exact"/>
              <w:ind w:left="0" w:right="113"/>
              <w:jc w:val="right"/>
              <w:rPr>
                <w:b/>
                <w:sz w:val="18"/>
              </w:rPr>
            </w:pPr>
            <w:r w:rsidRPr="007A6092">
              <w:rPr>
                <w:b/>
                <w:sz w:val="18"/>
              </w:rPr>
              <w:t>8.6</w:t>
            </w:r>
          </w:p>
        </w:tc>
        <w:tc>
          <w:tcPr>
            <w:tcW w:w="1048" w:type="dxa"/>
            <w:tcBorders>
              <w:top w:val="single" w:sz="12" w:space="0" w:color="auto"/>
              <w:bottom w:val="single" w:sz="4" w:space="0" w:color="auto"/>
            </w:tcBorders>
            <w:shd w:val="clear" w:color="auto" w:fill="auto"/>
            <w:vAlign w:val="bottom"/>
          </w:tcPr>
          <w:p w14:paraId="0670CCC5" w14:textId="77777777" w:rsidR="00263BCB" w:rsidRPr="007A6092" w:rsidRDefault="00263BCB" w:rsidP="007A6092">
            <w:pPr>
              <w:pStyle w:val="SingleTxtG"/>
              <w:spacing w:before="80" w:after="80" w:line="220" w:lineRule="exact"/>
              <w:ind w:left="0" w:right="113"/>
              <w:jc w:val="right"/>
              <w:rPr>
                <w:b/>
                <w:sz w:val="18"/>
              </w:rPr>
            </w:pPr>
            <w:r w:rsidRPr="007A6092">
              <w:rPr>
                <w:b/>
                <w:sz w:val="18"/>
              </w:rPr>
              <w:t>11.9</w:t>
            </w:r>
          </w:p>
        </w:tc>
      </w:tr>
      <w:tr w:rsidR="00263BCB" w:rsidRPr="007A6092" w14:paraId="79385FFA" w14:textId="77777777" w:rsidTr="007A6092">
        <w:tc>
          <w:tcPr>
            <w:tcW w:w="1082" w:type="dxa"/>
            <w:tcBorders>
              <w:top w:val="single" w:sz="4" w:space="0" w:color="auto"/>
            </w:tcBorders>
            <w:shd w:val="clear" w:color="auto" w:fill="auto"/>
          </w:tcPr>
          <w:p w14:paraId="46D39AFF" w14:textId="77777777" w:rsidR="00263BCB" w:rsidRPr="007A6092" w:rsidRDefault="00263BCB" w:rsidP="007A6092">
            <w:pPr>
              <w:pStyle w:val="SingleTxtG"/>
              <w:spacing w:before="40" w:after="40" w:line="220" w:lineRule="exact"/>
              <w:ind w:left="0" w:right="113"/>
              <w:jc w:val="left"/>
              <w:rPr>
                <w:sz w:val="18"/>
              </w:rPr>
            </w:pPr>
            <w:r w:rsidRPr="007A6092">
              <w:rPr>
                <w:sz w:val="18"/>
              </w:rPr>
              <w:t>Rural</w:t>
            </w:r>
          </w:p>
        </w:tc>
        <w:tc>
          <w:tcPr>
            <w:tcW w:w="1048" w:type="dxa"/>
            <w:tcBorders>
              <w:top w:val="single" w:sz="4" w:space="0" w:color="auto"/>
            </w:tcBorders>
            <w:shd w:val="clear" w:color="auto" w:fill="auto"/>
            <w:vAlign w:val="bottom"/>
          </w:tcPr>
          <w:p w14:paraId="3EEDFF7B" w14:textId="77777777" w:rsidR="00263BCB" w:rsidRPr="007A6092" w:rsidRDefault="00263BCB" w:rsidP="007A6092">
            <w:pPr>
              <w:pStyle w:val="SingleTxtG"/>
              <w:spacing w:before="40" w:after="40" w:line="220" w:lineRule="exact"/>
              <w:ind w:left="0" w:right="113"/>
              <w:jc w:val="right"/>
              <w:rPr>
                <w:sz w:val="18"/>
              </w:rPr>
            </w:pPr>
            <w:r w:rsidRPr="007A6092">
              <w:rPr>
                <w:sz w:val="18"/>
              </w:rPr>
              <w:t>N/А</w:t>
            </w:r>
          </w:p>
        </w:tc>
        <w:tc>
          <w:tcPr>
            <w:tcW w:w="1048" w:type="dxa"/>
            <w:tcBorders>
              <w:top w:val="single" w:sz="4" w:space="0" w:color="auto"/>
            </w:tcBorders>
            <w:shd w:val="clear" w:color="auto" w:fill="auto"/>
            <w:vAlign w:val="bottom"/>
          </w:tcPr>
          <w:p w14:paraId="4B6ED92A" w14:textId="77777777" w:rsidR="00263BCB" w:rsidRPr="007A6092" w:rsidRDefault="00263BCB" w:rsidP="007A6092">
            <w:pPr>
              <w:pStyle w:val="SingleTxtG"/>
              <w:spacing w:before="40" w:after="40" w:line="220" w:lineRule="exact"/>
              <w:ind w:left="0" w:right="113"/>
              <w:jc w:val="right"/>
              <w:rPr>
                <w:sz w:val="18"/>
              </w:rPr>
            </w:pPr>
            <w:r w:rsidRPr="007A6092">
              <w:rPr>
                <w:sz w:val="18"/>
              </w:rPr>
              <w:t>N/А</w:t>
            </w:r>
          </w:p>
        </w:tc>
        <w:tc>
          <w:tcPr>
            <w:tcW w:w="1048" w:type="dxa"/>
            <w:tcBorders>
              <w:top w:val="single" w:sz="4" w:space="0" w:color="auto"/>
            </w:tcBorders>
            <w:shd w:val="clear" w:color="auto" w:fill="auto"/>
            <w:vAlign w:val="bottom"/>
          </w:tcPr>
          <w:p w14:paraId="768E0509" w14:textId="77777777" w:rsidR="00263BCB" w:rsidRPr="007A6092" w:rsidRDefault="00263BCB" w:rsidP="007A6092">
            <w:pPr>
              <w:pStyle w:val="SingleTxtG"/>
              <w:spacing w:before="40" w:after="40" w:line="220" w:lineRule="exact"/>
              <w:ind w:left="0" w:right="113"/>
              <w:jc w:val="right"/>
              <w:rPr>
                <w:sz w:val="18"/>
              </w:rPr>
            </w:pPr>
            <w:r w:rsidRPr="007A6092">
              <w:rPr>
                <w:sz w:val="18"/>
              </w:rPr>
              <w:t>10.7</w:t>
            </w:r>
          </w:p>
        </w:tc>
        <w:tc>
          <w:tcPr>
            <w:tcW w:w="1048" w:type="dxa"/>
            <w:tcBorders>
              <w:top w:val="single" w:sz="4" w:space="0" w:color="auto"/>
            </w:tcBorders>
            <w:shd w:val="clear" w:color="auto" w:fill="auto"/>
            <w:vAlign w:val="bottom"/>
          </w:tcPr>
          <w:p w14:paraId="41640FDF" w14:textId="77777777" w:rsidR="00263BCB" w:rsidRPr="007A6092" w:rsidRDefault="00263BCB" w:rsidP="007A6092">
            <w:pPr>
              <w:pStyle w:val="SingleTxtG"/>
              <w:spacing w:before="40" w:after="40" w:line="220" w:lineRule="exact"/>
              <w:ind w:left="0" w:right="113"/>
              <w:jc w:val="right"/>
              <w:rPr>
                <w:sz w:val="18"/>
              </w:rPr>
            </w:pPr>
            <w:r w:rsidRPr="007A6092">
              <w:rPr>
                <w:sz w:val="18"/>
              </w:rPr>
              <w:t>9.5</w:t>
            </w:r>
          </w:p>
        </w:tc>
        <w:tc>
          <w:tcPr>
            <w:tcW w:w="1048" w:type="dxa"/>
            <w:tcBorders>
              <w:top w:val="single" w:sz="4" w:space="0" w:color="auto"/>
            </w:tcBorders>
            <w:shd w:val="clear" w:color="auto" w:fill="auto"/>
            <w:vAlign w:val="bottom"/>
          </w:tcPr>
          <w:p w14:paraId="36C1C38A" w14:textId="77777777" w:rsidR="00263BCB" w:rsidRPr="007A6092" w:rsidRDefault="00263BCB" w:rsidP="007A6092">
            <w:pPr>
              <w:pStyle w:val="SingleTxtG"/>
              <w:spacing w:before="40" w:after="40" w:line="220" w:lineRule="exact"/>
              <w:ind w:left="0" w:right="113"/>
              <w:jc w:val="right"/>
              <w:rPr>
                <w:sz w:val="18"/>
              </w:rPr>
            </w:pPr>
            <w:r w:rsidRPr="007A6092">
              <w:rPr>
                <w:sz w:val="18"/>
              </w:rPr>
              <w:t>8.4</w:t>
            </w:r>
          </w:p>
        </w:tc>
        <w:tc>
          <w:tcPr>
            <w:tcW w:w="1048" w:type="dxa"/>
            <w:tcBorders>
              <w:top w:val="single" w:sz="4" w:space="0" w:color="auto"/>
            </w:tcBorders>
            <w:shd w:val="clear" w:color="auto" w:fill="auto"/>
            <w:vAlign w:val="bottom"/>
          </w:tcPr>
          <w:p w14:paraId="427763B1" w14:textId="77777777" w:rsidR="00263BCB" w:rsidRPr="007A6092" w:rsidRDefault="00263BCB" w:rsidP="007A6092">
            <w:pPr>
              <w:pStyle w:val="SingleTxtG"/>
              <w:spacing w:before="40" w:after="40" w:line="220" w:lineRule="exact"/>
              <w:ind w:left="0" w:right="113"/>
              <w:jc w:val="right"/>
              <w:rPr>
                <w:sz w:val="18"/>
              </w:rPr>
            </w:pPr>
            <w:r w:rsidRPr="007A6092">
              <w:rPr>
                <w:sz w:val="18"/>
              </w:rPr>
              <w:t>12.7</w:t>
            </w:r>
          </w:p>
        </w:tc>
      </w:tr>
      <w:tr w:rsidR="00263BCB" w:rsidRPr="007A6092" w14:paraId="0938247E" w14:textId="77777777" w:rsidTr="007A6092">
        <w:tc>
          <w:tcPr>
            <w:tcW w:w="1082" w:type="dxa"/>
            <w:shd w:val="clear" w:color="auto" w:fill="auto"/>
          </w:tcPr>
          <w:p w14:paraId="02C7027E" w14:textId="77777777" w:rsidR="00263BCB" w:rsidRPr="007A6092" w:rsidRDefault="00263BCB" w:rsidP="007A6092">
            <w:pPr>
              <w:pStyle w:val="SingleTxtG"/>
              <w:spacing w:before="40" w:after="40" w:line="220" w:lineRule="exact"/>
              <w:ind w:left="0" w:right="113"/>
              <w:jc w:val="left"/>
              <w:rPr>
                <w:sz w:val="18"/>
              </w:rPr>
            </w:pPr>
            <w:r w:rsidRPr="007A6092">
              <w:rPr>
                <w:sz w:val="18"/>
              </w:rPr>
              <w:t xml:space="preserve">Urban </w:t>
            </w:r>
          </w:p>
        </w:tc>
        <w:tc>
          <w:tcPr>
            <w:tcW w:w="1048" w:type="dxa"/>
            <w:shd w:val="clear" w:color="auto" w:fill="auto"/>
            <w:vAlign w:val="bottom"/>
          </w:tcPr>
          <w:p w14:paraId="27B75B3D" w14:textId="77777777" w:rsidR="00263BCB" w:rsidRPr="007A6092" w:rsidRDefault="00263BCB" w:rsidP="007A6092">
            <w:pPr>
              <w:pStyle w:val="SingleTxtG"/>
              <w:spacing w:before="40" w:after="40" w:line="220" w:lineRule="exact"/>
              <w:ind w:left="0" w:right="113"/>
              <w:jc w:val="right"/>
              <w:rPr>
                <w:sz w:val="18"/>
              </w:rPr>
            </w:pPr>
            <w:r w:rsidRPr="007A6092">
              <w:rPr>
                <w:sz w:val="18"/>
              </w:rPr>
              <w:t>N/А</w:t>
            </w:r>
          </w:p>
        </w:tc>
        <w:tc>
          <w:tcPr>
            <w:tcW w:w="1048" w:type="dxa"/>
            <w:shd w:val="clear" w:color="auto" w:fill="auto"/>
            <w:vAlign w:val="bottom"/>
          </w:tcPr>
          <w:p w14:paraId="4034073B" w14:textId="77777777" w:rsidR="00263BCB" w:rsidRPr="007A6092" w:rsidRDefault="00263BCB" w:rsidP="007A6092">
            <w:pPr>
              <w:pStyle w:val="SingleTxtG"/>
              <w:spacing w:before="40" w:after="40" w:line="220" w:lineRule="exact"/>
              <w:ind w:left="0" w:right="113"/>
              <w:jc w:val="right"/>
              <w:rPr>
                <w:sz w:val="18"/>
              </w:rPr>
            </w:pPr>
            <w:r w:rsidRPr="007A6092">
              <w:rPr>
                <w:sz w:val="18"/>
              </w:rPr>
              <w:t>N/А</w:t>
            </w:r>
          </w:p>
        </w:tc>
        <w:tc>
          <w:tcPr>
            <w:tcW w:w="1048" w:type="dxa"/>
            <w:shd w:val="clear" w:color="auto" w:fill="auto"/>
            <w:vAlign w:val="bottom"/>
          </w:tcPr>
          <w:p w14:paraId="27064BA2" w14:textId="77777777" w:rsidR="00263BCB" w:rsidRPr="007A6092" w:rsidRDefault="00263BCB" w:rsidP="007A6092">
            <w:pPr>
              <w:pStyle w:val="SingleTxtG"/>
              <w:spacing w:before="40" w:after="40" w:line="220" w:lineRule="exact"/>
              <w:ind w:left="0" w:right="113"/>
              <w:jc w:val="right"/>
              <w:rPr>
                <w:sz w:val="18"/>
              </w:rPr>
            </w:pPr>
            <w:r w:rsidRPr="007A6092">
              <w:rPr>
                <w:sz w:val="18"/>
              </w:rPr>
              <w:t>9.9</w:t>
            </w:r>
          </w:p>
        </w:tc>
        <w:tc>
          <w:tcPr>
            <w:tcW w:w="1048" w:type="dxa"/>
            <w:shd w:val="clear" w:color="auto" w:fill="auto"/>
            <w:vAlign w:val="bottom"/>
          </w:tcPr>
          <w:p w14:paraId="37906097" w14:textId="77777777" w:rsidR="00263BCB" w:rsidRPr="007A6092" w:rsidRDefault="00263BCB" w:rsidP="007A6092">
            <w:pPr>
              <w:pStyle w:val="SingleTxtG"/>
              <w:spacing w:before="40" w:after="40" w:line="220" w:lineRule="exact"/>
              <w:ind w:left="0" w:right="113"/>
              <w:jc w:val="right"/>
              <w:rPr>
                <w:sz w:val="18"/>
              </w:rPr>
            </w:pPr>
            <w:r w:rsidRPr="007A6092">
              <w:rPr>
                <w:sz w:val="18"/>
              </w:rPr>
              <w:t>10.5</w:t>
            </w:r>
          </w:p>
        </w:tc>
        <w:tc>
          <w:tcPr>
            <w:tcW w:w="1048" w:type="dxa"/>
            <w:shd w:val="clear" w:color="auto" w:fill="auto"/>
            <w:vAlign w:val="bottom"/>
          </w:tcPr>
          <w:p w14:paraId="38D6596C" w14:textId="77777777" w:rsidR="00263BCB" w:rsidRPr="007A6092" w:rsidRDefault="00263BCB" w:rsidP="007A6092">
            <w:pPr>
              <w:pStyle w:val="SingleTxtG"/>
              <w:spacing w:before="40" w:after="40" w:line="220" w:lineRule="exact"/>
              <w:ind w:left="0" w:right="113"/>
              <w:jc w:val="right"/>
              <w:rPr>
                <w:sz w:val="18"/>
              </w:rPr>
            </w:pPr>
            <w:r w:rsidRPr="007A6092">
              <w:rPr>
                <w:sz w:val="18"/>
              </w:rPr>
              <w:t>8.7</w:t>
            </w:r>
          </w:p>
        </w:tc>
        <w:tc>
          <w:tcPr>
            <w:tcW w:w="1048" w:type="dxa"/>
            <w:shd w:val="clear" w:color="auto" w:fill="auto"/>
            <w:vAlign w:val="bottom"/>
          </w:tcPr>
          <w:p w14:paraId="1231528A" w14:textId="77777777" w:rsidR="00263BCB" w:rsidRPr="007A6092" w:rsidRDefault="00263BCB" w:rsidP="007A6092">
            <w:pPr>
              <w:pStyle w:val="SingleTxtG"/>
              <w:spacing w:before="40" w:after="40" w:line="220" w:lineRule="exact"/>
              <w:ind w:left="0" w:right="113"/>
              <w:jc w:val="right"/>
              <w:rPr>
                <w:sz w:val="18"/>
              </w:rPr>
            </w:pPr>
            <w:r w:rsidRPr="007A6092">
              <w:rPr>
                <w:sz w:val="18"/>
              </w:rPr>
              <w:t>11.3</w:t>
            </w:r>
          </w:p>
        </w:tc>
      </w:tr>
    </w:tbl>
    <w:p w14:paraId="49DCBDA1" w14:textId="2DF258C0" w:rsidR="00263BCB" w:rsidRPr="005D213B" w:rsidRDefault="00570685" w:rsidP="00570685">
      <w:pPr>
        <w:pStyle w:val="ParaNoG"/>
        <w:numPr>
          <w:ilvl w:val="0"/>
          <w:numId w:val="0"/>
        </w:numPr>
        <w:tabs>
          <w:tab w:val="left" w:pos="0"/>
        </w:tabs>
        <w:spacing w:before="240"/>
        <w:ind w:left="1134"/>
      </w:pPr>
      <w:r w:rsidRPr="005D213B">
        <w:t>144.</w:t>
      </w:r>
      <w:r w:rsidRPr="005D213B">
        <w:tab/>
      </w:r>
      <w:r w:rsidR="00263BCB" w:rsidRPr="005D213B">
        <w:t>The percentage of children with low birth weight of less than 2,500 grams has been continuously growing.</w:t>
      </w:r>
    </w:p>
    <w:p w14:paraId="3463AABF" w14:textId="7014155A" w:rsidR="00263BCB" w:rsidRPr="005D213B" w:rsidRDefault="00263BCB" w:rsidP="00263BCB">
      <w:pPr>
        <w:pStyle w:val="H23G"/>
      </w:pPr>
      <w:r>
        <w:tab/>
      </w:r>
      <w:r>
        <w:tab/>
      </w:r>
      <w:bookmarkStart w:id="58" w:name="_Toc56781458"/>
      <w:r w:rsidRPr="00095526">
        <w:rPr>
          <w:b w:val="0"/>
        </w:rPr>
        <w:t>Table 11</w:t>
      </w:r>
      <w:r w:rsidRPr="005D213B">
        <w:t xml:space="preserve"> </w:t>
      </w:r>
      <w:r>
        <w:br/>
      </w:r>
      <w:r w:rsidRPr="005D213B">
        <w:t>Percentage of children with low birth weight of less than 2,500 grams (2011</w:t>
      </w:r>
      <w:r w:rsidR="007A6092">
        <w:t>–</w:t>
      </w:r>
      <w:r w:rsidRPr="005D213B">
        <w:t>2016)</w:t>
      </w:r>
      <w:bookmarkEnd w:id="58"/>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552"/>
        <w:gridCol w:w="709"/>
        <w:gridCol w:w="708"/>
        <w:gridCol w:w="851"/>
        <w:gridCol w:w="850"/>
        <w:gridCol w:w="851"/>
        <w:gridCol w:w="849"/>
      </w:tblGrid>
      <w:tr w:rsidR="00263BCB" w:rsidRPr="007A6092" w14:paraId="545C0673" w14:textId="77777777" w:rsidTr="007A6092">
        <w:trPr>
          <w:tblHeader/>
        </w:trPr>
        <w:tc>
          <w:tcPr>
            <w:tcW w:w="2552" w:type="dxa"/>
            <w:tcBorders>
              <w:top w:val="single" w:sz="4" w:space="0" w:color="auto"/>
              <w:bottom w:val="single" w:sz="12" w:space="0" w:color="auto"/>
            </w:tcBorders>
            <w:shd w:val="clear" w:color="auto" w:fill="auto"/>
            <w:vAlign w:val="bottom"/>
          </w:tcPr>
          <w:p w14:paraId="6E9A3262" w14:textId="77777777" w:rsidR="00263BCB" w:rsidRPr="007A6092" w:rsidRDefault="00263BCB" w:rsidP="007A6092">
            <w:pPr>
              <w:pStyle w:val="SingleTxtG"/>
              <w:spacing w:before="80" w:after="80" w:line="200" w:lineRule="exact"/>
              <w:ind w:left="0" w:right="113"/>
              <w:jc w:val="left"/>
              <w:rPr>
                <w:bCs/>
                <w:i/>
                <w:sz w:val="16"/>
              </w:rPr>
            </w:pPr>
            <w:r w:rsidRPr="007A6092">
              <w:rPr>
                <w:i/>
                <w:sz w:val="16"/>
              </w:rPr>
              <w:t xml:space="preserve">Indicator </w:t>
            </w:r>
          </w:p>
        </w:tc>
        <w:tc>
          <w:tcPr>
            <w:tcW w:w="709" w:type="dxa"/>
            <w:tcBorders>
              <w:top w:val="single" w:sz="4" w:space="0" w:color="auto"/>
              <w:bottom w:val="single" w:sz="12" w:space="0" w:color="auto"/>
            </w:tcBorders>
            <w:shd w:val="clear" w:color="auto" w:fill="auto"/>
            <w:vAlign w:val="bottom"/>
          </w:tcPr>
          <w:p w14:paraId="2C8BC101"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2011</w:t>
            </w:r>
          </w:p>
        </w:tc>
        <w:tc>
          <w:tcPr>
            <w:tcW w:w="708" w:type="dxa"/>
            <w:tcBorders>
              <w:top w:val="single" w:sz="4" w:space="0" w:color="auto"/>
              <w:bottom w:val="single" w:sz="12" w:space="0" w:color="auto"/>
            </w:tcBorders>
            <w:shd w:val="clear" w:color="auto" w:fill="auto"/>
            <w:vAlign w:val="bottom"/>
          </w:tcPr>
          <w:p w14:paraId="08781051"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2012</w:t>
            </w:r>
          </w:p>
        </w:tc>
        <w:tc>
          <w:tcPr>
            <w:tcW w:w="851" w:type="dxa"/>
            <w:tcBorders>
              <w:top w:val="single" w:sz="4" w:space="0" w:color="auto"/>
              <w:bottom w:val="single" w:sz="12" w:space="0" w:color="auto"/>
            </w:tcBorders>
            <w:shd w:val="clear" w:color="auto" w:fill="auto"/>
            <w:vAlign w:val="bottom"/>
          </w:tcPr>
          <w:p w14:paraId="0116BBD0"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2013</w:t>
            </w:r>
          </w:p>
        </w:tc>
        <w:tc>
          <w:tcPr>
            <w:tcW w:w="850" w:type="dxa"/>
            <w:tcBorders>
              <w:top w:val="single" w:sz="4" w:space="0" w:color="auto"/>
              <w:bottom w:val="single" w:sz="12" w:space="0" w:color="auto"/>
            </w:tcBorders>
            <w:shd w:val="clear" w:color="auto" w:fill="auto"/>
            <w:vAlign w:val="bottom"/>
          </w:tcPr>
          <w:p w14:paraId="602FB982"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2014</w:t>
            </w:r>
          </w:p>
        </w:tc>
        <w:tc>
          <w:tcPr>
            <w:tcW w:w="851" w:type="dxa"/>
            <w:tcBorders>
              <w:top w:val="single" w:sz="4" w:space="0" w:color="auto"/>
              <w:bottom w:val="single" w:sz="12" w:space="0" w:color="auto"/>
            </w:tcBorders>
            <w:shd w:val="clear" w:color="auto" w:fill="auto"/>
            <w:vAlign w:val="bottom"/>
          </w:tcPr>
          <w:p w14:paraId="21EC8ABE"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2015</w:t>
            </w:r>
          </w:p>
        </w:tc>
        <w:tc>
          <w:tcPr>
            <w:tcW w:w="849" w:type="dxa"/>
            <w:tcBorders>
              <w:top w:val="single" w:sz="4" w:space="0" w:color="auto"/>
              <w:bottom w:val="single" w:sz="12" w:space="0" w:color="auto"/>
            </w:tcBorders>
            <w:shd w:val="clear" w:color="auto" w:fill="auto"/>
            <w:vAlign w:val="bottom"/>
          </w:tcPr>
          <w:p w14:paraId="0A936A27" w14:textId="77777777" w:rsidR="00263BCB" w:rsidRPr="007A6092" w:rsidRDefault="00263BCB" w:rsidP="007A6092">
            <w:pPr>
              <w:pStyle w:val="SingleTxtG"/>
              <w:spacing w:before="80" w:after="80" w:line="200" w:lineRule="exact"/>
              <w:ind w:left="0" w:right="113"/>
              <w:jc w:val="right"/>
              <w:rPr>
                <w:bCs/>
                <w:i/>
                <w:sz w:val="16"/>
              </w:rPr>
            </w:pPr>
            <w:r w:rsidRPr="007A6092">
              <w:rPr>
                <w:i/>
                <w:sz w:val="16"/>
              </w:rPr>
              <w:t>2016</w:t>
            </w:r>
          </w:p>
        </w:tc>
      </w:tr>
      <w:tr w:rsidR="00263BCB" w:rsidRPr="007A6092" w14:paraId="3DF9649A" w14:textId="77777777" w:rsidTr="007A6092">
        <w:tc>
          <w:tcPr>
            <w:tcW w:w="2552" w:type="dxa"/>
            <w:tcBorders>
              <w:top w:val="single" w:sz="12" w:space="0" w:color="auto"/>
            </w:tcBorders>
            <w:shd w:val="clear" w:color="auto" w:fill="auto"/>
          </w:tcPr>
          <w:p w14:paraId="69705107" w14:textId="5AA2A8CD" w:rsidR="00263BCB" w:rsidRPr="007A6092" w:rsidRDefault="00263BCB" w:rsidP="007A6092">
            <w:pPr>
              <w:pStyle w:val="SingleTxtG"/>
              <w:spacing w:before="40" w:after="40" w:line="220" w:lineRule="exact"/>
              <w:ind w:left="0" w:right="113"/>
              <w:jc w:val="left"/>
              <w:rPr>
                <w:b/>
                <w:bCs/>
                <w:sz w:val="18"/>
              </w:rPr>
            </w:pPr>
            <w:r w:rsidRPr="007A6092">
              <w:rPr>
                <w:sz w:val="18"/>
              </w:rPr>
              <w:t>% of live births weighing under 2,500 grams per total number of live births</w:t>
            </w:r>
          </w:p>
        </w:tc>
        <w:tc>
          <w:tcPr>
            <w:tcW w:w="709" w:type="dxa"/>
            <w:tcBorders>
              <w:top w:val="single" w:sz="12" w:space="0" w:color="auto"/>
            </w:tcBorders>
            <w:shd w:val="clear" w:color="auto" w:fill="auto"/>
            <w:vAlign w:val="bottom"/>
          </w:tcPr>
          <w:p w14:paraId="14E15EED" w14:textId="77777777" w:rsidR="00263BCB" w:rsidRPr="007A6092" w:rsidRDefault="00263BCB" w:rsidP="007A6092">
            <w:pPr>
              <w:pStyle w:val="SingleTxtG"/>
              <w:spacing w:before="40" w:after="40" w:line="220" w:lineRule="exact"/>
              <w:ind w:left="0" w:right="113"/>
              <w:jc w:val="right"/>
              <w:rPr>
                <w:sz w:val="18"/>
              </w:rPr>
            </w:pPr>
            <w:r w:rsidRPr="007A6092">
              <w:rPr>
                <w:sz w:val="18"/>
              </w:rPr>
              <w:t>7.0</w:t>
            </w:r>
          </w:p>
        </w:tc>
        <w:tc>
          <w:tcPr>
            <w:tcW w:w="708" w:type="dxa"/>
            <w:tcBorders>
              <w:top w:val="single" w:sz="12" w:space="0" w:color="auto"/>
            </w:tcBorders>
            <w:shd w:val="clear" w:color="auto" w:fill="auto"/>
            <w:vAlign w:val="bottom"/>
          </w:tcPr>
          <w:p w14:paraId="2503545C" w14:textId="77777777" w:rsidR="00263BCB" w:rsidRPr="007A6092" w:rsidRDefault="00263BCB" w:rsidP="007A6092">
            <w:pPr>
              <w:pStyle w:val="SingleTxtG"/>
              <w:spacing w:before="40" w:after="40" w:line="220" w:lineRule="exact"/>
              <w:ind w:left="0" w:right="113"/>
              <w:jc w:val="right"/>
              <w:rPr>
                <w:sz w:val="18"/>
              </w:rPr>
            </w:pPr>
            <w:r w:rsidRPr="007A6092">
              <w:rPr>
                <w:sz w:val="18"/>
              </w:rPr>
              <w:t>7.2</w:t>
            </w:r>
          </w:p>
        </w:tc>
        <w:tc>
          <w:tcPr>
            <w:tcW w:w="851" w:type="dxa"/>
            <w:tcBorders>
              <w:top w:val="single" w:sz="12" w:space="0" w:color="auto"/>
            </w:tcBorders>
            <w:shd w:val="clear" w:color="auto" w:fill="auto"/>
            <w:vAlign w:val="bottom"/>
          </w:tcPr>
          <w:p w14:paraId="0BC811FC" w14:textId="77777777" w:rsidR="00263BCB" w:rsidRPr="007A6092" w:rsidRDefault="00263BCB" w:rsidP="007A6092">
            <w:pPr>
              <w:pStyle w:val="SingleTxtG"/>
              <w:spacing w:before="40" w:after="40" w:line="220" w:lineRule="exact"/>
              <w:ind w:left="0" w:right="113"/>
              <w:jc w:val="right"/>
              <w:rPr>
                <w:sz w:val="18"/>
              </w:rPr>
            </w:pPr>
            <w:r w:rsidRPr="007A6092">
              <w:rPr>
                <w:sz w:val="18"/>
              </w:rPr>
              <w:t>7.4</w:t>
            </w:r>
          </w:p>
        </w:tc>
        <w:tc>
          <w:tcPr>
            <w:tcW w:w="850" w:type="dxa"/>
            <w:tcBorders>
              <w:top w:val="single" w:sz="12" w:space="0" w:color="auto"/>
            </w:tcBorders>
            <w:shd w:val="clear" w:color="auto" w:fill="auto"/>
            <w:vAlign w:val="bottom"/>
          </w:tcPr>
          <w:p w14:paraId="1566ABBE" w14:textId="77777777" w:rsidR="00263BCB" w:rsidRPr="007A6092" w:rsidRDefault="00263BCB" w:rsidP="007A6092">
            <w:pPr>
              <w:pStyle w:val="SingleTxtG"/>
              <w:spacing w:before="40" w:after="40" w:line="220" w:lineRule="exact"/>
              <w:ind w:left="0" w:right="113"/>
              <w:jc w:val="right"/>
              <w:rPr>
                <w:sz w:val="18"/>
              </w:rPr>
            </w:pPr>
            <w:r w:rsidRPr="007A6092">
              <w:rPr>
                <w:sz w:val="18"/>
              </w:rPr>
              <w:t>7.2</w:t>
            </w:r>
          </w:p>
        </w:tc>
        <w:tc>
          <w:tcPr>
            <w:tcW w:w="851" w:type="dxa"/>
            <w:tcBorders>
              <w:top w:val="single" w:sz="12" w:space="0" w:color="auto"/>
            </w:tcBorders>
            <w:shd w:val="clear" w:color="auto" w:fill="auto"/>
            <w:vAlign w:val="bottom"/>
          </w:tcPr>
          <w:p w14:paraId="1ED75E89" w14:textId="77777777" w:rsidR="00263BCB" w:rsidRPr="007A6092" w:rsidRDefault="00263BCB" w:rsidP="007A6092">
            <w:pPr>
              <w:pStyle w:val="SingleTxtG"/>
              <w:spacing w:before="40" w:after="40" w:line="220" w:lineRule="exact"/>
              <w:ind w:left="0" w:right="113"/>
              <w:jc w:val="right"/>
              <w:rPr>
                <w:sz w:val="18"/>
              </w:rPr>
            </w:pPr>
            <w:r w:rsidRPr="007A6092">
              <w:rPr>
                <w:sz w:val="18"/>
              </w:rPr>
              <w:t>7.6</w:t>
            </w:r>
          </w:p>
        </w:tc>
        <w:tc>
          <w:tcPr>
            <w:tcW w:w="849" w:type="dxa"/>
            <w:tcBorders>
              <w:top w:val="single" w:sz="12" w:space="0" w:color="auto"/>
            </w:tcBorders>
            <w:shd w:val="clear" w:color="auto" w:fill="auto"/>
            <w:vAlign w:val="bottom"/>
          </w:tcPr>
          <w:p w14:paraId="47525E53" w14:textId="77777777" w:rsidR="00263BCB" w:rsidRPr="007A6092" w:rsidRDefault="00263BCB" w:rsidP="007A6092">
            <w:pPr>
              <w:pStyle w:val="SingleTxtG"/>
              <w:spacing w:before="40" w:after="40" w:line="220" w:lineRule="exact"/>
              <w:ind w:left="0" w:right="113"/>
              <w:jc w:val="right"/>
              <w:rPr>
                <w:sz w:val="18"/>
              </w:rPr>
            </w:pPr>
            <w:r w:rsidRPr="007A6092">
              <w:rPr>
                <w:sz w:val="18"/>
              </w:rPr>
              <w:t>8.2</w:t>
            </w:r>
          </w:p>
        </w:tc>
      </w:tr>
    </w:tbl>
    <w:p w14:paraId="2395489B" w14:textId="4FC404A0" w:rsidR="00263BCB" w:rsidRPr="004E6AF5" w:rsidRDefault="00570685" w:rsidP="00570685">
      <w:pPr>
        <w:pStyle w:val="ParaNoG"/>
        <w:numPr>
          <w:ilvl w:val="0"/>
          <w:numId w:val="0"/>
        </w:numPr>
        <w:tabs>
          <w:tab w:val="left" w:pos="0"/>
        </w:tabs>
        <w:spacing w:before="240"/>
        <w:ind w:left="1134"/>
      </w:pPr>
      <w:r w:rsidRPr="004E6AF5">
        <w:t>145.</w:t>
      </w:r>
      <w:r w:rsidRPr="004E6AF5">
        <w:tab/>
      </w:r>
      <w:r w:rsidR="00263BCB" w:rsidRPr="005D213B">
        <w:t>For purposes of ensuring protection against infectious diseases, compulsory immunoprophylaxis and chemoprophylaxis is being carried out in keeping with the Law on Protection of the Population against Infectious Diseases and the Rulebook on Immunoprophylaxis and Chemoprophylaxis</w:t>
      </w:r>
      <w:r w:rsidR="007A6092">
        <w:t>.</w:t>
      </w:r>
      <w:r w:rsidR="00263BCB" w:rsidRPr="00A21C4B">
        <w:rPr>
          <w:rStyle w:val="FootnoteReference"/>
        </w:rPr>
        <w:footnoteReference w:id="38"/>
      </w:r>
    </w:p>
    <w:p w14:paraId="310F21ED" w14:textId="77777777" w:rsidR="00263BCB" w:rsidRPr="00D9531F" w:rsidRDefault="00263BCB" w:rsidP="00263BCB">
      <w:pPr>
        <w:pStyle w:val="H23G"/>
        <w:rPr>
          <w:rStyle w:val="FootnoteReference"/>
          <w:b w:val="0"/>
          <w:bCs/>
        </w:rPr>
      </w:pPr>
      <w:r>
        <w:tab/>
      </w:r>
      <w:r>
        <w:tab/>
      </w:r>
      <w:bookmarkStart w:id="59" w:name="_Toc56781459"/>
      <w:r w:rsidRPr="00271B6D">
        <w:rPr>
          <w:b w:val="0"/>
        </w:rPr>
        <w:t>Table 12</w:t>
      </w:r>
      <w:r w:rsidRPr="005D213B">
        <w:t xml:space="preserve"> </w:t>
      </w:r>
      <w:r>
        <w:br/>
      </w:r>
      <w:r w:rsidRPr="005D213B">
        <w:t>Percentage of children aged 1 who have received full immunization for tuberculosis, diphtheria, pertus</w:t>
      </w:r>
      <w:r>
        <w:t>sis, tetanus, polio and measles</w:t>
      </w:r>
      <w:r w:rsidRPr="00D9531F">
        <w:rPr>
          <w:rStyle w:val="FootnoteReference"/>
          <w:b w:val="0"/>
          <w:bCs/>
        </w:rPr>
        <w:footnoteReference w:id="39"/>
      </w:r>
      <w:bookmarkEnd w:id="59"/>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44"/>
        <w:gridCol w:w="1021"/>
        <w:gridCol w:w="1021"/>
        <w:gridCol w:w="1021"/>
        <w:gridCol w:w="1021"/>
        <w:gridCol w:w="1021"/>
        <w:gridCol w:w="1021"/>
      </w:tblGrid>
      <w:tr w:rsidR="00263BCB" w:rsidRPr="001917FF" w14:paraId="64D529D2" w14:textId="77777777" w:rsidTr="001917FF">
        <w:trPr>
          <w:tblHeader/>
        </w:trPr>
        <w:tc>
          <w:tcPr>
            <w:tcW w:w="1244" w:type="dxa"/>
            <w:tcBorders>
              <w:top w:val="single" w:sz="4" w:space="0" w:color="auto"/>
              <w:bottom w:val="single" w:sz="12" w:space="0" w:color="auto"/>
            </w:tcBorders>
            <w:shd w:val="clear" w:color="auto" w:fill="auto"/>
            <w:vAlign w:val="bottom"/>
          </w:tcPr>
          <w:p w14:paraId="2C953CBE" w14:textId="77777777" w:rsidR="00263BCB" w:rsidRPr="001917FF" w:rsidRDefault="00263BCB" w:rsidP="001917FF">
            <w:pPr>
              <w:pStyle w:val="SingleTxtG"/>
              <w:spacing w:before="80" w:after="80" w:line="200" w:lineRule="exact"/>
              <w:ind w:left="0" w:right="113"/>
              <w:jc w:val="left"/>
              <w:rPr>
                <w:i/>
                <w:sz w:val="16"/>
              </w:rPr>
            </w:pPr>
            <w:r w:rsidRPr="001917FF">
              <w:rPr>
                <w:i/>
                <w:sz w:val="16"/>
              </w:rPr>
              <w:t>Vaccine/Year</w:t>
            </w:r>
          </w:p>
        </w:tc>
        <w:tc>
          <w:tcPr>
            <w:tcW w:w="1021" w:type="dxa"/>
            <w:tcBorders>
              <w:top w:val="single" w:sz="4" w:space="0" w:color="auto"/>
              <w:bottom w:val="single" w:sz="12" w:space="0" w:color="auto"/>
            </w:tcBorders>
            <w:shd w:val="clear" w:color="auto" w:fill="auto"/>
            <w:vAlign w:val="bottom"/>
          </w:tcPr>
          <w:p w14:paraId="74480EFA" w14:textId="77777777" w:rsidR="00263BCB" w:rsidRPr="001917FF" w:rsidRDefault="00263BCB" w:rsidP="001917FF">
            <w:pPr>
              <w:pStyle w:val="SingleTxtG"/>
              <w:spacing w:before="80" w:after="80" w:line="200" w:lineRule="exact"/>
              <w:ind w:left="0" w:right="113"/>
              <w:jc w:val="right"/>
              <w:rPr>
                <w:bCs/>
                <w:i/>
                <w:sz w:val="16"/>
              </w:rPr>
            </w:pPr>
            <w:r w:rsidRPr="001917FF">
              <w:rPr>
                <w:i/>
                <w:sz w:val="16"/>
              </w:rPr>
              <w:t>2011</w:t>
            </w:r>
          </w:p>
        </w:tc>
        <w:tc>
          <w:tcPr>
            <w:tcW w:w="1021" w:type="dxa"/>
            <w:tcBorders>
              <w:top w:val="single" w:sz="4" w:space="0" w:color="auto"/>
              <w:bottom w:val="single" w:sz="12" w:space="0" w:color="auto"/>
            </w:tcBorders>
            <w:shd w:val="clear" w:color="auto" w:fill="auto"/>
            <w:vAlign w:val="bottom"/>
          </w:tcPr>
          <w:p w14:paraId="0B737161" w14:textId="77777777" w:rsidR="00263BCB" w:rsidRPr="001917FF" w:rsidRDefault="00263BCB" w:rsidP="001917FF">
            <w:pPr>
              <w:pStyle w:val="SingleTxtG"/>
              <w:spacing w:before="80" w:after="80" w:line="200" w:lineRule="exact"/>
              <w:ind w:left="0" w:right="113"/>
              <w:jc w:val="right"/>
              <w:rPr>
                <w:bCs/>
                <w:i/>
                <w:sz w:val="16"/>
              </w:rPr>
            </w:pPr>
            <w:r w:rsidRPr="001917FF">
              <w:rPr>
                <w:i/>
                <w:sz w:val="16"/>
              </w:rPr>
              <w:t>2012</w:t>
            </w:r>
          </w:p>
        </w:tc>
        <w:tc>
          <w:tcPr>
            <w:tcW w:w="1021" w:type="dxa"/>
            <w:tcBorders>
              <w:top w:val="single" w:sz="4" w:space="0" w:color="auto"/>
              <w:bottom w:val="single" w:sz="12" w:space="0" w:color="auto"/>
            </w:tcBorders>
            <w:shd w:val="clear" w:color="auto" w:fill="auto"/>
            <w:vAlign w:val="bottom"/>
          </w:tcPr>
          <w:p w14:paraId="66D140B8" w14:textId="77777777" w:rsidR="00263BCB" w:rsidRPr="001917FF" w:rsidRDefault="00263BCB" w:rsidP="001917FF">
            <w:pPr>
              <w:pStyle w:val="SingleTxtG"/>
              <w:spacing w:before="80" w:after="80" w:line="200" w:lineRule="exact"/>
              <w:ind w:left="0" w:right="113"/>
              <w:jc w:val="right"/>
              <w:rPr>
                <w:bCs/>
                <w:i/>
                <w:sz w:val="16"/>
              </w:rPr>
            </w:pPr>
            <w:r w:rsidRPr="001917FF">
              <w:rPr>
                <w:i/>
                <w:sz w:val="16"/>
              </w:rPr>
              <w:t>2013</w:t>
            </w:r>
          </w:p>
        </w:tc>
        <w:tc>
          <w:tcPr>
            <w:tcW w:w="1021" w:type="dxa"/>
            <w:tcBorders>
              <w:top w:val="single" w:sz="4" w:space="0" w:color="auto"/>
              <w:bottom w:val="single" w:sz="12" w:space="0" w:color="auto"/>
            </w:tcBorders>
            <w:shd w:val="clear" w:color="auto" w:fill="auto"/>
            <w:vAlign w:val="bottom"/>
          </w:tcPr>
          <w:p w14:paraId="04ACD2AD" w14:textId="77777777" w:rsidR="00263BCB" w:rsidRPr="001917FF" w:rsidRDefault="00263BCB" w:rsidP="001917FF">
            <w:pPr>
              <w:pStyle w:val="SingleTxtG"/>
              <w:spacing w:before="80" w:after="80" w:line="200" w:lineRule="exact"/>
              <w:ind w:left="0" w:right="113"/>
              <w:jc w:val="right"/>
              <w:rPr>
                <w:bCs/>
                <w:i/>
                <w:sz w:val="16"/>
              </w:rPr>
            </w:pPr>
            <w:r w:rsidRPr="001917FF">
              <w:rPr>
                <w:i/>
                <w:sz w:val="16"/>
              </w:rPr>
              <w:t>2014</w:t>
            </w:r>
          </w:p>
        </w:tc>
        <w:tc>
          <w:tcPr>
            <w:tcW w:w="1021" w:type="dxa"/>
            <w:tcBorders>
              <w:top w:val="single" w:sz="4" w:space="0" w:color="auto"/>
              <w:bottom w:val="single" w:sz="12" w:space="0" w:color="auto"/>
            </w:tcBorders>
            <w:shd w:val="clear" w:color="auto" w:fill="auto"/>
            <w:vAlign w:val="bottom"/>
          </w:tcPr>
          <w:p w14:paraId="751AE5AD" w14:textId="77777777" w:rsidR="00263BCB" w:rsidRPr="001917FF" w:rsidRDefault="00263BCB" w:rsidP="001917FF">
            <w:pPr>
              <w:pStyle w:val="SingleTxtG"/>
              <w:spacing w:before="80" w:after="80" w:line="200" w:lineRule="exact"/>
              <w:ind w:left="0" w:right="113"/>
              <w:jc w:val="right"/>
              <w:rPr>
                <w:bCs/>
                <w:i/>
                <w:sz w:val="16"/>
              </w:rPr>
            </w:pPr>
            <w:r w:rsidRPr="001917FF">
              <w:rPr>
                <w:i/>
                <w:sz w:val="16"/>
              </w:rPr>
              <w:t>2015</w:t>
            </w:r>
          </w:p>
        </w:tc>
        <w:tc>
          <w:tcPr>
            <w:tcW w:w="1021" w:type="dxa"/>
            <w:tcBorders>
              <w:top w:val="single" w:sz="4" w:space="0" w:color="auto"/>
              <w:bottom w:val="single" w:sz="12" w:space="0" w:color="auto"/>
            </w:tcBorders>
            <w:shd w:val="clear" w:color="auto" w:fill="auto"/>
            <w:vAlign w:val="bottom"/>
          </w:tcPr>
          <w:p w14:paraId="23EA0BD8" w14:textId="77777777" w:rsidR="00263BCB" w:rsidRPr="001917FF" w:rsidRDefault="00263BCB" w:rsidP="001917FF">
            <w:pPr>
              <w:pStyle w:val="SingleTxtG"/>
              <w:spacing w:before="80" w:after="80" w:line="200" w:lineRule="exact"/>
              <w:ind w:left="0" w:right="113"/>
              <w:jc w:val="right"/>
              <w:rPr>
                <w:bCs/>
                <w:i/>
                <w:sz w:val="16"/>
              </w:rPr>
            </w:pPr>
            <w:r w:rsidRPr="001917FF">
              <w:rPr>
                <w:i/>
                <w:sz w:val="16"/>
              </w:rPr>
              <w:t>2016</w:t>
            </w:r>
          </w:p>
        </w:tc>
      </w:tr>
      <w:tr w:rsidR="00263BCB" w:rsidRPr="001917FF" w14:paraId="68F2A17F" w14:textId="77777777" w:rsidTr="001917FF">
        <w:tc>
          <w:tcPr>
            <w:tcW w:w="1244" w:type="dxa"/>
            <w:tcBorders>
              <w:top w:val="single" w:sz="12" w:space="0" w:color="auto"/>
            </w:tcBorders>
            <w:shd w:val="clear" w:color="auto" w:fill="auto"/>
          </w:tcPr>
          <w:p w14:paraId="60B23AA6" w14:textId="77777777" w:rsidR="00263BCB" w:rsidRPr="001917FF" w:rsidRDefault="00263BCB" w:rsidP="001917FF">
            <w:pPr>
              <w:pStyle w:val="SingleTxtG"/>
              <w:spacing w:before="40" w:after="40" w:line="220" w:lineRule="exact"/>
              <w:ind w:left="0" w:right="113"/>
              <w:jc w:val="left"/>
              <w:rPr>
                <w:sz w:val="18"/>
              </w:rPr>
            </w:pPr>
            <w:r w:rsidRPr="001917FF">
              <w:rPr>
                <w:sz w:val="18"/>
              </w:rPr>
              <w:t>Diphtheria</w:t>
            </w:r>
          </w:p>
        </w:tc>
        <w:tc>
          <w:tcPr>
            <w:tcW w:w="1021" w:type="dxa"/>
            <w:tcBorders>
              <w:top w:val="single" w:sz="12" w:space="0" w:color="auto"/>
            </w:tcBorders>
            <w:shd w:val="clear" w:color="auto" w:fill="auto"/>
            <w:vAlign w:val="bottom"/>
          </w:tcPr>
          <w:p w14:paraId="3080D895" w14:textId="6C7E61B4" w:rsidR="00263BCB" w:rsidRPr="001917FF" w:rsidRDefault="00263BCB" w:rsidP="001917FF">
            <w:pPr>
              <w:pStyle w:val="SingleTxtG"/>
              <w:spacing w:before="40" w:after="40" w:line="220" w:lineRule="exact"/>
              <w:ind w:left="0" w:right="113"/>
              <w:jc w:val="right"/>
              <w:rPr>
                <w:sz w:val="18"/>
              </w:rPr>
            </w:pPr>
            <w:r w:rsidRPr="001917FF">
              <w:rPr>
                <w:sz w:val="18"/>
              </w:rPr>
              <w:t>95</w:t>
            </w:r>
            <w:r w:rsidR="00664D62">
              <w:rPr>
                <w:sz w:val="18"/>
              </w:rPr>
              <w:t>.</w:t>
            </w:r>
            <w:r w:rsidRPr="001917FF">
              <w:rPr>
                <w:sz w:val="18"/>
              </w:rPr>
              <w:t>9</w:t>
            </w:r>
          </w:p>
        </w:tc>
        <w:tc>
          <w:tcPr>
            <w:tcW w:w="1021" w:type="dxa"/>
            <w:tcBorders>
              <w:top w:val="single" w:sz="12" w:space="0" w:color="auto"/>
            </w:tcBorders>
            <w:shd w:val="clear" w:color="auto" w:fill="auto"/>
            <w:vAlign w:val="bottom"/>
          </w:tcPr>
          <w:p w14:paraId="5A01A3A5" w14:textId="430EBB9F" w:rsidR="00263BCB" w:rsidRPr="001917FF" w:rsidRDefault="00263BCB" w:rsidP="001917FF">
            <w:pPr>
              <w:pStyle w:val="SingleTxtG"/>
              <w:spacing w:before="40" w:after="40" w:line="220" w:lineRule="exact"/>
              <w:ind w:left="0" w:right="113"/>
              <w:jc w:val="right"/>
              <w:rPr>
                <w:sz w:val="18"/>
              </w:rPr>
            </w:pPr>
            <w:r w:rsidRPr="001917FF">
              <w:rPr>
                <w:sz w:val="18"/>
              </w:rPr>
              <w:t>94</w:t>
            </w:r>
            <w:r w:rsidR="00664D62">
              <w:rPr>
                <w:sz w:val="18"/>
              </w:rPr>
              <w:t>.</w:t>
            </w:r>
            <w:r w:rsidRPr="001917FF">
              <w:rPr>
                <w:sz w:val="18"/>
              </w:rPr>
              <w:t>7</w:t>
            </w:r>
          </w:p>
        </w:tc>
        <w:tc>
          <w:tcPr>
            <w:tcW w:w="1021" w:type="dxa"/>
            <w:tcBorders>
              <w:top w:val="single" w:sz="12" w:space="0" w:color="auto"/>
            </w:tcBorders>
            <w:shd w:val="clear" w:color="auto" w:fill="auto"/>
            <w:vAlign w:val="bottom"/>
          </w:tcPr>
          <w:p w14:paraId="0BEFD0C7" w14:textId="74FB2F28" w:rsidR="00263BCB" w:rsidRPr="001917FF" w:rsidRDefault="00263BCB" w:rsidP="001917FF">
            <w:pPr>
              <w:pStyle w:val="SingleTxtG"/>
              <w:spacing w:before="40" w:after="40" w:line="220" w:lineRule="exact"/>
              <w:ind w:left="0" w:right="113"/>
              <w:jc w:val="right"/>
              <w:rPr>
                <w:sz w:val="18"/>
              </w:rPr>
            </w:pPr>
            <w:r w:rsidRPr="001917FF">
              <w:rPr>
                <w:sz w:val="18"/>
              </w:rPr>
              <w:t>98</w:t>
            </w:r>
            <w:r w:rsidR="00664D62">
              <w:rPr>
                <w:sz w:val="18"/>
              </w:rPr>
              <w:t>.</w:t>
            </w:r>
            <w:r w:rsidRPr="001917FF">
              <w:rPr>
                <w:sz w:val="18"/>
              </w:rPr>
              <w:t>2</w:t>
            </w:r>
          </w:p>
        </w:tc>
        <w:tc>
          <w:tcPr>
            <w:tcW w:w="1021" w:type="dxa"/>
            <w:tcBorders>
              <w:top w:val="single" w:sz="12" w:space="0" w:color="auto"/>
            </w:tcBorders>
            <w:shd w:val="clear" w:color="auto" w:fill="auto"/>
            <w:vAlign w:val="bottom"/>
          </w:tcPr>
          <w:p w14:paraId="0A2921FC" w14:textId="1E608E76" w:rsidR="00263BCB" w:rsidRPr="001917FF" w:rsidRDefault="00263BCB" w:rsidP="001917FF">
            <w:pPr>
              <w:pStyle w:val="SingleTxtG"/>
              <w:spacing w:before="40" w:after="40" w:line="220" w:lineRule="exact"/>
              <w:ind w:left="0" w:right="113"/>
              <w:jc w:val="right"/>
              <w:rPr>
                <w:sz w:val="18"/>
              </w:rPr>
            </w:pPr>
            <w:r w:rsidRPr="001917FF">
              <w:rPr>
                <w:sz w:val="18"/>
              </w:rPr>
              <w:t>95</w:t>
            </w:r>
            <w:r w:rsidR="00664D62">
              <w:rPr>
                <w:sz w:val="18"/>
              </w:rPr>
              <w:t>.</w:t>
            </w:r>
            <w:r w:rsidRPr="001917FF">
              <w:rPr>
                <w:sz w:val="18"/>
              </w:rPr>
              <w:t>4</w:t>
            </w:r>
          </w:p>
        </w:tc>
        <w:tc>
          <w:tcPr>
            <w:tcW w:w="1021" w:type="dxa"/>
            <w:tcBorders>
              <w:top w:val="single" w:sz="12" w:space="0" w:color="auto"/>
            </w:tcBorders>
            <w:shd w:val="clear" w:color="auto" w:fill="auto"/>
            <w:vAlign w:val="bottom"/>
          </w:tcPr>
          <w:p w14:paraId="67098328" w14:textId="1170FECD" w:rsidR="00263BCB" w:rsidRPr="001917FF" w:rsidRDefault="00263BCB" w:rsidP="001917FF">
            <w:pPr>
              <w:pStyle w:val="SingleTxtG"/>
              <w:spacing w:before="40" w:after="40" w:line="220" w:lineRule="exact"/>
              <w:ind w:left="0" w:right="113"/>
              <w:jc w:val="right"/>
              <w:rPr>
                <w:sz w:val="18"/>
              </w:rPr>
            </w:pPr>
            <w:r w:rsidRPr="001917FF">
              <w:rPr>
                <w:sz w:val="18"/>
              </w:rPr>
              <w:t>91</w:t>
            </w:r>
            <w:r w:rsidR="00664D62">
              <w:rPr>
                <w:sz w:val="18"/>
              </w:rPr>
              <w:t>.</w:t>
            </w:r>
            <w:r w:rsidRPr="001917FF">
              <w:rPr>
                <w:sz w:val="18"/>
              </w:rPr>
              <w:t>3</w:t>
            </w:r>
          </w:p>
        </w:tc>
        <w:tc>
          <w:tcPr>
            <w:tcW w:w="1021" w:type="dxa"/>
            <w:tcBorders>
              <w:top w:val="single" w:sz="12" w:space="0" w:color="auto"/>
            </w:tcBorders>
            <w:shd w:val="clear" w:color="auto" w:fill="auto"/>
            <w:vAlign w:val="bottom"/>
          </w:tcPr>
          <w:p w14:paraId="72F981BA" w14:textId="0BBD4174" w:rsidR="00263BCB" w:rsidRPr="001917FF" w:rsidRDefault="00263BCB" w:rsidP="001917FF">
            <w:pPr>
              <w:pStyle w:val="SingleTxtG"/>
              <w:spacing w:before="40" w:after="40" w:line="220" w:lineRule="exact"/>
              <w:ind w:left="0" w:right="113"/>
              <w:jc w:val="right"/>
              <w:rPr>
                <w:sz w:val="18"/>
              </w:rPr>
            </w:pPr>
            <w:r w:rsidRPr="001917FF">
              <w:rPr>
                <w:sz w:val="18"/>
              </w:rPr>
              <w:t>95</w:t>
            </w:r>
            <w:r w:rsidR="00664D62">
              <w:rPr>
                <w:sz w:val="18"/>
              </w:rPr>
              <w:t>.</w:t>
            </w:r>
            <w:r w:rsidRPr="001917FF">
              <w:rPr>
                <w:sz w:val="18"/>
              </w:rPr>
              <w:t>3</w:t>
            </w:r>
          </w:p>
        </w:tc>
      </w:tr>
      <w:tr w:rsidR="00263BCB" w:rsidRPr="001917FF" w14:paraId="7FCF3B33" w14:textId="77777777" w:rsidTr="001917FF">
        <w:tc>
          <w:tcPr>
            <w:tcW w:w="1244" w:type="dxa"/>
            <w:shd w:val="clear" w:color="auto" w:fill="auto"/>
          </w:tcPr>
          <w:p w14:paraId="3F2A78C0" w14:textId="77777777" w:rsidR="00263BCB" w:rsidRPr="001917FF" w:rsidRDefault="00263BCB" w:rsidP="001917FF">
            <w:pPr>
              <w:pStyle w:val="SingleTxtG"/>
              <w:spacing w:before="40" w:after="40" w:line="220" w:lineRule="exact"/>
              <w:ind w:left="0" w:right="113"/>
              <w:jc w:val="left"/>
              <w:rPr>
                <w:sz w:val="18"/>
              </w:rPr>
            </w:pPr>
            <w:r w:rsidRPr="001917FF">
              <w:rPr>
                <w:sz w:val="18"/>
              </w:rPr>
              <w:t>Tetanus</w:t>
            </w:r>
          </w:p>
        </w:tc>
        <w:tc>
          <w:tcPr>
            <w:tcW w:w="1021" w:type="dxa"/>
            <w:shd w:val="clear" w:color="auto" w:fill="auto"/>
            <w:vAlign w:val="bottom"/>
          </w:tcPr>
          <w:p w14:paraId="5B674201" w14:textId="5A60B91B" w:rsidR="00263BCB" w:rsidRPr="001917FF" w:rsidRDefault="00263BCB" w:rsidP="001917FF">
            <w:pPr>
              <w:pStyle w:val="SingleTxtG"/>
              <w:spacing w:before="40" w:after="40" w:line="220" w:lineRule="exact"/>
              <w:ind w:left="0" w:right="113"/>
              <w:jc w:val="right"/>
              <w:rPr>
                <w:sz w:val="18"/>
              </w:rPr>
            </w:pPr>
            <w:r w:rsidRPr="001917FF">
              <w:rPr>
                <w:sz w:val="18"/>
              </w:rPr>
              <w:t>95</w:t>
            </w:r>
            <w:r w:rsidR="00664D62">
              <w:rPr>
                <w:sz w:val="18"/>
              </w:rPr>
              <w:t>.</w:t>
            </w:r>
            <w:r w:rsidRPr="001917FF">
              <w:rPr>
                <w:sz w:val="18"/>
              </w:rPr>
              <w:t>9</w:t>
            </w:r>
          </w:p>
        </w:tc>
        <w:tc>
          <w:tcPr>
            <w:tcW w:w="1021" w:type="dxa"/>
            <w:shd w:val="clear" w:color="auto" w:fill="auto"/>
            <w:vAlign w:val="bottom"/>
          </w:tcPr>
          <w:p w14:paraId="235BFB8E" w14:textId="59990F48" w:rsidR="00263BCB" w:rsidRPr="001917FF" w:rsidRDefault="00263BCB" w:rsidP="001917FF">
            <w:pPr>
              <w:pStyle w:val="SingleTxtG"/>
              <w:spacing w:before="40" w:after="40" w:line="220" w:lineRule="exact"/>
              <w:ind w:left="0" w:right="113"/>
              <w:jc w:val="right"/>
              <w:rPr>
                <w:sz w:val="18"/>
              </w:rPr>
            </w:pPr>
            <w:r w:rsidRPr="001917FF">
              <w:rPr>
                <w:sz w:val="18"/>
              </w:rPr>
              <w:t>94</w:t>
            </w:r>
            <w:r w:rsidR="00664D62">
              <w:rPr>
                <w:sz w:val="18"/>
              </w:rPr>
              <w:t>.</w:t>
            </w:r>
            <w:r w:rsidRPr="001917FF">
              <w:rPr>
                <w:sz w:val="18"/>
              </w:rPr>
              <w:t>7</w:t>
            </w:r>
          </w:p>
        </w:tc>
        <w:tc>
          <w:tcPr>
            <w:tcW w:w="1021" w:type="dxa"/>
            <w:shd w:val="clear" w:color="auto" w:fill="auto"/>
            <w:vAlign w:val="bottom"/>
          </w:tcPr>
          <w:p w14:paraId="1ACE2C3D" w14:textId="03D5914A" w:rsidR="00263BCB" w:rsidRPr="001917FF" w:rsidRDefault="00263BCB" w:rsidP="001917FF">
            <w:pPr>
              <w:pStyle w:val="SingleTxtG"/>
              <w:spacing w:before="40" w:after="40" w:line="220" w:lineRule="exact"/>
              <w:ind w:left="0" w:right="113"/>
              <w:jc w:val="right"/>
              <w:rPr>
                <w:sz w:val="18"/>
              </w:rPr>
            </w:pPr>
            <w:r w:rsidRPr="001917FF">
              <w:rPr>
                <w:sz w:val="18"/>
              </w:rPr>
              <w:t>98</w:t>
            </w:r>
            <w:r w:rsidR="00664D62">
              <w:rPr>
                <w:sz w:val="18"/>
              </w:rPr>
              <w:t>.</w:t>
            </w:r>
            <w:r w:rsidRPr="001917FF">
              <w:rPr>
                <w:sz w:val="18"/>
              </w:rPr>
              <w:t>2</w:t>
            </w:r>
          </w:p>
        </w:tc>
        <w:tc>
          <w:tcPr>
            <w:tcW w:w="1021" w:type="dxa"/>
            <w:shd w:val="clear" w:color="auto" w:fill="auto"/>
            <w:vAlign w:val="bottom"/>
          </w:tcPr>
          <w:p w14:paraId="7283D5BB" w14:textId="582659B7" w:rsidR="00263BCB" w:rsidRPr="001917FF" w:rsidRDefault="00263BCB" w:rsidP="001917FF">
            <w:pPr>
              <w:pStyle w:val="SingleTxtG"/>
              <w:spacing w:before="40" w:after="40" w:line="220" w:lineRule="exact"/>
              <w:ind w:left="0" w:right="113"/>
              <w:jc w:val="right"/>
              <w:rPr>
                <w:sz w:val="18"/>
              </w:rPr>
            </w:pPr>
            <w:r w:rsidRPr="001917FF">
              <w:rPr>
                <w:sz w:val="18"/>
              </w:rPr>
              <w:t>95</w:t>
            </w:r>
            <w:r w:rsidR="00664D62">
              <w:rPr>
                <w:sz w:val="18"/>
              </w:rPr>
              <w:t>.</w:t>
            </w:r>
            <w:r w:rsidRPr="001917FF">
              <w:rPr>
                <w:sz w:val="18"/>
              </w:rPr>
              <w:t>4</w:t>
            </w:r>
          </w:p>
        </w:tc>
        <w:tc>
          <w:tcPr>
            <w:tcW w:w="1021" w:type="dxa"/>
            <w:shd w:val="clear" w:color="auto" w:fill="auto"/>
            <w:vAlign w:val="bottom"/>
          </w:tcPr>
          <w:p w14:paraId="46AB6244" w14:textId="5FE9AAB8" w:rsidR="00263BCB" w:rsidRPr="001917FF" w:rsidRDefault="00263BCB" w:rsidP="001917FF">
            <w:pPr>
              <w:pStyle w:val="SingleTxtG"/>
              <w:spacing w:before="40" w:after="40" w:line="220" w:lineRule="exact"/>
              <w:ind w:left="0" w:right="113"/>
              <w:jc w:val="right"/>
              <w:rPr>
                <w:sz w:val="18"/>
              </w:rPr>
            </w:pPr>
            <w:r w:rsidRPr="001917FF">
              <w:rPr>
                <w:sz w:val="18"/>
              </w:rPr>
              <w:t>91</w:t>
            </w:r>
            <w:r w:rsidR="00664D62">
              <w:rPr>
                <w:sz w:val="18"/>
              </w:rPr>
              <w:t>.</w:t>
            </w:r>
            <w:r w:rsidRPr="001917FF">
              <w:rPr>
                <w:sz w:val="18"/>
              </w:rPr>
              <w:t>3</w:t>
            </w:r>
          </w:p>
        </w:tc>
        <w:tc>
          <w:tcPr>
            <w:tcW w:w="1021" w:type="dxa"/>
            <w:shd w:val="clear" w:color="auto" w:fill="auto"/>
            <w:vAlign w:val="bottom"/>
          </w:tcPr>
          <w:p w14:paraId="37E5A3F2" w14:textId="2101B3CC" w:rsidR="00263BCB" w:rsidRPr="001917FF" w:rsidRDefault="00263BCB" w:rsidP="001917FF">
            <w:pPr>
              <w:pStyle w:val="SingleTxtG"/>
              <w:spacing w:before="40" w:after="40" w:line="220" w:lineRule="exact"/>
              <w:ind w:left="0" w:right="113"/>
              <w:jc w:val="right"/>
              <w:rPr>
                <w:sz w:val="18"/>
              </w:rPr>
            </w:pPr>
            <w:r w:rsidRPr="001917FF">
              <w:rPr>
                <w:sz w:val="18"/>
              </w:rPr>
              <w:t>95</w:t>
            </w:r>
            <w:r w:rsidR="00664D62">
              <w:rPr>
                <w:sz w:val="18"/>
              </w:rPr>
              <w:t>.</w:t>
            </w:r>
            <w:r w:rsidRPr="001917FF">
              <w:rPr>
                <w:sz w:val="18"/>
              </w:rPr>
              <w:t>3</w:t>
            </w:r>
          </w:p>
        </w:tc>
      </w:tr>
      <w:tr w:rsidR="00263BCB" w:rsidRPr="001917FF" w14:paraId="1C6190E7" w14:textId="77777777" w:rsidTr="001917FF">
        <w:tc>
          <w:tcPr>
            <w:tcW w:w="1244" w:type="dxa"/>
            <w:shd w:val="clear" w:color="auto" w:fill="auto"/>
          </w:tcPr>
          <w:p w14:paraId="4C1F0DE3" w14:textId="77777777" w:rsidR="00263BCB" w:rsidRPr="001917FF" w:rsidRDefault="00263BCB" w:rsidP="001917FF">
            <w:pPr>
              <w:pStyle w:val="SingleTxtG"/>
              <w:spacing w:before="40" w:after="40" w:line="220" w:lineRule="exact"/>
              <w:ind w:left="0" w:right="113"/>
              <w:jc w:val="left"/>
              <w:rPr>
                <w:sz w:val="18"/>
              </w:rPr>
            </w:pPr>
            <w:r w:rsidRPr="001917FF">
              <w:rPr>
                <w:sz w:val="18"/>
              </w:rPr>
              <w:t>Pertussis</w:t>
            </w:r>
          </w:p>
        </w:tc>
        <w:tc>
          <w:tcPr>
            <w:tcW w:w="1021" w:type="dxa"/>
            <w:shd w:val="clear" w:color="auto" w:fill="auto"/>
            <w:vAlign w:val="bottom"/>
          </w:tcPr>
          <w:p w14:paraId="5E6488C4" w14:textId="2347721C" w:rsidR="00263BCB" w:rsidRPr="001917FF" w:rsidRDefault="00263BCB" w:rsidP="001917FF">
            <w:pPr>
              <w:pStyle w:val="SingleTxtG"/>
              <w:spacing w:before="40" w:after="40" w:line="220" w:lineRule="exact"/>
              <w:ind w:left="0" w:right="113"/>
              <w:jc w:val="right"/>
              <w:rPr>
                <w:sz w:val="18"/>
              </w:rPr>
            </w:pPr>
            <w:r w:rsidRPr="001917FF">
              <w:rPr>
                <w:sz w:val="18"/>
              </w:rPr>
              <w:t>95</w:t>
            </w:r>
            <w:r w:rsidR="00664D62">
              <w:rPr>
                <w:sz w:val="18"/>
              </w:rPr>
              <w:t>.</w:t>
            </w:r>
            <w:r w:rsidRPr="001917FF">
              <w:rPr>
                <w:sz w:val="18"/>
              </w:rPr>
              <w:t>9</w:t>
            </w:r>
          </w:p>
        </w:tc>
        <w:tc>
          <w:tcPr>
            <w:tcW w:w="1021" w:type="dxa"/>
            <w:shd w:val="clear" w:color="auto" w:fill="auto"/>
            <w:vAlign w:val="bottom"/>
          </w:tcPr>
          <w:p w14:paraId="51DFB619" w14:textId="7307DF49" w:rsidR="00263BCB" w:rsidRPr="001917FF" w:rsidRDefault="00263BCB" w:rsidP="001917FF">
            <w:pPr>
              <w:pStyle w:val="SingleTxtG"/>
              <w:spacing w:before="40" w:after="40" w:line="220" w:lineRule="exact"/>
              <w:ind w:left="0" w:right="113"/>
              <w:jc w:val="right"/>
              <w:rPr>
                <w:sz w:val="18"/>
              </w:rPr>
            </w:pPr>
            <w:r w:rsidRPr="001917FF">
              <w:rPr>
                <w:sz w:val="18"/>
              </w:rPr>
              <w:t>94</w:t>
            </w:r>
            <w:r w:rsidR="00664D62">
              <w:rPr>
                <w:sz w:val="18"/>
              </w:rPr>
              <w:t>.</w:t>
            </w:r>
            <w:r w:rsidRPr="001917FF">
              <w:rPr>
                <w:sz w:val="18"/>
              </w:rPr>
              <w:t>7</w:t>
            </w:r>
          </w:p>
        </w:tc>
        <w:tc>
          <w:tcPr>
            <w:tcW w:w="1021" w:type="dxa"/>
            <w:shd w:val="clear" w:color="auto" w:fill="auto"/>
            <w:vAlign w:val="bottom"/>
          </w:tcPr>
          <w:p w14:paraId="0E59B055" w14:textId="7E0D42D6" w:rsidR="00263BCB" w:rsidRPr="001917FF" w:rsidRDefault="00263BCB" w:rsidP="001917FF">
            <w:pPr>
              <w:pStyle w:val="SingleTxtG"/>
              <w:spacing w:before="40" w:after="40" w:line="220" w:lineRule="exact"/>
              <w:ind w:left="0" w:right="113"/>
              <w:jc w:val="right"/>
              <w:rPr>
                <w:sz w:val="18"/>
              </w:rPr>
            </w:pPr>
            <w:r w:rsidRPr="001917FF">
              <w:rPr>
                <w:sz w:val="18"/>
              </w:rPr>
              <w:t>98</w:t>
            </w:r>
            <w:r w:rsidR="00664D62">
              <w:rPr>
                <w:sz w:val="18"/>
              </w:rPr>
              <w:t>.</w:t>
            </w:r>
            <w:r w:rsidRPr="001917FF">
              <w:rPr>
                <w:sz w:val="18"/>
              </w:rPr>
              <w:t>2</w:t>
            </w:r>
          </w:p>
        </w:tc>
        <w:tc>
          <w:tcPr>
            <w:tcW w:w="1021" w:type="dxa"/>
            <w:shd w:val="clear" w:color="auto" w:fill="auto"/>
            <w:vAlign w:val="bottom"/>
          </w:tcPr>
          <w:p w14:paraId="21CE58CA" w14:textId="29EE8376" w:rsidR="00263BCB" w:rsidRPr="001917FF" w:rsidRDefault="00263BCB" w:rsidP="001917FF">
            <w:pPr>
              <w:pStyle w:val="SingleTxtG"/>
              <w:spacing w:before="40" w:after="40" w:line="220" w:lineRule="exact"/>
              <w:ind w:left="0" w:right="113"/>
              <w:jc w:val="right"/>
              <w:rPr>
                <w:sz w:val="18"/>
              </w:rPr>
            </w:pPr>
            <w:r w:rsidRPr="001917FF">
              <w:rPr>
                <w:sz w:val="18"/>
              </w:rPr>
              <w:t>95</w:t>
            </w:r>
            <w:r w:rsidR="00664D62">
              <w:rPr>
                <w:sz w:val="18"/>
              </w:rPr>
              <w:t>.</w:t>
            </w:r>
            <w:r w:rsidRPr="001917FF">
              <w:rPr>
                <w:sz w:val="18"/>
              </w:rPr>
              <w:t>4</w:t>
            </w:r>
          </w:p>
        </w:tc>
        <w:tc>
          <w:tcPr>
            <w:tcW w:w="1021" w:type="dxa"/>
            <w:shd w:val="clear" w:color="auto" w:fill="auto"/>
            <w:vAlign w:val="bottom"/>
          </w:tcPr>
          <w:p w14:paraId="043101CC" w14:textId="39A28002" w:rsidR="00263BCB" w:rsidRPr="001917FF" w:rsidRDefault="00263BCB" w:rsidP="001917FF">
            <w:pPr>
              <w:pStyle w:val="SingleTxtG"/>
              <w:spacing w:before="40" w:after="40" w:line="220" w:lineRule="exact"/>
              <w:ind w:left="0" w:right="113"/>
              <w:jc w:val="right"/>
              <w:rPr>
                <w:sz w:val="18"/>
              </w:rPr>
            </w:pPr>
            <w:r w:rsidRPr="001917FF">
              <w:rPr>
                <w:sz w:val="18"/>
              </w:rPr>
              <w:t>91</w:t>
            </w:r>
            <w:r w:rsidR="00664D62">
              <w:rPr>
                <w:sz w:val="18"/>
              </w:rPr>
              <w:t>.</w:t>
            </w:r>
            <w:r w:rsidRPr="001917FF">
              <w:rPr>
                <w:sz w:val="18"/>
              </w:rPr>
              <w:t>3</w:t>
            </w:r>
          </w:p>
        </w:tc>
        <w:tc>
          <w:tcPr>
            <w:tcW w:w="1021" w:type="dxa"/>
            <w:shd w:val="clear" w:color="auto" w:fill="auto"/>
            <w:vAlign w:val="bottom"/>
          </w:tcPr>
          <w:p w14:paraId="671E9C5D" w14:textId="1CBAADCE" w:rsidR="00263BCB" w:rsidRPr="001917FF" w:rsidRDefault="00263BCB" w:rsidP="001917FF">
            <w:pPr>
              <w:pStyle w:val="SingleTxtG"/>
              <w:spacing w:before="40" w:after="40" w:line="220" w:lineRule="exact"/>
              <w:ind w:left="0" w:right="113"/>
              <w:jc w:val="right"/>
              <w:rPr>
                <w:sz w:val="18"/>
              </w:rPr>
            </w:pPr>
            <w:r w:rsidRPr="001917FF">
              <w:rPr>
                <w:sz w:val="18"/>
              </w:rPr>
              <w:t>95</w:t>
            </w:r>
            <w:r w:rsidR="00664D62">
              <w:rPr>
                <w:sz w:val="18"/>
              </w:rPr>
              <w:t>.</w:t>
            </w:r>
            <w:r w:rsidRPr="001917FF">
              <w:rPr>
                <w:sz w:val="18"/>
              </w:rPr>
              <w:t>3</w:t>
            </w:r>
          </w:p>
        </w:tc>
      </w:tr>
      <w:tr w:rsidR="00263BCB" w:rsidRPr="001917FF" w14:paraId="47D8503D" w14:textId="77777777" w:rsidTr="001917FF">
        <w:tc>
          <w:tcPr>
            <w:tcW w:w="1244" w:type="dxa"/>
            <w:shd w:val="clear" w:color="auto" w:fill="auto"/>
          </w:tcPr>
          <w:p w14:paraId="66009DB8" w14:textId="77777777" w:rsidR="00263BCB" w:rsidRPr="001917FF" w:rsidRDefault="00263BCB" w:rsidP="001917FF">
            <w:pPr>
              <w:pStyle w:val="SingleTxtG"/>
              <w:spacing w:before="40" w:after="40" w:line="220" w:lineRule="exact"/>
              <w:ind w:left="0" w:right="113"/>
              <w:jc w:val="left"/>
              <w:rPr>
                <w:sz w:val="18"/>
              </w:rPr>
            </w:pPr>
            <w:r w:rsidRPr="001917FF">
              <w:rPr>
                <w:sz w:val="18"/>
              </w:rPr>
              <w:t>Polio</w:t>
            </w:r>
          </w:p>
        </w:tc>
        <w:tc>
          <w:tcPr>
            <w:tcW w:w="1021" w:type="dxa"/>
            <w:shd w:val="clear" w:color="auto" w:fill="auto"/>
            <w:vAlign w:val="bottom"/>
          </w:tcPr>
          <w:p w14:paraId="40AF97B3" w14:textId="68282819" w:rsidR="00263BCB" w:rsidRPr="001917FF" w:rsidRDefault="00263BCB" w:rsidP="001917FF">
            <w:pPr>
              <w:pStyle w:val="SingleTxtG"/>
              <w:spacing w:before="40" w:after="40" w:line="220" w:lineRule="exact"/>
              <w:ind w:left="0" w:right="113"/>
              <w:jc w:val="right"/>
              <w:rPr>
                <w:sz w:val="18"/>
              </w:rPr>
            </w:pPr>
            <w:r w:rsidRPr="001917FF">
              <w:rPr>
                <w:sz w:val="18"/>
              </w:rPr>
              <w:t>97</w:t>
            </w:r>
            <w:r w:rsidR="00664D62">
              <w:rPr>
                <w:sz w:val="18"/>
              </w:rPr>
              <w:t>.</w:t>
            </w:r>
            <w:r w:rsidRPr="001917FF">
              <w:rPr>
                <w:sz w:val="18"/>
              </w:rPr>
              <w:t>0</w:t>
            </w:r>
          </w:p>
        </w:tc>
        <w:tc>
          <w:tcPr>
            <w:tcW w:w="1021" w:type="dxa"/>
            <w:shd w:val="clear" w:color="auto" w:fill="auto"/>
            <w:vAlign w:val="bottom"/>
          </w:tcPr>
          <w:p w14:paraId="2B5B9189" w14:textId="3006FF2B" w:rsidR="00263BCB" w:rsidRPr="001917FF" w:rsidRDefault="00263BCB" w:rsidP="001917FF">
            <w:pPr>
              <w:pStyle w:val="SingleTxtG"/>
              <w:spacing w:before="40" w:after="40" w:line="220" w:lineRule="exact"/>
              <w:ind w:left="0" w:right="113"/>
              <w:jc w:val="right"/>
              <w:rPr>
                <w:sz w:val="18"/>
              </w:rPr>
            </w:pPr>
            <w:r w:rsidRPr="001917FF">
              <w:rPr>
                <w:sz w:val="18"/>
              </w:rPr>
              <w:t>96</w:t>
            </w:r>
            <w:r w:rsidR="00664D62">
              <w:rPr>
                <w:sz w:val="18"/>
              </w:rPr>
              <w:t>.</w:t>
            </w:r>
            <w:r w:rsidRPr="001917FF">
              <w:rPr>
                <w:sz w:val="18"/>
              </w:rPr>
              <w:t>9</w:t>
            </w:r>
          </w:p>
        </w:tc>
        <w:tc>
          <w:tcPr>
            <w:tcW w:w="1021" w:type="dxa"/>
            <w:shd w:val="clear" w:color="auto" w:fill="auto"/>
            <w:vAlign w:val="bottom"/>
          </w:tcPr>
          <w:p w14:paraId="72EAF0A2" w14:textId="6E8E1BD7" w:rsidR="00263BCB" w:rsidRPr="001917FF" w:rsidRDefault="00263BCB" w:rsidP="001917FF">
            <w:pPr>
              <w:pStyle w:val="SingleTxtG"/>
              <w:spacing w:before="40" w:after="40" w:line="220" w:lineRule="exact"/>
              <w:ind w:left="0" w:right="113"/>
              <w:jc w:val="right"/>
              <w:rPr>
                <w:sz w:val="18"/>
              </w:rPr>
            </w:pPr>
            <w:r w:rsidRPr="001917FF">
              <w:rPr>
                <w:sz w:val="18"/>
              </w:rPr>
              <w:t>97</w:t>
            </w:r>
            <w:r w:rsidR="00664D62">
              <w:rPr>
                <w:sz w:val="18"/>
              </w:rPr>
              <w:t>.</w:t>
            </w:r>
            <w:r w:rsidRPr="001917FF">
              <w:rPr>
                <w:sz w:val="18"/>
              </w:rPr>
              <w:t>9</w:t>
            </w:r>
          </w:p>
        </w:tc>
        <w:tc>
          <w:tcPr>
            <w:tcW w:w="1021" w:type="dxa"/>
            <w:shd w:val="clear" w:color="auto" w:fill="auto"/>
            <w:vAlign w:val="bottom"/>
          </w:tcPr>
          <w:p w14:paraId="3A1E7C13" w14:textId="09DA3B98" w:rsidR="00263BCB" w:rsidRPr="001917FF" w:rsidRDefault="00263BCB" w:rsidP="001917FF">
            <w:pPr>
              <w:pStyle w:val="SingleTxtG"/>
              <w:spacing w:before="40" w:after="40" w:line="220" w:lineRule="exact"/>
              <w:ind w:left="0" w:right="113"/>
              <w:jc w:val="right"/>
              <w:rPr>
                <w:sz w:val="18"/>
              </w:rPr>
            </w:pPr>
            <w:r w:rsidRPr="001917FF">
              <w:rPr>
                <w:sz w:val="18"/>
              </w:rPr>
              <w:t>95</w:t>
            </w:r>
            <w:r w:rsidR="00664D62">
              <w:rPr>
                <w:sz w:val="18"/>
              </w:rPr>
              <w:t>.</w:t>
            </w:r>
            <w:r w:rsidRPr="001917FF">
              <w:rPr>
                <w:sz w:val="18"/>
              </w:rPr>
              <w:t>6</w:t>
            </w:r>
          </w:p>
        </w:tc>
        <w:tc>
          <w:tcPr>
            <w:tcW w:w="1021" w:type="dxa"/>
            <w:shd w:val="clear" w:color="auto" w:fill="auto"/>
            <w:vAlign w:val="bottom"/>
          </w:tcPr>
          <w:p w14:paraId="3E8ABD3E" w14:textId="1C55A916" w:rsidR="00263BCB" w:rsidRPr="001917FF" w:rsidRDefault="00263BCB" w:rsidP="001917FF">
            <w:pPr>
              <w:pStyle w:val="SingleTxtG"/>
              <w:spacing w:before="40" w:after="40" w:line="220" w:lineRule="exact"/>
              <w:ind w:left="0" w:right="113"/>
              <w:jc w:val="right"/>
              <w:rPr>
                <w:sz w:val="18"/>
              </w:rPr>
            </w:pPr>
            <w:r w:rsidRPr="001917FF">
              <w:rPr>
                <w:sz w:val="18"/>
              </w:rPr>
              <w:t>92</w:t>
            </w:r>
            <w:r w:rsidR="00664D62">
              <w:rPr>
                <w:sz w:val="18"/>
              </w:rPr>
              <w:t>.</w:t>
            </w:r>
            <w:r w:rsidRPr="001917FF">
              <w:rPr>
                <w:sz w:val="18"/>
              </w:rPr>
              <w:t>1</w:t>
            </w:r>
          </w:p>
        </w:tc>
        <w:tc>
          <w:tcPr>
            <w:tcW w:w="1021" w:type="dxa"/>
            <w:shd w:val="clear" w:color="auto" w:fill="auto"/>
            <w:vAlign w:val="bottom"/>
          </w:tcPr>
          <w:p w14:paraId="6B8AD348" w14:textId="64DA753D" w:rsidR="00263BCB" w:rsidRPr="001917FF" w:rsidRDefault="00263BCB" w:rsidP="001917FF">
            <w:pPr>
              <w:pStyle w:val="SingleTxtG"/>
              <w:spacing w:before="40" w:after="40" w:line="220" w:lineRule="exact"/>
              <w:ind w:left="0" w:right="113"/>
              <w:jc w:val="right"/>
              <w:rPr>
                <w:sz w:val="18"/>
              </w:rPr>
            </w:pPr>
            <w:r w:rsidRPr="001917FF">
              <w:rPr>
                <w:sz w:val="18"/>
              </w:rPr>
              <w:t>95</w:t>
            </w:r>
            <w:r w:rsidR="00664D62">
              <w:rPr>
                <w:sz w:val="18"/>
              </w:rPr>
              <w:t>.</w:t>
            </w:r>
            <w:r w:rsidRPr="001917FF">
              <w:rPr>
                <w:sz w:val="18"/>
              </w:rPr>
              <w:t>3</w:t>
            </w:r>
          </w:p>
        </w:tc>
      </w:tr>
      <w:tr w:rsidR="00263BCB" w:rsidRPr="001917FF" w14:paraId="04769992" w14:textId="77777777" w:rsidTr="001917FF">
        <w:tc>
          <w:tcPr>
            <w:tcW w:w="1244" w:type="dxa"/>
            <w:shd w:val="clear" w:color="auto" w:fill="auto"/>
          </w:tcPr>
          <w:p w14:paraId="508B2154" w14:textId="77777777" w:rsidR="00263BCB" w:rsidRPr="001917FF" w:rsidRDefault="00263BCB" w:rsidP="001917FF">
            <w:pPr>
              <w:pStyle w:val="SingleTxtG"/>
              <w:spacing w:before="40" w:after="40" w:line="220" w:lineRule="exact"/>
              <w:ind w:left="0" w:right="113"/>
              <w:jc w:val="left"/>
              <w:rPr>
                <w:sz w:val="18"/>
              </w:rPr>
            </w:pPr>
            <w:r w:rsidRPr="001917FF">
              <w:rPr>
                <w:sz w:val="18"/>
              </w:rPr>
              <w:t>Measles</w:t>
            </w:r>
          </w:p>
        </w:tc>
        <w:tc>
          <w:tcPr>
            <w:tcW w:w="1021" w:type="dxa"/>
            <w:shd w:val="clear" w:color="auto" w:fill="auto"/>
            <w:vAlign w:val="bottom"/>
          </w:tcPr>
          <w:p w14:paraId="048A864F" w14:textId="78A214CC" w:rsidR="00263BCB" w:rsidRPr="001917FF" w:rsidRDefault="00263BCB" w:rsidP="001917FF">
            <w:pPr>
              <w:pStyle w:val="SingleTxtG"/>
              <w:spacing w:before="40" w:after="40" w:line="220" w:lineRule="exact"/>
              <w:ind w:left="0" w:right="113"/>
              <w:jc w:val="right"/>
              <w:rPr>
                <w:sz w:val="18"/>
              </w:rPr>
            </w:pPr>
            <w:r w:rsidRPr="001917FF">
              <w:rPr>
                <w:sz w:val="18"/>
              </w:rPr>
              <w:t>96</w:t>
            </w:r>
            <w:r w:rsidR="00664D62">
              <w:rPr>
                <w:sz w:val="18"/>
              </w:rPr>
              <w:t>.</w:t>
            </w:r>
            <w:r w:rsidRPr="001917FF">
              <w:rPr>
                <w:sz w:val="18"/>
              </w:rPr>
              <w:t>8</w:t>
            </w:r>
          </w:p>
        </w:tc>
        <w:tc>
          <w:tcPr>
            <w:tcW w:w="1021" w:type="dxa"/>
            <w:shd w:val="clear" w:color="auto" w:fill="auto"/>
            <w:vAlign w:val="bottom"/>
          </w:tcPr>
          <w:p w14:paraId="514F42AA" w14:textId="3E2B6666" w:rsidR="00263BCB" w:rsidRPr="001917FF" w:rsidRDefault="00263BCB" w:rsidP="001917FF">
            <w:pPr>
              <w:pStyle w:val="SingleTxtG"/>
              <w:spacing w:before="40" w:after="40" w:line="220" w:lineRule="exact"/>
              <w:ind w:left="0" w:right="113"/>
              <w:jc w:val="right"/>
              <w:rPr>
                <w:sz w:val="18"/>
              </w:rPr>
            </w:pPr>
            <w:r w:rsidRPr="001917FF">
              <w:rPr>
                <w:sz w:val="18"/>
              </w:rPr>
              <w:t>96</w:t>
            </w:r>
            <w:r w:rsidR="00664D62">
              <w:rPr>
                <w:sz w:val="18"/>
              </w:rPr>
              <w:t>.</w:t>
            </w:r>
            <w:r w:rsidRPr="001917FF">
              <w:rPr>
                <w:sz w:val="18"/>
              </w:rPr>
              <w:t>1</w:t>
            </w:r>
          </w:p>
        </w:tc>
        <w:tc>
          <w:tcPr>
            <w:tcW w:w="1021" w:type="dxa"/>
            <w:shd w:val="clear" w:color="auto" w:fill="auto"/>
            <w:vAlign w:val="bottom"/>
          </w:tcPr>
          <w:p w14:paraId="68BD55E9" w14:textId="144224F9" w:rsidR="00263BCB" w:rsidRPr="001917FF" w:rsidRDefault="00263BCB" w:rsidP="001917FF">
            <w:pPr>
              <w:pStyle w:val="SingleTxtG"/>
              <w:spacing w:before="40" w:after="40" w:line="220" w:lineRule="exact"/>
              <w:ind w:left="0" w:right="113"/>
              <w:jc w:val="right"/>
              <w:rPr>
                <w:sz w:val="18"/>
              </w:rPr>
            </w:pPr>
            <w:r w:rsidRPr="001917FF">
              <w:rPr>
                <w:sz w:val="18"/>
              </w:rPr>
              <w:t>96</w:t>
            </w:r>
            <w:r w:rsidR="00664D62">
              <w:rPr>
                <w:sz w:val="18"/>
              </w:rPr>
              <w:t>.</w:t>
            </w:r>
            <w:r w:rsidRPr="001917FF">
              <w:rPr>
                <w:sz w:val="18"/>
              </w:rPr>
              <w:t>1</w:t>
            </w:r>
          </w:p>
        </w:tc>
        <w:tc>
          <w:tcPr>
            <w:tcW w:w="1021" w:type="dxa"/>
            <w:shd w:val="clear" w:color="auto" w:fill="auto"/>
            <w:vAlign w:val="bottom"/>
          </w:tcPr>
          <w:p w14:paraId="4295C9E6" w14:textId="01783BB1" w:rsidR="00263BCB" w:rsidRPr="001917FF" w:rsidRDefault="00263BCB" w:rsidP="001917FF">
            <w:pPr>
              <w:pStyle w:val="SingleTxtG"/>
              <w:spacing w:before="40" w:after="40" w:line="220" w:lineRule="exact"/>
              <w:ind w:left="0" w:right="113"/>
              <w:jc w:val="right"/>
              <w:rPr>
                <w:sz w:val="18"/>
              </w:rPr>
            </w:pPr>
            <w:r w:rsidRPr="001917FF">
              <w:rPr>
                <w:sz w:val="18"/>
              </w:rPr>
              <w:t>93</w:t>
            </w:r>
            <w:r w:rsidR="00664D62">
              <w:rPr>
                <w:sz w:val="18"/>
              </w:rPr>
              <w:t>.</w:t>
            </w:r>
            <w:r w:rsidRPr="001917FF">
              <w:rPr>
                <w:sz w:val="18"/>
              </w:rPr>
              <w:t>3</w:t>
            </w:r>
          </w:p>
        </w:tc>
        <w:tc>
          <w:tcPr>
            <w:tcW w:w="1021" w:type="dxa"/>
            <w:shd w:val="clear" w:color="auto" w:fill="auto"/>
            <w:vAlign w:val="bottom"/>
          </w:tcPr>
          <w:p w14:paraId="076F58DF" w14:textId="37DECE1C" w:rsidR="00263BCB" w:rsidRPr="001917FF" w:rsidRDefault="00263BCB" w:rsidP="001917FF">
            <w:pPr>
              <w:pStyle w:val="SingleTxtG"/>
              <w:spacing w:before="40" w:after="40" w:line="220" w:lineRule="exact"/>
              <w:ind w:left="0" w:right="113"/>
              <w:jc w:val="right"/>
              <w:rPr>
                <w:sz w:val="18"/>
              </w:rPr>
            </w:pPr>
            <w:r w:rsidRPr="001917FF">
              <w:rPr>
                <w:sz w:val="18"/>
              </w:rPr>
              <w:t>88</w:t>
            </w:r>
            <w:r w:rsidR="00664D62">
              <w:rPr>
                <w:sz w:val="18"/>
              </w:rPr>
              <w:t>.</w:t>
            </w:r>
            <w:r w:rsidRPr="001917FF">
              <w:rPr>
                <w:sz w:val="18"/>
              </w:rPr>
              <w:t>8</w:t>
            </w:r>
          </w:p>
        </w:tc>
        <w:tc>
          <w:tcPr>
            <w:tcW w:w="1021" w:type="dxa"/>
            <w:shd w:val="clear" w:color="auto" w:fill="auto"/>
            <w:vAlign w:val="bottom"/>
          </w:tcPr>
          <w:p w14:paraId="55B10E18" w14:textId="0406F60B" w:rsidR="00263BCB" w:rsidRPr="001917FF" w:rsidRDefault="00263BCB" w:rsidP="001917FF">
            <w:pPr>
              <w:pStyle w:val="SingleTxtG"/>
              <w:spacing w:before="40" w:after="40" w:line="220" w:lineRule="exact"/>
              <w:ind w:left="0" w:right="113"/>
              <w:jc w:val="right"/>
              <w:rPr>
                <w:sz w:val="18"/>
              </w:rPr>
            </w:pPr>
            <w:r w:rsidRPr="001917FF">
              <w:rPr>
                <w:sz w:val="18"/>
              </w:rPr>
              <w:t>82</w:t>
            </w:r>
            <w:r w:rsidR="00664D62">
              <w:rPr>
                <w:sz w:val="18"/>
              </w:rPr>
              <w:t>.</w:t>
            </w:r>
            <w:r w:rsidRPr="001917FF">
              <w:rPr>
                <w:sz w:val="18"/>
              </w:rPr>
              <w:t>1</w:t>
            </w:r>
          </w:p>
        </w:tc>
      </w:tr>
    </w:tbl>
    <w:p w14:paraId="54EE2A43" w14:textId="04D64A0F" w:rsidR="00263BCB" w:rsidRPr="005D213B" w:rsidRDefault="00263BCB" w:rsidP="00263BCB">
      <w:pPr>
        <w:pStyle w:val="H23G"/>
        <w:rPr>
          <w:lang w:val="mk-MK"/>
        </w:rPr>
      </w:pPr>
      <w:r>
        <w:tab/>
      </w:r>
      <w:bookmarkStart w:id="60" w:name="_Toc56781460"/>
      <w:r>
        <w:t>(</w:t>
      </w:r>
      <w:r w:rsidR="000B7818">
        <w:t>c</w:t>
      </w:r>
      <w:r w:rsidRPr="005D213B">
        <w:t>)</w:t>
      </w:r>
      <w:r>
        <w:tab/>
      </w:r>
      <w:r w:rsidRPr="00F75FC7">
        <w:rPr>
          <w:lang w:val="mk-MK"/>
        </w:rPr>
        <w:t>Reproductive health rights of adolescents and measures to promote a healthy lifestyle</w:t>
      </w:r>
      <w:bookmarkEnd w:id="60"/>
    </w:p>
    <w:p w14:paraId="4FD83D55" w14:textId="1672DE3A" w:rsidR="00263BCB" w:rsidRPr="005D213B" w:rsidRDefault="00570685" w:rsidP="00570685">
      <w:pPr>
        <w:pStyle w:val="ParaNoG"/>
        <w:numPr>
          <w:ilvl w:val="0"/>
          <w:numId w:val="0"/>
        </w:numPr>
        <w:tabs>
          <w:tab w:val="left" w:pos="0"/>
        </w:tabs>
        <w:ind w:left="1134"/>
      </w:pPr>
      <w:r w:rsidRPr="005D213B">
        <w:t>146.</w:t>
      </w:r>
      <w:r w:rsidRPr="005D213B">
        <w:tab/>
      </w:r>
      <w:r w:rsidR="00263BCB" w:rsidRPr="005D213B">
        <w:t>Adolescent pregnancy is a serious health problem due to the possible occurrence of complications during pregnancy and childbirth, as well as the consequences to the mental health of pregnant adolescents. Statistics show a declining trend.</w:t>
      </w:r>
    </w:p>
    <w:p w14:paraId="35B5BC6C" w14:textId="0230DCFC" w:rsidR="00263BCB" w:rsidRPr="00A21C4B" w:rsidRDefault="00263BCB" w:rsidP="00263BCB">
      <w:pPr>
        <w:pStyle w:val="H23G"/>
        <w:rPr>
          <w:rStyle w:val="FootnoteReference"/>
        </w:rPr>
      </w:pPr>
      <w:r>
        <w:lastRenderedPageBreak/>
        <w:tab/>
      </w:r>
      <w:r>
        <w:tab/>
      </w:r>
      <w:bookmarkStart w:id="61" w:name="_Toc56781461"/>
      <w:r w:rsidRPr="00095526">
        <w:rPr>
          <w:b w:val="0"/>
        </w:rPr>
        <w:t>Table 13</w:t>
      </w:r>
      <w:r w:rsidRPr="005D213B">
        <w:t xml:space="preserve"> </w:t>
      </w:r>
      <w:r>
        <w:br/>
      </w:r>
      <w:r w:rsidRPr="005D213B">
        <w:t>Percentage of births by mothers under the age of 19 and rated of adolescent pregnancy per 1,000 girls aged 15</w:t>
      </w:r>
      <w:r w:rsidR="001917FF">
        <w:t>–</w:t>
      </w:r>
      <w:r w:rsidRPr="005D213B">
        <w:t>19</w:t>
      </w:r>
      <w:r w:rsidRPr="00A6012C">
        <w:rPr>
          <w:rStyle w:val="FootnoteReference"/>
          <w:b w:val="0"/>
          <w:bCs/>
        </w:rPr>
        <w:footnoteReference w:id="40"/>
      </w:r>
      <w:bookmarkEnd w:id="61"/>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77"/>
        <w:gridCol w:w="851"/>
        <w:gridCol w:w="708"/>
        <w:gridCol w:w="709"/>
        <w:gridCol w:w="709"/>
        <w:gridCol w:w="709"/>
        <w:gridCol w:w="707"/>
      </w:tblGrid>
      <w:tr w:rsidR="00263BCB" w:rsidRPr="001917FF" w14:paraId="5168683E" w14:textId="77777777" w:rsidTr="001917FF">
        <w:trPr>
          <w:tblHeader/>
        </w:trPr>
        <w:tc>
          <w:tcPr>
            <w:tcW w:w="2977" w:type="dxa"/>
            <w:tcBorders>
              <w:top w:val="single" w:sz="4" w:space="0" w:color="auto"/>
              <w:bottom w:val="single" w:sz="12" w:space="0" w:color="auto"/>
            </w:tcBorders>
            <w:shd w:val="clear" w:color="auto" w:fill="auto"/>
            <w:vAlign w:val="bottom"/>
          </w:tcPr>
          <w:p w14:paraId="180A4D35" w14:textId="77777777" w:rsidR="00263BCB" w:rsidRPr="001917FF" w:rsidRDefault="00263BCB" w:rsidP="001917FF">
            <w:pPr>
              <w:pStyle w:val="SingleTxtG"/>
              <w:spacing w:before="80" w:after="80" w:line="200" w:lineRule="exact"/>
              <w:ind w:left="0" w:right="113"/>
              <w:jc w:val="left"/>
              <w:rPr>
                <w:i/>
                <w:sz w:val="16"/>
              </w:rPr>
            </w:pPr>
            <w:r w:rsidRPr="001917FF">
              <w:rPr>
                <w:i/>
                <w:sz w:val="16"/>
              </w:rPr>
              <w:t>Indicator</w:t>
            </w:r>
          </w:p>
        </w:tc>
        <w:tc>
          <w:tcPr>
            <w:tcW w:w="851" w:type="dxa"/>
            <w:tcBorders>
              <w:top w:val="single" w:sz="4" w:space="0" w:color="auto"/>
              <w:bottom w:val="single" w:sz="12" w:space="0" w:color="auto"/>
            </w:tcBorders>
            <w:shd w:val="clear" w:color="auto" w:fill="auto"/>
            <w:vAlign w:val="bottom"/>
          </w:tcPr>
          <w:p w14:paraId="5E40B927" w14:textId="77777777" w:rsidR="00263BCB" w:rsidRPr="001917FF" w:rsidRDefault="00263BCB" w:rsidP="001917FF">
            <w:pPr>
              <w:pStyle w:val="SingleTxtG"/>
              <w:spacing w:before="80" w:after="80" w:line="200" w:lineRule="exact"/>
              <w:ind w:left="0" w:right="113"/>
              <w:jc w:val="right"/>
              <w:rPr>
                <w:i/>
                <w:sz w:val="16"/>
              </w:rPr>
            </w:pPr>
            <w:r w:rsidRPr="001917FF">
              <w:rPr>
                <w:i/>
                <w:sz w:val="16"/>
              </w:rPr>
              <w:t>2011</w:t>
            </w:r>
          </w:p>
        </w:tc>
        <w:tc>
          <w:tcPr>
            <w:tcW w:w="708" w:type="dxa"/>
            <w:tcBorders>
              <w:top w:val="single" w:sz="4" w:space="0" w:color="auto"/>
              <w:bottom w:val="single" w:sz="12" w:space="0" w:color="auto"/>
            </w:tcBorders>
            <w:shd w:val="clear" w:color="auto" w:fill="auto"/>
            <w:vAlign w:val="bottom"/>
          </w:tcPr>
          <w:p w14:paraId="740BF145" w14:textId="77777777" w:rsidR="00263BCB" w:rsidRPr="001917FF" w:rsidRDefault="00263BCB" w:rsidP="001917FF">
            <w:pPr>
              <w:pStyle w:val="SingleTxtG"/>
              <w:spacing w:before="80" w:after="80" w:line="200" w:lineRule="exact"/>
              <w:ind w:left="0" w:right="113"/>
              <w:jc w:val="right"/>
              <w:rPr>
                <w:i/>
                <w:sz w:val="16"/>
              </w:rPr>
            </w:pPr>
            <w:r w:rsidRPr="001917FF">
              <w:rPr>
                <w:i/>
                <w:sz w:val="16"/>
              </w:rPr>
              <w:t>2012</w:t>
            </w:r>
          </w:p>
        </w:tc>
        <w:tc>
          <w:tcPr>
            <w:tcW w:w="709" w:type="dxa"/>
            <w:tcBorders>
              <w:top w:val="single" w:sz="4" w:space="0" w:color="auto"/>
              <w:bottom w:val="single" w:sz="12" w:space="0" w:color="auto"/>
            </w:tcBorders>
            <w:shd w:val="clear" w:color="auto" w:fill="auto"/>
            <w:vAlign w:val="bottom"/>
          </w:tcPr>
          <w:p w14:paraId="0933D7AF" w14:textId="77777777" w:rsidR="00263BCB" w:rsidRPr="001917FF" w:rsidRDefault="00263BCB" w:rsidP="001917FF">
            <w:pPr>
              <w:pStyle w:val="SingleTxtG"/>
              <w:spacing w:before="80" w:after="80" w:line="200" w:lineRule="exact"/>
              <w:ind w:left="0" w:right="113"/>
              <w:jc w:val="right"/>
              <w:rPr>
                <w:i/>
                <w:sz w:val="16"/>
              </w:rPr>
            </w:pPr>
            <w:r w:rsidRPr="001917FF">
              <w:rPr>
                <w:i/>
                <w:sz w:val="16"/>
              </w:rPr>
              <w:t>2013</w:t>
            </w:r>
          </w:p>
        </w:tc>
        <w:tc>
          <w:tcPr>
            <w:tcW w:w="709" w:type="dxa"/>
            <w:tcBorders>
              <w:top w:val="single" w:sz="4" w:space="0" w:color="auto"/>
              <w:bottom w:val="single" w:sz="12" w:space="0" w:color="auto"/>
            </w:tcBorders>
            <w:shd w:val="clear" w:color="auto" w:fill="auto"/>
            <w:vAlign w:val="bottom"/>
          </w:tcPr>
          <w:p w14:paraId="24E6128B" w14:textId="77777777" w:rsidR="00263BCB" w:rsidRPr="001917FF" w:rsidRDefault="00263BCB" w:rsidP="001917FF">
            <w:pPr>
              <w:pStyle w:val="SingleTxtG"/>
              <w:spacing w:before="80" w:after="80" w:line="200" w:lineRule="exact"/>
              <w:ind w:left="0" w:right="113"/>
              <w:jc w:val="right"/>
              <w:rPr>
                <w:i/>
                <w:sz w:val="16"/>
              </w:rPr>
            </w:pPr>
            <w:r w:rsidRPr="001917FF">
              <w:rPr>
                <w:i/>
                <w:sz w:val="16"/>
              </w:rPr>
              <w:t>2014</w:t>
            </w:r>
          </w:p>
        </w:tc>
        <w:tc>
          <w:tcPr>
            <w:tcW w:w="709" w:type="dxa"/>
            <w:tcBorders>
              <w:top w:val="single" w:sz="4" w:space="0" w:color="auto"/>
              <w:bottom w:val="single" w:sz="12" w:space="0" w:color="auto"/>
            </w:tcBorders>
            <w:shd w:val="clear" w:color="auto" w:fill="auto"/>
            <w:vAlign w:val="bottom"/>
          </w:tcPr>
          <w:p w14:paraId="29621A4A" w14:textId="77777777" w:rsidR="00263BCB" w:rsidRPr="001917FF" w:rsidRDefault="00263BCB" w:rsidP="001917FF">
            <w:pPr>
              <w:pStyle w:val="SingleTxtG"/>
              <w:spacing w:before="80" w:after="80" w:line="200" w:lineRule="exact"/>
              <w:ind w:left="0" w:right="113"/>
              <w:jc w:val="right"/>
              <w:rPr>
                <w:i/>
                <w:sz w:val="16"/>
              </w:rPr>
            </w:pPr>
            <w:r w:rsidRPr="001917FF">
              <w:rPr>
                <w:i/>
                <w:sz w:val="16"/>
              </w:rPr>
              <w:t>2015</w:t>
            </w:r>
          </w:p>
        </w:tc>
        <w:tc>
          <w:tcPr>
            <w:tcW w:w="707" w:type="dxa"/>
            <w:tcBorders>
              <w:top w:val="single" w:sz="4" w:space="0" w:color="auto"/>
              <w:bottom w:val="single" w:sz="12" w:space="0" w:color="auto"/>
            </w:tcBorders>
            <w:shd w:val="clear" w:color="auto" w:fill="auto"/>
            <w:vAlign w:val="bottom"/>
          </w:tcPr>
          <w:p w14:paraId="339760C6" w14:textId="77777777" w:rsidR="00263BCB" w:rsidRPr="001917FF" w:rsidRDefault="00263BCB" w:rsidP="001917FF">
            <w:pPr>
              <w:pStyle w:val="SingleTxtG"/>
              <w:spacing w:before="80" w:after="80" w:line="200" w:lineRule="exact"/>
              <w:ind w:left="0" w:right="113"/>
              <w:jc w:val="right"/>
              <w:rPr>
                <w:i/>
                <w:sz w:val="16"/>
              </w:rPr>
            </w:pPr>
            <w:r w:rsidRPr="001917FF">
              <w:rPr>
                <w:i/>
                <w:sz w:val="16"/>
              </w:rPr>
              <w:t>2016</w:t>
            </w:r>
          </w:p>
        </w:tc>
      </w:tr>
      <w:tr w:rsidR="00263BCB" w:rsidRPr="001917FF" w14:paraId="170D5C64" w14:textId="77777777" w:rsidTr="001917FF">
        <w:tc>
          <w:tcPr>
            <w:tcW w:w="2977" w:type="dxa"/>
            <w:tcBorders>
              <w:top w:val="single" w:sz="12" w:space="0" w:color="auto"/>
            </w:tcBorders>
            <w:shd w:val="clear" w:color="auto" w:fill="auto"/>
          </w:tcPr>
          <w:p w14:paraId="2D73E3F9" w14:textId="279A4E58" w:rsidR="00263BCB" w:rsidRPr="001917FF" w:rsidRDefault="00263BCB" w:rsidP="001917FF">
            <w:pPr>
              <w:pStyle w:val="SingleTxtG"/>
              <w:spacing w:before="40" w:after="40" w:line="220" w:lineRule="exact"/>
              <w:ind w:left="0" w:right="113"/>
              <w:jc w:val="left"/>
              <w:rPr>
                <w:sz w:val="18"/>
              </w:rPr>
            </w:pPr>
            <w:r w:rsidRPr="001917FF">
              <w:rPr>
                <w:sz w:val="18"/>
              </w:rPr>
              <w:t xml:space="preserve">% of births by mothers under 19 years </w:t>
            </w:r>
            <w:r w:rsidR="001917FF">
              <w:rPr>
                <w:sz w:val="18"/>
              </w:rPr>
              <w:t>o</w:t>
            </w:r>
            <w:r w:rsidRPr="001917FF">
              <w:rPr>
                <w:sz w:val="18"/>
              </w:rPr>
              <w:t xml:space="preserve">f age per total number of births </w:t>
            </w:r>
          </w:p>
        </w:tc>
        <w:tc>
          <w:tcPr>
            <w:tcW w:w="851" w:type="dxa"/>
            <w:tcBorders>
              <w:top w:val="single" w:sz="12" w:space="0" w:color="auto"/>
            </w:tcBorders>
            <w:shd w:val="clear" w:color="auto" w:fill="auto"/>
            <w:vAlign w:val="bottom"/>
          </w:tcPr>
          <w:p w14:paraId="51FD8BF1" w14:textId="77777777" w:rsidR="00263BCB" w:rsidRPr="001917FF" w:rsidRDefault="00263BCB" w:rsidP="001917FF">
            <w:pPr>
              <w:pStyle w:val="SingleTxtG"/>
              <w:spacing w:before="40" w:after="40" w:line="220" w:lineRule="exact"/>
              <w:ind w:left="0" w:right="113"/>
              <w:jc w:val="right"/>
              <w:rPr>
                <w:sz w:val="18"/>
              </w:rPr>
            </w:pPr>
            <w:r w:rsidRPr="001917FF">
              <w:rPr>
                <w:sz w:val="18"/>
              </w:rPr>
              <w:t>6.1</w:t>
            </w:r>
          </w:p>
        </w:tc>
        <w:tc>
          <w:tcPr>
            <w:tcW w:w="708" w:type="dxa"/>
            <w:tcBorders>
              <w:top w:val="single" w:sz="12" w:space="0" w:color="auto"/>
            </w:tcBorders>
            <w:shd w:val="clear" w:color="auto" w:fill="auto"/>
            <w:vAlign w:val="bottom"/>
          </w:tcPr>
          <w:p w14:paraId="06EE7725" w14:textId="77777777" w:rsidR="00263BCB" w:rsidRPr="001917FF" w:rsidRDefault="00263BCB" w:rsidP="001917FF">
            <w:pPr>
              <w:pStyle w:val="SingleTxtG"/>
              <w:spacing w:before="40" w:after="40" w:line="220" w:lineRule="exact"/>
              <w:ind w:left="0" w:right="113"/>
              <w:jc w:val="right"/>
              <w:rPr>
                <w:sz w:val="18"/>
              </w:rPr>
            </w:pPr>
            <w:r w:rsidRPr="001917FF">
              <w:rPr>
                <w:sz w:val="18"/>
              </w:rPr>
              <w:t>5.8</w:t>
            </w:r>
          </w:p>
        </w:tc>
        <w:tc>
          <w:tcPr>
            <w:tcW w:w="709" w:type="dxa"/>
            <w:tcBorders>
              <w:top w:val="single" w:sz="12" w:space="0" w:color="auto"/>
            </w:tcBorders>
            <w:shd w:val="clear" w:color="auto" w:fill="auto"/>
            <w:vAlign w:val="bottom"/>
          </w:tcPr>
          <w:p w14:paraId="055D6AB6" w14:textId="77777777" w:rsidR="00263BCB" w:rsidRPr="001917FF" w:rsidRDefault="00263BCB" w:rsidP="001917FF">
            <w:pPr>
              <w:pStyle w:val="SingleTxtG"/>
              <w:spacing w:before="40" w:after="40" w:line="220" w:lineRule="exact"/>
              <w:ind w:left="0" w:right="113"/>
              <w:jc w:val="right"/>
              <w:rPr>
                <w:sz w:val="18"/>
              </w:rPr>
            </w:pPr>
            <w:r w:rsidRPr="001917FF">
              <w:rPr>
                <w:sz w:val="18"/>
              </w:rPr>
              <w:t>5.8</w:t>
            </w:r>
          </w:p>
        </w:tc>
        <w:tc>
          <w:tcPr>
            <w:tcW w:w="709" w:type="dxa"/>
            <w:tcBorders>
              <w:top w:val="single" w:sz="12" w:space="0" w:color="auto"/>
            </w:tcBorders>
            <w:shd w:val="clear" w:color="auto" w:fill="auto"/>
            <w:vAlign w:val="bottom"/>
          </w:tcPr>
          <w:p w14:paraId="6BD3784B" w14:textId="77777777" w:rsidR="00263BCB" w:rsidRPr="001917FF" w:rsidRDefault="00263BCB" w:rsidP="001917FF">
            <w:pPr>
              <w:pStyle w:val="SingleTxtG"/>
              <w:spacing w:before="40" w:after="40" w:line="220" w:lineRule="exact"/>
              <w:ind w:left="0" w:right="113"/>
              <w:jc w:val="right"/>
              <w:rPr>
                <w:sz w:val="18"/>
              </w:rPr>
            </w:pPr>
            <w:r w:rsidRPr="001917FF">
              <w:rPr>
                <w:sz w:val="18"/>
              </w:rPr>
              <w:t>5.1</w:t>
            </w:r>
          </w:p>
        </w:tc>
        <w:tc>
          <w:tcPr>
            <w:tcW w:w="709" w:type="dxa"/>
            <w:tcBorders>
              <w:top w:val="single" w:sz="12" w:space="0" w:color="auto"/>
            </w:tcBorders>
            <w:shd w:val="clear" w:color="auto" w:fill="auto"/>
            <w:vAlign w:val="bottom"/>
          </w:tcPr>
          <w:p w14:paraId="2ABACD95" w14:textId="77777777" w:rsidR="00263BCB" w:rsidRPr="001917FF" w:rsidRDefault="00263BCB" w:rsidP="001917FF">
            <w:pPr>
              <w:pStyle w:val="SingleTxtG"/>
              <w:spacing w:before="40" w:after="40" w:line="220" w:lineRule="exact"/>
              <w:ind w:left="0" w:right="113"/>
              <w:jc w:val="right"/>
              <w:rPr>
                <w:sz w:val="18"/>
              </w:rPr>
            </w:pPr>
            <w:r w:rsidRPr="001917FF">
              <w:rPr>
                <w:sz w:val="18"/>
              </w:rPr>
              <w:t>5%</w:t>
            </w:r>
          </w:p>
        </w:tc>
        <w:tc>
          <w:tcPr>
            <w:tcW w:w="707" w:type="dxa"/>
            <w:tcBorders>
              <w:top w:val="single" w:sz="12" w:space="0" w:color="auto"/>
            </w:tcBorders>
            <w:shd w:val="clear" w:color="auto" w:fill="auto"/>
            <w:vAlign w:val="bottom"/>
          </w:tcPr>
          <w:p w14:paraId="5B6D9C2D" w14:textId="77777777" w:rsidR="00263BCB" w:rsidRPr="001917FF" w:rsidRDefault="00263BCB" w:rsidP="001917FF">
            <w:pPr>
              <w:pStyle w:val="SingleTxtG"/>
              <w:spacing w:before="40" w:after="40" w:line="220" w:lineRule="exact"/>
              <w:ind w:left="0" w:right="113"/>
              <w:jc w:val="right"/>
              <w:rPr>
                <w:sz w:val="18"/>
              </w:rPr>
            </w:pPr>
            <w:r w:rsidRPr="001917FF">
              <w:rPr>
                <w:sz w:val="18"/>
              </w:rPr>
              <w:t>4.47</w:t>
            </w:r>
          </w:p>
        </w:tc>
      </w:tr>
      <w:tr w:rsidR="00263BCB" w:rsidRPr="001917FF" w14:paraId="60D1174F" w14:textId="77777777" w:rsidTr="001917FF">
        <w:tc>
          <w:tcPr>
            <w:tcW w:w="2977" w:type="dxa"/>
            <w:shd w:val="clear" w:color="auto" w:fill="auto"/>
          </w:tcPr>
          <w:p w14:paraId="769E2D56" w14:textId="4225280C" w:rsidR="00263BCB" w:rsidRPr="001917FF" w:rsidRDefault="00263BCB" w:rsidP="001917FF">
            <w:pPr>
              <w:pStyle w:val="SingleTxtG"/>
              <w:spacing w:before="40" w:after="40" w:line="220" w:lineRule="exact"/>
              <w:ind w:left="0" w:right="113"/>
              <w:jc w:val="left"/>
              <w:rPr>
                <w:sz w:val="18"/>
              </w:rPr>
            </w:pPr>
            <w:r w:rsidRPr="001917FF">
              <w:rPr>
                <w:sz w:val="18"/>
              </w:rPr>
              <w:t>Adolescent pregnancy (15</w:t>
            </w:r>
            <w:r w:rsidR="001917FF">
              <w:t>–</w:t>
            </w:r>
            <w:r w:rsidRPr="001917FF">
              <w:rPr>
                <w:sz w:val="18"/>
              </w:rPr>
              <w:t>19 years of age) per 1,000 girls aged 15</w:t>
            </w:r>
            <w:r w:rsidR="001917FF">
              <w:t>–</w:t>
            </w:r>
            <w:r w:rsidRPr="001917FF">
              <w:rPr>
                <w:sz w:val="18"/>
              </w:rPr>
              <w:t xml:space="preserve">19 </w:t>
            </w:r>
          </w:p>
        </w:tc>
        <w:tc>
          <w:tcPr>
            <w:tcW w:w="851" w:type="dxa"/>
            <w:shd w:val="clear" w:color="auto" w:fill="auto"/>
            <w:vAlign w:val="bottom"/>
          </w:tcPr>
          <w:p w14:paraId="2D3E213F" w14:textId="77777777" w:rsidR="00263BCB" w:rsidRPr="001917FF" w:rsidRDefault="00263BCB" w:rsidP="001917FF">
            <w:pPr>
              <w:pStyle w:val="SingleTxtG"/>
              <w:spacing w:before="40" w:after="40" w:line="220" w:lineRule="exact"/>
              <w:ind w:left="0" w:right="113"/>
              <w:jc w:val="right"/>
              <w:rPr>
                <w:sz w:val="18"/>
              </w:rPr>
            </w:pPr>
            <w:r w:rsidRPr="001917FF">
              <w:rPr>
                <w:sz w:val="18"/>
              </w:rPr>
              <w:t>N/A</w:t>
            </w:r>
          </w:p>
        </w:tc>
        <w:tc>
          <w:tcPr>
            <w:tcW w:w="708" w:type="dxa"/>
            <w:shd w:val="clear" w:color="auto" w:fill="auto"/>
            <w:vAlign w:val="bottom"/>
          </w:tcPr>
          <w:p w14:paraId="438E4208" w14:textId="77777777" w:rsidR="00263BCB" w:rsidRPr="001917FF" w:rsidRDefault="00263BCB" w:rsidP="001917FF">
            <w:pPr>
              <w:pStyle w:val="SingleTxtG"/>
              <w:spacing w:before="40" w:after="40" w:line="220" w:lineRule="exact"/>
              <w:ind w:left="0" w:right="113"/>
              <w:jc w:val="right"/>
              <w:rPr>
                <w:b/>
                <w:sz w:val="18"/>
              </w:rPr>
            </w:pPr>
            <w:r w:rsidRPr="001917FF">
              <w:rPr>
                <w:sz w:val="18"/>
              </w:rPr>
              <w:t>N/A</w:t>
            </w:r>
          </w:p>
        </w:tc>
        <w:tc>
          <w:tcPr>
            <w:tcW w:w="709" w:type="dxa"/>
            <w:shd w:val="clear" w:color="auto" w:fill="auto"/>
            <w:vAlign w:val="bottom"/>
          </w:tcPr>
          <w:p w14:paraId="43880612" w14:textId="77777777" w:rsidR="00263BCB" w:rsidRPr="001917FF" w:rsidRDefault="00263BCB" w:rsidP="001917FF">
            <w:pPr>
              <w:pStyle w:val="SingleTxtG"/>
              <w:spacing w:before="40" w:after="40" w:line="220" w:lineRule="exact"/>
              <w:ind w:left="0" w:right="113"/>
              <w:jc w:val="right"/>
              <w:rPr>
                <w:b/>
                <w:sz w:val="18"/>
              </w:rPr>
            </w:pPr>
            <w:r w:rsidRPr="001917FF">
              <w:rPr>
                <w:sz w:val="18"/>
              </w:rPr>
              <w:t>N/A</w:t>
            </w:r>
          </w:p>
        </w:tc>
        <w:tc>
          <w:tcPr>
            <w:tcW w:w="709" w:type="dxa"/>
            <w:shd w:val="clear" w:color="auto" w:fill="auto"/>
            <w:vAlign w:val="bottom"/>
          </w:tcPr>
          <w:p w14:paraId="545DC039" w14:textId="77777777" w:rsidR="00263BCB" w:rsidRPr="001917FF" w:rsidRDefault="00263BCB" w:rsidP="001917FF">
            <w:pPr>
              <w:pStyle w:val="SingleTxtG"/>
              <w:spacing w:before="40" w:after="40" w:line="220" w:lineRule="exact"/>
              <w:ind w:left="0" w:right="113"/>
              <w:jc w:val="right"/>
              <w:rPr>
                <w:sz w:val="18"/>
              </w:rPr>
            </w:pPr>
            <w:r w:rsidRPr="001917FF">
              <w:rPr>
                <w:sz w:val="18"/>
              </w:rPr>
              <w:t>21.9</w:t>
            </w:r>
          </w:p>
        </w:tc>
        <w:tc>
          <w:tcPr>
            <w:tcW w:w="709" w:type="dxa"/>
            <w:shd w:val="clear" w:color="auto" w:fill="auto"/>
            <w:vAlign w:val="bottom"/>
          </w:tcPr>
          <w:p w14:paraId="2BA422D3" w14:textId="77777777" w:rsidR="00263BCB" w:rsidRPr="001917FF" w:rsidRDefault="00263BCB" w:rsidP="001917FF">
            <w:pPr>
              <w:pStyle w:val="SingleTxtG"/>
              <w:spacing w:before="40" w:after="40" w:line="220" w:lineRule="exact"/>
              <w:ind w:left="0" w:right="113"/>
              <w:jc w:val="right"/>
              <w:rPr>
                <w:sz w:val="18"/>
              </w:rPr>
            </w:pPr>
            <w:r w:rsidRPr="001917FF">
              <w:rPr>
                <w:sz w:val="18"/>
              </w:rPr>
              <w:t>20.4</w:t>
            </w:r>
          </w:p>
        </w:tc>
        <w:tc>
          <w:tcPr>
            <w:tcW w:w="707" w:type="dxa"/>
            <w:shd w:val="clear" w:color="auto" w:fill="auto"/>
            <w:vAlign w:val="bottom"/>
          </w:tcPr>
          <w:p w14:paraId="52D8C381" w14:textId="77777777" w:rsidR="00263BCB" w:rsidRPr="001917FF" w:rsidRDefault="00263BCB" w:rsidP="001917FF">
            <w:pPr>
              <w:pStyle w:val="SingleTxtG"/>
              <w:spacing w:before="40" w:after="40" w:line="220" w:lineRule="exact"/>
              <w:ind w:left="0" w:right="113"/>
              <w:jc w:val="right"/>
              <w:rPr>
                <w:sz w:val="18"/>
              </w:rPr>
            </w:pPr>
            <w:r w:rsidRPr="001917FF">
              <w:rPr>
                <w:sz w:val="18"/>
              </w:rPr>
              <w:t>19.5</w:t>
            </w:r>
          </w:p>
        </w:tc>
      </w:tr>
    </w:tbl>
    <w:p w14:paraId="50781DAC" w14:textId="697707CB" w:rsidR="00263BCB" w:rsidRPr="006B7180" w:rsidRDefault="00570685" w:rsidP="00570685">
      <w:pPr>
        <w:pStyle w:val="ParaNoG"/>
        <w:numPr>
          <w:ilvl w:val="0"/>
          <w:numId w:val="0"/>
        </w:numPr>
        <w:tabs>
          <w:tab w:val="left" w:pos="0"/>
        </w:tabs>
        <w:spacing w:before="240"/>
        <w:ind w:left="1134"/>
      </w:pPr>
      <w:r w:rsidRPr="006B7180">
        <w:t>147.</w:t>
      </w:r>
      <w:r w:rsidRPr="006B7180">
        <w:tab/>
      </w:r>
      <w:r w:rsidR="00263BCB" w:rsidRPr="005D213B">
        <w:t>In order to raise awareness among parents and children aged 12</w:t>
      </w:r>
      <w:r w:rsidR="001917FF">
        <w:t>–</w:t>
      </w:r>
      <w:r w:rsidR="00263BCB" w:rsidRPr="005D213B">
        <w:t>18 on the negative effects of child pregnancy and marriage, in cooperation with the local NGO H.E.R.A., in 2017, UNICEF hosted roundtables in several municipalities with predominantly Roma population where this phenomenon occurs more frequently. According to the National Public Health Program, the Public Health Centres (PHCs) carry out education in primary and secondary schools on a yearly basis regarding sexually transmitted diseases and unwanted pregnancies. A series of trainings for PHC health professionals has also been conducted on the prevention of adolescent pregnancy. Moreover, a module on adolescent SRH was introduced in family medicine residency program curricula.</w:t>
      </w:r>
    </w:p>
    <w:p w14:paraId="2B171F82" w14:textId="2D6A7E2B" w:rsidR="00263BCB" w:rsidRPr="005D213B" w:rsidRDefault="00570685" w:rsidP="00570685">
      <w:pPr>
        <w:pStyle w:val="ParaNoG"/>
        <w:numPr>
          <w:ilvl w:val="0"/>
          <w:numId w:val="0"/>
        </w:numPr>
        <w:tabs>
          <w:tab w:val="left" w:pos="0"/>
        </w:tabs>
        <w:ind w:left="1134"/>
      </w:pPr>
      <w:r w:rsidRPr="005D213B">
        <w:t>148.</w:t>
      </w:r>
      <w:r w:rsidRPr="005D213B">
        <w:tab/>
      </w:r>
      <w:r w:rsidR="00263BCB" w:rsidRPr="005D213B">
        <w:t>Since 2012, PHCs have also been operating SRH Counselling Centres providing free expert counsel and contraceptives.</w:t>
      </w:r>
    </w:p>
    <w:p w14:paraId="312097C4" w14:textId="5BF21534" w:rsidR="00263BCB" w:rsidRPr="00727339" w:rsidRDefault="00263BCB" w:rsidP="00263BCB">
      <w:pPr>
        <w:pStyle w:val="H23G"/>
        <w:rPr>
          <w:rStyle w:val="FootnoteReference"/>
          <w:b w:val="0"/>
          <w:bCs/>
        </w:rPr>
      </w:pPr>
      <w:r>
        <w:tab/>
      </w:r>
      <w:r>
        <w:tab/>
      </w:r>
      <w:bookmarkStart w:id="62" w:name="_Toc56781462"/>
      <w:r w:rsidRPr="00095526">
        <w:rPr>
          <w:b w:val="0"/>
        </w:rPr>
        <w:t>Table 14</w:t>
      </w:r>
      <w:r w:rsidRPr="005D213B">
        <w:t xml:space="preserve"> </w:t>
      </w:r>
      <w:r>
        <w:br/>
      </w:r>
      <w:r w:rsidRPr="005D213B">
        <w:t>SRH Counselling Centres Work Report 2012</w:t>
      </w:r>
      <w:r w:rsidR="00337C9B">
        <w:t>–</w:t>
      </w:r>
      <w:r w:rsidRPr="005D213B">
        <w:t>2017</w:t>
      </w:r>
      <w:r w:rsidRPr="00727339">
        <w:rPr>
          <w:rStyle w:val="FootnoteReference"/>
          <w:b w:val="0"/>
          <w:bCs/>
        </w:rPr>
        <w:footnoteReference w:id="41"/>
      </w:r>
      <w:bookmarkEnd w:id="62"/>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77"/>
        <w:gridCol w:w="711"/>
        <w:gridCol w:w="689"/>
        <w:gridCol w:w="689"/>
        <w:gridCol w:w="860"/>
        <w:gridCol w:w="945"/>
        <w:gridCol w:w="689"/>
        <w:gridCol w:w="945"/>
      </w:tblGrid>
      <w:tr w:rsidR="00263BCB" w:rsidRPr="00337C9B" w14:paraId="545E7B13" w14:textId="77777777" w:rsidTr="00337C9B">
        <w:trPr>
          <w:tblHeader/>
        </w:trPr>
        <w:tc>
          <w:tcPr>
            <w:tcW w:w="2977" w:type="dxa"/>
            <w:tcBorders>
              <w:top w:val="single" w:sz="4" w:space="0" w:color="auto"/>
              <w:bottom w:val="single" w:sz="12" w:space="0" w:color="auto"/>
            </w:tcBorders>
            <w:shd w:val="clear" w:color="auto" w:fill="auto"/>
            <w:noWrap/>
            <w:vAlign w:val="bottom"/>
          </w:tcPr>
          <w:p w14:paraId="4A6B165D" w14:textId="77777777" w:rsidR="00263BCB" w:rsidRPr="00337C9B" w:rsidRDefault="00263BCB" w:rsidP="00337C9B">
            <w:pPr>
              <w:pStyle w:val="SingleTxtG"/>
              <w:spacing w:before="80" w:after="80" w:line="200" w:lineRule="exact"/>
              <w:ind w:left="0" w:right="113"/>
              <w:jc w:val="left"/>
              <w:rPr>
                <w:bCs/>
                <w:i/>
                <w:sz w:val="16"/>
              </w:rPr>
            </w:pPr>
          </w:p>
        </w:tc>
        <w:tc>
          <w:tcPr>
            <w:tcW w:w="711" w:type="dxa"/>
            <w:tcBorders>
              <w:top w:val="single" w:sz="4" w:space="0" w:color="auto"/>
              <w:bottom w:val="single" w:sz="12" w:space="0" w:color="auto"/>
            </w:tcBorders>
            <w:shd w:val="clear" w:color="auto" w:fill="auto"/>
            <w:noWrap/>
            <w:vAlign w:val="bottom"/>
          </w:tcPr>
          <w:p w14:paraId="0945D7AA" w14:textId="77777777" w:rsidR="00263BCB" w:rsidRPr="00337C9B" w:rsidRDefault="00263BCB" w:rsidP="00337C9B">
            <w:pPr>
              <w:pStyle w:val="SingleTxtG"/>
              <w:spacing w:before="80" w:after="80" w:line="200" w:lineRule="exact"/>
              <w:ind w:left="0" w:right="113"/>
              <w:jc w:val="right"/>
              <w:rPr>
                <w:i/>
                <w:sz w:val="16"/>
              </w:rPr>
            </w:pPr>
            <w:r w:rsidRPr="00337C9B">
              <w:rPr>
                <w:i/>
                <w:sz w:val="16"/>
              </w:rPr>
              <w:t>2012</w:t>
            </w:r>
          </w:p>
        </w:tc>
        <w:tc>
          <w:tcPr>
            <w:tcW w:w="689" w:type="dxa"/>
            <w:tcBorders>
              <w:top w:val="single" w:sz="4" w:space="0" w:color="auto"/>
              <w:bottom w:val="single" w:sz="12" w:space="0" w:color="auto"/>
            </w:tcBorders>
            <w:shd w:val="clear" w:color="auto" w:fill="auto"/>
            <w:vAlign w:val="bottom"/>
          </w:tcPr>
          <w:p w14:paraId="576F3B1F" w14:textId="77777777" w:rsidR="00263BCB" w:rsidRPr="00337C9B" w:rsidRDefault="00263BCB" w:rsidP="00337C9B">
            <w:pPr>
              <w:pStyle w:val="SingleTxtG"/>
              <w:spacing w:before="80" w:after="80" w:line="200" w:lineRule="exact"/>
              <w:ind w:left="0" w:right="113"/>
              <w:jc w:val="right"/>
              <w:rPr>
                <w:i/>
                <w:sz w:val="16"/>
              </w:rPr>
            </w:pPr>
            <w:r w:rsidRPr="00337C9B">
              <w:rPr>
                <w:i/>
                <w:sz w:val="16"/>
              </w:rPr>
              <w:t>2013</w:t>
            </w:r>
          </w:p>
        </w:tc>
        <w:tc>
          <w:tcPr>
            <w:tcW w:w="689" w:type="dxa"/>
            <w:tcBorders>
              <w:top w:val="single" w:sz="4" w:space="0" w:color="auto"/>
              <w:bottom w:val="single" w:sz="12" w:space="0" w:color="auto"/>
            </w:tcBorders>
            <w:shd w:val="clear" w:color="auto" w:fill="auto"/>
            <w:vAlign w:val="bottom"/>
          </w:tcPr>
          <w:p w14:paraId="613BEE19" w14:textId="77777777" w:rsidR="00263BCB" w:rsidRPr="00337C9B" w:rsidRDefault="00263BCB" w:rsidP="00337C9B">
            <w:pPr>
              <w:pStyle w:val="SingleTxtG"/>
              <w:spacing w:before="80" w:after="80" w:line="200" w:lineRule="exact"/>
              <w:ind w:left="0" w:right="113"/>
              <w:jc w:val="right"/>
              <w:rPr>
                <w:i/>
                <w:sz w:val="16"/>
              </w:rPr>
            </w:pPr>
            <w:r w:rsidRPr="00337C9B">
              <w:rPr>
                <w:i/>
                <w:sz w:val="16"/>
              </w:rPr>
              <w:t>2014</w:t>
            </w:r>
          </w:p>
        </w:tc>
        <w:tc>
          <w:tcPr>
            <w:tcW w:w="860" w:type="dxa"/>
            <w:tcBorders>
              <w:top w:val="single" w:sz="4" w:space="0" w:color="auto"/>
              <w:bottom w:val="single" w:sz="12" w:space="0" w:color="auto"/>
            </w:tcBorders>
            <w:shd w:val="clear" w:color="auto" w:fill="auto"/>
            <w:vAlign w:val="bottom"/>
          </w:tcPr>
          <w:p w14:paraId="532A2D1E" w14:textId="77777777" w:rsidR="00263BCB" w:rsidRPr="00337C9B" w:rsidRDefault="00263BCB" w:rsidP="00337C9B">
            <w:pPr>
              <w:pStyle w:val="SingleTxtG"/>
              <w:spacing w:before="80" w:after="80" w:line="200" w:lineRule="exact"/>
              <w:ind w:left="0" w:right="113"/>
              <w:jc w:val="right"/>
              <w:rPr>
                <w:i/>
                <w:sz w:val="16"/>
              </w:rPr>
            </w:pPr>
            <w:r w:rsidRPr="00337C9B">
              <w:rPr>
                <w:i/>
                <w:sz w:val="16"/>
              </w:rPr>
              <w:t>2015</w:t>
            </w:r>
          </w:p>
        </w:tc>
        <w:tc>
          <w:tcPr>
            <w:tcW w:w="945" w:type="dxa"/>
            <w:tcBorders>
              <w:top w:val="single" w:sz="4" w:space="0" w:color="auto"/>
              <w:bottom w:val="single" w:sz="12" w:space="0" w:color="auto"/>
            </w:tcBorders>
            <w:shd w:val="clear" w:color="auto" w:fill="auto"/>
            <w:vAlign w:val="bottom"/>
          </w:tcPr>
          <w:p w14:paraId="1411B14A" w14:textId="77777777" w:rsidR="00263BCB" w:rsidRPr="00337C9B" w:rsidRDefault="00263BCB" w:rsidP="00337C9B">
            <w:pPr>
              <w:pStyle w:val="SingleTxtG"/>
              <w:spacing w:before="80" w:after="80" w:line="200" w:lineRule="exact"/>
              <w:ind w:left="0" w:right="113"/>
              <w:jc w:val="right"/>
              <w:rPr>
                <w:i/>
                <w:sz w:val="16"/>
              </w:rPr>
            </w:pPr>
            <w:r w:rsidRPr="00337C9B">
              <w:rPr>
                <w:i/>
                <w:sz w:val="16"/>
              </w:rPr>
              <w:t>2016</w:t>
            </w:r>
          </w:p>
        </w:tc>
        <w:tc>
          <w:tcPr>
            <w:tcW w:w="689" w:type="dxa"/>
            <w:tcBorders>
              <w:top w:val="single" w:sz="4" w:space="0" w:color="auto"/>
              <w:bottom w:val="single" w:sz="12" w:space="0" w:color="auto"/>
            </w:tcBorders>
            <w:shd w:val="clear" w:color="auto" w:fill="auto"/>
            <w:vAlign w:val="bottom"/>
          </w:tcPr>
          <w:p w14:paraId="05CB321D" w14:textId="77777777" w:rsidR="00263BCB" w:rsidRPr="00337C9B" w:rsidRDefault="00263BCB" w:rsidP="00337C9B">
            <w:pPr>
              <w:pStyle w:val="SingleTxtG"/>
              <w:spacing w:before="80" w:after="80" w:line="200" w:lineRule="exact"/>
              <w:ind w:left="0" w:right="113"/>
              <w:jc w:val="right"/>
              <w:rPr>
                <w:i/>
                <w:sz w:val="16"/>
              </w:rPr>
            </w:pPr>
            <w:r w:rsidRPr="00337C9B">
              <w:rPr>
                <w:i/>
                <w:sz w:val="16"/>
              </w:rPr>
              <w:t>2017</w:t>
            </w:r>
          </w:p>
        </w:tc>
        <w:tc>
          <w:tcPr>
            <w:tcW w:w="945" w:type="dxa"/>
            <w:tcBorders>
              <w:top w:val="single" w:sz="4" w:space="0" w:color="auto"/>
              <w:bottom w:val="single" w:sz="12" w:space="0" w:color="auto"/>
            </w:tcBorders>
            <w:shd w:val="clear" w:color="auto" w:fill="auto"/>
            <w:vAlign w:val="bottom"/>
          </w:tcPr>
          <w:p w14:paraId="5F4E27EC" w14:textId="77777777" w:rsidR="00263BCB" w:rsidRPr="00337C9B" w:rsidRDefault="00263BCB" w:rsidP="00337C9B">
            <w:pPr>
              <w:pStyle w:val="SingleTxtG"/>
              <w:spacing w:before="80" w:after="80" w:line="200" w:lineRule="exact"/>
              <w:ind w:left="0" w:right="113"/>
              <w:jc w:val="right"/>
              <w:rPr>
                <w:i/>
                <w:sz w:val="16"/>
              </w:rPr>
            </w:pPr>
            <w:r w:rsidRPr="00337C9B">
              <w:rPr>
                <w:i/>
                <w:sz w:val="16"/>
              </w:rPr>
              <w:t>In total</w:t>
            </w:r>
          </w:p>
        </w:tc>
      </w:tr>
      <w:tr w:rsidR="00263BCB" w:rsidRPr="00337C9B" w14:paraId="1E0EEDEA" w14:textId="77777777" w:rsidTr="00337C9B">
        <w:tc>
          <w:tcPr>
            <w:tcW w:w="2977" w:type="dxa"/>
            <w:tcBorders>
              <w:top w:val="single" w:sz="12" w:space="0" w:color="auto"/>
            </w:tcBorders>
            <w:shd w:val="clear" w:color="auto" w:fill="auto"/>
          </w:tcPr>
          <w:p w14:paraId="47A468C9" w14:textId="77777777" w:rsidR="00263BCB" w:rsidRPr="00337C9B" w:rsidRDefault="00263BCB" w:rsidP="00337C9B">
            <w:pPr>
              <w:pStyle w:val="SingleTxtG"/>
              <w:spacing w:before="40" w:after="40" w:line="220" w:lineRule="exact"/>
              <w:ind w:left="0" w:right="113"/>
              <w:jc w:val="left"/>
              <w:rPr>
                <w:sz w:val="18"/>
              </w:rPr>
            </w:pPr>
            <w:r w:rsidRPr="00337C9B">
              <w:rPr>
                <w:sz w:val="18"/>
              </w:rPr>
              <w:t xml:space="preserve">No. of young people provided with counsel </w:t>
            </w:r>
          </w:p>
        </w:tc>
        <w:tc>
          <w:tcPr>
            <w:tcW w:w="711" w:type="dxa"/>
            <w:tcBorders>
              <w:top w:val="single" w:sz="12" w:space="0" w:color="auto"/>
            </w:tcBorders>
            <w:shd w:val="clear" w:color="auto" w:fill="auto"/>
            <w:noWrap/>
            <w:vAlign w:val="bottom"/>
          </w:tcPr>
          <w:p w14:paraId="0954BB8B" w14:textId="68DE30D7" w:rsidR="00263BCB" w:rsidRPr="00337C9B" w:rsidRDefault="00263BCB" w:rsidP="00337C9B">
            <w:pPr>
              <w:pStyle w:val="SingleTxtG"/>
              <w:spacing w:before="40" w:after="40" w:line="220" w:lineRule="exact"/>
              <w:ind w:left="0" w:right="113"/>
              <w:jc w:val="right"/>
              <w:rPr>
                <w:sz w:val="18"/>
              </w:rPr>
            </w:pPr>
            <w:r w:rsidRPr="00337C9B">
              <w:rPr>
                <w:sz w:val="18"/>
              </w:rPr>
              <w:t>1</w:t>
            </w:r>
            <w:r w:rsidR="00337C9B">
              <w:rPr>
                <w:sz w:val="18"/>
              </w:rPr>
              <w:t xml:space="preserve"> </w:t>
            </w:r>
            <w:r w:rsidRPr="00337C9B">
              <w:rPr>
                <w:sz w:val="18"/>
              </w:rPr>
              <w:t>050</w:t>
            </w:r>
          </w:p>
        </w:tc>
        <w:tc>
          <w:tcPr>
            <w:tcW w:w="689" w:type="dxa"/>
            <w:tcBorders>
              <w:top w:val="single" w:sz="12" w:space="0" w:color="auto"/>
            </w:tcBorders>
            <w:shd w:val="clear" w:color="auto" w:fill="auto"/>
            <w:noWrap/>
            <w:vAlign w:val="bottom"/>
          </w:tcPr>
          <w:p w14:paraId="12AB72C7" w14:textId="60D0AF56" w:rsidR="00263BCB" w:rsidRPr="00337C9B" w:rsidRDefault="00263BCB" w:rsidP="00337C9B">
            <w:pPr>
              <w:pStyle w:val="SingleTxtG"/>
              <w:spacing w:before="40" w:after="40" w:line="220" w:lineRule="exact"/>
              <w:ind w:left="0" w:right="113"/>
              <w:jc w:val="right"/>
              <w:rPr>
                <w:sz w:val="18"/>
              </w:rPr>
            </w:pPr>
            <w:r w:rsidRPr="00337C9B">
              <w:rPr>
                <w:sz w:val="18"/>
              </w:rPr>
              <w:t>1</w:t>
            </w:r>
            <w:r w:rsidR="00337C9B">
              <w:rPr>
                <w:sz w:val="18"/>
              </w:rPr>
              <w:t xml:space="preserve"> </w:t>
            </w:r>
            <w:r w:rsidRPr="00337C9B">
              <w:rPr>
                <w:sz w:val="18"/>
              </w:rPr>
              <w:t>153</w:t>
            </w:r>
          </w:p>
        </w:tc>
        <w:tc>
          <w:tcPr>
            <w:tcW w:w="689" w:type="dxa"/>
            <w:tcBorders>
              <w:top w:val="single" w:sz="12" w:space="0" w:color="auto"/>
            </w:tcBorders>
            <w:shd w:val="clear" w:color="auto" w:fill="auto"/>
            <w:noWrap/>
            <w:vAlign w:val="bottom"/>
          </w:tcPr>
          <w:p w14:paraId="565F075F" w14:textId="6C41BEC3" w:rsidR="00263BCB" w:rsidRPr="00337C9B" w:rsidRDefault="00263BCB" w:rsidP="00337C9B">
            <w:pPr>
              <w:pStyle w:val="SingleTxtG"/>
              <w:spacing w:before="40" w:after="40" w:line="220" w:lineRule="exact"/>
              <w:ind w:left="0" w:right="113"/>
              <w:jc w:val="right"/>
              <w:rPr>
                <w:sz w:val="18"/>
              </w:rPr>
            </w:pPr>
            <w:r w:rsidRPr="00337C9B">
              <w:rPr>
                <w:sz w:val="18"/>
              </w:rPr>
              <w:t>1</w:t>
            </w:r>
            <w:r w:rsidR="00337C9B">
              <w:rPr>
                <w:sz w:val="18"/>
              </w:rPr>
              <w:t xml:space="preserve"> </w:t>
            </w:r>
            <w:r w:rsidRPr="00337C9B">
              <w:rPr>
                <w:sz w:val="18"/>
              </w:rPr>
              <w:t>387</w:t>
            </w:r>
          </w:p>
        </w:tc>
        <w:tc>
          <w:tcPr>
            <w:tcW w:w="860" w:type="dxa"/>
            <w:tcBorders>
              <w:top w:val="single" w:sz="12" w:space="0" w:color="auto"/>
            </w:tcBorders>
            <w:shd w:val="clear" w:color="auto" w:fill="auto"/>
            <w:noWrap/>
            <w:vAlign w:val="bottom"/>
          </w:tcPr>
          <w:p w14:paraId="16AAA181" w14:textId="77777777" w:rsidR="00263BCB" w:rsidRPr="00337C9B" w:rsidRDefault="00263BCB" w:rsidP="00337C9B">
            <w:pPr>
              <w:pStyle w:val="SingleTxtG"/>
              <w:spacing w:before="40" w:after="40" w:line="220" w:lineRule="exact"/>
              <w:ind w:left="0" w:right="113"/>
              <w:jc w:val="right"/>
              <w:rPr>
                <w:sz w:val="18"/>
              </w:rPr>
            </w:pPr>
            <w:r w:rsidRPr="00337C9B">
              <w:rPr>
                <w:sz w:val="18"/>
              </w:rPr>
              <w:t>741</w:t>
            </w:r>
          </w:p>
        </w:tc>
        <w:tc>
          <w:tcPr>
            <w:tcW w:w="945" w:type="dxa"/>
            <w:tcBorders>
              <w:top w:val="single" w:sz="12" w:space="0" w:color="auto"/>
            </w:tcBorders>
            <w:shd w:val="clear" w:color="auto" w:fill="auto"/>
            <w:noWrap/>
            <w:vAlign w:val="bottom"/>
          </w:tcPr>
          <w:p w14:paraId="2B028B1C" w14:textId="0829E179" w:rsidR="00263BCB" w:rsidRPr="00337C9B" w:rsidRDefault="00263BCB" w:rsidP="00337C9B">
            <w:pPr>
              <w:pStyle w:val="SingleTxtG"/>
              <w:spacing w:before="40" w:after="40" w:line="220" w:lineRule="exact"/>
              <w:ind w:left="0" w:right="113"/>
              <w:jc w:val="right"/>
              <w:rPr>
                <w:sz w:val="18"/>
              </w:rPr>
            </w:pPr>
            <w:r w:rsidRPr="00337C9B">
              <w:rPr>
                <w:sz w:val="18"/>
              </w:rPr>
              <w:t>1</w:t>
            </w:r>
            <w:r w:rsidR="00337C9B">
              <w:rPr>
                <w:sz w:val="18"/>
              </w:rPr>
              <w:t xml:space="preserve"> </w:t>
            </w:r>
            <w:r w:rsidRPr="00337C9B">
              <w:rPr>
                <w:sz w:val="18"/>
              </w:rPr>
              <w:t>207</w:t>
            </w:r>
          </w:p>
        </w:tc>
        <w:tc>
          <w:tcPr>
            <w:tcW w:w="689" w:type="dxa"/>
            <w:tcBorders>
              <w:top w:val="single" w:sz="12" w:space="0" w:color="auto"/>
            </w:tcBorders>
            <w:shd w:val="clear" w:color="auto" w:fill="auto"/>
            <w:vAlign w:val="bottom"/>
          </w:tcPr>
          <w:p w14:paraId="1B9F8252" w14:textId="77777777" w:rsidR="00263BCB" w:rsidRPr="00337C9B" w:rsidRDefault="00263BCB" w:rsidP="00337C9B">
            <w:pPr>
              <w:pStyle w:val="SingleTxtG"/>
              <w:spacing w:before="40" w:after="40" w:line="220" w:lineRule="exact"/>
              <w:ind w:left="0" w:right="113"/>
              <w:jc w:val="right"/>
              <w:rPr>
                <w:sz w:val="18"/>
              </w:rPr>
            </w:pPr>
            <w:r w:rsidRPr="00337C9B">
              <w:rPr>
                <w:sz w:val="18"/>
              </w:rPr>
              <w:t>779</w:t>
            </w:r>
          </w:p>
        </w:tc>
        <w:tc>
          <w:tcPr>
            <w:tcW w:w="945" w:type="dxa"/>
            <w:tcBorders>
              <w:top w:val="single" w:sz="12" w:space="0" w:color="auto"/>
            </w:tcBorders>
            <w:shd w:val="clear" w:color="auto" w:fill="auto"/>
            <w:noWrap/>
            <w:vAlign w:val="bottom"/>
          </w:tcPr>
          <w:p w14:paraId="515752C3" w14:textId="3A862E2A" w:rsidR="00263BCB" w:rsidRPr="00337C9B" w:rsidRDefault="00263BCB" w:rsidP="00337C9B">
            <w:pPr>
              <w:pStyle w:val="SingleTxtG"/>
              <w:spacing w:before="40" w:after="40" w:line="220" w:lineRule="exact"/>
              <w:ind w:left="0" w:right="113"/>
              <w:jc w:val="right"/>
              <w:rPr>
                <w:sz w:val="18"/>
              </w:rPr>
            </w:pPr>
            <w:r w:rsidRPr="00337C9B">
              <w:rPr>
                <w:sz w:val="18"/>
              </w:rPr>
              <w:t>6</w:t>
            </w:r>
            <w:r w:rsidR="00337C9B">
              <w:rPr>
                <w:sz w:val="18"/>
              </w:rPr>
              <w:t xml:space="preserve"> </w:t>
            </w:r>
            <w:r w:rsidRPr="00337C9B">
              <w:rPr>
                <w:sz w:val="18"/>
              </w:rPr>
              <w:t>317</w:t>
            </w:r>
          </w:p>
        </w:tc>
      </w:tr>
      <w:tr w:rsidR="00263BCB" w:rsidRPr="00337C9B" w14:paraId="21DB1AFC" w14:textId="77777777" w:rsidTr="00337C9B">
        <w:tc>
          <w:tcPr>
            <w:tcW w:w="2977" w:type="dxa"/>
            <w:shd w:val="clear" w:color="auto" w:fill="auto"/>
            <w:noWrap/>
          </w:tcPr>
          <w:p w14:paraId="3DC9F323" w14:textId="77777777" w:rsidR="00263BCB" w:rsidRPr="00337C9B" w:rsidRDefault="00263BCB" w:rsidP="00337C9B">
            <w:pPr>
              <w:pStyle w:val="SingleTxtG"/>
              <w:spacing w:before="40" w:after="40" w:line="220" w:lineRule="exact"/>
              <w:ind w:left="0" w:right="113"/>
              <w:jc w:val="left"/>
              <w:rPr>
                <w:sz w:val="18"/>
              </w:rPr>
            </w:pPr>
            <w:r w:rsidRPr="00337C9B">
              <w:rPr>
                <w:sz w:val="18"/>
              </w:rPr>
              <w:t>No. of condoms distributed</w:t>
            </w:r>
          </w:p>
        </w:tc>
        <w:tc>
          <w:tcPr>
            <w:tcW w:w="711" w:type="dxa"/>
            <w:shd w:val="clear" w:color="auto" w:fill="auto"/>
            <w:noWrap/>
            <w:vAlign w:val="bottom"/>
          </w:tcPr>
          <w:p w14:paraId="07816A59" w14:textId="1A77A66D" w:rsidR="00263BCB" w:rsidRPr="00337C9B" w:rsidRDefault="00263BCB" w:rsidP="00337C9B">
            <w:pPr>
              <w:pStyle w:val="SingleTxtG"/>
              <w:spacing w:before="40" w:after="40" w:line="220" w:lineRule="exact"/>
              <w:ind w:left="0" w:right="113"/>
              <w:jc w:val="right"/>
              <w:rPr>
                <w:sz w:val="18"/>
              </w:rPr>
            </w:pPr>
            <w:r w:rsidRPr="00337C9B">
              <w:rPr>
                <w:sz w:val="18"/>
              </w:rPr>
              <w:t>6</w:t>
            </w:r>
            <w:r w:rsidR="00337C9B">
              <w:rPr>
                <w:sz w:val="18"/>
              </w:rPr>
              <w:t xml:space="preserve"> </w:t>
            </w:r>
            <w:r w:rsidRPr="00337C9B">
              <w:rPr>
                <w:sz w:val="18"/>
              </w:rPr>
              <w:t>415</w:t>
            </w:r>
          </w:p>
        </w:tc>
        <w:tc>
          <w:tcPr>
            <w:tcW w:w="689" w:type="dxa"/>
            <w:shd w:val="clear" w:color="auto" w:fill="auto"/>
            <w:noWrap/>
            <w:vAlign w:val="bottom"/>
          </w:tcPr>
          <w:p w14:paraId="0AD989A3" w14:textId="3C0F5E76" w:rsidR="00263BCB" w:rsidRPr="00337C9B" w:rsidRDefault="00263BCB" w:rsidP="00337C9B">
            <w:pPr>
              <w:pStyle w:val="SingleTxtG"/>
              <w:spacing w:before="40" w:after="40" w:line="220" w:lineRule="exact"/>
              <w:ind w:left="0" w:right="113"/>
              <w:jc w:val="right"/>
              <w:rPr>
                <w:sz w:val="18"/>
              </w:rPr>
            </w:pPr>
            <w:r w:rsidRPr="00337C9B">
              <w:rPr>
                <w:sz w:val="18"/>
              </w:rPr>
              <w:t>8</w:t>
            </w:r>
            <w:r w:rsidR="00337C9B">
              <w:rPr>
                <w:sz w:val="18"/>
              </w:rPr>
              <w:t xml:space="preserve"> </w:t>
            </w:r>
            <w:r w:rsidRPr="00337C9B">
              <w:rPr>
                <w:sz w:val="18"/>
              </w:rPr>
              <w:t>845</w:t>
            </w:r>
          </w:p>
        </w:tc>
        <w:tc>
          <w:tcPr>
            <w:tcW w:w="689" w:type="dxa"/>
            <w:shd w:val="clear" w:color="auto" w:fill="auto"/>
            <w:noWrap/>
            <w:vAlign w:val="bottom"/>
          </w:tcPr>
          <w:p w14:paraId="5681F99F" w14:textId="205EE1FF" w:rsidR="00263BCB" w:rsidRPr="00337C9B" w:rsidRDefault="00263BCB" w:rsidP="00337C9B">
            <w:pPr>
              <w:pStyle w:val="SingleTxtG"/>
              <w:spacing w:before="40" w:after="40" w:line="220" w:lineRule="exact"/>
              <w:ind w:left="0" w:right="113"/>
              <w:jc w:val="right"/>
              <w:rPr>
                <w:sz w:val="18"/>
              </w:rPr>
            </w:pPr>
            <w:r w:rsidRPr="00337C9B">
              <w:rPr>
                <w:sz w:val="18"/>
              </w:rPr>
              <w:t>6</w:t>
            </w:r>
            <w:r w:rsidR="00337C9B">
              <w:rPr>
                <w:sz w:val="18"/>
              </w:rPr>
              <w:t xml:space="preserve"> </w:t>
            </w:r>
            <w:r w:rsidRPr="00337C9B">
              <w:rPr>
                <w:sz w:val="18"/>
              </w:rPr>
              <w:t>488</w:t>
            </w:r>
          </w:p>
        </w:tc>
        <w:tc>
          <w:tcPr>
            <w:tcW w:w="860" w:type="dxa"/>
            <w:shd w:val="clear" w:color="auto" w:fill="auto"/>
            <w:noWrap/>
            <w:vAlign w:val="bottom"/>
          </w:tcPr>
          <w:p w14:paraId="53522692" w14:textId="63A535A6" w:rsidR="00263BCB" w:rsidRPr="00337C9B" w:rsidRDefault="00263BCB" w:rsidP="00337C9B">
            <w:pPr>
              <w:pStyle w:val="SingleTxtG"/>
              <w:spacing w:before="40" w:after="40" w:line="220" w:lineRule="exact"/>
              <w:ind w:left="0" w:right="113"/>
              <w:jc w:val="right"/>
              <w:rPr>
                <w:sz w:val="18"/>
              </w:rPr>
            </w:pPr>
            <w:r w:rsidRPr="00337C9B">
              <w:rPr>
                <w:sz w:val="18"/>
              </w:rPr>
              <w:t>1</w:t>
            </w:r>
            <w:r w:rsidR="00337C9B">
              <w:rPr>
                <w:sz w:val="18"/>
              </w:rPr>
              <w:t xml:space="preserve"> </w:t>
            </w:r>
            <w:r w:rsidRPr="00337C9B">
              <w:rPr>
                <w:sz w:val="18"/>
              </w:rPr>
              <w:t>262</w:t>
            </w:r>
          </w:p>
        </w:tc>
        <w:tc>
          <w:tcPr>
            <w:tcW w:w="945" w:type="dxa"/>
            <w:shd w:val="clear" w:color="auto" w:fill="auto"/>
            <w:noWrap/>
            <w:vAlign w:val="bottom"/>
          </w:tcPr>
          <w:p w14:paraId="119E98C4" w14:textId="55B85862" w:rsidR="00263BCB" w:rsidRPr="00337C9B" w:rsidRDefault="00263BCB" w:rsidP="00337C9B">
            <w:pPr>
              <w:pStyle w:val="SingleTxtG"/>
              <w:spacing w:before="40" w:after="40" w:line="220" w:lineRule="exact"/>
              <w:ind w:left="0" w:right="113"/>
              <w:jc w:val="right"/>
              <w:rPr>
                <w:sz w:val="18"/>
              </w:rPr>
            </w:pPr>
            <w:r w:rsidRPr="00337C9B">
              <w:rPr>
                <w:sz w:val="18"/>
              </w:rPr>
              <w:t>3</w:t>
            </w:r>
            <w:r w:rsidR="00337C9B">
              <w:rPr>
                <w:sz w:val="18"/>
              </w:rPr>
              <w:t xml:space="preserve"> </w:t>
            </w:r>
            <w:r w:rsidRPr="00337C9B">
              <w:rPr>
                <w:sz w:val="18"/>
              </w:rPr>
              <w:t>563</w:t>
            </w:r>
          </w:p>
        </w:tc>
        <w:tc>
          <w:tcPr>
            <w:tcW w:w="689" w:type="dxa"/>
            <w:shd w:val="clear" w:color="auto" w:fill="auto"/>
            <w:vAlign w:val="bottom"/>
          </w:tcPr>
          <w:p w14:paraId="0C5755FF" w14:textId="19465C6F" w:rsidR="00263BCB" w:rsidRPr="00337C9B" w:rsidRDefault="00263BCB" w:rsidP="00337C9B">
            <w:pPr>
              <w:pStyle w:val="SingleTxtG"/>
              <w:spacing w:before="40" w:after="40" w:line="220" w:lineRule="exact"/>
              <w:ind w:left="0" w:right="113"/>
              <w:jc w:val="right"/>
              <w:rPr>
                <w:sz w:val="18"/>
              </w:rPr>
            </w:pPr>
            <w:r w:rsidRPr="00337C9B">
              <w:rPr>
                <w:sz w:val="18"/>
              </w:rPr>
              <w:t>2</w:t>
            </w:r>
            <w:r w:rsidR="00337C9B">
              <w:rPr>
                <w:sz w:val="18"/>
              </w:rPr>
              <w:t xml:space="preserve"> </w:t>
            </w:r>
            <w:r w:rsidRPr="00337C9B">
              <w:rPr>
                <w:sz w:val="18"/>
              </w:rPr>
              <w:t>205</w:t>
            </w:r>
          </w:p>
        </w:tc>
        <w:tc>
          <w:tcPr>
            <w:tcW w:w="945" w:type="dxa"/>
            <w:shd w:val="clear" w:color="auto" w:fill="auto"/>
            <w:noWrap/>
            <w:vAlign w:val="bottom"/>
          </w:tcPr>
          <w:p w14:paraId="0D8AD35C" w14:textId="3D1D2CD6" w:rsidR="00263BCB" w:rsidRPr="00337C9B" w:rsidRDefault="00263BCB" w:rsidP="00337C9B">
            <w:pPr>
              <w:pStyle w:val="SingleTxtG"/>
              <w:spacing w:before="40" w:after="40" w:line="220" w:lineRule="exact"/>
              <w:ind w:left="0" w:right="113"/>
              <w:jc w:val="right"/>
              <w:rPr>
                <w:sz w:val="18"/>
              </w:rPr>
            </w:pPr>
            <w:r w:rsidRPr="00337C9B">
              <w:rPr>
                <w:sz w:val="18"/>
              </w:rPr>
              <w:t>28</w:t>
            </w:r>
            <w:r w:rsidR="00337C9B">
              <w:rPr>
                <w:sz w:val="18"/>
              </w:rPr>
              <w:t xml:space="preserve"> </w:t>
            </w:r>
            <w:r w:rsidRPr="00337C9B">
              <w:rPr>
                <w:sz w:val="18"/>
              </w:rPr>
              <w:t>778</w:t>
            </w:r>
          </w:p>
        </w:tc>
      </w:tr>
      <w:tr w:rsidR="00263BCB" w:rsidRPr="00337C9B" w14:paraId="4BCEDFB7" w14:textId="77777777" w:rsidTr="00337C9B">
        <w:tc>
          <w:tcPr>
            <w:tcW w:w="2977" w:type="dxa"/>
            <w:shd w:val="clear" w:color="auto" w:fill="auto"/>
            <w:noWrap/>
          </w:tcPr>
          <w:p w14:paraId="6DA6EF9D" w14:textId="77777777" w:rsidR="00263BCB" w:rsidRPr="00337C9B" w:rsidRDefault="00263BCB" w:rsidP="00337C9B">
            <w:pPr>
              <w:pStyle w:val="SingleTxtG"/>
              <w:spacing w:before="40" w:after="40" w:line="220" w:lineRule="exact"/>
              <w:ind w:left="0" w:right="113"/>
              <w:jc w:val="left"/>
              <w:rPr>
                <w:sz w:val="18"/>
              </w:rPr>
            </w:pPr>
            <w:r w:rsidRPr="00337C9B">
              <w:rPr>
                <w:sz w:val="18"/>
              </w:rPr>
              <w:t>No. of personal lubricants distributed</w:t>
            </w:r>
          </w:p>
        </w:tc>
        <w:tc>
          <w:tcPr>
            <w:tcW w:w="711" w:type="dxa"/>
            <w:shd w:val="clear" w:color="auto" w:fill="auto"/>
            <w:noWrap/>
            <w:vAlign w:val="bottom"/>
          </w:tcPr>
          <w:p w14:paraId="38435179" w14:textId="77777777" w:rsidR="00263BCB" w:rsidRPr="00337C9B" w:rsidRDefault="00263BCB" w:rsidP="00337C9B">
            <w:pPr>
              <w:pStyle w:val="SingleTxtG"/>
              <w:spacing w:before="40" w:after="40" w:line="220" w:lineRule="exact"/>
              <w:ind w:left="0" w:right="113"/>
              <w:jc w:val="right"/>
              <w:rPr>
                <w:sz w:val="18"/>
              </w:rPr>
            </w:pPr>
            <w:r w:rsidRPr="00337C9B">
              <w:rPr>
                <w:sz w:val="18"/>
              </w:rPr>
              <w:t>358</w:t>
            </w:r>
          </w:p>
        </w:tc>
        <w:tc>
          <w:tcPr>
            <w:tcW w:w="689" w:type="dxa"/>
            <w:shd w:val="clear" w:color="auto" w:fill="auto"/>
            <w:noWrap/>
            <w:vAlign w:val="bottom"/>
          </w:tcPr>
          <w:p w14:paraId="0999571E" w14:textId="7D1663AE" w:rsidR="00263BCB" w:rsidRPr="00337C9B" w:rsidRDefault="00263BCB" w:rsidP="00337C9B">
            <w:pPr>
              <w:pStyle w:val="SingleTxtG"/>
              <w:spacing w:before="40" w:after="40" w:line="220" w:lineRule="exact"/>
              <w:ind w:left="0" w:right="113"/>
              <w:jc w:val="right"/>
              <w:rPr>
                <w:sz w:val="18"/>
              </w:rPr>
            </w:pPr>
            <w:r w:rsidRPr="00337C9B">
              <w:rPr>
                <w:sz w:val="18"/>
              </w:rPr>
              <w:t>2</w:t>
            </w:r>
            <w:r w:rsidR="00337C9B">
              <w:rPr>
                <w:sz w:val="18"/>
              </w:rPr>
              <w:t xml:space="preserve"> </w:t>
            </w:r>
            <w:r w:rsidRPr="00337C9B">
              <w:rPr>
                <w:sz w:val="18"/>
              </w:rPr>
              <w:t>866</w:t>
            </w:r>
          </w:p>
        </w:tc>
        <w:tc>
          <w:tcPr>
            <w:tcW w:w="689" w:type="dxa"/>
            <w:shd w:val="clear" w:color="auto" w:fill="auto"/>
            <w:noWrap/>
            <w:vAlign w:val="bottom"/>
          </w:tcPr>
          <w:p w14:paraId="5AAFCA4D" w14:textId="77777777" w:rsidR="00263BCB" w:rsidRPr="00337C9B" w:rsidRDefault="00263BCB" w:rsidP="00337C9B">
            <w:pPr>
              <w:pStyle w:val="SingleTxtG"/>
              <w:spacing w:before="40" w:after="40" w:line="220" w:lineRule="exact"/>
              <w:ind w:left="0" w:right="113"/>
              <w:jc w:val="right"/>
              <w:rPr>
                <w:sz w:val="18"/>
              </w:rPr>
            </w:pPr>
            <w:r w:rsidRPr="00337C9B">
              <w:rPr>
                <w:sz w:val="18"/>
              </w:rPr>
              <w:t>449</w:t>
            </w:r>
          </w:p>
        </w:tc>
        <w:tc>
          <w:tcPr>
            <w:tcW w:w="860" w:type="dxa"/>
            <w:shd w:val="clear" w:color="auto" w:fill="auto"/>
            <w:noWrap/>
            <w:vAlign w:val="bottom"/>
          </w:tcPr>
          <w:p w14:paraId="24F0D2DA" w14:textId="77777777" w:rsidR="00263BCB" w:rsidRPr="00337C9B" w:rsidRDefault="00263BCB" w:rsidP="00337C9B">
            <w:pPr>
              <w:pStyle w:val="SingleTxtG"/>
              <w:spacing w:before="40" w:after="40" w:line="220" w:lineRule="exact"/>
              <w:ind w:left="0" w:right="113"/>
              <w:jc w:val="right"/>
              <w:rPr>
                <w:sz w:val="18"/>
              </w:rPr>
            </w:pPr>
            <w:r w:rsidRPr="00337C9B">
              <w:rPr>
                <w:sz w:val="18"/>
              </w:rPr>
              <w:t>/</w:t>
            </w:r>
          </w:p>
        </w:tc>
        <w:tc>
          <w:tcPr>
            <w:tcW w:w="945" w:type="dxa"/>
            <w:shd w:val="clear" w:color="auto" w:fill="auto"/>
            <w:noWrap/>
            <w:vAlign w:val="bottom"/>
          </w:tcPr>
          <w:p w14:paraId="45D5B7BB" w14:textId="77777777" w:rsidR="00263BCB" w:rsidRPr="00337C9B" w:rsidRDefault="00263BCB" w:rsidP="00337C9B">
            <w:pPr>
              <w:pStyle w:val="SingleTxtG"/>
              <w:spacing w:before="40" w:after="40" w:line="220" w:lineRule="exact"/>
              <w:ind w:left="0" w:right="113"/>
              <w:jc w:val="right"/>
              <w:rPr>
                <w:sz w:val="18"/>
              </w:rPr>
            </w:pPr>
            <w:r w:rsidRPr="00337C9B">
              <w:rPr>
                <w:sz w:val="18"/>
              </w:rPr>
              <w:t>/</w:t>
            </w:r>
          </w:p>
        </w:tc>
        <w:tc>
          <w:tcPr>
            <w:tcW w:w="689" w:type="dxa"/>
            <w:shd w:val="clear" w:color="auto" w:fill="auto"/>
            <w:noWrap/>
            <w:vAlign w:val="bottom"/>
          </w:tcPr>
          <w:p w14:paraId="32F6662A" w14:textId="41F375D4" w:rsidR="00263BCB" w:rsidRPr="00337C9B" w:rsidRDefault="00A21C4B" w:rsidP="00337C9B">
            <w:pPr>
              <w:pStyle w:val="SingleTxtG"/>
              <w:spacing w:before="40" w:after="40" w:line="220" w:lineRule="exact"/>
              <w:ind w:left="0" w:right="113"/>
              <w:jc w:val="right"/>
              <w:rPr>
                <w:sz w:val="18"/>
              </w:rPr>
            </w:pPr>
            <w:r>
              <w:rPr>
                <w:sz w:val="18"/>
              </w:rPr>
              <w:t xml:space="preserve"> </w:t>
            </w:r>
          </w:p>
        </w:tc>
        <w:tc>
          <w:tcPr>
            <w:tcW w:w="945" w:type="dxa"/>
            <w:shd w:val="clear" w:color="auto" w:fill="auto"/>
            <w:noWrap/>
            <w:vAlign w:val="bottom"/>
          </w:tcPr>
          <w:p w14:paraId="31BA1BF2" w14:textId="5DE86BFB" w:rsidR="00263BCB" w:rsidRPr="00337C9B" w:rsidRDefault="00263BCB" w:rsidP="00337C9B">
            <w:pPr>
              <w:pStyle w:val="SingleTxtG"/>
              <w:spacing w:before="40" w:after="40" w:line="220" w:lineRule="exact"/>
              <w:ind w:left="0" w:right="113"/>
              <w:jc w:val="right"/>
              <w:rPr>
                <w:sz w:val="18"/>
              </w:rPr>
            </w:pPr>
            <w:r w:rsidRPr="00337C9B">
              <w:rPr>
                <w:sz w:val="18"/>
              </w:rPr>
              <w:t>3</w:t>
            </w:r>
            <w:r w:rsidR="00337C9B">
              <w:rPr>
                <w:sz w:val="18"/>
              </w:rPr>
              <w:t xml:space="preserve"> </w:t>
            </w:r>
            <w:r w:rsidRPr="00337C9B">
              <w:rPr>
                <w:sz w:val="18"/>
              </w:rPr>
              <w:t>673</w:t>
            </w:r>
          </w:p>
        </w:tc>
      </w:tr>
      <w:tr w:rsidR="00263BCB" w:rsidRPr="00337C9B" w14:paraId="6C01638F" w14:textId="77777777" w:rsidTr="00337C9B">
        <w:tc>
          <w:tcPr>
            <w:tcW w:w="2977" w:type="dxa"/>
            <w:shd w:val="clear" w:color="auto" w:fill="auto"/>
            <w:noWrap/>
          </w:tcPr>
          <w:p w14:paraId="5A695049" w14:textId="77777777" w:rsidR="00263BCB" w:rsidRPr="00337C9B" w:rsidRDefault="00263BCB" w:rsidP="00337C9B">
            <w:pPr>
              <w:pStyle w:val="SingleTxtG"/>
              <w:spacing w:before="40" w:after="40" w:line="220" w:lineRule="exact"/>
              <w:ind w:left="0" w:right="113"/>
              <w:jc w:val="left"/>
              <w:rPr>
                <w:sz w:val="18"/>
              </w:rPr>
            </w:pPr>
            <w:r w:rsidRPr="00337C9B">
              <w:rPr>
                <w:sz w:val="18"/>
              </w:rPr>
              <w:t xml:space="preserve">Number of oral contraceptive means distributed </w:t>
            </w:r>
          </w:p>
        </w:tc>
        <w:tc>
          <w:tcPr>
            <w:tcW w:w="711" w:type="dxa"/>
            <w:shd w:val="clear" w:color="auto" w:fill="auto"/>
            <w:noWrap/>
            <w:vAlign w:val="bottom"/>
          </w:tcPr>
          <w:p w14:paraId="1539F470" w14:textId="77777777" w:rsidR="00263BCB" w:rsidRPr="00337C9B" w:rsidRDefault="00263BCB" w:rsidP="00337C9B">
            <w:pPr>
              <w:pStyle w:val="SingleTxtG"/>
              <w:spacing w:before="40" w:after="40" w:line="220" w:lineRule="exact"/>
              <w:ind w:left="0" w:right="113"/>
              <w:jc w:val="right"/>
              <w:rPr>
                <w:sz w:val="18"/>
              </w:rPr>
            </w:pPr>
            <w:r w:rsidRPr="00337C9B">
              <w:rPr>
                <w:sz w:val="18"/>
              </w:rPr>
              <w:t>305</w:t>
            </w:r>
          </w:p>
        </w:tc>
        <w:tc>
          <w:tcPr>
            <w:tcW w:w="689" w:type="dxa"/>
            <w:shd w:val="clear" w:color="auto" w:fill="auto"/>
            <w:noWrap/>
            <w:vAlign w:val="bottom"/>
          </w:tcPr>
          <w:p w14:paraId="6B632016" w14:textId="77777777" w:rsidR="00263BCB" w:rsidRPr="00337C9B" w:rsidRDefault="00263BCB" w:rsidP="00337C9B">
            <w:pPr>
              <w:pStyle w:val="SingleTxtG"/>
              <w:spacing w:before="40" w:after="40" w:line="220" w:lineRule="exact"/>
              <w:ind w:left="0" w:right="113"/>
              <w:jc w:val="right"/>
              <w:rPr>
                <w:sz w:val="18"/>
              </w:rPr>
            </w:pPr>
            <w:r w:rsidRPr="00337C9B">
              <w:rPr>
                <w:sz w:val="18"/>
              </w:rPr>
              <w:t>/</w:t>
            </w:r>
          </w:p>
        </w:tc>
        <w:tc>
          <w:tcPr>
            <w:tcW w:w="689" w:type="dxa"/>
            <w:shd w:val="clear" w:color="auto" w:fill="auto"/>
            <w:noWrap/>
            <w:vAlign w:val="bottom"/>
          </w:tcPr>
          <w:p w14:paraId="54D2DD0F" w14:textId="77777777" w:rsidR="00263BCB" w:rsidRPr="00337C9B" w:rsidRDefault="00263BCB" w:rsidP="00337C9B">
            <w:pPr>
              <w:pStyle w:val="SingleTxtG"/>
              <w:spacing w:before="40" w:after="40" w:line="220" w:lineRule="exact"/>
              <w:ind w:left="0" w:right="113"/>
              <w:jc w:val="right"/>
              <w:rPr>
                <w:sz w:val="18"/>
              </w:rPr>
            </w:pPr>
            <w:r w:rsidRPr="00337C9B">
              <w:rPr>
                <w:sz w:val="18"/>
              </w:rPr>
              <w:t>/</w:t>
            </w:r>
          </w:p>
        </w:tc>
        <w:tc>
          <w:tcPr>
            <w:tcW w:w="860" w:type="dxa"/>
            <w:shd w:val="clear" w:color="auto" w:fill="auto"/>
            <w:noWrap/>
            <w:vAlign w:val="bottom"/>
          </w:tcPr>
          <w:p w14:paraId="38776609" w14:textId="77777777" w:rsidR="00263BCB" w:rsidRPr="00337C9B" w:rsidRDefault="00263BCB" w:rsidP="00337C9B">
            <w:pPr>
              <w:pStyle w:val="SingleTxtG"/>
              <w:spacing w:before="40" w:after="40" w:line="220" w:lineRule="exact"/>
              <w:ind w:left="0" w:right="113"/>
              <w:jc w:val="right"/>
              <w:rPr>
                <w:sz w:val="18"/>
              </w:rPr>
            </w:pPr>
            <w:r w:rsidRPr="00337C9B">
              <w:rPr>
                <w:sz w:val="18"/>
              </w:rPr>
              <w:t>/</w:t>
            </w:r>
          </w:p>
        </w:tc>
        <w:tc>
          <w:tcPr>
            <w:tcW w:w="945" w:type="dxa"/>
            <w:shd w:val="clear" w:color="auto" w:fill="auto"/>
            <w:noWrap/>
            <w:vAlign w:val="bottom"/>
          </w:tcPr>
          <w:p w14:paraId="57923C16" w14:textId="77777777" w:rsidR="00263BCB" w:rsidRPr="00337C9B" w:rsidRDefault="00263BCB" w:rsidP="00337C9B">
            <w:pPr>
              <w:pStyle w:val="SingleTxtG"/>
              <w:spacing w:before="40" w:after="40" w:line="220" w:lineRule="exact"/>
              <w:ind w:left="0" w:right="113"/>
              <w:jc w:val="right"/>
              <w:rPr>
                <w:sz w:val="18"/>
              </w:rPr>
            </w:pPr>
            <w:r w:rsidRPr="00337C9B">
              <w:rPr>
                <w:sz w:val="18"/>
              </w:rPr>
              <w:t>/</w:t>
            </w:r>
          </w:p>
        </w:tc>
        <w:tc>
          <w:tcPr>
            <w:tcW w:w="689" w:type="dxa"/>
            <w:shd w:val="clear" w:color="auto" w:fill="auto"/>
            <w:noWrap/>
            <w:vAlign w:val="bottom"/>
          </w:tcPr>
          <w:p w14:paraId="20180983" w14:textId="68DAD7B0" w:rsidR="00263BCB" w:rsidRPr="00337C9B" w:rsidRDefault="00A21C4B" w:rsidP="00337C9B">
            <w:pPr>
              <w:pStyle w:val="SingleTxtG"/>
              <w:spacing w:before="40" w:after="40" w:line="220" w:lineRule="exact"/>
              <w:ind w:left="0" w:right="113"/>
              <w:jc w:val="right"/>
              <w:rPr>
                <w:sz w:val="18"/>
              </w:rPr>
            </w:pPr>
            <w:r>
              <w:rPr>
                <w:sz w:val="18"/>
              </w:rPr>
              <w:t xml:space="preserve"> </w:t>
            </w:r>
          </w:p>
        </w:tc>
        <w:tc>
          <w:tcPr>
            <w:tcW w:w="945" w:type="dxa"/>
            <w:shd w:val="clear" w:color="auto" w:fill="auto"/>
            <w:noWrap/>
            <w:vAlign w:val="bottom"/>
          </w:tcPr>
          <w:p w14:paraId="5531A12F" w14:textId="77777777" w:rsidR="00263BCB" w:rsidRPr="00337C9B" w:rsidRDefault="00263BCB" w:rsidP="00337C9B">
            <w:pPr>
              <w:pStyle w:val="SingleTxtG"/>
              <w:spacing w:before="40" w:after="40" w:line="220" w:lineRule="exact"/>
              <w:ind w:left="0" w:right="113"/>
              <w:jc w:val="right"/>
              <w:rPr>
                <w:sz w:val="18"/>
              </w:rPr>
            </w:pPr>
            <w:r w:rsidRPr="00337C9B">
              <w:rPr>
                <w:sz w:val="18"/>
              </w:rPr>
              <w:t>305</w:t>
            </w:r>
          </w:p>
        </w:tc>
      </w:tr>
      <w:tr w:rsidR="00263BCB" w:rsidRPr="00337C9B" w14:paraId="17007DEA" w14:textId="77777777" w:rsidTr="00337C9B">
        <w:tc>
          <w:tcPr>
            <w:tcW w:w="2977" w:type="dxa"/>
            <w:shd w:val="clear" w:color="auto" w:fill="auto"/>
            <w:noWrap/>
          </w:tcPr>
          <w:p w14:paraId="0C555CD7" w14:textId="77777777" w:rsidR="00263BCB" w:rsidRPr="00337C9B" w:rsidRDefault="00263BCB" w:rsidP="00337C9B">
            <w:pPr>
              <w:pStyle w:val="SingleTxtG"/>
              <w:spacing w:before="40" w:after="40" w:line="220" w:lineRule="exact"/>
              <w:ind w:left="0" w:right="113"/>
              <w:jc w:val="left"/>
              <w:rPr>
                <w:sz w:val="18"/>
              </w:rPr>
            </w:pPr>
            <w:r w:rsidRPr="00337C9B">
              <w:rPr>
                <w:sz w:val="18"/>
              </w:rPr>
              <w:t>Promotional materials</w:t>
            </w:r>
          </w:p>
        </w:tc>
        <w:tc>
          <w:tcPr>
            <w:tcW w:w="711" w:type="dxa"/>
            <w:shd w:val="clear" w:color="auto" w:fill="auto"/>
            <w:noWrap/>
            <w:vAlign w:val="bottom"/>
          </w:tcPr>
          <w:p w14:paraId="41D74932" w14:textId="77777777" w:rsidR="00263BCB" w:rsidRPr="00337C9B" w:rsidRDefault="00263BCB" w:rsidP="00337C9B">
            <w:pPr>
              <w:pStyle w:val="SingleTxtG"/>
              <w:spacing w:before="40" w:after="40" w:line="220" w:lineRule="exact"/>
              <w:ind w:left="0" w:right="113"/>
              <w:jc w:val="right"/>
              <w:rPr>
                <w:sz w:val="18"/>
              </w:rPr>
            </w:pPr>
            <w:r w:rsidRPr="00337C9B">
              <w:rPr>
                <w:sz w:val="18"/>
              </w:rPr>
              <w:t>740</w:t>
            </w:r>
          </w:p>
        </w:tc>
        <w:tc>
          <w:tcPr>
            <w:tcW w:w="689" w:type="dxa"/>
            <w:shd w:val="clear" w:color="auto" w:fill="auto"/>
            <w:noWrap/>
            <w:vAlign w:val="bottom"/>
          </w:tcPr>
          <w:p w14:paraId="7B1FD9A1" w14:textId="77777777" w:rsidR="00263BCB" w:rsidRPr="00337C9B" w:rsidRDefault="00263BCB" w:rsidP="00337C9B">
            <w:pPr>
              <w:pStyle w:val="SingleTxtG"/>
              <w:spacing w:before="40" w:after="40" w:line="220" w:lineRule="exact"/>
              <w:ind w:left="0" w:right="113"/>
              <w:jc w:val="right"/>
              <w:rPr>
                <w:sz w:val="18"/>
              </w:rPr>
            </w:pPr>
            <w:r w:rsidRPr="00337C9B">
              <w:rPr>
                <w:sz w:val="18"/>
              </w:rPr>
              <w:t>/</w:t>
            </w:r>
          </w:p>
        </w:tc>
        <w:tc>
          <w:tcPr>
            <w:tcW w:w="689" w:type="dxa"/>
            <w:shd w:val="clear" w:color="auto" w:fill="auto"/>
            <w:noWrap/>
            <w:vAlign w:val="bottom"/>
          </w:tcPr>
          <w:p w14:paraId="0FECE6DC" w14:textId="77777777" w:rsidR="00263BCB" w:rsidRPr="00337C9B" w:rsidRDefault="00263BCB" w:rsidP="00337C9B">
            <w:pPr>
              <w:pStyle w:val="SingleTxtG"/>
              <w:spacing w:before="40" w:after="40" w:line="220" w:lineRule="exact"/>
              <w:ind w:left="0" w:right="113"/>
              <w:jc w:val="right"/>
              <w:rPr>
                <w:sz w:val="18"/>
              </w:rPr>
            </w:pPr>
            <w:r w:rsidRPr="00337C9B">
              <w:rPr>
                <w:sz w:val="18"/>
              </w:rPr>
              <w:t>/</w:t>
            </w:r>
          </w:p>
        </w:tc>
        <w:tc>
          <w:tcPr>
            <w:tcW w:w="860" w:type="dxa"/>
            <w:shd w:val="clear" w:color="auto" w:fill="auto"/>
            <w:noWrap/>
            <w:vAlign w:val="bottom"/>
          </w:tcPr>
          <w:p w14:paraId="0E6132A8" w14:textId="77777777" w:rsidR="00263BCB" w:rsidRPr="00337C9B" w:rsidRDefault="00263BCB" w:rsidP="00337C9B">
            <w:pPr>
              <w:pStyle w:val="SingleTxtG"/>
              <w:spacing w:before="40" w:after="40" w:line="220" w:lineRule="exact"/>
              <w:ind w:left="0" w:right="113"/>
              <w:jc w:val="right"/>
              <w:rPr>
                <w:sz w:val="18"/>
              </w:rPr>
            </w:pPr>
            <w:r w:rsidRPr="00337C9B">
              <w:rPr>
                <w:sz w:val="18"/>
              </w:rPr>
              <w:t>714</w:t>
            </w:r>
          </w:p>
        </w:tc>
        <w:tc>
          <w:tcPr>
            <w:tcW w:w="945" w:type="dxa"/>
            <w:shd w:val="clear" w:color="auto" w:fill="auto"/>
            <w:noWrap/>
            <w:vAlign w:val="bottom"/>
          </w:tcPr>
          <w:p w14:paraId="41E11B5E" w14:textId="77777777" w:rsidR="00263BCB" w:rsidRPr="00337C9B" w:rsidRDefault="00263BCB" w:rsidP="00337C9B">
            <w:pPr>
              <w:pStyle w:val="SingleTxtG"/>
              <w:spacing w:before="40" w:after="40" w:line="220" w:lineRule="exact"/>
              <w:ind w:left="0" w:right="113"/>
              <w:jc w:val="right"/>
              <w:rPr>
                <w:sz w:val="18"/>
              </w:rPr>
            </w:pPr>
            <w:r w:rsidRPr="00337C9B">
              <w:rPr>
                <w:sz w:val="18"/>
              </w:rPr>
              <w:t>751</w:t>
            </w:r>
          </w:p>
        </w:tc>
        <w:tc>
          <w:tcPr>
            <w:tcW w:w="689" w:type="dxa"/>
            <w:shd w:val="clear" w:color="auto" w:fill="auto"/>
            <w:noWrap/>
            <w:vAlign w:val="bottom"/>
          </w:tcPr>
          <w:p w14:paraId="73E3B1CC" w14:textId="22C70780" w:rsidR="00263BCB" w:rsidRPr="00337C9B" w:rsidRDefault="00263BCB" w:rsidP="00337C9B">
            <w:pPr>
              <w:pStyle w:val="SingleTxtG"/>
              <w:spacing w:before="40" w:after="40" w:line="220" w:lineRule="exact"/>
              <w:ind w:left="0" w:right="113"/>
              <w:jc w:val="right"/>
              <w:rPr>
                <w:sz w:val="18"/>
              </w:rPr>
            </w:pPr>
            <w:r w:rsidRPr="00337C9B">
              <w:rPr>
                <w:sz w:val="18"/>
              </w:rPr>
              <w:t>1</w:t>
            </w:r>
            <w:r w:rsidR="00337C9B">
              <w:rPr>
                <w:sz w:val="18"/>
              </w:rPr>
              <w:t xml:space="preserve"> </w:t>
            </w:r>
            <w:r w:rsidRPr="00337C9B">
              <w:rPr>
                <w:sz w:val="18"/>
              </w:rPr>
              <w:t>003</w:t>
            </w:r>
          </w:p>
        </w:tc>
        <w:tc>
          <w:tcPr>
            <w:tcW w:w="945" w:type="dxa"/>
            <w:shd w:val="clear" w:color="auto" w:fill="auto"/>
            <w:noWrap/>
            <w:vAlign w:val="bottom"/>
          </w:tcPr>
          <w:p w14:paraId="0128D859" w14:textId="77777777" w:rsidR="00263BCB" w:rsidRPr="00337C9B" w:rsidRDefault="00263BCB" w:rsidP="00337C9B">
            <w:pPr>
              <w:pStyle w:val="SingleTxtG"/>
              <w:spacing w:before="40" w:after="40" w:line="220" w:lineRule="exact"/>
              <w:ind w:left="0" w:right="113"/>
              <w:jc w:val="right"/>
              <w:rPr>
                <w:sz w:val="18"/>
              </w:rPr>
            </w:pPr>
            <w:r w:rsidRPr="00337C9B">
              <w:rPr>
                <w:sz w:val="18"/>
              </w:rPr>
              <w:t>3208</w:t>
            </w:r>
          </w:p>
        </w:tc>
      </w:tr>
      <w:tr w:rsidR="00263BCB" w:rsidRPr="00337C9B" w14:paraId="14F53438" w14:textId="77777777" w:rsidTr="00337C9B">
        <w:tc>
          <w:tcPr>
            <w:tcW w:w="2977" w:type="dxa"/>
            <w:shd w:val="clear" w:color="auto" w:fill="auto"/>
            <w:noWrap/>
          </w:tcPr>
          <w:p w14:paraId="08EB3A9A" w14:textId="77777777" w:rsidR="00263BCB" w:rsidRPr="00337C9B" w:rsidRDefault="00263BCB" w:rsidP="00337C9B">
            <w:pPr>
              <w:pStyle w:val="SingleTxtG"/>
              <w:spacing w:before="40" w:after="40" w:line="220" w:lineRule="exact"/>
              <w:ind w:left="0" w:right="113"/>
              <w:jc w:val="left"/>
              <w:rPr>
                <w:sz w:val="18"/>
              </w:rPr>
            </w:pPr>
            <w:r w:rsidRPr="00337C9B">
              <w:rPr>
                <w:sz w:val="18"/>
              </w:rPr>
              <w:t>Lectures</w:t>
            </w:r>
          </w:p>
        </w:tc>
        <w:tc>
          <w:tcPr>
            <w:tcW w:w="711" w:type="dxa"/>
            <w:shd w:val="clear" w:color="auto" w:fill="auto"/>
            <w:noWrap/>
            <w:vAlign w:val="bottom"/>
          </w:tcPr>
          <w:p w14:paraId="4333D497" w14:textId="77777777" w:rsidR="00263BCB" w:rsidRPr="00337C9B" w:rsidRDefault="00263BCB" w:rsidP="00337C9B">
            <w:pPr>
              <w:pStyle w:val="SingleTxtG"/>
              <w:spacing w:before="40" w:after="40" w:line="220" w:lineRule="exact"/>
              <w:ind w:left="0" w:right="113"/>
              <w:jc w:val="right"/>
              <w:rPr>
                <w:sz w:val="18"/>
              </w:rPr>
            </w:pPr>
            <w:r w:rsidRPr="00337C9B">
              <w:rPr>
                <w:sz w:val="18"/>
              </w:rPr>
              <w:t>85</w:t>
            </w:r>
          </w:p>
        </w:tc>
        <w:tc>
          <w:tcPr>
            <w:tcW w:w="689" w:type="dxa"/>
            <w:shd w:val="clear" w:color="auto" w:fill="auto"/>
            <w:noWrap/>
            <w:vAlign w:val="bottom"/>
          </w:tcPr>
          <w:p w14:paraId="366F6E40" w14:textId="77777777" w:rsidR="00263BCB" w:rsidRPr="00337C9B" w:rsidRDefault="00263BCB" w:rsidP="00337C9B">
            <w:pPr>
              <w:pStyle w:val="SingleTxtG"/>
              <w:spacing w:before="40" w:after="40" w:line="220" w:lineRule="exact"/>
              <w:ind w:left="0" w:right="113"/>
              <w:jc w:val="right"/>
              <w:rPr>
                <w:sz w:val="18"/>
              </w:rPr>
            </w:pPr>
            <w:r w:rsidRPr="00337C9B">
              <w:rPr>
                <w:sz w:val="18"/>
              </w:rPr>
              <w:t>/</w:t>
            </w:r>
          </w:p>
        </w:tc>
        <w:tc>
          <w:tcPr>
            <w:tcW w:w="689" w:type="dxa"/>
            <w:shd w:val="clear" w:color="auto" w:fill="auto"/>
            <w:noWrap/>
            <w:vAlign w:val="bottom"/>
          </w:tcPr>
          <w:p w14:paraId="6BE550AF" w14:textId="77777777" w:rsidR="00263BCB" w:rsidRPr="00337C9B" w:rsidRDefault="00263BCB" w:rsidP="00337C9B">
            <w:pPr>
              <w:pStyle w:val="SingleTxtG"/>
              <w:spacing w:before="40" w:after="40" w:line="220" w:lineRule="exact"/>
              <w:ind w:left="0" w:right="113"/>
              <w:jc w:val="right"/>
              <w:rPr>
                <w:sz w:val="18"/>
              </w:rPr>
            </w:pPr>
            <w:r w:rsidRPr="00337C9B">
              <w:rPr>
                <w:sz w:val="18"/>
              </w:rPr>
              <w:t>/</w:t>
            </w:r>
          </w:p>
        </w:tc>
        <w:tc>
          <w:tcPr>
            <w:tcW w:w="860" w:type="dxa"/>
            <w:shd w:val="clear" w:color="auto" w:fill="auto"/>
            <w:noWrap/>
            <w:vAlign w:val="bottom"/>
          </w:tcPr>
          <w:p w14:paraId="575535B2" w14:textId="77777777" w:rsidR="00263BCB" w:rsidRPr="00337C9B" w:rsidRDefault="00263BCB" w:rsidP="00337C9B">
            <w:pPr>
              <w:pStyle w:val="SingleTxtG"/>
              <w:spacing w:before="40" w:after="40" w:line="220" w:lineRule="exact"/>
              <w:ind w:left="0" w:right="113"/>
              <w:jc w:val="right"/>
              <w:rPr>
                <w:sz w:val="18"/>
              </w:rPr>
            </w:pPr>
            <w:r w:rsidRPr="00337C9B">
              <w:rPr>
                <w:sz w:val="18"/>
              </w:rPr>
              <w:t>63</w:t>
            </w:r>
          </w:p>
        </w:tc>
        <w:tc>
          <w:tcPr>
            <w:tcW w:w="945" w:type="dxa"/>
            <w:shd w:val="clear" w:color="auto" w:fill="auto"/>
            <w:noWrap/>
            <w:vAlign w:val="bottom"/>
          </w:tcPr>
          <w:p w14:paraId="7AF9CBB2" w14:textId="77777777" w:rsidR="00263BCB" w:rsidRPr="00337C9B" w:rsidRDefault="00263BCB" w:rsidP="00337C9B">
            <w:pPr>
              <w:pStyle w:val="SingleTxtG"/>
              <w:spacing w:before="40" w:after="40" w:line="220" w:lineRule="exact"/>
              <w:ind w:left="0" w:right="113"/>
              <w:jc w:val="right"/>
              <w:rPr>
                <w:sz w:val="18"/>
              </w:rPr>
            </w:pPr>
            <w:r w:rsidRPr="00337C9B">
              <w:rPr>
                <w:sz w:val="18"/>
              </w:rPr>
              <w:t>9</w:t>
            </w:r>
          </w:p>
        </w:tc>
        <w:tc>
          <w:tcPr>
            <w:tcW w:w="689" w:type="dxa"/>
            <w:shd w:val="clear" w:color="auto" w:fill="auto"/>
            <w:noWrap/>
            <w:vAlign w:val="bottom"/>
          </w:tcPr>
          <w:p w14:paraId="5C086A4B" w14:textId="77777777" w:rsidR="00263BCB" w:rsidRPr="00337C9B" w:rsidRDefault="00263BCB" w:rsidP="00337C9B">
            <w:pPr>
              <w:pStyle w:val="SingleTxtG"/>
              <w:spacing w:before="40" w:after="40" w:line="220" w:lineRule="exact"/>
              <w:ind w:left="0" w:right="113"/>
              <w:jc w:val="right"/>
              <w:rPr>
                <w:sz w:val="18"/>
              </w:rPr>
            </w:pPr>
            <w:r w:rsidRPr="00337C9B">
              <w:rPr>
                <w:sz w:val="18"/>
              </w:rPr>
              <w:t>250</w:t>
            </w:r>
          </w:p>
        </w:tc>
        <w:tc>
          <w:tcPr>
            <w:tcW w:w="945" w:type="dxa"/>
            <w:shd w:val="clear" w:color="auto" w:fill="auto"/>
            <w:noWrap/>
            <w:vAlign w:val="bottom"/>
          </w:tcPr>
          <w:p w14:paraId="49E29830" w14:textId="77777777" w:rsidR="00263BCB" w:rsidRPr="00337C9B" w:rsidRDefault="00263BCB" w:rsidP="00337C9B">
            <w:pPr>
              <w:pStyle w:val="SingleTxtG"/>
              <w:spacing w:before="40" w:after="40" w:line="220" w:lineRule="exact"/>
              <w:ind w:left="0" w:right="113"/>
              <w:jc w:val="right"/>
              <w:rPr>
                <w:sz w:val="18"/>
              </w:rPr>
            </w:pPr>
            <w:r w:rsidRPr="00337C9B">
              <w:rPr>
                <w:sz w:val="18"/>
              </w:rPr>
              <w:t>407</w:t>
            </w:r>
          </w:p>
        </w:tc>
      </w:tr>
      <w:tr w:rsidR="00263BCB" w:rsidRPr="00337C9B" w14:paraId="0A8BCACA" w14:textId="77777777" w:rsidTr="00337C9B">
        <w:tc>
          <w:tcPr>
            <w:tcW w:w="2977" w:type="dxa"/>
            <w:shd w:val="clear" w:color="auto" w:fill="auto"/>
            <w:noWrap/>
          </w:tcPr>
          <w:p w14:paraId="1DE10676" w14:textId="77777777" w:rsidR="00263BCB" w:rsidRPr="00337C9B" w:rsidRDefault="00263BCB" w:rsidP="00337C9B">
            <w:pPr>
              <w:pStyle w:val="SingleTxtG"/>
              <w:spacing w:before="40" w:after="40" w:line="220" w:lineRule="exact"/>
              <w:ind w:left="0" w:right="113"/>
              <w:jc w:val="left"/>
              <w:rPr>
                <w:sz w:val="18"/>
              </w:rPr>
            </w:pPr>
            <w:r w:rsidRPr="00337C9B">
              <w:rPr>
                <w:sz w:val="18"/>
              </w:rPr>
              <w:t>Surveys</w:t>
            </w:r>
          </w:p>
        </w:tc>
        <w:tc>
          <w:tcPr>
            <w:tcW w:w="711" w:type="dxa"/>
            <w:shd w:val="clear" w:color="auto" w:fill="auto"/>
            <w:noWrap/>
            <w:vAlign w:val="bottom"/>
          </w:tcPr>
          <w:p w14:paraId="5CC1A698" w14:textId="1B3FA782" w:rsidR="00263BCB" w:rsidRPr="00337C9B" w:rsidRDefault="00A21C4B" w:rsidP="00337C9B">
            <w:pPr>
              <w:pStyle w:val="SingleTxtG"/>
              <w:spacing w:before="40" w:after="40" w:line="220" w:lineRule="exact"/>
              <w:ind w:left="0" w:right="113"/>
              <w:jc w:val="right"/>
              <w:rPr>
                <w:sz w:val="18"/>
              </w:rPr>
            </w:pPr>
            <w:r>
              <w:rPr>
                <w:sz w:val="18"/>
              </w:rPr>
              <w:t xml:space="preserve"> </w:t>
            </w:r>
          </w:p>
        </w:tc>
        <w:tc>
          <w:tcPr>
            <w:tcW w:w="689" w:type="dxa"/>
            <w:shd w:val="clear" w:color="auto" w:fill="auto"/>
            <w:noWrap/>
            <w:vAlign w:val="bottom"/>
          </w:tcPr>
          <w:p w14:paraId="0C210B3C" w14:textId="3916FE62" w:rsidR="00263BCB" w:rsidRPr="00337C9B" w:rsidRDefault="00A21C4B" w:rsidP="00337C9B">
            <w:pPr>
              <w:pStyle w:val="SingleTxtG"/>
              <w:spacing w:before="40" w:after="40" w:line="220" w:lineRule="exact"/>
              <w:ind w:left="0" w:right="113"/>
              <w:jc w:val="right"/>
              <w:rPr>
                <w:sz w:val="18"/>
              </w:rPr>
            </w:pPr>
            <w:r>
              <w:rPr>
                <w:sz w:val="18"/>
              </w:rPr>
              <w:t xml:space="preserve"> </w:t>
            </w:r>
          </w:p>
        </w:tc>
        <w:tc>
          <w:tcPr>
            <w:tcW w:w="689" w:type="dxa"/>
            <w:shd w:val="clear" w:color="auto" w:fill="auto"/>
            <w:noWrap/>
            <w:vAlign w:val="bottom"/>
          </w:tcPr>
          <w:p w14:paraId="6AB8B37E" w14:textId="56B20E9F" w:rsidR="00263BCB" w:rsidRPr="00337C9B" w:rsidRDefault="00A21C4B" w:rsidP="00337C9B">
            <w:pPr>
              <w:pStyle w:val="SingleTxtG"/>
              <w:spacing w:before="40" w:after="40" w:line="220" w:lineRule="exact"/>
              <w:ind w:left="0" w:right="113"/>
              <w:jc w:val="right"/>
              <w:rPr>
                <w:sz w:val="18"/>
              </w:rPr>
            </w:pPr>
            <w:r>
              <w:rPr>
                <w:sz w:val="18"/>
              </w:rPr>
              <w:t xml:space="preserve"> </w:t>
            </w:r>
          </w:p>
        </w:tc>
        <w:tc>
          <w:tcPr>
            <w:tcW w:w="860" w:type="dxa"/>
            <w:shd w:val="clear" w:color="auto" w:fill="auto"/>
            <w:noWrap/>
            <w:vAlign w:val="bottom"/>
          </w:tcPr>
          <w:p w14:paraId="4ACAD98A" w14:textId="633066A1" w:rsidR="00263BCB" w:rsidRPr="00337C9B" w:rsidRDefault="00A21C4B" w:rsidP="00337C9B">
            <w:pPr>
              <w:pStyle w:val="SingleTxtG"/>
              <w:spacing w:before="40" w:after="40" w:line="220" w:lineRule="exact"/>
              <w:ind w:left="0" w:right="113"/>
              <w:jc w:val="right"/>
              <w:rPr>
                <w:sz w:val="18"/>
              </w:rPr>
            </w:pPr>
            <w:r>
              <w:rPr>
                <w:sz w:val="18"/>
              </w:rPr>
              <w:t xml:space="preserve"> </w:t>
            </w:r>
          </w:p>
        </w:tc>
        <w:tc>
          <w:tcPr>
            <w:tcW w:w="945" w:type="dxa"/>
            <w:shd w:val="clear" w:color="auto" w:fill="auto"/>
            <w:noWrap/>
            <w:vAlign w:val="bottom"/>
          </w:tcPr>
          <w:p w14:paraId="63086B22" w14:textId="77777777" w:rsidR="00263BCB" w:rsidRPr="00337C9B" w:rsidRDefault="00263BCB" w:rsidP="00337C9B">
            <w:pPr>
              <w:pStyle w:val="SingleTxtG"/>
              <w:spacing w:before="40" w:after="40" w:line="220" w:lineRule="exact"/>
              <w:ind w:left="0" w:right="113"/>
              <w:jc w:val="right"/>
              <w:rPr>
                <w:sz w:val="18"/>
              </w:rPr>
            </w:pPr>
            <w:r w:rsidRPr="00337C9B">
              <w:rPr>
                <w:sz w:val="18"/>
              </w:rPr>
              <w:t>62</w:t>
            </w:r>
          </w:p>
        </w:tc>
        <w:tc>
          <w:tcPr>
            <w:tcW w:w="689" w:type="dxa"/>
            <w:shd w:val="clear" w:color="auto" w:fill="auto"/>
            <w:noWrap/>
            <w:vAlign w:val="bottom"/>
          </w:tcPr>
          <w:p w14:paraId="5502D5AF" w14:textId="77777777" w:rsidR="00263BCB" w:rsidRPr="00337C9B" w:rsidRDefault="00263BCB" w:rsidP="00337C9B">
            <w:pPr>
              <w:pStyle w:val="SingleTxtG"/>
              <w:spacing w:before="40" w:after="40" w:line="220" w:lineRule="exact"/>
              <w:ind w:left="0" w:right="113"/>
              <w:jc w:val="right"/>
              <w:rPr>
                <w:sz w:val="18"/>
              </w:rPr>
            </w:pPr>
            <w:r w:rsidRPr="00337C9B">
              <w:rPr>
                <w:sz w:val="18"/>
              </w:rPr>
              <w:t>203</w:t>
            </w:r>
          </w:p>
        </w:tc>
        <w:tc>
          <w:tcPr>
            <w:tcW w:w="945" w:type="dxa"/>
            <w:shd w:val="clear" w:color="auto" w:fill="auto"/>
            <w:noWrap/>
            <w:vAlign w:val="bottom"/>
          </w:tcPr>
          <w:p w14:paraId="68CC8EB6" w14:textId="77777777" w:rsidR="00263BCB" w:rsidRPr="00337C9B" w:rsidRDefault="00263BCB" w:rsidP="00337C9B">
            <w:pPr>
              <w:pStyle w:val="SingleTxtG"/>
              <w:spacing w:before="40" w:after="40" w:line="220" w:lineRule="exact"/>
              <w:ind w:left="0" w:right="113"/>
              <w:jc w:val="right"/>
              <w:rPr>
                <w:sz w:val="18"/>
              </w:rPr>
            </w:pPr>
            <w:r w:rsidRPr="00337C9B">
              <w:rPr>
                <w:sz w:val="18"/>
              </w:rPr>
              <w:t>265</w:t>
            </w:r>
          </w:p>
        </w:tc>
      </w:tr>
    </w:tbl>
    <w:p w14:paraId="7C5B70AD" w14:textId="5507F5B8" w:rsidR="00263BCB" w:rsidRPr="006B7180" w:rsidRDefault="00570685" w:rsidP="00570685">
      <w:pPr>
        <w:pStyle w:val="ParaNoG"/>
        <w:numPr>
          <w:ilvl w:val="0"/>
          <w:numId w:val="0"/>
        </w:numPr>
        <w:tabs>
          <w:tab w:val="left" w:pos="0"/>
        </w:tabs>
        <w:spacing w:before="240"/>
        <w:ind w:left="1134"/>
      </w:pPr>
      <w:r w:rsidRPr="006B7180">
        <w:t>149.</w:t>
      </w:r>
      <w:r w:rsidRPr="006B7180">
        <w:tab/>
      </w:r>
      <w:r w:rsidR="00263BCB" w:rsidRPr="005D213B">
        <w:t>In order to promote sexual and reproductive health, NGOs have been conducting activities at two I Want to Know youth centres in Skopje, providing free medical screening, counselling, and testing for sexually transmitted infections to vulnerable and marginalized groups of young people. In 10 years of operating, over 80,000 services have been provided to about 25,000 young people, 20% of which have been university and high school students.</w:t>
      </w:r>
    </w:p>
    <w:p w14:paraId="5AFE8F69" w14:textId="690A8E74" w:rsidR="00263BCB" w:rsidRPr="006B7180" w:rsidRDefault="00570685" w:rsidP="00570685">
      <w:pPr>
        <w:pStyle w:val="ParaNoG"/>
        <w:numPr>
          <w:ilvl w:val="0"/>
          <w:numId w:val="0"/>
        </w:numPr>
        <w:tabs>
          <w:tab w:val="left" w:pos="0"/>
        </w:tabs>
        <w:ind w:left="1134"/>
      </w:pPr>
      <w:r w:rsidRPr="006B7180">
        <w:t>150.</w:t>
      </w:r>
      <w:r w:rsidRPr="006B7180">
        <w:tab/>
      </w:r>
      <w:r w:rsidR="00263BCB" w:rsidRPr="005D213B">
        <w:t>The on-going Life Skills Education Program (LSE), introduced in primary and secondary schools in 2009, incorporates some of the topics considered indispensable to any comprehensive SRH education.</w:t>
      </w:r>
    </w:p>
    <w:p w14:paraId="72D0A501" w14:textId="4BB7E64A" w:rsidR="00263BCB" w:rsidRPr="006B7180" w:rsidRDefault="00570685" w:rsidP="00570685">
      <w:pPr>
        <w:pStyle w:val="ParaNoG"/>
        <w:numPr>
          <w:ilvl w:val="0"/>
          <w:numId w:val="0"/>
        </w:numPr>
        <w:tabs>
          <w:tab w:val="left" w:pos="0"/>
        </w:tabs>
        <w:ind w:left="1134"/>
      </w:pPr>
      <w:r w:rsidRPr="006B7180">
        <w:t>151.</w:t>
      </w:r>
      <w:r w:rsidRPr="006B7180">
        <w:tab/>
      </w:r>
      <w:r w:rsidR="00263BCB" w:rsidRPr="005D213B">
        <w:t>Based on the analysis done on LSE manuals over the representation of topics related to SRHR, in keeping with the Framework for Comprehensive Sexual Education, a Primary School Teacher Handbook on SRHR Topics has been prepared and used for piloting CSE in two primary schools in the City of Skopje.</w:t>
      </w:r>
    </w:p>
    <w:p w14:paraId="49570CDA" w14:textId="48C86AD9" w:rsidR="00263BCB" w:rsidRPr="005D213B" w:rsidRDefault="00570685" w:rsidP="00570685">
      <w:pPr>
        <w:pStyle w:val="ParaNoG"/>
        <w:numPr>
          <w:ilvl w:val="0"/>
          <w:numId w:val="0"/>
        </w:numPr>
        <w:tabs>
          <w:tab w:val="left" w:pos="0"/>
        </w:tabs>
        <w:ind w:left="1134"/>
      </w:pPr>
      <w:r w:rsidRPr="005D213B">
        <w:t>152.</w:t>
      </w:r>
      <w:r w:rsidRPr="005D213B">
        <w:tab/>
      </w:r>
      <w:r w:rsidR="00263BCB" w:rsidRPr="005D213B">
        <w:t xml:space="preserve">Peer-to-peer education on SRHR boasts a nearly twenty-year tradition in the country. Initially, it aims to educate young people on HIV prevention, later evolving towards peer-to-peer informing about contraception, protection against sexually transmitted infections </w:t>
      </w:r>
      <w:r w:rsidR="00263BCB" w:rsidRPr="005D213B">
        <w:lastRenderedPageBreak/>
        <w:t>and safe behaviour with regard to SRH. Currently, the programs are implemented in several schools and the SRH Youth Centres in Skopje. As envisaged by the Peer Educators</w:t>
      </w:r>
      <w:r w:rsidR="00A21C4B">
        <w:t>’</w:t>
      </w:r>
      <w:r w:rsidR="00263BCB" w:rsidRPr="005D213B">
        <w:t xml:space="preserve"> Manuals on SRHR Topics, the program is carried out in a total of 12 working hours (10 effective).</w:t>
      </w:r>
      <w:r w:rsidR="00263BCB" w:rsidRPr="00A21C4B">
        <w:rPr>
          <w:rStyle w:val="FootnoteReference"/>
        </w:rPr>
        <w:footnoteReference w:id="42"/>
      </w:r>
      <w:r w:rsidR="00263BCB" w:rsidRPr="00A21C4B">
        <w:rPr>
          <w:rStyle w:val="FootnoteReference"/>
        </w:rPr>
        <w:t xml:space="preserve"> </w:t>
      </w:r>
      <w:r w:rsidR="00263BCB" w:rsidRPr="005D213B">
        <w:t>Training standards for peer educators have also been established, as well as a system for mentoring and supervising implementation, whereas the impact of the program on the knowledge and attitudes of participants is monitored through pre and post tests.</w:t>
      </w:r>
    </w:p>
    <w:p w14:paraId="2B94D9D8" w14:textId="2BE3D048" w:rsidR="00263BCB" w:rsidRPr="005D213B" w:rsidRDefault="00263BCB" w:rsidP="00263BCB">
      <w:pPr>
        <w:pStyle w:val="H23G"/>
      </w:pPr>
      <w:r>
        <w:tab/>
      </w:r>
      <w:bookmarkStart w:id="63" w:name="_Toc56781463"/>
      <w:r>
        <w:t>(</w:t>
      </w:r>
      <w:r w:rsidR="000B7818">
        <w:t>d</w:t>
      </w:r>
      <w:r w:rsidRPr="005D213B">
        <w:t>)</w:t>
      </w:r>
      <w:r>
        <w:tab/>
      </w:r>
      <w:r w:rsidRPr="00F75FC7">
        <w:rPr>
          <w:lang w:val="mk-MK"/>
        </w:rPr>
        <w:t>Measures to protect children from substance abuse (art.</w:t>
      </w:r>
      <w:r w:rsidR="00337C9B" w:rsidRPr="006B0754">
        <w:rPr>
          <w:lang w:val="en-US"/>
        </w:rPr>
        <w:t xml:space="preserve"> </w:t>
      </w:r>
      <w:r w:rsidRPr="00F75FC7">
        <w:rPr>
          <w:lang w:val="mk-MK"/>
        </w:rPr>
        <w:t>33)</w:t>
      </w:r>
      <w:bookmarkEnd w:id="63"/>
    </w:p>
    <w:p w14:paraId="0875F45C" w14:textId="0F97ACAF" w:rsidR="00263BCB" w:rsidRPr="005D213B" w:rsidRDefault="00570685" w:rsidP="00570685">
      <w:pPr>
        <w:pStyle w:val="ParaNoG"/>
        <w:numPr>
          <w:ilvl w:val="0"/>
          <w:numId w:val="0"/>
        </w:numPr>
        <w:tabs>
          <w:tab w:val="left" w:pos="0"/>
        </w:tabs>
        <w:ind w:left="1134"/>
      </w:pPr>
      <w:r w:rsidRPr="005D213B">
        <w:t>153.</w:t>
      </w:r>
      <w:r w:rsidRPr="005D213B">
        <w:tab/>
      </w:r>
      <w:r w:rsidR="00263BCB" w:rsidRPr="005D213B">
        <w:t>The Government adopted the 2014</w:t>
      </w:r>
      <w:r w:rsidR="00337C9B">
        <w:t>–</w:t>
      </w:r>
      <w:r w:rsidR="00263BCB" w:rsidRPr="005D213B">
        <w:t>2020 National Drugs Strategy and corresponding 2014</w:t>
      </w:r>
      <w:r w:rsidR="00337C9B">
        <w:t>–</w:t>
      </w:r>
      <w:r w:rsidR="00263BCB" w:rsidRPr="005D213B">
        <w:t>2017 Action Plan. The goal of this strategy is to reduce the demand and supply of drugs, as well as the health and social risks, and harms caused by drugs.</w:t>
      </w:r>
    </w:p>
    <w:p w14:paraId="302C2C70" w14:textId="29A08EEC" w:rsidR="00263BCB" w:rsidRPr="005D213B" w:rsidRDefault="00570685" w:rsidP="00570685">
      <w:pPr>
        <w:pStyle w:val="ParaNoG"/>
        <w:numPr>
          <w:ilvl w:val="0"/>
          <w:numId w:val="0"/>
        </w:numPr>
        <w:tabs>
          <w:tab w:val="left" w:pos="0"/>
        </w:tabs>
        <w:ind w:left="1134"/>
      </w:pPr>
      <w:r w:rsidRPr="005D213B">
        <w:t>154.</w:t>
      </w:r>
      <w:r w:rsidRPr="005D213B">
        <w:tab/>
      </w:r>
      <w:r w:rsidR="00263BCB" w:rsidRPr="005D213B">
        <w:t xml:space="preserve">Counselling Centres for the Prevention of Drug and other Psychoactive Substance Use were opened for high school students in Skopje (2012) and its Shuto Orizari quarter with predominantly Roma population (2016). </w:t>
      </w:r>
    </w:p>
    <w:p w14:paraId="29B19550" w14:textId="1913DA0B" w:rsidR="00263BCB" w:rsidRPr="005D213B" w:rsidRDefault="00570685" w:rsidP="00570685">
      <w:pPr>
        <w:pStyle w:val="ParaNoG"/>
        <w:numPr>
          <w:ilvl w:val="0"/>
          <w:numId w:val="0"/>
        </w:numPr>
        <w:tabs>
          <w:tab w:val="left" w:pos="0"/>
        </w:tabs>
        <w:ind w:left="1134"/>
      </w:pPr>
      <w:r w:rsidRPr="005D213B">
        <w:t>155.</w:t>
      </w:r>
      <w:r w:rsidRPr="005D213B">
        <w:tab/>
      </w:r>
      <w:r w:rsidR="00263BCB" w:rsidRPr="005D213B">
        <w:t>A drug use prevention program titled Teenage Skills is being implemented in primary schools, while peer education is conducted with the help of the Red Cross for preventing substance abuse. In 2017, working meetings and training for professional staff in secondary schools were conducted on New Psychotropic Substances and Violence against Children in Schools.</w:t>
      </w:r>
    </w:p>
    <w:p w14:paraId="1CB9E2A0" w14:textId="28171881" w:rsidR="00263BCB" w:rsidRPr="005D213B" w:rsidRDefault="00570685" w:rsidP="00570685">
      <w:pPr>
        <w:pStyle w:val="ParaNoG"/>
        <w:numPr>
          <w:ilvl w:val="0"/>
          <w:numId w:val="0"/>
        </w:numPr>
        <w:tabs>
          <w:tab w:val="left" w:pos="0"/>
        </w:tabs>
        <w:ind w:left="1134"/>
      </w:pPr>
      <w:r w:rsidRPr="005D213B">
        <w:t>156.</w:t>
      </w:r>
      <w:r w:rsidRPr="005D213B">
        <w:tab/>
      </w:r>
      <w:r w:rsidR="00263BCB" w:rsidRPr="005D213B">
        <w:t>With the support of the City of Skopje, HOPS NGO developed a program for children of drug users at the rehabilitation day centre, as part of which a guidance counsellor, a psychologist, and a social worker work with these children as needed.</w:t>
      </w:r>
    </w:p>
    <w:p w14:paraId="2237CF52" w14:textId="467C42AF" w:rsidR="00263BCB" w:rsidRPr="005D213B" w:rsidRDefault="00570685" w:rsidP="00570685">
      <w:pPr>
        <w:pStyle w:val="ParaNoG"/>
        <w:numPr>
          <w:ilvl w:val="0"/>
          <w:numId w:val="0"/>
        </w:numPr>
        <w:tabs>
          <w:tab w:val="left" w:pos="0"/>
        </w:tabs>
        <w:ind w:left="1134"/>
      </w:pPr>
      <w:r w:rsidRPr="005D213B">
        <w:t>157.</w:t>
      </w:r>
      <w:r w:rsidRPr="005D213B">
        <w:tab/>
      </w:r>
      <w:r w:rsidR="00263BCB" w:rsidRPr="005D213B">
        <w:t xml:space="preserve">Furthermore, using the support of the Pompidou Group at the CoE and the MoH, the </w:t>
      </w:r>
      <w:hyperlink r:id="rId12" w:history="1">
        <w:r w:rsidR="00263BCB" w:rsidRPr="006B7180">
          <w:t>www.drughelp.eu</w:t>
        </w:r>
      </w:hyperlink>
      <w:r w:rsidR="00263BCB" w:rsidRPr="005D213B">
        <w:t xml:space="preserve"> online drug use risk self-assessment tool has been developed informing drug users of the locations across the country they can turn to for help and support. </w:t>
      </w:r>
    </w:p>
    <w:p w14:paraId="5219434C" w14:textId="73C0CCC3" w:rsidR="00263BCB" w:rsidRPr="005D213B" w:rsidRDefault="00570685" w:rsidP="00570685">
      <w:pPr>
        <w:pStyle w:val="ParaNoG"/>
        <w:numPr>
          <w:ilvl w:val="0"/>
          <w:numId w:val="0"/>
        </w:numPr>
        <w:tabs>
          <w:tab w:val="left" w:pos="0"/>
        </w:tabs>
        <w:ind w:left="1134"/>
      </w:pPr>
      <w:r w:rsidRPr="005D213B">
        <w:t>158.</w:t>
      </w:r>
      <w:r w:rsidRPr="005D213B">
        <w:tab/>
      </w:r>
      <w:r w:rsidR="00263BCB" w:rsidRPr="005D213B">
        <w:t xml:space="preserve">As regards rehabilitation, work is underway to adopt a protocol for the treatment of and care for child substance users that is in the final stage of preparation pending finalization and subsequent adoption by the Government. </w:t>
      </w:r>
    </w:p>
    <w:p w14:paraId="2E379187" w14:textId="67F316DB" w:rsidR="00263BCB" w:rsidRPr="005D213B" w:rsidRDefault="00570685" w:rsidP="00570685">
      <w:pPr>
        <w:pStyle w:val="ParaNoG"/>
        <w:numPr>
          <w:ilvl w:val="0"/>
          <w:numId w:val="0"/>
        </w:numPr>
        <w:tabs>
          <w:tab w:val="left" w:pos="0"/>
        </w:tabs>
        <w:ind w:left="1134"/>
      </w:pPr>
      <w:r w:rsidRPr="005D213B">
        <w:t>159.</w:t>
      </w:r>
      <w:r w:rsidRPr="005D213B">
        <w:tab/>
      </w:r>
      <w:r w:rsidR="00263BCB" w:rsidRPr="005D213B">
        <w:t>In terms of the prevention of alcohol use, the Law on Trade prescribes a ban on the sale of alcohol to minors, as well as a general ban on the sale of alcohol in the hours between 7 PM and 6 AM. As part of the Public Health Program, PHCs have been conducting education on a yearly basis in primary and secondary schools on public health matters, including on the prevention of addiction-related diseases.</w:t>
      </w:r>
    </w:p>
    <w:p w14:paraId="24D6B67F" w14:textId="15B8A733" w:rsidR="00263BCB" w:rsidRPr="005D213B" w:rsidRDefault="00570685" w:rsidP="00570685">
      <w:pPr>
        <w:pStyle w:val="ParaNoG"/>
        <w:numPr>
          <w:ilvl w:val="0"/>
          <w:numId w:val="0"/>
        </w:numPr>
        <w:tabs>
          <w:tab w:val="left" w:pos="0"/>
        </w:tabs>
        <w:spacing w:after="240"/>
        <w:ind w:left="1134"/>
      </w:pPr>
      <w:r w:rsidRPr="005D213B">
        <w:t>160.</w:t>
      </w:r>
      <w:r w:rsidRPr="005D213B">
        <w:tab/>
      </w:r>
      <w:r w:rsidR="00263BCB" w:rsidRPr="005D213B">
        <w:t xml:space="preserve">According to data obtained from the Centre for Control and Information on Poisoning, the number of alcohol intoxications among adolescents has marked a slight decline over the last three years.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052"/>
        <w:gridCol w:w="1053"/>
        <w:gridCol w:w="1053"/>
        <w:gridCol w:w="1053"/>
        <w:gridCol w:w="1053"/>
        <w:gridCol w:w="1053"/>
        <w:gridCol w:w="1053"/>
      </w:tblGrid>
      <w:tr w:rsidR="00263BCB" w:rsidRPr="00EB4CD6" w14:paraId="1B1AF24A" w14:textId="77777777" w:rsidTr="00EB4CD6">
        <w:trPr>
          <w:tblHeader/>
        </w:trPr>
        <w:tc>
          <w:tcPr>
            <w:tcW w:w="1360" w:type="dxa"/>
            <w:tcBorders>
              <w:top w:val="single" w:sz="4" w:space="0" w:color="auto"/>
              <w:bottom w:val="single" w:sz="12" w:space="0" w:color="auto"/>
            </w:tcBorders>
            <w:shd w:val="clear" w:color="auto" w:fill="auto"/>
            <w:vAlign w:val="bottom"/>
          </w:tcPr>
          <w:p w14:paraId="5C23E06E" w14:textId="77777777" w:rsidR="00263BCB" w:rsidRPr="00EB4CD6" w:rsidRDefault="00263BCB" w:rsidP="00EB4CD6">
            <w:pPr>
              <w:pStyle w:val="SingleTxtG"/>
              <w:spacing w:before="80" w:after="80" w:line="200" w:lineRule="exact"/>
              <w:ind w:left="0" w:right="113"/>
              <w:jc w:val="left"/>
              <w:rPr>
                <w:i/>
                <w:sz w:val="16"/>
              </w:rPr>
            </w:pPr>
            <w:r w:rsidRPr="00EB4CD6">
              <w:rPr>
                <w:i/>
                <w:sz w:val="16"/>
              </w:rPr>
              <w:t>2011</w:t>
            </w:r>
          </w:p>
        </w:tc>
        <w:tc>
          <w:tcPr>
            <w:tcW w:w="1360" w:type="dxa"/>
            <w:tcBorders>
              <w:top w:val="single" w:sz="4" w:space="0" w:color="auto"/>
              <w:bottom w:val="single" w:sz="12" w:space="0" w:color="auto"/>
            </w:tcBorders>
            <w:shd w:val="clear" w:color="auto" w:fill="auto"/>
            <w:vAlign w:val="bottom"/>
          </w:tcPr>
          <w:p w14:paraId="6765C1F0" w14:textId="77777777" w:rsidR="00263BCB" w:rsidRPr="00EB4CD6" w:rsidRDefault="00263BCB" w:rsidP="00EB4CD6">
            <w:pPr>
              <w:pStyle w:val="SingleTxtG"/>
              <w:spacing w:before="80" w:after="80" w:line="200" w:lineRule="exact"/>
              <w:ind w:left="0" w:right="113"/>
              <w:jc w:val="right"/>
              <w:rPr>
                <w:i/>
                <w:sz w:val="16"/>
              </w:rPr>
            </w:pPr>
            <w:r w:rsidRPr="00EB4CD6">
              <w:rPr>
                <w:i/>
                <w:sz w:val="16"/>
              </w:rPr>
              <w:t>2012</w:t>
            </w:r>
          </w:p>
        </w:tc>
        <w:tc>
          <w:tcPr>
            <w:tcW w:w="1360" w:type="dxa"/>
            <w:tcBorders>
              <w:top w:val="single" w:sz="4" w:space="0" w:color="auto"/>
              <w:bottom w:val="single" w:sz="12" w:space="0" w:color="auto"/>
            </w:tcBorders>
            <w:shd w:val="clear" w:color="auto" w:fill="auto"/>
            <w:vAlign w:val="bottom"/>
          </w:tcPr>
          <w:p w14:paraId="45CDF632" w14:textId="77777777" w:rsidR="00263BCB" w:rsidRPr="00EB4CD6" w:rsidRDefault="00263BCB" w:rsidP="00EB4CD6">
            <w:pPr>
              <w:pStyle w:val="SingleTxtG"/>
              <w:spacing w:before="80" w:after="80" w:line="200" w:lineRule="exact"/>
              <w:ind w:left="0" w:right="113"/>
              <w:jc w:val="right"/>
              <w:rPr>
                <w:i/>
                <w:sz w:val="16"/>
              </w:rPr>
            </w:pPr>
            <w:r w:rsidRPr="00EB4CD6">
              <w:rPr>
                <w:i/>
                <w:sz w:val="16"/>
              </w:rPr>
              <w:t>2013</w:t>
            </w:r>
          </w:p>
        </w:tc>
        <w:tc>
          <w:tcPr>
            <w:tcW w:w="1360" w:type="dxa"/>
            <w:tcBorders>
              <w:top w:val="single" w:sz="4" w:space="0" w:color="auto"/>
              <w:bottom w:val="single" w:sz="12" w:space="0" w:color="auto"/>
            </w:tcBorders>
            <w:shd w:val="clear" w:color="auto" w:fill="auto"/>
            <w:vAlign w:val="bottom"/>
          </w:tcPr>
          <w:p w14:paraId="096AA61F" w14:textId="77777777" w:rsidR="00263BCB" w:rsidRPr="00EB4CD6" w:rsidRDefault="00263BCB" w:rsidP="00EB4CD6">
            <w:pPr>
              <w:pStyle w:val="SingleTxtG"/>
              <w:spacing w:before="80" w:after="80" w:line="200" w:lineRule="exact"/>
              <w:ind w:left="0" w:right="113"/>
              <w:jc w:val="right"/>
              <w:rPr>
                <w:i/>
                <w:sz w:val="16"/>
              </w:rPr>
            </w:pPr>
            <w:r w:rsidRPr="00EB4CD6">
              <w:rPr>
                <w:i/>
                <w:sz w:val="16"/>
              </w:rPr>
              <w:t>2014</w:t>
            </w:r>
          </w:p>
        </w:tc>
        <w:tc>
          <w:tcPr>
            <w:tcW w:w="1360" w:type="dxa"/>
            <w:tcBorders>
              <w:top w:val="single" w:sz="4" w:space="0" w:color="auto"/>
              <w:bottom w:val="single" w:sz="12" w:space="0" w:color="auto"/>
            </w:tcBorders>
            <w:shd w:val="clear" w:color="auto" w:fill="auto"/>
            <w:vAlign w:val="bottom"/>
          </w:tcPr>
          <w:p w14:paraId="5B73B173" w14:textId="77777777" w:rsidR="00263BCB" w:rsidRPr="00EB4CD6" w:rsidRDefault="00263BCB" w:rsidP="00EB4CD6">
            <w:pPr>
              <w:pStyle w:val="SingleTxtG"/>
              <w:spacing w:before="80" w:after="80" w:line="200" w:lineRule="exact"/>
              <w:ind w:left="0" w:right="113"/>
              <w:jc w:val="right"/>
              <w:rPr>
                <w:i/>
                <w:sz w:val="16"/>
              </w:rPr>
            </w:pPr>
            <w:r w:rsidRPr="00EB4CD6">
              <w:rPr>
                <w:i/>
                <w:sz w:val="16"/>
              </w:rPr>
              <w:t>2015</w:t>
            </w:r>
          </w:p>
        </w:tc>
        <w:tc>
          <w:tcPr>
            <w:tcW w:w="1360" w:type="dxa"/>
            <w:tcBorders>
              <w:top w:val="single" w:sz="4" w:space="0" w:color="auto"/>
              <w:bottom w:val="single" w:sz="12" w:space="0" w:color="auto"/>
            </w:tcBorders>
            <w:shd w:val="clear" w:color="auto" w:fill="auto"/>
            <w:vAlign w:val="bottom"/>
          </w:tcPr>
          <w:p w14:paraId="006B7FD8" w14:textId="77777777" w:rsidR="00263BCB" w:rsidRPr="00EB4CD6" w:rsidRDefault="00263BCB" w:rsidP="00EB4CD6">
            <w:pPr>
              <w:pStyle w:val="SingleTxtG"/>
              <w:spacing w:before="80" w:after="80" w:line="200" w:lineRule="exact"/>
              <w:ind w:left="0" w:right="113"/>
              <w:jc w:val="right"/>
              <w:rPr>
                <w:i/>
                <w:sz w:val="16"/>
              </w:rPr>
            </w:pPr>
            <w:r w:rsidRPr="00EB4CD6">
              <w:rPr>
                <w:i/>
                <w:sz w:val="16"/>
              </w:rPr>
              <w:t>2016</w:t>
            </w:r>
          </w:p>
        </w:tc>
        <w:tc>
          <w:tcPr>
            <w:tcW w:w="1360" w:type="dxa"/>
            <w:tcBorders>
              <w:top w:val="single" w:sz="4" w:space="0" w:color="auto"/>
              <w:bottom w:val="single" w:sz="12" w:space="0" w:color="auto"/>
            </w:tcBorders>
            <w:shd w:val="clear" w:color="auto" w:fill="auto"/>
            <w:vAlign w:val="bottom"/>
          </w:tcPr>
          <w:p w14:paraId="371426A2" w14:textId="77777777" w:rsidR="00263BCB" w:rsidRPr="00EB4CD6" w:rsidRDefault="00263BCB" w:rsidP="00EB4CD6">
            <w:pPr>
              <w:pStyle w:val="SingleTxtG"/>
              <w:spacing w:before="80" w:after="80" w:line="200" w:lineRule="exact"/>
              <w:ind w:left="0" w:right="113"/>
              <w:jc w:val="right"/>
              <w:rPr>
                <w:i/>
                <w:sz w:val="16"/>
              </w:rPr>
            </w:pPr>
            <w:r w:rsidRPr="00EB4CD6">
              <w:rPr>
                <w:i/>
                <w:sz w:val="16"/>
              </w:rPr>
              <w:t>2017</w:t>
            </w:r>
          </w:p>
        </w:tc>
      </w:tr>
      <w:tr w:rsidR="00263BCB" w:rsidRPr="00EB4CD6" w14:paraId="2317CF7E" w14:textId="77777777" w:rsidTr="00EB4CD6">
        <w:tc>
          <w:tcPr>
            <w:tcW w:w="1360" w:type="dxa"/>
            <w:tcBorders>
              <w:top w:val="single" w:sz="12" w:space="0" w:color="auto"/>
            </w:tcBorders>
            <w:shd w:val="clear" w:color="auto" w:fill="auto"/>
          </w:tcPr>
          <w:p w14:paraId="73CDD33A" w14:textId="77777777" w:rsidR="00263BCB" w:rsidRPr="00EB4CD6" w:rsidRDefault="00263BCB" w:rsidP="00EB4CD6">
            <w:pPr>
              <w:pStyle w:val="SingleTxtG"/>
              <w:spacing w:before="40" w:after="40" w:line="220" w:lineRule="exact"/>
              <w:ind w:left="0" w:right="113"/>
              <w:jc w:val="left"/>
              <w:rPr>
                <w:sz w:val="18"/>
              </w:rPr>
            </w:pPr>
            <w:r w:rsidRPr="00EB4CD6">
              <w:rPr>
                <w:sz w:val="18"/>
              </w:rPr>
              <w:t>65</w:t>
            </w:r>
          </w:p>
        </w:tc>
        <w:tc>
          <w:tcPr>
            <w:tcW w:w="1360" w:type="dxa"/>
            <w:tcBorders>
              <w:top w:val="single" w:sz="12" w:space="0" w:color="auto"/>
            </w:tcBorders>
            <w:shd w:val="clear" w:color="auto" w:fill="auto"/>
            <w:vAlign w:val="bottom"/>
          </w:tcPr>
          <w:p w14:paraId="3A2D49D0" w14:textId="77777777" w:rsidR="00263BCB" w:rsidRPr="00EB4CD6" w:rsidRDefault="00263BCB" w:rsidP="00EB4CD6">
            <w:pPr>
              <w:pStyle w:val="SingleTxtG"/>
              <w:spacing w:before="40" w:after="40" w:line="220" w:lineRule="exact"/>
              <w:ind w:left="0" w:right="113"/>
              <w:jc w:val="right"/>
              <w:rPr>
                <w:sz w:val="18"/>
              </w:rPr>
            </w:pPr>
            <w:r w:rsidRPr="00EB4CD6">
              <w:rPr>
                <w:sz w:val="18"/>
              </w:rPr>
              <w:t>73</w:t>
            </w:r>
          </w:p>
        </w:tc>
        <w:tc>
          <w:tcPr>
            <w:tcW w:w="1360" w:type="dxa"/>
            <w:tcBorders>
              <w:top w:val="single" w:sz="12" w:space="0" w:color="auto"/>
            </w:tcBorders>
            <w:shd w:val="clear" w:color="auto" w:fill="auto"/>
            <w:vAlign w:val="bottom"/>
          </w:tcPr>
          <w:p w14:paraId="76758035" w14:textId="77777777" w:rsidR="00263BCB" w:rsidRPr="00EB4CD6" w:rsidRDefault="00263BCB" w:rsidP="00EB4CD6">
            <w:pPr>
              <w:pStyle w:val="SingleTxtG"/>
              <w:spacing w:before="40" w:after="40" w:line="220" w:lineRule="exact"/>
              <w:ind w:left="0" w:right="113"/>
              <w:jc w:val="right"/>
              <w:rPr>
                <w:sz w:val="18"/>
              </w:rPr>
            </w:pPr>
            <w:r w:rsidRPr="00EB4CD6">
              <w:rPr>
                <w:sz w:val="18"/>
              </w:rPr>
              <w:t>70</w:t>
            </w:r>
          </w:p>
        </w:tc>
        <w:tc>
          <w:tcPr>
            <w:tcW w:w="1360" w:type="dxa"/>
            <w:tcBorders>
              <w:top w:val="single" w:sz="12" w:space="0" w:color="auto"/>
            </w:tcBorders>
            <w:shd w:val="clear" w:color="auto" w:fill="auto"/>
            <w:vAlign w:val="bottom"/>
          </w:tcPr>
          <w:p w14:paraId="14C474AE" w14:textId="77777777" w:rsidR="00263BCB" w:rsidRPr="00EB4CD6" w:rsidRDefault="00263BCB" w:rsidP="00EB4CD6">
            <w:pPr>
              <w:pStyle w:val="SingleTxtG"/>
              <w:spacing w:before="40" w:after="40" w:line="220" w:lineRule="exact"/>
              <w:ind w:left="0" w:right="113"/>
              <w:jc w:val="right"/>
              <w:rPr>
                <w:sz w:val="18"/>
              </w:rPr>
            </w:pPr>
            <w:r w:rsidRPr="00EB4CD6">
              <w:rPr>
                <w:sz w:val="18"/>
              </w:rPr>
              <w:t>97</w:t>
            </w:r>
          </w:p>
        </w:tc>
        <w:tc>
          <w:tcPr>
            <w:tcW w:w="1360" w:type="dxa"/>
            <w:tcBorders>
              <w:top w:val="single" w:sz="12" w:space="0" w:color="auto"/>
            </w:tcBorders>
            <w:shd w:val="clear" w:color="auto" w:fill="auto"/>
            <w:vAlign w:val="bottom"/>
          </w:tcPr>
          <w:p w14:paraId="4FBD01C4" w14:textId="77777777" w:rsidR="00263BCB" w:rsidRPr="00EB4CD6" w:rsidRDefault="00263BCB" w:rsidP="00EB4CD6">
            <w:pPr>
              <w:pStyle w:val="SingleTxtG"/>
              <w:spacing w:before="40" w:after="40" w:line="220" w:lineRule="exact"/>
              <w:ind w:left="0" w:right="113"/>
              <w:jc w:val="right"/>
              <w:rPr>
                <w:sz w:val="18"/>
              </w:rPr>
            </w:pPr>
            <w:r w:rsidRPr="00EB4CD6">
              <w:rPr>
                <w:sz w:val="18"/>
              </w:rPr>
              <w:t>48</w:t>
            </w:r>
          </w:p>
        </w:tc>
        <w:tc>
          <w:tcPr>
            <w:tcW w:w="1360" w:type="dxa"/>
            <w:tcBorders>
              <w:top w:val="single" w:sz="12" w:space="0" w:color="auto"/>
            </w:tcBorders>
            <w:shd w:val="clear" w:color="auto" w:fill="auto"/>
            <w:vAlign w:val="bottom"/>
          </w:tcPr>
          <w:p w14:paraId="20F98BC7" w14:textId="77777777" w:rsidR="00263BCB" w:rsidRPr="00EB4CD6" w:rsidRDefault="00263BCB" w:rsidP="00EB4CD6">
            <w:pPr>
              <w:pStyle w:val="SingleTxtG"/>
              <w:spacing w:before="40" w:after="40" w:line="220" w:lineRule="exact"/>
              <w:ind w:left="0" w:right="113"/>
              <w:jc w:val="right"/>
              <w:rPr>
                <w:sz w:val="18"/>
              </w:rPr>
            </w:pPr>
            <w:r w:rsidRPr="00EB4CD6">
              <w:rPr>
                <w:sz w:val="18"/>
              </w:rPr>
              <w:t>39</w:t>
            </w:r>
          </w:p>
        </w:tc>
        <w:tc>
          <w:tcPr>
            <w:tcW w:w="1360" w:type="dxa"/>
            <w:tcBorders>
              <w:top w:val="single" w:sz="12" w:space="0" w:color="auto"/>
            </w:tcBorders>
            <w:shd w:val="clear" w:color="auto" w:fill="auto"/>
            <w:vAlign w:val="bottom"/>
          </w:tcPr>
          <w:p w14:paraId="20742763" w14:textId="77777777" w:rsidR="00263BCB" w:rsidRPr="00EB4CD6" w:rsidRDefault="00263BCB" w:rsidP="00EB4CD6">
            <w:pPr>
              <w:pStyle w:val="SingleTxtG"/>
              <w:spacing w:before="40" w:after="40" w:line="220" w:lineRule="exact"/>
              <w:ind w:left="0" w:right="113"/>
              <w:jc w:val="right"/>
              <w:rPr>
                <w:sz w:val="18"/>
              </w:rPr>
            </w:pPr>
            <w:r w:rsidRPr="00EB4CD6">
              <w:rPr>
                <w:sz w:val="18"/>
              </w:rPr>
              <w:t>51</w:t>
            </w:r>
          </w:p>
        </w:tc>
      </w:tr>
    </w:tbl>
    <w:p w14:paraId="637FD609" w14:textId="13F4143A" w:rsidR="00263BCB" w:rsidRPr="006B7180" w:rsidRDefault="00570685" w:rsidP="00570685">
      <w:pPr>
        <w:pStyle w:val="ParaNoG"/>
        <w:numPr>
          <w:ilvl w:val="0"/>
          <w:numId w:val="0"/>
        </w:numPr>
        <w:tabs>
          <w:tab w:val="left" w:pos="0"/>
        </w:tabs>
        <w:spacing w:before="240"/>
        <w:ind w:left="1134"/>
      </w:pPr>
      <w:r w:rsidRPr="006B7180">
        <w:t>161.</w:t>
      </w:r>
      <w:r w:rsidRPr="006B7180">
        <w:tab/>
      </w:r>
      <w:r w:rsidR="00263BCB" w:rsidRPr="005D213B">
        <w:t>A Strategy on the Prevention and Control of Harmful Consequences of Alcohol Use and Abuse to the Health of the Population has been prepared together with a corresponding Action Plan for the period ending in the year 2027, outlining plans for a host of measures aimed at preventing alcohol use among minors.</w:t>
      </w:r>
    </w:p>
    <w:p w14:paraId="3A42F920" w14:textId="68BC1EBC" w:rsidR="00263BCB" w:rsidRPr="006B7180" w:rsidRDefault="00570685" w:rsidP="00570685">
      <w:pPr>
        <w:pStyle w:val="ParaNoG"/>
        <w:numPr>
          <w:ilvl w:val="0"/>
          <w:numId w:val="0"/>
        </w:numPr>
        <w:tabs>
          <w:tab w:val="left" w:pos="0"/>
        </w:tabs>
        <w:ind w:left="1134"/>
      </w:pPr>
      <w:r w:rsidRPr="006B7180">
        <w:t>162.</w:t>
      </w:r>
      <w:r w:rsidRPr="006B7180">
        <w:tab/>
      </w:r>
      <w:r w:rsidR="00263BCB" w:rsidRPr="005D213B">
        <w:t>The ESPAD survey conducted in 2015 among 2,430 students aged 15/16 showed that 5% of students had used marijuana throughout their lives, most of them had tried marijuana 1 to 2 times, 2.1% of students had used ecstasy throughout their lives, 1.1% of whom had used it 1 to 2 times. A total of 1.9% of students had used inhalant drugs.</w:t>
      </w:r>
    </w:p>
    <w:p w14:paraId="365C2302" w14:textId="68FDB957" w:rsidR="00263BCB" w:rsidRPr="005D213B" w:rsidRDefault="00570685" w:rsidP="00570685">
      <w:pPr>
        <w:pStyle w:val="ParaNoG"/>
        <w:numPr>
          <w:ilvl w:val="0"/>
          <w:numId w:val="0"/>
        </w:numPr>
        <w:tabs>
          <w:tab w:val="left" w:pos="0"/>
        </w:tabs>
        <w:ind w:left="1134"/>
      </w:pPr>
      <w:r w:rsidRPr="005D213B">
        <w:t>163.</w:t>
      </w:r>
      <w:r w:rsidRPr="005D213B">
        <w:tab/>
      </w:r>
      <w:r w:rsidR="00263BCB" w:rsidRPr="005D213B">
        <w:t xml:space="preserve">The number of people who had used other types of drugs throughout their lives ranged from 0.6% for magic mushrooms and anabolic steroids to 0.9% for LSD and 0.9% for heroin. Compared to previous studies, the use of heroin, LSD, and anabolic steroids was </w:t>
      </w:r>
      <w:r w:rsidR="00263BCB" w:rsidRPr="005D213B">
        <w:lastRenderedPageBreak/>
        <w:t>in stagnation. Rising percentages were observed in the use of cocaine from 2008 to 2015 (0.9% in 2008 to 1.5% in 2015), while the number of people reporting the use of magic mushrooms declined (1.2% in 2008 to 0.6% in 2015). The results indicate to stagnation in terms of the use of most illicit drugs, with nevertheless a slight increase in the use of marijuana, cocaine, and ecstasy. There are new substances on the market, which account for 3.7%. The use of sedatives (without medical prescription) amounts to 11%, particularly prevailing among the female population and being on a growing curve in comparison to earlier periods, whereas the use of energy drinks is becoming increasingly common.</w:t>
      </w:r>
    </w:p>
    <w:p w14:paraId="07B7CA2A" w14:textId="0CDF4959" w:rsidR="00263BCB" w:rsidRPr="005D213B" w:rsidRDefault="00263BCB" w:rsidP="00D14E25">
      <w:pPr>
        <w:pStyle w:val="H1G"/>
        <w:rPr>
          <w:bCs/>
        </w:rPr>
      </w:pPr>
      <w:r>
        <w:rPr>
          <w:bCs/>
        </w:rPr>
        <w:tab/>
      </w:r>
      <w:bookmarkStart w:id="64" w:name="_Toc56781464"/>
      <w:r>
        <w:rPr>
          <w:bCs/>
        </w:rPr>
        <w:t>8.</w:t>
      </w:r>
      <w:r>
        <w:rPr>
          <w:bCs/>
        </w:rPr>
        <w:tab/>
      </w:r>
      <w:r w:rsidRPr="005D213B">
        <w:t>Education, leisure and cultural activities (Articles 28</w:t>
      </w:r>
      <w:r w:rsidR="00EB4CD6">
        <w:t>–</w:t>
      </w:r>
      <w:r w:rsidRPr="005D213B">
        <w:t>31)</w:t>
      </w:r>
      <w:bookmarkEnd w:id="64"/>
    </w:p>
    <w:p w14:paraId="30D356D8" w14:textId="77777777" w:rsidR="00263BCB" w:rsidRPr="00095526" w:rsidRDefault="00263BCB" w:rsidP="00263BCB">
      <w:pPr>
        <w:pStyle w:val="H23G"/>
        <w:rPr>
          <w:lang w:val="mk-MK"/>
        </w:rPr>
      </w:pPr>
      <w:r>
        <w:tab/>
      </w:r>
      <w:bookmarkStart w:id="65" w:name="_Toc56781465"/>
      <w:r>
        <w:t>(a)</w:t>
      </w:r>
      <w:r>
        <w:tab/>
      </w:r>
      <w:r w:rsidRPr="00095526">
        <w:t>The right to education for all under equal conditions is guaranteed by the Constitution. Primary education is compulsory and free for all. Secondary education is also mandatory for every citizen. It is carried out using plans for general high school and vocational education, as well as special secondary education programs for</w:t>
      </w:r>
      <w:r>
        <w:t xml:space="preserve"> certain categories of students</w:t>
      </w:r>
      <w:bookmarkEnd w:id="65"/>
    </w:p>
    <w:p w14:paraId="36B76F0A" w14:textId="7A9609AA" w:rsidR="00263BCB" w:rsidRPr="006B7180" w:rsidRDefault="00570685" w:rsidP="00570685">
      <w:pPr>
        <w:pStyle w:val="ParaNoG"/>
        <w:numPr>
          <w:ilvl w:val="0"/>
          <w:numId w:val="0"/>
        </w:numPr>
        <w:tabs>
          <w:tab w:val="left" w:pos="0"/>
        </w:tabs>
        <w:ind w:left="1134"/>
      </w:pPr>
      <w:r w:rsidRPr="006B7180">
        <w:t>164.</w:t>
      </w:r>
      <w:r w:rsidRPr="006B7180">
        <w:tab/>
      </w:r>
      <w:r w:rsidR="00263BCB" w:rsidRPr="005D213B">
        <w:t>Education is free in public secondary schools; with students being afforded the right to free transport should their places of residence or student dormitories they are accommodated in be located at a minimum distance of 2.5 km from the secondary schools they attend.</w:t>
      </w:r>
    </w:p>
    <w:p w14:paraId="362BB2EB" w14:textId="4D7AC9A1" w:rsidR="00263BCB" w:rsidRPr="006B7180" w:rsidRDefault="00570685" w:rsidP="00570685">
      <w:pPr>
        <w:pStyle w:val="ParaNoG"/>
        <w:numPr>
          <w:ilvl w:val="0"/>
          <w:numId w:val="0"/>
        </w:numPr>
        <w:tabs>
          <w:tab w:val="left" w:pos="0"/>
        </w:tabs>
        <w:ind w:left="1134"/>
      </w:pPr>
      <w:r w:rsidRPr="006B7180">
        <w:t>165.</w:t>
      </w:r>
      <w:r w:rsidRPr="006B7180">
        <w:tab/>
      </w:r>
      <w:r w:rsidR="00263BCB" w:rsidRPr="005D213B">
        <w:t>As regards higher education, both nationals of the country and foreign nationals regardless of the application or not of the principle of mutuality, as well as stateless persons, are afforded the right to higher education under equal conditions. The conditions and manner of enrolment in study programs are regulated in detail by Article 149 of the Law on Higher Education.</w:t>
      </w:r>
    </w:p>
    <w:p w14:paraId="457BA482" w14:textId="573954E5" w:rsidR="00263BCB" w:rsidRPr="006B7180" w:rsidRDefault="00570685" w:rsidP="00570685">
      <w:pPr>
        <w:pStyle w:val="ParaNoG"/>
        <w:numPr>
          <w:ilvl w:val="0"/>
          <w:numId w:val="0"/>
        </w:numPr>
        <w:tabs>
          <w:tab w:val="left" w:pos="0"/>
        </w:tabs>
        <w:ind w:left="1134"/>
      </w:pPr>
      <w:r w:rsidRPr="006B7180">
        <w:t>166.</w:t>
      </w:r>
      <w:r w:rsidRPr="006B7180">
        <w:tab/>
      </w:r>
      <w:r w:rsidR="00263BCB" w:rsidRPr="005D213B">
        <w:t>With a view to providing information on educational and vocational qualifications and professional orientation services, career centres have been open for professional counselling of students in 52 secondary schools.</w:t>
      </w:r>
    </w:p>
    <w:p w14:paraId="3362DF7A" w14:textId="6A1F8B8B" w:rsidR="00263BCB" w:rsidRPr="006B7180" w:rsidRDefault="00570685" w:rsidP="00570685">
      <w:pPr>
        <w:pStyle w:val="ParaNoG"/>
        <w:numPr>
          <w:ilvl w:val="0"/>
          <w:numId w:val="0"/>
        </w:numPr>
        <w:tabs>
          <w:tab w:val="left" w:pos="0"/>
        </w:tabs>
        <w:ind w:left="1134"/>
      </w:pPr>
      <w:r w:rsidRPr="006B7180">
        <w:t>167.</w:t>
      </w:r>
      <w:r w:rsidRPr="006B7180">
        <w:tab/>
      </w:r>
      <w:r w:rsidR="00263BCB" w:rsidRPr="005D213B">
        <w:t>Measures have been envisaged for stimulating enrolment in compulsory secondary education, as well as for sanctioning non-compliance.</w:t>
      </w:r>
    </w:p>
    <w:p w14:paraId="73241366" w14:textId="5ADCF7E9" w:rsidR="00263BCB" w:rsidRPr="005D213B" w:rsidRDefault="00570685" w:rsidP="00570685">
      <w:pPr>
        <w:pStyle w:val="ParaNoG"/>
        <w:numPr>
          <w:ilvl w:val="0"/>
          <w:numId w:val="0"/>
        </w:numPr>
        <w:tabs>
          <w:tab w:val="left" w:pos="0"/>
        </w:tabs>
        <w:ind w:left="1134"/>
      </w:pPr>
      <w:r w:rsidRPr="005D213B">
        <w:t>168.</w:t>
      </w:r>
      <w:r w:rsidRPr="005D213B">
        <w:tab/>
      </w:r>
      <w:r w:rsidR="00263BCB" w:rsidRPr="005D213B">
        <w:t>To stimulate and reduce the dropout rates, every year the MES grants scholarships to vulnerable children (including children with disabilities) in primary and secondary education, providing as well mentoring and tutorship assistance to this category of students. Pursuant to the Law on Primary Education and the Law on Secondary Education, penalties have been set forth for parents/guardians who have failed to enrol their children in school.</w:t>
      </w:r>
    </w:p>
    <w:p w14:paraId="4A092637" w14:textId="77777777" w:rsidR="00263BCB" w:rsidRPr="005D213B" w:rsidRDefault="00263BCB" w:rsidP="00263BCB">
      <w:pPr>
        <w:pStyle w:val="H23G"/>
        <w:rPr>
          <w:lang w:val="mk-MK"/>
        </w:rPr>
      </w:pPr>
      <w:r>
        <w:tab/>
      </w:r>
      <w:bookmarkStart w:id="66" w:name="_Toc56781466"/>
      <w:r>
        <w:t>(</w:t>
      </w:r>
      <w:r w:rsidRPr="005D213B">
        <w:t>b)</w:t>
      </w:r>
      <w:r>
        <w:tab/>
      </w:r>
      <w:r w:rsidRPr="005D213B">
        <w:t>Goals of education</w:t>
      </w:r>
      <w:bookmarkEnd w:id="66"/>
    </w:p>
    <w:p w14:paraId="5C0BF70D" w14:textId="16306D47" w:rsidR="00263BCB" w:rsidRPr="006B7180" w:rsidRDefault="00570685" w:rsidP="00570685">
      <w:pPr>
        <w:pStyle w:val="ParaNoG"/>
        <w:numPr>
          <w:ilvl w:val="0"/>
          <w:numId w:val="0"/>
        </w:numPr>
        <w:tabs>
          <w:tab w:val="left" w:pos="0"/>
        </w:tabs>
        <w:ind w:left="1134"/>
      </w:pPr>
      <w:r w:rsidRPr="006B7180">
        <w:t>169.</w:t>
      </w:r>
      <w:r w:rsidRPr="006B7180">
        <w:tab/>
      </w:r>
      <w:r w:rsidR="00263BCB" w:rsidRPr="005D213B">
        <w:t>As set out in the national legislation, education goals have been focused on the following:</w:t>
      </w:r>
    </w:p>
    <w:p w14:paraId="52119D37" w14:textId="6E1ABE4C"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rPr>
          <w:lang w:val="mk-MK"/>
        </w:rPr>
      </w:pPr>
      <w:r w:rsidRPr="005D213B">
        <w:rPr>
          <w:lang w:val="mk-MK"/>
        </w:rPr>
        <w:t>•</w:t>
      </w:r>
      <w:r w:rsidRPr="005D213B">
        <w:rPr>
          <w:lang w:val="mk-MK"/>
        </w:rPr>
        <w:tab/>
      </w:r>
      <w:r w:rsidRPr="005D213B">
        <w:t>Developing literacy and abilities of students in understanding, communicating, and expressing themselves in the Macedonian language and its Cyrillic alphabet, i.e. in the languages of the members of the different communities in the country and their corresponding scripts;</w:t>
      </w:r>
    </w:p>
    <w:p w14:paraId="08C92B9D" w14:textId="1D9166A0"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rPr>
          <w:lang w:val="mk-MK"/>
        </w:rPr>
      </w:pPr>
      <w:r w:rsidRPr="005D213B">
        <w:rPr>
          <w:lang w:val="mk-MK"/>
        </w:rPr>
        <w:t>•</w:t>
      </w:r>
      <w:r w:rsidRPr="005D213B">
        <w:rPr>
          <w:lang w:val="mk-MK"/>
        </w:rPr>
        <w:tab/>
      </w:r>
      <w:r w:rsidRPr="005D213B">
        <w:t>The harmonious, emotional, and social development of students;</w:t>
      </w:r>
    </w:p>
    <w:p w14:paraId="289AD757" w14:textId="54ECDAC4"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rPr>
          <w:lang w:val="mk-MK"/>
        </w:rPr>
      </w:pPr>
      <w:r w:rsidRPr="005D213B">
        <w:rPr>
          <w:lang w:val="mk-MK"/>
        </w:rPr>
        <w:t>•</w:t>
      </w:r>
      <w:r w:rsidRPr="005D213B">
        <w:rPr>
          <w:lang w:val="mk-MK"/>
        </w:rPr>
        <w:tab/>
      </w:r>
      <w:r w:rsidRPr="005D213B">
        <w:t>Developing self-confidence and awareness among students about their individuality and responsibility for their actions, for belonging to and fostering their own national and cultural identity;</w:t>
      </w:r>
    </w:p>
    <w:p w14:paraId="5743EC03" w14:textId="49AB8A7E"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rPr>
          <w:lang w:val="mk-MK"/>
        </w:rPr>
      </w:pPr>
      <w:r w:rsidRPr="005D213B">
        <w:rPr>
          <w:lang w:val="mk-MK"/>
        </w:rPr>
        <w:t>•</w:t>
      </w:r>
      <w:r w:rsidRPr="005D213B">
        <w:rPr>
          <w:lang w:val="mk-MK"/>
        </w:rPr>
        <w:tab/>
      </w:r>
      <w:r w:rsidRPr="005D213B">
        <w:t>Education for mutual tolerance and respect for diversity and basic human freedoms and rights, and for general cultural and civilization values;</w:t>
      </w:r>
    </w:p>
    <w:p w14:paraId="63C20CE6" w14:textId="44C80D1A"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rPr>
          <w:lang w:val="mk-MK"/>
        </w:rPr>
      </w:pPr>
      <w:r w:rsidRPr="005D213B">
        <w:rPr>
          <w:lang w:val="mk-MK"/>
        </w:rPr>
        <w:t>•</w:t>
      </w:r>
      <w:r w:rsidRPr="005D213B">
        <w:rPr>
          <w:lang w:val="mk-MK"/>
        </w:rPr>
        <w:tab/>
      </w:r>
      <w:r w:rsidRPr="005D213B">
        <w:t>Developing research, experimentation, and problem solving skills;</w:t>
      </w:r>
    </w:p>
    <w:p w14:paraId="2675BD48" w14:textId="2BF72EB8"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The inclusion and care for the development of students with special educational needs;</w:t>
      </w:r>
    </w:p>
    <w:p w14:paraId="0DEB31F3" w14:textId="03A81795"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lastRenderedPageBreak/>
        <w:t>•</w:t>
      </w:r>
      <w:r w:rsidRPr="005D213B">
        <w:tab/>
        <w:t>The development of pupils</w:t>
      </w:r>
      <w:r w:rsidR="00A21C4B">
        <w:t>’</w:t>
      </w:r>
      <w:r w:rsidRPr="005D213B">
        <w:t xml:space="preserve"> talent in different fields; and </w:t>
      </w:r>
    </w:p>
    <w:p w14:paraId="12E7F300" w14:textId="4C9D11CE"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Building a healthy lifestyle and upbringing for taking responsibility for one</w:t>
      </w:r>
      <w:r w:rsidR="00A21C4B">
        <w:t>’</w:t>
      </w:r>
      <w:r w:rsidRPr="005D213B">
        <w:t>s own health and protecting the environment.</w:t>
      </w:r>
    </w:p>
    <w:p w14:paraId="6761F18F" w14:textId="77777777" w:rsidR="00263BCB" w:rsidRPr="005D213B" w:rsidRDefault="00263BCB" w:rsidP="00263BCB">
      <w:pPr>
        <w:pStyle w:val="H23G"/>
      </w:pPr>
      <w:r>
        <w:tab/>
      </w:r>
      <w:bookmarkStart w:id="67" w:name="_Toc56781467"/>
      <w:r>
        <w:t>(c)</w:t>
      </w:r>
      <w:r>
        <w:tab/>
      </w:r>
      <w:r w:rsidRPr="005D213B">
        <w:t>The right to culture of children of indigenous origin and children belonging to minority (Article 30)</w:t>
      </w:r>
      <w:bookmarkEnd w:id="67"/>
    </w:p>
    <w:p w14:paraId="337CDB62" w14:textId="79499044" w:rsidR="00263BCB" w:rsidRPr="005D213B" w:rsidRDefault="00570685" w:rsidP="00570685">
      <w:pPr>
        <w:pStyle w:val="ParaNoG"/>
        <w:numPr>
          <w:ilvl w:val="0"/>
          <w:numId w:val="0"/>
        </w:numPr>
        <w:tabs>
          <w:tab w:val="left" w:pos="0"/>
        </w:tabs>
        <w:ind w:left="1134"/>
      </w:pPr>
      <w:r w:rsidRPr="005D213B">
        <w:t>170.</w:t>
      </w:r>
      <w:r w:rsidRPr="005D213B">
        <w:tab/>
      </w:r>
      <w:r w:rsidR="00263BCB" w:rsidRPr="005D213B">
        <w:t>The right to education in the mother tongue is guaranteed constitutional right. According to Article 48 of the Constitution, persons belonging to ethnic communities, have the right to freely express, nurture and develop their identity and ethnic characteristics by establishing cultural and art institutions, scientific, and other associations.</w:t>
      </w:r>
      <w:r w:rsidR="00A21C4B">
        <w:t xml:space="preserve"> </w:t>
      </w:r>
    </w:p>
    <w:p w14:paraId="57F90FAC" w14:textId="730A9D83" w:rsidR="00263BCB" w:rsidRPr="005D213B" w:rsidRDefault="00570685" w:rsidP="00570685">
      <w:pPr>
        <w:pStyle w:val="ParaNoG"/>
        <w:numPr>
          <w:ilvl w:val="0"/>
          <w:numId w:val="0"/>
        </w:numPr>
        <w:tabs>
          <w:tab w:val="left" w:pos="0"/>
        </w:tabs>
        <w:ind w:left="1134"/>
      </w:pPr>
      <w:r w:rsidRPr="005D213B">
        <w:t>171.</w:t>
      </w:r>
      <w:r w:rsidRPr="005D213B">
        <w:tab/>
      </w:r>
      <w:r w:rsidR="00263BCB" w:rsidRPr="005D213B">
        <w:t>Pursuant to paragraph 2 of Article 9 of the Law on Primary Education for pupils belonging to the communities who follow instruction in a language other than the Macedonian language and its Cyrillic alphabet, the educational work is carried out in the language and alphabet of the respective community, in a manner determined by this Law.</w:t>
      </w:r>
    </w:p>
    <w:p w14:paraId="08DB27DC" w14:textId="32B208DC" w:rsidR="00263BCB" w:rsidRPr="005D213B" w:rsidRDefault="00570685" w:rsidP="00570685">
      <w:pPr>
        <w:pStyle w:val="ParaNoG"/>
        <w:numPr>
          <w:ilvl w:val="0"/>
          <w:numId w:val="0"/>
        </w:numPr>
        <w:tabs>
          <w:tab w:val="left" w:pos="0"/>
        </w:tabs>
        <w:ind w:left="1134"/>
      </w:pPr>
      <w:r w:rsidRPr="005D213B">
        <w:t>172.</w:t>
      </w:r>
      <w:r w:rsidRPr="005D213B">
        <w:tab/>
      </w:r>
      <w:r w:rsidR="00263BCB" w:rsidRPr="005D213B">
        <w:t>Pursuant to Article 8 of the Law on Primary Education, children having foreign citizenship or children without citizenship, and residing in the country, have the right to primary education under equal conditions as children who are citizens of the country. Classes for them are organised in their mother tongue, on the basis of international agreements ratified in accordance with the Constitution.</w:t>
      </w:r>
    </w:p>
    <w:p w14:paraId="5A94C563" w14:textId="5D2A169A" w:rsidR="00263BCB" w:rsidRPr="005D213B" w:rsidRDefault="00570685" w:rsidP="00570685">
      <w:pPr>
        <w:pStyle w:val="ParaNoG"/>
        <w:numPr>
          <w:ilvl w:val="0"/>
          <w:numId w:val="0"/>
        </w:numPr>
        <w:tabs>
          <w:tab w:val="left" w:pos="0"/>
        </w:tabs>
        <w:ind w:left="1134"/>
      </w:pPr>
      <w:r w:rsidRPr="005D213B">
        <w:t>173.</w:t>
      </w:r>
      <w:r w:rsidRPr="005D213B">
        <w:tab/>
      </w:r>
      <w:r w:rsidR="00263BCB" w:rsidRPr="005D213B">
        <w:t>Teaching in primary education is carried out in four languages of instruction: Macedonian, Albanian, Turkish, and Serbian.</w:t>
      </w:r>
      <w:r w:rsidR="00A21C4B">
        <w:t xml:space="preserve"> </w:t>
      </w:r>
      <w:r w:rsidR="00263BCB" w:rsidRPr="005D213B">
        <w:t>Of the total of 129 approved textbooks, 97% are translated into the language in which the classes are conducted. They are published in all languages digitally on the official website of the Ministry of Education and Science. Textbooks for the study of the language and culture of the community have been approved for the pupils belonging to the ethnic communities that do not receive instruction in their native language from the third to the ninth grade.</w:t>
      </w:r>
      <w:r w:rsidR="00A21C4B">
        <w:t xml:space="preserve"> </w:t>
      </w:r>
      <w:r w:rsidR="00263BCB" w:rsidRPr="005D213B">
        <w:t>Teaching in secondary high school and secondary vocational education is carried out in three languages of instruction: Macedonian, Albanian, and Turkish. In the 2017/2018 school year, the Bosniak language was introduced in schools.</w:t>
      </w:r>
    </w:p>
    <w:p w14:paraId="18655616" w14:textId="5DBA21C9" w:rsidR="00263BCB" w:rsidRPr="005D213B" w:rsidRDefault="00263BCB" w:rsidP="00263BCB">
      <w:pPr>
        <w:pStyle w:val="H23G"/>
      </w:pPr>
      <w:r>
        <w:tab/>
      </w:r>
      <w:bookmarkStart w:id="68" w:name="_Toc56781468"/>
      <w:r w:rsidRPr="00AA2FC0">
        <w:t>(</w:t>
      </w:r>
      <w:r w:rsidR="000B7818">
        <w:t>d</w:t>
      </w:r>
      <w:r w:rsidRPr="00AA2FC0">
        <w:t>)</w:t>
      </w:r>
      <w:r>
        <w:tab/>
      </w:r>
      <w:r w:rsidRPr="005D213B">
        <w:t>Rest, play, leisure, recreation and cultural artistic activities (Article 31)</w:t>
      </w:r>
      <w:bookmarkEnd w:id="68"/>
    </w:p>
    <w:p w14:paraId="02A44BC9" w14:textId="683F3D93" w:rsidR="00263BCB" w:rsidRPr="005D213B" w:rsidRDefault="00570685" w:rsidP="00570685">
      <w:pPr>
        <w:pStyle w:val="ParaNoG"/>
        <w:numPr>
          <w:ilvl w:val="0"/>
          <w:numId w:val="0"/>
        </w:numPr>
        <w:tabs>
          <w:tab w:val="left" w:pos="0"/>
        </w:tabs>
        <w:ind w:left="1134"/>
      </w:pPr>
      <w:r w:rsidRPr="005D213B">
        <w:t>174.</w:t>
      </w:r>
      <w:r w:rsidRPr="005D213B">
        <w:tab/>
      </w:r>
      <w:r w:rsidR="00263BCB" w:rsidRPr="005D213B">
        <w:t xml:space="preserve">In accordance with its legal competences, the Ministry of Education and Science (MES) regulates the stay of children in schools. The school class lasts 40 minutes, and after the end of the lesson, the child is released from the obligation to stay in school, except in cases when he or she is involved in extracurricular activities. In accordance with the different interests of pupils, the elementary school </w:t>
      </w:r>
      <w:bookmarkStart w:id="69" w:name="OLE_LINK1"/>
      <w:bookmarkStart w:id="70" w:name="OLE_LINK2"/>
      <w:r w:rsidR="00263BCB" w:rsidRPr="005D213B">
        <w:t>organises</w:t>
      </w:r>
      <w:bookmarkEnd w:id="69"/>
      <w:bookmarkEnd w:id="70"/>
      <w:r w:rsidR="00263BCB" w:rsidRPr="005D213B">
        <w:t xml:space="preserve"> free pupil activities determined by the annual work programme of the school.</w:t>
      </w:r>
      <w:r w:rsidR="00A21C4B">
        <w:t xml:space="preserve"> </w:t>
      </w:r>
      <w:r w:rsidR="00263BCB" w:rsidRPr="005D213B">
        <w:t>For pupils who show particular success in individual subjects, competitions are organised at the municipal, regional, and national levels.</w:t>
      </w:r>
    </w:p>
    <w:p w14:paraId="73FBFD90" w14:textId="20729EB5" w:rsidR="00263BCB" w:rsidRPr="005D213B" w:rsidRDefault="00570685" w:rsidP="00570685">
      <w:pPr>
        <w:pStyle w:val="ParaNoG"/>
        <w:numPr>
          <w:ilvl w:val="0"/>
          <w:numId w:val="0"/>
        </w:numPr>
        <w:tabs>
          <w:tab w:val="left" w:pos="0"/>
        </w:tabs>
        <w:ind w:left="1134"/>
      </w:pPr>
      <w:r w:rsidRPr="005D213B">
        <w:t>175.</w:t>
      </w:r>
      <w:r w:rsidRPr="005D213B">
        <w:tab/>
      </w:r>
      <w:r w:rsidR="00263BCB" w:rsidRPr="005D213B">
        <w:t>For each school year, the MES adopts a calendar for the organisation and work of primary and secondary schools.</w:t>
      </w:r>
      <w:r w:rsidR="00A21C4B">
        <w:t xml:space="preserve"> </w:t>
      </w:r>
    </w:p>
    <w:p w14:paraId="253B6937" w14:textId="22F15C67" w:rsidR="00263BCB" w:rsidRPr="005D213B" w:rsidRDefault="00570685" w:rsidP="00570685">
      <w:pPr>
        <w:pStyle w:val="ParaNoG"/>
        <w:numPr>
          <w:ilvl w:val="0"/>
          <w:numId w:val="0"/>
        </w:numPr>
        <w:tabs>
          <w:tab w:val="left" w:pos="0"/>
        </w:tabs>
        <w:ind w:left="1134"/>
      </w:pPr>
      <w:r w:rsidRPr="005D213B">
        <w:t>176.</w:t>
      </w:r>
      <w:r w:rsidRPr="005D213B">
        <w:tab/>
      </w:r>
      <w:r w:rsidR="00263BCB" w:rsidRPr="005D213B">
        <w:t>The Law on Protection of Children</w:t>
      </w:r>
      <w:r w:rsidR="00A21C4B">
        <w:t>’</w:t>
      </w:r>
      <w:r w:rsidR="00263BCB" w:rsidRPr="005D213B">
        <w:t>s Rights provides for provisions regarding the right to rest and recreation of the child.</w:t>
      </w:r>
      <w:r w:rsidR="00A21C4B">
        <w:t xml:space="preserve"> </w:t>
      </w:r>
    </w:p>
    <w:p w14:paraId="73401CBF" w14:textId="1B90E6DB" w:rsidR="00263BCB" w:rsidRPr="005D213B" w:rsidRDefault="00263BCB" w:rsidP="00263BCB">
      <w:pPr>
        <w:pStyle w:val="H1G"/>
      </w:pPr>
      <w:r>
        <w:tab/>
      </w:r>
      <w:bookmarkStart w:id="71" w:name="_Toc56781469"/>
      <w:r>
        <w:t>9.</w:t>
      </w:r>
      <w:r>
        <w:tab/>
      </w:r>
      <w:r w:rsidRPr="005D213B">
        <w:t>Special protection measures (Article 22, 30, 32, 33, 35, 36, 37 (b)</w:t>
      </w:r>
      <w:r w:rsidR="00103651" w:rsidRPr="00103651">
        <w:t>–</w:t>
      </w:r>
      <w:r w:rsidRPr="005D213B">
        <w:t>(d), and 38</w:t>
      </w:r>
      <w:r w:rsidR="00103651">
        <w:t>–</w:t>
      </w:r>
      <w:r w:rsidRPr="005D213B">
        <w:t>40)</w:t>
      </w:r>
      <w:bookmarkEnd w:id="71"/>
      <w:r w:rsidRPr="005D213B">
        <w:t xml:space="preserve"> </w:t>
      </w:r>
    </w:p>
    <w:p w14:paraId="7D9BCD4F" w14:textId="77777777" w:rsidR="00263BCB" w:rsidRPr="005D213B" w:rsidRDefault="00263BCB" w:rsidP="00263BCB">
      <w:pPr>
        <w:pStyle w:val="H23G"/>
      </w:pPr>
      <w:r>
        <w:tab/>
      </w:r>
      <w:bookmarkStart w:id="72" w:name="_Toc56781470"/>
      <w:r>
        <w:t>(</w:t>
      </w:r>
      <w:r w:rsidRPr="005D213B">
        <w:t>a)</w:t>
      </w:r>
      <w:r>
        <w:tab/>
      </w:r>
      <w:r w:rsidRPr="005D213B">
        <w:t>Children outside their country of origin and seeking refugee status (Article 22), unaccompanied child asylum seekers, internally displaced children, migrant children and children affected by migration</w:t>
      </w:r>
      <w:bookmarkEnd w:id="72"/>
    </w:p>
    <w:p w14:paraId="5D204EB4" w14:textId="63829094" w:rsidR="00263BCB" w:rsidRPr="005D213B" w:rsidRDefault="00570685" w:rsidP="00570685">
      <w:pPr>
        <w:pStyle w:val="ParaNoG"/>
        <w:numPr>
          <w:ilvl w:val="0"/>
          <w:numId w:val="0"/>
        </w:numPr>
        <w:tabs>
          <w:tab w:val="left" w:pos="0"/>
        </w:tabs>
        <w:ind w:left="1134"/>
      </w:pPr>
      <w:r w:rsidRPr="005D213B">
        <w:t>177.</w:t>
      </w:r>
      <w:r w:rsidRPr="005D213B">
        <w:tab/>
      </w:r>
      <w:r w:rsidR="00263BCB" w:rsidRPr="005D213B">
        <w:t>Children asylum seekers who are accompanied by the family during the asylum procedure are accommodated in the only reception Centre for Asylum Seekers located in Skopje</w:t>
      </w:r>
      <w:r w:rsidR="00263BCB" w:rsidRPr="00A77557">
        <w:t>.</w:t>
      </w:r>
      <w:r w:rsidR="00263BCB">
        <w:t xml:space="preserve"> </w:t>
      </w:r>
      <w:r w:rsidR="00263BCB" w:rsidRPr="005D213B">
        <w:t xml:space="preserve">The Centre, which was opened in 2008, meets the international standards for the reception of asylum seekers in context of accommodation, access to legal assistance and </w:t>
      </w:r>
      <w:r w:rsidR="00263BCB" w:rsidRPr="005D213B">
        <w:lastRenderedPageBreak/>
        <w:t>information, as well as the implementation of educational workshops, especially for children.</w:t>
      </w:r>
      <w:r w:rsidR="00A21C4B">
        <w:t xml:space="preserve"> </w:t>
      </w:r>
      <w:r w:rsidR="00263BCB" w:rsidRPr="005D213B">
        <w:t>In practice, asylum seekers stay very briefly; therefore children do not have the opportunity to be included in the regular educational process. Social workers, psychologists, educators, counsellors, and other professional services active within the Reception Centre take care of the protection of families and children during their stay there.</w:t>
      </w:r>
    </w:p>
    <w:p w14:paraId="3B7824BC" w14:textId="7AB3EC70" w:rsidR="00263BCB" w:rsidRPr="005D213B" w:rsidRDefault="00570685" w:rsidP="00570685">
      <w:pPr>
        <w:pStyle w:val="ParaNoG"/>
        <w:numPr>
          <w:ilvl w:val="0"/>
          <w:numId w:val="0"/>
        </w:numPr>
        <w:tabs>
          <w:tab w:val="left" w:pos="0"/>
        </w:tabs>
        <w:ind w:left="1134"/>
      </w:pPr>
      <w:r w:rsidRPr="005D213B">
        <w:t>178.</w:t>
      </w:r>
      <w:r w:rsidRPr="005D213B">
        <w:tab/>
      </w:r>
      <w:r w:rsidR="00263BCB" w:rsidRPr="005D213B">
        <w:t xml:space="preserve">Measures for appointing the statutory guardian </w:t>
      </w:r>
      <w:r w:rsidR="00263BCB" w:rsidRPr="00A77557">
        <w:t>ex officio</w:t>
      </w:r>
      <w:r w:rsidR="00263BCB" w:rsidRPr="005D213B">
        <w:t xml:space="preserve"> are applied for the admission of unaccompanied children, who further leads the procedure for proper childcare.</w:t>
      </w:r>
    </w:p>
    <w:p w14:paraId="0B2615DE" w14:textId="73B826C3" w:rsidR="00263BCB" w:rsidRPr="005D213B" w:rsidRDefault="00570685" w:rsidP="00570685">
      <w:pPr>
        <w:pStyle w:val="ParaNoG"/>
        <w:numPr>
          <w:ilvl w:val="0"/>
          <w:numId w:val="0"/>
        </w:numPr>
        <w:tabs>
          <w:tab w:val="left" w:pos="0"/>
        </w:tabs>
        <w:ind w:left="1134"/>
      </w:pPr>
      <w:r w:rsidRPr="005D213B">
        <w:t>179.</w:t>
      </w:r>
      <w:r w:rsidRPr="005D213B">
        <w:tab/>
      </w:r>
      <w:r w:rsidR="00263BCB" w:rsidRPr="005D213B">
        <w:t>For the 2014</w:t>
      </w:r>
      <w:r w:rsidR="00103651">
        <w:t>–</w:t>
      </w:r>
      <w:r w:rsidR="00263BCB" w:rsidRPr="005D213B">
        <w:t>2018 period, the MLSP concluded annual agreements with the UNHCR, which, like the Memorandums of Cooperation that the Ministry concludes with a partner NGO, addressed issues in the field of reception of asylum seekers (children and vulnerable categories)</w:t>
      </w:r>
      <w:r w:rsidR="00103651">
        <w:t>.</w:t>
      </w:r>
      <w:r w:rsidR="00263BCB" w:rsidRPr="00A21C4B">
        <w:rPr>
          <w:rStyle w:val="FootnoteReference"/>
        </w:rPr>
        <w:footnoteReference w:id="43"/>
      </w:r>
      <w:r w:rsidR="00263BCB" w:rsidRPr="00A21C4B">
        <w:rPr>
          <w:rStyle w:val="FootnoteReference"/>
        </w:rPr>
        <w:t xml:space="preserve"> </w:t>
      </w:r>
      <w:r w:rsidR="00263BCB" w:rsidRPr="005D213B">
        <w:t>According to the Law on International and Temporary Protection (April 2018), the MLSP is also in charge of adopting special bylaws, rulebooks on the reception of asylum seekers, unaccompanied children and vulnerable categories of persons under international protection.</w:t>
      </w:r>
      <w:r w:rsidR="00A21C4B">
        <w:t xml:space="preserve"> </w:t>
      </w:r>
      <w:r w:rsidR="00263BCB" w:rsidRPr="005D213B">
        <w:t>At the same time, the Ministry is also working on the adoption of an inter-ministerial protocol defining the procedure and obligations related to family reunification and finding families.</w:t>
      </w:r>
    </w:p>
    <w:p w14:paraId="4F21A9C2" w14:textId="6658B22C" w:rsidR="00263BCB" w:rsidRPr="005D213B" w:rsidRDefault="00570685" w:rsidP="00570685">
      <w:pPr>
        <w:pStyle w:val="ParaNoG"/>
        <w:numPr>
          <w:ilvl w:val="0"/>
          <w:numId w:val="0"/>
        </w:numPr>
        <w:tabs>
          <w:tab w:val="left" w:pos="0"/>
        </w:tabs>
        <w:ind w:left="1134"/>
      </w:pPr>
      <w:r w:rsidRPr="005D213B">
        <w:t>180.</w:t>
      </w:r>
      <w:r w:rsidRPr="005D213B">
        <w:tab/>
      </w:r>
      <w:r w:rsidR="00263BCB" w:rsidRPr="005D213B">
        <w:t>During the last refugee crisis of 2015, the MLSP,</w:t>
      </w:r>
      <w:r w:rsidR="00263BCB">
        <w:t xml:space="preserve"> </w:t>
      </w:r>
      <w:r w:rsidR="00263BCB" w:rsidRPr="005D213B">
        <w:t>in cooperation with UNICEF, engaged field social workers, trained to profile different types of social risks, with the aim of early identification and appropriate intervention in specific cases.</w:t>
      </w:r>
      <w:r w:rsidR="00A21C4B">
        <w:t xml:space="preserve"> </w:t>
      </w:r>
      <w:r w:rsidR="00263BCB" w:rsidRPr="005D213B">
        <w:t>In this context, the MLSP was part of the working group for drafting and adoption of the two documents: SOP for dealing with unaccompanied minors and SOP for dealing with vulnerable categories of refugees (with the MoI as implementing institution thereof)</w:t>
      </w:r>
      <w:r w:rsidR="00263BCB" w:rsidRPr="00A77557">
        <w:t>.</w:t>
      </w:r>
    </w:p>
    <w:p w14:paraId="597A5596" w14:textId="41D36865" w:rsidR="00263BCB" w:rsidRPr="005D213B" w:rsidRDefault="00570685" w:rsidP="00570685">
      <w:pPr>
        <w:pStyle w:val="ParaNoG"/>
        <w:numPr>
          <w:ilvl w:val="0"/>
          <w:numId w:val="0"/>
        </w:numPr>
        <w:tabs>
          <w:tab w:val="left" w:pos="0"/>
        </w:tabs>
        <w:ind w:left="1134"/>
      </w:pPr>
      <w:r w:rsidRPr="005D213B">
        <w:t>181.</w:t>
      </w:r>
      <w:r w:rsidRPr="005D213B">
        <w:tab/>
      </w:r>
      <w:r w:rsidR="00263BCB" w:rsidRPr="005D213B">
        <w:t>In 2009, a Centre for Integration of Refugees and Foreigners was established in order to develop individual plans for integration and monitoring the activities envisaged for them.</w:t>
      </w:r>
      <w:r w:rsidR="00A21C4B">
        <w:t xml:space="preserve"> </w:t>
      </w:r>
      <w:r w:rsidR="00263BCB" w:rsidRPr="005D213B">
        <w:t>There remains an obligation to develop special mechanisms for the detection of children involved in armed conflict and appropriate training of staff who would work with this category of children.</w:t>
      </w:r>
    </w:p>
    <w:p w14:paraId="45323ABA" w14:textId="2B9D04F1" w:rsidR="00263BCB" w:rsidRPr="005D213B" w:rsidRDefault="00570685" w:rsidP="00570685">
      <w:pPr>
        <w:pStyle w:val="ParaNoG"/>
        <w:numPr>
          <w:ilvl w:val="0"/>
          <w:numId w:val="0"/>
        </w:numPr>
        <w:tabs>
          <w:tab w:val="left" w:pos="0"/>
        </w:tabs>
        <w:ind w:left="1134"/>
      </w:pPr>
      <w:r w:rsidRPr="005D213B">
        <w:t>182.</w:t>
      </w:r>
      <w:r w:rsidRPr="005D213B">
        <w:tab/>
      </w:r>
      <w:r w:rsidR="00263BCB" w:rsidRPr="005D213B">
        <w:t xml:space="preserve">According to statistical data, the number of internally displaced children by years is as follows: in 2014, 46 children; in 2015, 60 children; in 2016, 54 children; in 2017, 47 children; and in 2018, 44 children. </w:t>
      </w:r>
    </w:p>
    <w:p w14:paraId="3303C63E" w14:textId="3971C010" w:rsidR="00263BCB" w:rsidRPr="00A21C4B" w:rsidRDefault="00263BCB" w:rsidP="00263BCB">
      <w:pPr>
        <w:pStyle w:val="H23G"/>
        <w:rPr>
          <w:rStyle w:val="FootnoteReference"/>
        </w:rPr>
      </w:pPr>
      <w:r>
        <w:tab/>
      </w:r>
      <w:r>
        <w:tab/>
      </w:r>
      <w:bookmarkStart w:id="73" w:name="_Toc56781471"/>
      <w:r w:rsidRPr="005D213B">
        <w:t>Data on children asylum seekers, 2014</w:t>
      </w:r>
      <w:r w:rsidR="00103651">
        <w:t>–</w:t>
      </w:r>
      <w:r w:rsidRPr="005D213B">
        <w:t>June 2018</w:t>
      </w:r>
      <w:r w:rsidRPr="00FD31A2">
        <w:rPr>
          <w:rStyle w:val="FootnoteReference"/>
          <w:b w:val="0"/>
          <w:bCs/>
        </w:rPr>
        <w:footnoteReference w:id="44"/>
      </w:r>
      <w:bookmarkEnd w:id="73"/>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185"/>
        <w:gridCol w:w="2527"/>
        <w:gridCol w:w="2658"/>
      </w:tblGrid>
      <w:tr w:rsidR="00263BCB" w:rsidRPr="00103651" w14:paraId="7D8A91F5" w14:textId="77777777" w:rsidTr="00103651">
        <w:trPr>
          <w:tblHeader/>
        </w:trPr>
        <w:tc>
          <w:tcPr>
            <w:tcW w:w="2854" w:type="dxa"/>
            <w:tcBorders>
              <w:top w:val="single" w:sz="4" w:space="0" w:color="auto"/>
              <w:bottom w:val="single" w:sz="12" w:space="0" w:color="auto"/>
            </w:tcBorders>
            <w:shd w:val="clear" w:color="auto" w:fill="auto"/>
            <w:noWrap/>
            <w:vAlign w:val="bottom"/>
          </w:tcPr>
          <w:p w14:paraId="32D8F5BE" w14:textId="77777777" w:rsidR="00263BCB" w:rsidRPr="00103651" w:rsidRDefault="00263BCB" w:rsidP="00103651">
            <w:pPr>
              <w:pStyle w:val="SingleTxtG"/>
              <w:spacing w:before="80" w:after="80" w:line="200" w:lineRule="exact"/>
              <w:ind w:left="0" w:right="113"/>
              <w:jc w:val="left"/>
              <w:rPr>
                <w:i/>
                <w:sz w:val="16"/>
              </w:rPr>
            </w:pPr>
            <w:r w:rsidRPr="00103651">
              <w:rPr>
                <w:i/>
                <w:sz w:val="16"/>
              </w:rPr>
              <w:t>Year</w:t>
            </w:r>
          </w:p>
        </w:tc>
        <w:tc>
          <w:tcPr>
            <w:tcW w:w="3301" w:type="dxa"/>
            <w:tcBorders>
              <w:top w:val="single" w:sz="4" w:space="0" w:color="auto"/>
              <w:bottom w:val="single" w:sz="12" w:space="0" w:color="auto"/>
            </w:tcBorders>
            <w:shd w:val="clear" w:color="auto" w:fill="auto"/>
            <w:noWrap/>
            <w:vAlign w:val="bottom"/>
          </w:tcPr>
          <w:p w14:paraId="48583CDC" w14:textId="565D62E7" w:rsidR="00263BCB" w:rsidRPr="00103651" w:rsidRDefault="00263BCB" w:rsidP="00103651">
            <w:pPr>
              <w:pStyle w:val="SingleTxtG"/>
              <w:spacing w:before="80" w:after="80" w:line="200" w:lineRule="exact"/>
              <w:ind w:left="0" w:right="113"/>
              <w:jc w:val="right"/>
              <w:rPr>
                <w:i/>
                <w:sz w:val="16"/>
              </w:rPr>
            </w:pPr>
            <w:r w:rsidRPr="00103651">
              <w:rPr>
                <w:i/>
                <w:sz w:val="16"/>
              </w:rPr>
              <w:t>Accompanied minors</w:t>
            </w:r>
          </w:p>
        </w:tc>
        <w:tc>
          <w:tcPr>
            <w:tcW w:w="3473" w:type="dxa"/>
            <w:tcBorders>
              <w:top w:val="single" w:sz="4" w:space="0" w:color="auto"/>
              <w:bottom w:val="single" w:sz="12" w:space="0" w:color="auto"/>
            </w:tcBorders>
            <w:shd w:val="clear" w:color="auto" w:fill="auto"/>
            <w:noWrap/>
            <w:vAlign w:val="bottom"/>
          </w:tcPr>
          <w:p w14:paraId="7C239EA8" w14:textId="57A81893" w:rsidR="00263BCB" w:rsidRPr="00103651" w:rsidRDefault="00263BCB" w:rsidP="00103651">
            <w:pPr>
              <w:pStyle w:val="SingleTxtG"/>
              <w:spacing w:before="80" w:after="80" w:line="200" w:lineRule="exact"/>
              <w:ind w:left="0" w:right="113"/>
              <w:jc w:val="right"/>
              <w:rPr>
                <w:i/>
                <w:sz w:val="16"/>
              </w:rPr>
            </w:pPr>
            <w:r w:rsidRPr="00103651">
              <w:rPr>
                <w:i/>
                <w:sz w:val="16"/>
              </w:rPr>
              <w:t>Unaccompanied minors</w:t>
            </w:r>
          </w:p>
        </w:tc>
      </w:tr>
      <w:tr w:rsidR="00263BCB" w:rsidRPr="00103651" w14:paraId="096463B6" w14:textId="77777777" w:rsidTr="00103651">
        <w:tc>
          <w:tcPr>
            <w:tcW w:w="2854" w:type="dxa"/>
            <w:tcBorders>
              <w:top w:val="single" w:sz="12" w:space="0" w:color="auto"/>
            </w:tcBorders>
            <w:shd w:val="clear" w:color="auto" w:fill="auto"/>
            <w:noWrap/>
          </w:tcPr>
          <w:p w14:paraId="480E58D1" w14:textId="77777777" w:rsidR="00263BCB" w:rsidRPr="00103651" w:rsidRDefault="00263BCB" w:rsidP="00103651">
            <w:pPr>
              <w:pStyle w:val="SingleTxtG"/>
              <w:spacing w:before="40" w:after="40" w:line="220" w:lineRule="exact"/>
              <w:ind w:left="0" w:right="113"/>
              <w:jc w:val="left"/>
              <w:rPr>
                <w:sz w:val="18"/>
              </w:rPr>
            </w:pPr>
            <w:r w:rsidRPr="00103651">
              <w:rPr>
                <w:sz w:val="18"/>
              </w:rPr>
              <w:t>2014</w:t>
            </w:r>
          </w:p>
        </w:tc>
        <w:tc>
          <w:tcPr>
            <w:tcW w:w="3301" w:type="dxa"/>
            <w:tcBorders>
              <w:top w:val="single" w:sz="12" w:space="0" w:color="auto"/>
            </w:tcBorders>
            <w:shd w:val="clear" w:color="auto" w:fill="auto"/>
            <w:noWrap/>
            <w:vAlign w:val="bottom"/>
          </w:tcPr>
          <w:p w14:paraId="69722AA8" w14:textId="7ACC3B3C" w:rsidR="00263BCB" w:rsidRPr="00103651" w:rsidRDefault="00263BCB" w:rsidP="00103651">
            <w:pPr>
              <w:pStyle w:val="SingleTxtG"/>
              <w:spacing w:before="40" w:after="40" w:line="220" w:lineRule="exact"/>
              <w:ind w:left="0" w:right="113"/>
              <w:jc w:val="right"/>
              <w:rPr>
                <w:sz w:val="18"/>
              </w:rPr>
            </w:pPr>
            <w:r w:rsidRPr="00103651">
              <w:rPr>
                <w:sz w:val="18"/>
              </w:rPr>
              <w:t>114</w:t>
            </w:r>
          </w:p>
        </w:tc>
        <w:tc>
          <w:tcPr>
            <w:tcW w:w="3473" w:type="dxa"/>
            <w:tcBorders>
              <w:top w:val="single" w:sz="12" w:space="0" w:color="auto"/>
            </w:tcBorders>
            <w:shd w:val="clear" w:color="auto" w:fill="auto"/>
            <w:noWrap/>
            <w:vAlign w:val="bottom"/>
          </w:tcPr>
          <w:p w14:paraId="5BDB5BFA" w14:textId="51A341C6" w:rsidR="00263BCB" w:rsidRPr="00103651" w:rsidRDefault="00263BCB" w:rsidP="00103651">
            <w:pPr>
              <w:pStyle w:val="SingleTxtG"/>
              <w:spacing w:before="40" w:after="40" w:line="220" w:lineRule="exact"/>
              <w:ind w:left="0" w:right="113"/>
              <w:jc w:val="right"/>
              <w:rPr>
                <w:sz w:val="18"/>
              </w:rPr>
            </w:pPr>
            <w:r w:rsidRPr="00103651">
              <w:rPr>
                <w:sz w:val="18"/>
              </w:rPr>
              <w:t>99 persons</w:t>
            </w:r>
          </w:p>
        </w:tc>
      </w:tr>
      <w:tr w:rsidR="00263BCB" w:rsidRPr="00103651" w14:paraId="3553B478" w14:textId="77777777" w:rsidTr="00103651">
        <w:tc>
          <w:tcPr>
            <w:tcW w:w="2854" w:type="dxa"/>
            <w:shd w:val="clear" w:color="auto" w:fill="auto"/>
            <w:noWrap/>
          </w:tcPr>
          <w:p w14:paraId="6B51E115" w14:textId="77777777" w:rsidR="00263BCB" w:rsidRPr="00103651" w:rsidRDefault="00263BCB" w:rsidP="00103651">
            <w:pPr>
              <w:pStyle w:val="SingleTxtG"/>
              <w:spacing w:before="40" w:after="40" w:line="220" w:lineRule="exact"/>
              <w:ind w:left="0" w:right="113"/>
              <w:jc w:val="left"/>
              <w:rPr>
                <w:sz w:val="18"/>
              </w:rPr>
            </w:pPr>
            <w:r w:rsidRPr="00103651">
              <w:rPr>
                <w:sz w:val="18"/>
              </w:rPr>
              <w:t>2015</w:t>
            </w:r>
          </w:p>
        </w:tc>
        <w:tc>
          <w:tcPr>
            <w:tcW w:w="3301" w:type="dxa"/>
            <w:shd w:val="clear" w:color="auto" w:fill="auto"/>
            <w:noWrap/>
            <w:vAlign w:val="bottom"/>
          </w:tcPr>
          <w:p w14:paraId="3F34C3A9" w14:textId="6C7C6219" w:rsidR="00263BCB" w:rsidRPr="00103651" w:rsidRDefault="00263BCB" w:rsidP="00103651">
            <w:pPr>
              <w:pStyle w:val="SingleTxtG"/>
              <w:spacing w:before="40" w:after="40" w:line="220" w:lineRule="exact"/>
              <w:ind w:left="0" w:right="113"/>
              <w:jc w:val="right"/>
              <w:rPr>
                <w:sz w:val="18"/>
              </w:rPr>
            </w:pPr>
            <w:r w:rsidRPr="00103651">
              <w:rPr>
                <w:sz w:val="18"/>
              </w:rPr>
              <w:t>308</w:t>
            </w:r>
          </w:p>
        </w:tc>
        <w:tc>
          <w:tcPr>
            <w:tcW w:w="3473" w:type="dxa"/>
            <w:shd w:val="clear" w:color="auto" w:fill="auto"/>
            <w:noWrap/>
            <w:vAlign w:val="bottom"/>
          </w:tcPr>
          <w:p w14:paraId="66430CEC" w14:textId="7F1F2AC8" w:rsidR="00263BCB" w:rsidRPr="00103651" w:rsidRDefault="00263BCB" w:rsidP="00103651">
            <w:pPr>
              <w:pStyle w:val="SingleTxtG"/>
              <w:spacing w:before="40" w:after="40" w:line="220" w:lineRule="exact"/>
              <w:ind w:left="0" w:right="113"/>
              <w:jc w:val="right"/>
              <w:rPr>
                <w:sz w:val="18"/>
              </w:rPr>
            </w:pPr>
            <w:r w:rsidRPr="00103651">
              <w:rPr>
                <w:sz w:val="18"/>
              </w:rPr>
              <w:t>116 persons</w:t>
            </w:r>
          </w:p>
        </w:tc>
      </w:tr>
      <w:tr w:rsidR="00263BCB" w:rsidRPr="00103651" w14:paraId="2BA141C6" w14:textId="77777777" w:rsidTr="00103651">
        <w:tc>
          <w:tcPr>
            <w:tcW w:w="2854" w:type="dxa"/>
            <w:shd w:val="clear" w:color="auto" w:fill="auto"/>
            <w:noWrap/>
          </w:tcPr>
          <w:p w14:paraId="673F274C" w14:textId="77777777" w:rsidR="00263BCB" w:rsidRPr="00103651" w:rsidRDefault="00263BCB" w:rsidP="00103651">
            <w:pPr>
              <w:pStyle w:val="SingleTxtG"/>
              <w:spacing w:before="40" w:after="40" w:line="220" w:lineRule="exact"/>
              <w:ind w:left="0" w:right="113"/>
              <w:jc w:val="left"/>
              <w:rPr>
                <w:sz w:val="18"/>
              </w:rPr>
            </w:pPr>
            <w:r w:rsidRPr="00103651">
              <w:rPr>
                <w:sz w:val="18"/>
              </w:rPr>
              <w:t>2016</w:t>
            </w:r>
          </w:p>
        </w:tc>
        <w:tc>
          <w:tcPr>
            <w:tcW w:w="3301" w:type="dxa"/>
            <w:shd w:val="clear" w:color="auto" w:fill="auto"/>
            <w:noWrap/>
            <w:vAlign w:val="bottom"/>
          </w:tcPr>
          <w:p w14:paraId="7CD3884A" w14:textId="08096B34" w:rsidR="00263BCB" w:rsidRPr="00103651" w:rsidRDefault="00263BCB" w:rsidP="00103651">
            <w:pPr>
              <w:pStyle w:val="SingleTxtG"/>
              <w:spacing w:before="40" w:after="40" w:line="220" w:lineRule="exact"/>
              <w:ind w:left="0" w:right="113"/>
              <w:jc w:val="right"/>
              <w:rPr>
                <w:sz w:val="18"/>
              </w:rPr>
            </w:pPr>
            <w:r w:rsidRPr="00103651">
              <w:rPr>
                <w:sz w:val="18"/>
              </w:rPr>
              <w:t>157</w:t>
            </w:r>
          </w:p>
        </w:tc>
        <w:tc>
          <w:tcPr>
            <w:tcW w:w="3473" w:type="dxa"/>
            <w:shd w:val="clear" w:color="auto" w:fill="auto"/>
            <w:noWrap/>
            <w:vAlign w:val="bottom"/>
          </w:tcPr>
          <w:p w14:paraId="5A207E7C" w14:textId="69B94366" w:rsidR="00263BCB" w:rsidRPr="00103651" w:rsidRDefault="00263BCB" w:rsidP="00103651">
            <w:pPr>
              <w:pStyle w:val="SingleTxtG"/>
              <w:spacing w:before="40" w:after="40" w:line="220" w:lineRule="exact"/>
              <w:ind w:left="0" w:right="113"/>
              <w:jc w:val="right"/>
              <w:rPr>
                <w:sz w:val="18"/>
              </w:rPr>
            </w:pPr>
            <w:r w:rsidRPr="00103651">
              <w:rPr>
                <w:sz w:val="18"/>
              </w:rPr>
              <w:t>36 persons</w:t>
            </w:r>
          </w:p>
        </w:tc>
      </w:tr>
      <w:tr w:rsidR="00263BCB" w:rsidRPr="00103651" w14:paraId="6528847D" w14:textId="77777777" w:rsidTr="00103651">
        <w:tc>
          <w:tcPr>
            <w:tcW w:w="2854" w:type="dxa"/>
            <w:shd w:val="clear" w:color="auto" w:fill="auto"/>
            <w:noWrap/>
          </w:tcPr>
          <w:p w14:paraId="646523E4" w14:textId="77777777" w:rsidR="00263BCB" w:rsidRPr="00103651" w:rsidRDefault="00263BCB" w:rsidP="00103651">
            <w:pPr>
              <w:pStyle w:val="SingleTxtG"/>
              <w:spacing w:before="40" w:after="40" w:line="220" w:lineRule="exact"/>
              <w:ind w:left="0" w:right="113"/>
              <w:jc w:val="left"/>
              <w:rPr>
                <w:sz w:val="18"/>
              </w:rPr>
            </w:pPr>
            <w:r w:rsidRPr="00103651">
              <w:rPr>
                <w:sz w:val="18"/>
              </w:rPr>
              <w:t>2017</w:t>
            </w:r>
          </w:p>
        </w:tc>
        <w:tc>
          <w:tcPr>
            <w:tcW w:w="3301" w:type="dxa"/>
            <w:shd w:val="clear" w:color="auto" w:fill="auto"/>
            <w:noWrap/>
            <w:vAlign w:val="bottom"/>
          </w:tcPr>
          <w:p w14:paraId="171ECF4D" w14:textId="6C626DD9" w:rsidR="00263BCB" w:rsidRPr="00103651" w:rsidRDefault="00263BCB" w:rsidP="00103651">
            <w:pPr>
              <w:pStyle w:val="SingleTxtG"/>
              <w:spacing w:before="40" w:after="40" w:line="220" w:lineRule="exact"/>
              <w:ind w:left="0" w:right="113"/>
              <w:jc w:val="right"/>
              <w:rPr>
                <w:sz w:val="18"/>
              </w:rPr>
            </w:pPr>
            <w:r w:rsidRPr="00103651">
              <w:rPr>
                <w:sz w:val="18"/>
              </w:rPr>
              <w:t>15</w:t>
            </w:r>
          </w:p>
        </w:tc>
        <w:tc>
          <w:tcPr>
            <w:tcW w:w="3473" w:type="dxa"/>
            <w:shd w:val="clear" w:color="auto" w:fill="auto"/>
            <w:noWrap/>
            <w:vAlign w:val="bottom"/>
          </w:tcPr>
          <w:p w14:paraId="14037EEA" w14:textId="035B8CEE" w:rsidR="00263BCB" w:rsidRPr="00103651" w:rsidRDefault="00263BCB" w:rsidP="00103651">
            <w:pPr>
              <w:pStyle w:val="SingleTxtG"/>
              <w:spacing w:before="40" w:after="40" w:line="220" w:lineRule="exact"/>
              <w:ind w:left="0" w:right="113"/>
              <w:jc w:val="right"/>
              <w:rPr>
                <w:sz w:val="18"/>
              </w:rPr>
            </w:pPr>
            <w:r w:rsidRPr="00103651">
              <w:rPr>
                <w:sz w:val="18"/>
              </w:rPr>
              <w:t>13 persons</w:t>
            </w:r>
          </w:p>
        </w:tc>
      </w:tr>
      <w:tr w:rsidR="00263BCB" w:rsidRPr="00103651" w14:paraId="2161F46A" w14:textId="77777777" w:rsidTr="00103651">
        <w:tc>
          <w:tcPr>
            <w:tcW w:w="2854" w:type="dxa"/>
            <w:shd w:val="clear" w:color="auto" w:fill="auto"/>
            <w:noWrap/>
          </w:tcPr>
          <w:p w14:paraId="5E6F9310" w14:textId="4B861221" w:rsidR="00263BCB" w:rsidRPr="00103651" w:rsidRDefault="00263BCB" w:rsidP="00103651">
            <w:pPr>
              <w:pStyle w:val="SingleTxtG"/>
              <w:spacing w:before="40" w:after="40" w:line="220" w:lineRule="exact"/>
              <w:ind w:left="0" w:right="113"/>
              <w:jc w:val="left"/>
              <w:rPr>
                <w:sz w:val="18"/>
              </w:rPr>
            </w:pPr>
            <w:r w:rsidRPr="00103651">
              <w:rPr>
                <w:sz w:val="18"/>
              </w:rPr>
              <w:t>January</w:t>
            </w:r>
            <w:r w:rsidR="00103651">
              <w:t>–</w:t>
            </w:r>
            <w:r w:rsidRPr="00103651">
              <w:rPr>
                <w:sz w:val="18"/>
              </w:rPr>
              <w:t>June 2018</w:t>
            </w:r>
          </w:p>
        </w:tc>
        <w:tc>
          <w:tcPr>
            <w:tcW w:w="3301" w:type="dxa"/>
            <w:shd w:val="clear" w:color="auto" w:fill="auto"/>
            <w:noWrap/>
            <w:vAlign w:val="bottom"/>
          </w:tcPr>
          <w:p w14:paraId="7969BCFA" w14:textId="171D145F" w:rsidR="00263BCB" w:rsidRPr="00103651" w:rsidRDefault="00263BCB" w:rsidP="00103651">
            <w:pPr>
              <w:pStyle w:val="SingleTxtG"/>
              <w:spacing w:before="40" w:after="40" w:line="220" w:lineRule="exact"/>
              <w:ind w:left="0" w:right="113"/>
              <w:jc w:val="right"/>
              <w:rPr>
                <w:sz w:val="18"/>
              </w:rPr>
            </w:pPr>
            <w:r w:rsidRPr="00103651">
              <w:rPr>
                <w:sz w:val="18"/>
              </w:rPr>
              <w:t>27</w:t>
            </w:r>
          </w:p>
        </w:tc>
        <w:tc>
          <w:tcPr>
            <w:tcW w:w="3473" w:type="dxa"/>
            <w:shd w:val="clear" w:color="auto" w:fill="auto"/>
            <w:noWrap/>
            <w:vAlign w:val="bottom"/>
          </w:tcPr>
          <w:p w14:paraId="6883BFCC" w14:textId="6A3A3703" w:rsidR="00263BCB" w:rsidRPr="00103651" w:rsidRDefault="00263BCB" w:rsidP="00103651">
            <w:pPr>
              <w:pStyle w:val="SingleTxtG"/>
              <w:spacing w:before="40" w:after="40" w:line="220" w:lineRule="exact"/>
              <w:ind w:left="0" w:right="113"/>
              <w:jc w:val="right"/>
              <w:rPr>
                <w:sz w:val="18"/>
              </w:rPr>
            </w:pPr>
            <w:r w:rsidRPr="00103651">
              <w:rPr>
                <w:sz w:val="18"/>
              </w:rPr>
              <w:t>5 persons</w:t>
            </w:r>
          </w:p>
        </w:tc>
      </w:tr>
    </w:tbl>
    <w:p w14:paraId="45EA5149" w14:textId="762CB15C" w:rsidR="00263BCB" w:rsidRPr="005D213B" w:rsidRDefault="00570685" w:rsidP="00570685">
      <w:pPr>
        <w:pStyle w:val="ParaNoG"/>
        <w:numPr>
          <w:ilvl w:val="0"/>
          <w:numId w:val="0"/>
        </w:numPr>
        <w:tabs>
          <w:tab w:val="left" w:pos="0"/>
        </w:tabs>
        <w:spacing w:before="240"/>
        <w:ind w:left="1134"/>
      </w:pPr>
      <w:r w:rsidRPr="005D213B">
        <w:t>183.</w:t>
      </w:r>
      <w:r w:rsidRPr="005D213B">
        <w:tab/>
      </w:r>
      <w:r w:rsidR="00263BCB" w:rsidRPr="005D213B">
        <w:t>The top three countries of origin according to statistical data on admission of child seeking asylum are Syria, Afghanistan, and Iraq.</w:t>
      </w:r>
    </w:p>
    <w:p w14:paraId="493D4200" w14:textId="7D6C4E4B" w:rsidR="00263BCB" w:rsidRPr="005D213B" w:rsidRDefault="00570685" w:rsidP="00570685">
      <w:pPr>
        <w:pStyle w:val="ParaNoG"/>
        <w:numPr>
          <w:ilvl w:val="0"/>
          <w:numId w:val="0"/>
        </w:numPr>
        <w:tabs>
          <w:tab w:val="left" w:pos="0"/>
        </w:tabs>
        <w:ind w:left="1134"/>
      </w:pPr>
      <w:bookmarkStart w:id="74" w:name="_Hlk518297599"/>
      <w:r w:rsidRPr="005D213B">
        <w:t>184.</w:t>
      </w:r>
      <w:r w:rsidRPr="005D213B">
        <w:tab/>
      </w:r>
      <w:r w:rsidR="00263BCB" w:rsidRPr="005D213B">
        <w:t xml:space="preserve">Number of children with subsidiary protection status and children with recognised refugee status in 2018 is 83 children, of which eight are children with recognised refugee status, 75 with the status of a person under subsidiary protection. </w:t>
      </w:r>
      <w:bookmarkEnd w:id="74"/>
    </w:p>
    <w:p w14:paraId="4E19C3BB" w14:textId="023319AA" w:rsidR="00263BCB" w:rsidRPr="00A77557" w:rsidRDefault="00570685" w:rsidP="00570685">
      <w:pPr>
        <w:pStyle w:val="ParaNoG"/>
        <w:numPr>
          <w:ilvl w:val="0"/>
          <w:numId w:val="0"/>
        </w:numPr>
        <w:tabs>
          <w:tab w:val="left" w:pos="0"/>
        </w:tabs>
        <w:ind w:left="1134"/>
      </w:pPr>
      <w:r w:rsidRPr="00A77557">
        <w:t>185.</w:t>
      </w:r>
      <w:r w:rsidRPr="00A77557">
        <w:tab/>
      </w:r>
      <w:r w:rsidR="00263BCB" w:rsidRPr="005D213B">
        <w:t>Of the total number of children with recognised asylum, 16 are preschool children, 35 are in primary education, and 15 in secondary education.</w:t>
      </w:r>
      <w:r w:rsidR="00A21C4B">
        <w:t xml:space="preserve"> </w:t>
      </w:r>
      <w:r w:rsidR="00263BCB" w:rsidRPr="005D213B">
        <w:t>71 children or 85% are covered by state healthcare insurance.</w:t>
      </w:r>
    </w:p>
    <w:p w14:paraId="4D76AC95" w14:textId="00817A07" w:rsidR="00263BCB" w:rsidRPr="005D213B" w:rsidRDefault="00570685" w:rsidP="00570685">
      <w:pPr>
        <w:pStyle w:val="ParaNoG"/>
        <w:numPr>
          <w:ilvl w:val="0"/>
          <w:numId w:val="0"/>
        </w:numPr>
        <w:tabs>
          <w:tab w:val="left" w:pos="0"/>
        </w:tabs>
        <w:ind w:left="1134"/>
      </w:pPr>
      <w:r w:rsidRPr="005D213B">
        <w:t>186.</w:t>
      </w:r>
      <w:r w:rsidRPr="005D213B">
        <w:tab/>
      </w:r>
      <w:r w:rsidR="00263BCB" w:rsidRPr="005D213B">
        <w:t xml:space="preserve">Children asylum seekers have a legally guaranteed right to access to education, but due to their short stay in the country they are not enrolled in regular education. All child </w:t>
      </w:r>
      <w:r w:rsidR="00263BCB" w:rsidRPr="005D213B">
        <w:lastRenderedPageBreak/>
        <w:t>asylum seekers have access to health care services provided through the Reception Centre for Asylum Seekers.</w:t>
      </w:r>
    </w:p>
    <w:p w14:paraId="5CC7AD30" w14:textId="48C674F3" w:rsidR="00263BCB" w:rsidRPr="005D213B" w:rsidRDefault="00570685" w:rsidP="00570685">
      <w:pPr>
        <w:pStyle w:val="ParaNoG"/>
        <w:numPr>
          <w:ilvl w:val="0"/>
          <w:numId w:val="0"/>
        </w:numPr>
        <w:tabs>
          <w:tab w:val="left" w:pos="0"/>
        </w:tabs>
        <w:ind w:left="1134"/>
      </w:pPr>
      <w:r w:rsidRPr="005D213B">
        <w:t>187.</w:t>
      </w:r>
      <w:r w:rsidRPr="005D213B">
        <w:tab/>
      </w:r>
      <w:r w:rsidR="00263BCB" w:rsidRPr="005D213B">
        <w:t>Children as Macedonian citizens who are still displaced persons have full access to education and health care.</w:t>
      </w:r>
    </w:p>
    <w:p w14:paraId="734BFB34" w14:textId="322822A9" w:rsidR="00263BCB" w:rsidRPr="00A77557" w:rsidRDefault="00570685" w:rsidP="00570685">
      <w:pPr>
        <w:pStyle w:val="ParaNoG"/>
        <w:numPr>
          <w:ilvl w:val="0"/>
          <w:numId w:val="0"/>
        </w:numPr>
        <w:tabs>
          <w:tab w:val="left" w:pos="0"/>
        </w:tabs>
        <w:ind w:left="1134"/>
      </w:pPr>
      <w:r w:rsidRPr="00A77557">
        <w:t>188.</w:t>
      </w:r>
      <w:r w:rsidRPr="00A77557">
        <w:tab/>
      </w:r>
      <w:r w:rsidR="00263BCB" w:rsidRPr="005D213B">
        <w:t>Given</w:t>
      </w:r>
      <w:r w:rsidR="00263BCB" w:rsidRPr="00A77557">
        <w:t xml:space="preserve"> </w:t>
      </w:r>
      <w:r w:rsidR="00263BCB" w:rsidRPr="005D213B">
        <w:t>the fact that the Reception Centre for Asylum Seekers is an open-type institution, in most cases, asylum seekers are reluctant to wait to receive the decisions on the submitted asylum request because of their desire to leave the country as soon as possible.</w:t>
      </w:r>
      <w:r w:rsidR="00A21C4B">
        <w:t xml:space="preserve"> </w:t>
      </w:r>
      <w:r w:rsidR="00263BCB" w:rsidRPr="005D213B">
        <w:t>Hence, they are considered as asylum seekers whose asylum seeking procedure, initiated upon their request, has been interrupted due to non-appearance before the competent institutions for the scheduled interview.</w:t>
      </w:r>
    </w:p>
    <w:p w14:paraId="44F0E1E4" w14:textId="77777777" w:rsidR="00263BCB" w:rsidRPr="005D213B" w:rsidRDefault="00263BCB" w:rsidP="00263BCB">
      <w:pPr>
        <w:pStyle w:val="H23G"/>
      </w:pPr>
      <w:r>
        <w:tab/>
      </w:r>
      <w:bookmarkStart w:id="75" w:name="_Toc56781472"/>
      <w:r>
        <w:t>(b)</w:t>
      </w:r>
      <w:r>
        <w:tab/>
      </w:r>
      <w:r w:rsidRPr="005D213B">
        <w:t>Children belonging to minorities or of indigenous origin (Article 30)</w:t>
      </w:r>
      <w:bookmarkEnd w:id="75"/>
    </w:p>
    <w:p w14:paraId="6816C629" w14:textId="366DECF4" w:rsidR="00263BCB" w:rsidRPr="005D213B" w:rsidRDefault="00570685" w:rsidP="00570685">
      <w:pPr>
        <w:pStyle w:val="ParaNoG"/>
        <w:numPr>
          <w:ilvl w:val="0"/>
          <w:numId w:val="0"/>
        </w:numPr>
        <w:tabs>
          <w:tab w:val="left" w:pos="0"/>
        </w:tabs>
        <w:ind w:left="1134"/>
      </w:pPr>
      <w:r w:rsidRPr="005D213B">
        <w:t>189.</w:t>
      </w:r>
      <w:r w:rsidRPr="005D213B">
        <w:tab/>
      </w:r>
      <w:r w:rsidR="00263BCB" w:rsidRPr="005D213B">
        <w:t>Regarding the improvement of the social inclusion of the Roma, the implementation of many activities in accordance with the Strategy for the Roma 2014</w:t>
      </w:r>
      <w:r w:rsidR="00D14E25">
        <w:t>–</w:t>
      </w:r>
      <w:r w:rsidR="00263BCB" w:rsidRPr="005D213B">
        <w:t>2020 continues. The MLSP in cooperation with the Roma Education Fund has been implementing the project</w:t>
      </w:r>
      <w:r w:rsidR="00A21C4B">
        <w:t xml:space="preserve"> “</w:t>
      </w:r>
      <w:r w:rsidR="00263BCB" w:rsidRPr="005D213B">
        <w:t xml:space="preserve">Inclusion of Roma Children in Public Municipal Institutions </w:t>
      </w:r>
      <w:r w:rsidR="002E6112">
        <w:t>–</w:t>
      </w:r>
      <w:r w:rsidR="00263BCB" w:rsidRPr="005D213B">
        <w:t xml:space="preserve"> Kindergartens</w:t>
      </w:r>
      <w:r w:rsidR="002E6112">
        <w:t>”</w:t>
      </w:r>
      <w:r w:rsidR="00AE332F">
        <w:t xml:space="preserve"> </w:t>
      </w:r>
      <w:r w:rsidR="00263BCB" w:rsidRPr="005D213B">
        <w:t>for 11 years in a row.</w:t>
      </w:r>
      <w:r w:rsidR="00A21C4B">
        <w:t xml:space="preserve"> </w:t>
      </w:r>
      <w:r w:rsidR="00263BCB" w:rsidRPr="005D213B">
        <w:t>The total number of enrolled children in all kindergartens in the 2017</w:t>
      </w:r>
      <w:r w:rsidR="00103651">
        <w:t>–</w:t>
      </w:r>
      <w:r w:rsidR="00263BCB" w:rsidRPr="005D213B">
        <w:t>2018 school year is 34,521, out of which 718 or 2.07% are Roma children. The average attendance of children in the kindergarten is about 65%. According to the project statistical data, the dropout rate of children from the kindergarten is 3.45%; in this context, there is a higher dropout rate of boys (3.32%) when compared to girls (2.69%).</w:t>
      </w:r>
    </w:p>
    <w:p w14:paraId="4CBD0708" w14:textId="2C64E9E6" w:rsidR="00263BCB" w:rsidRPr="005D213B" w:rsidRDefault="00570685" w:rsidP="00570685">
      <w:pPr>
        <w:pStyle w:val="ParaNoG"/>
        <w:numPr>
          <w:ilvl w:val="0"/>
          <w:numId w:val="0"/>
        </w:numPr>
        <w:tabs>
          <w:tab w:val="left" w:pos="0"/>
        </w:tabs>
        <w:ind w:left="1134"/>
      </w:pPr>
      <w:r w:rsidRPr="005D213B">
        <w:t>190.</w:t>
      </w:r>
      <w:r w:rsidRPr="005D213B">
        <w:tab/>
      </w:r>
      <w:r w:rsidR="00263BCB" w:rsidRPr="005D213B">
        <w:t>In 2018, monitoring visits by the project staff to the municipalities where the project has been implemented were continuously made for monitoring the implementation and solving of problems that occur during the school year.</w:t>
      </w:r>
      <w:r w:rsidR="00A21C4B">
        <w:t xml:space="preserve"> </w:t>
      </w:r>
      <w:r w:rsidR="00263BCB" w:rsidRPr="005D213B">
        <w:t>Municipalities provide transportation for Roma children to and from kindergarten.</w:t>
      </w:r>
      <w:r w:rsidR="00A21C4B">
        <w:t xml:space="preserve"> </w:t>
      </w:r>
    </w:p>
    <w:p w14:paraId="0AC3AC94" w14:textId="438A517C" w:rsidR="00263BCB" w:rsidRPr="005D213B" w:rsidRDefault="00570685" w:rsidP="00570685">
      <w:pPr>
        <w:pStyle w:val="ParaNoG"/>
        <w:numPr>
          <w:ilvl w:val="0"/>
          <w:numId w:val="0"/>
        </w:numPr>
        <w:tabs>
          <w:tab w:val="left" w:pos="0"/>
        </w:tabs>
        <w:ind w:left="1134"/>
      </w:pPr>
      <w:r w:rsidRPr="005D213B">
        <w:t>191.</w:t>
      </w:r>
      <w:r w:rsidRPr="005D213B">
        <w:tab/>
      </w:r>
      <w:r w:rsidR="00263BCB" w:rsidRPr="005D213B">
        <w:t>Within the project, 19 Roma women are employed as caregivers for indefinite time. The project was also extended for the 2017</w:t>
      </w:r>
      <w:r w:rsidR="00103651">
        <w:t>–</w:t>
      </w:r>
      <w:r w:rsidR="00263BCB" w:rsidRPr="005D213B">
        <w:t>2018 school year, while a new application is being prepared to the Roma Education Fund for the 2018</w:t>
      </w:r>
      <w:r w:rsidR="00103651">
        <w:t>–</w:t>
      </w:r>
      <w:r w:rsidR="00263BCB" w:rsidRPr="005D213B">
        <w:t xml:space="preserve">2019 period. </w:t>
      </w:r>
    </w:p>
    <w:p w14:paraId="0FC0681C" w14:textId="77777777" w:rsidR="00263BCB" w:rsidRPr="005D213B" w:rsidRDefault="00263BCB" w:rsidP="00263BCB">
      <w:pPr>
        <w:pStyle w:val="H23G"/>
      </w:pPr>
      <w:r>
        <w:tab/>
      </w:r>
      <w:bookmarkStart w:id="76" w:name="_Toc56781473"/>
      <w:r>
        <w:t>(c)</w:t>
      </w:r>
      <w:r>
        <w:tab/>
      </w:r>
      <w:r w:rsidRPr="005D213B">
        <w:t>Children on the street</w:t>
      </w:r>
      <w:bookmarkEnd w:id="76"/>
    </w:p>
    <w:p w14:paraId="6366B271" w14:textId="5FE0863A" w:rsidR="00263BCB" w:rsidRPr="005D213B" w:rsidRDefault="00570685" w:rsidP="00570685">
      <w:pPr>
        <w:pStyle w:val="ParaNoG"/>
        <w:numPr>
          <w:ilvl w:val="0"/>
          <w:numId w:val="0"/>
        </w:numPr>
        <w:tabs>
          <w:tab w:val="left" w:pos="0"/>
        </w:tabs>
        <w:ind w:left="1134"/>
      </w:pPr>
      <w:r w:rsidRPr="005D213B">
        <w:t>192.</w:t>
      </w:r>
      <w:r w:rsidRPr="005D213B">
        <w:tab/>
      </w:r>
      <w:r w:rsidR="00263BCB" w:rsidRPr="005D213B">
        <w:t>With the amendments to the Law on the Family in 2014, it is specified that inducing a child to begging or using a child for begging is considered an abuse and gross neglect of performing parental duties (which is grounds for deprivation of parental right). The local SWC is authorized to proceed upon this</w:t>
      </w:r>
      <w:r w:rsidR="00263BCB">
        <w:t>.</w:t>
      </w:r>
    </w:p>
    <w:p w14:paraId="75D882B2" w14:textId="3D00B9B1" w:rsidR="00263BCB" w:rsidRPr="005D213B" w:rsidRDefault="00570685" w:rsidP="00570685">
      <w:pPr>
        <w:pStyle w:val="ParaNoG"/>
        <w:numPr>
          <w:ilvl w:val="0"/>
          <w:numId w:val="0"/>
        </w:numPr>
        <w:tabs>
          <w:tab w:val="left" w:pos="0"/>
        </w:tabs>
        <w:ind w:left="1134"/>
      </w:pPr>
      <w:r w:rsidRPr="005D213B">
        <w:t>193.</w:t>
      </w:r>
      <w:r w:rsidRPr="005D213B">
        <w:tab/>
      </w:r>
      <w:r w:rsidR="00263BCB" w:rsidRPr="005D213B">
        <w:t>In order to map the territories where children on the street were identified, the MLSP implemented projects of social protection of children in cooperation with the NGOs through public competition in 2017 and 2018.</w:t>
      </w:r>
      <w:r w:rsidR="00A21C4B">
        <w:t xml:space="preserve"> </w:t>
      </w:r>
      <w:r w:rsidR="00263BCB" w:rsidRPr="005D213B">
        <w:t>The goal is to have enhanced fieldwork for detecting and working with children on the spot, as well as increasing teams in established Day Care Centres for children on the street in order to remove children from the street and their inclusion in society by providing good upbringing and educational services.</w:t>
      </w:r>
    </w:p>
    <w:p w14:paraId="0E1AEB37" w14:textId="167FB99F" w:rsidR="00263BCB" w:rsidRPr="005D213B" w:rsidRDefault="00570685" w:rsidP="00570685">
      <w:pPr>
        <w:pStyle w:val="ParaNoG"/>
        <w:numPr>
          <w:ilvl w:val="0"/>
          <w:numId w:val="0"/>
        </w:numPr>
        <w:tabs>
          <w:tab w:val="left" w:pos="0"/>
        </w:tabs>
        <w:ind w:left="1134"/>
      </w:pPr>
      <w:r w:rsidRPr="005D213B">
        <w:t>194.</w:t>
      </w:r>
      <w:r w:rsidRPr="005D213B">
        <w:tab/>
      </w:r>
      <w:r w:rsidR="00263BCB" w:rsidRPr="005D213B">
        <w:t>In the City of Skopje, the MLSP opened two day-care centres for children on the street: Kisela Voda and Gazi Baba.</w:t>
      </w:r>
      <w:r w:rsidR="00A21C4B">
        <w:t xml:space="preserve"> </w:t>
      </w:r>
      <w:r w:rsidR="00263BCB" w:rsidRPr="005D213B">
        <w:t>About 90 children on the street rotate daily at these centres.</w:t>
      </w:r>
    </w:p>
    <w:p w14:paraId="39BE5CE5" w14:textId="504F8A76" w:rsidR="00263BCB" w:rsidRPr="005D213B" w:rsidRDefault="00570685" w:rsidP="00570685">
      <w:pPr>
        <w:pStyle w:val="ParaNoG"/>
        <w:numPr>
          <w:ilvl w:val="0"/>
          <w:numId w:val="0"/>
        </w:numPr>
        <w:tabs>
          <w:tab w:val="left" w:pos="0"/>
        </w:tabs>
        <w:ind w:left="1134"/>
      </w:pPr>
      <w:r w:rsidRPr="005D213B">
        <w:t>195.</w:t>
      </w:r>
      <w:r w:rsidRPr="005D213B">
        <w:tab/>
      </w:r>
      <w:r w:rsidR="00263BCB" w:rsidRPr="005D213B">
        <w:t>There is no precise number of children on the street, but according to the data available to the SWC, around 650 children have been recorded as part of the field activities.</w:t>
      </w:r>
    </w:p>
    <w:p w14:paraId="56FE94B5" w14:textId="77777777" w:rsidR="00263BCB" w:rsidRPr="005D213B" w:rsidRDefault="00263BCB" w:rsidP="00263BCB">
      <w:pPr>
        <w:pStyle w:val="H23G"/>
      </w:pPr>
      <w:r>
        <w:tab/>
      </w:r>
      <w:bookmarkStart w:id="77" w:name="_Toc56781474"/>
      <w:r>
        <w:t>(d)</w:t>
      </w:r>
      <w:r>
        <w:tab/>
      </w:r>
      <w:r w:rsidRPr="005D213B">
        <w:t>Children who are in situation to be exploited (Article 32)</w:t>
      </w:r>
      <w:bookmarkEnd w:id="77"/>
    </w:p>
    <w:p w14:paraId="7F9BC395" w14:textId="22812AB1" w:rsidR="00263BCB" w:rsidRPr="005D213B" w:rsidRDefault="00570685" w:rsidP="00570685">
      <w:pPr>
        <w:pStyle w:val="ParaNoG"/>
        <w:numPr>
          <w:ilvl w:val="0"/>
          <w:numId w:val="0"/>
        </w:numPr>
        <w:tabs>
          <w:tab w:val="left" w:pos="0"/>
        </w:tabs>
        <w:ind w:left="1134"/>
      </w:pPr>
      <w:r w:rsidRPr="005D213B">
        <w:t>196.</w:t>
      </w:r>
      <w:r w:rsidRPr="005D213B">
        <w:tab/>
      </w:r>
      <w:r w:rsidR="00263BCB" w:rsidRPr="005D213B">
        <w:t>Amendments to the Law on Labour Relations have been sent to the Assembly to be adopted.</w:t>
      </w:r>
      <w:r w:rsidR="00A21C4B">
        <w:t xml:space="preserve"> </w:t>
      </w:r>
      <w:r w:rsidR="00263BCB" w:rsidRPr="005D213B">
        <w:t xml:space="preserve">These amendments, </w:t>
      </w:r>
      <w:r w:rsidR="00263BCB" w:rsidRPr="00A36381">
        <w:t>inter alia,</w:t>
      </w:r>
      <w:r w:rsidR="00263BCB" w:rsidRPr="005D213B">
        <w:t xml:space="preserve"> intervene in the provisions that regulate the capacity to conclude an employment contract with a child less than 18 years of age.</w:t>
      </w:r>
      <w:r w:rsidR="00A21C4B">
        <w:t xml:space="preserve"> </w:t>
      </w:r>
      <w:r w:rsidR="00263BCB" w:rsidRPr="005D213B">
        <w:t>Namely, paragraph 2 of Article 18 is amended by the following:</w:t>
      </w:r>
      <w:r w:rsidR="00A21C4B">
        <w:t xml:space="preserve"> “</w:t>
      </w:r>
      <w:r w:rsidR="00263BCB" w:rsidRPr="005D213B">
        <w:t xml:space="preserve">it is prohibited for a child under the age of 15 or a child who has not completed compulsory education to work, except for participation in activities for which it is determined by law that the child may perform them, but not longer than 2 hours per day or 12 hours per week, and during a school holiday not </w:t>
      </w:r>
      <w:r w:rsidR="00263BCB" w:rsidRPr="005D213B">
        <w:lastRenderedPageBreak/>
        <w:t>longer than 6 hours per day or 30 hours per week, with the mandatory provision of two uninterrupted working weeks rest.</w:t>
      </w:r>
      <w:r w:rsidR="00A21C4B">
        <w:t>”</w:t>
      </w:r>
      <w:r w:rsidR="00263BCB" w:rsidRPr="005D213B">
        <w:t xml:space="preserve"> </w:t>
      </w:r>
    </w:p>
    <w:p w14:paraId="15AB378C" w14:textId="5ACDC165" w:rsidR="00263BCB" w:rsidRPr="005D213B" w:rsidRDefault="00570685" w:rsidP="00570685">
      <w:pPr>
        <w:pStyle w:val="ParaNoG"/>
        <w:numPr>
          <w:ilvl w:val="0"/>
          <w:numId w:val="0"/>
        </w:numPr>
        <w:tabs>
          <w:tab w:val="left" w:pos="0"/>
        </w:tabs>
        <w:ind w:left="1134"/>
      </w:pPr>
      <w:r w:rsidRPr="005D213B">
        <w:t>197.</w:t>
      </w:r>
      <w:r w:rsidRPr="005D213B">
        <w:tab/>
      </w:r>
      <w:r w:rsidR="00263BCB" w:rsidRPr="005D213B">
        <w:t>Number and percentage of children below the minimum legal age of employment, according to the Minimum Age Convention of the International Labour Organisation, 1973 (No. 138) and Worst Forms of Child Labour Convention, 1999 (No. 182), allocated by type of work engagement</w:t>
      </w:r>
      <w:r w:rsidR="008E0AD7">
        <w:t>.</w:t>
      </w:r>
    </w:p>
    <w:p w14:paraId="647EB89E" w14:textId="77777777" w:rsidR="00263BCB" w:rsidRPr="00A6762D" w:rsidRDefault="00263BCB" w:rsidP="00263BCB">
      <w:pPr>
        <w:pStyle w:val="H23G"/>
        <w:rPr>
          <w:rStyle w:val="FootnoteReference"/>
          <w:b w:val="0"/>
          <w:bCs/>
        </w:rPr>
      </w:pPr>
      <w:r>
        <w:tab/>
      </w:r>
      <w:r>
        <w:tab/>
      </w:r>
      <w:bookmarkStart w:id="78" w:name="_Toc56781475"/>
      <w:r w:rsidRPr="005D213B">
        <w:t>Employed young p</w:t>
      </w:r>
      <w:r>
        <w:t>eople aged 15 to 18 years, 2013</w:t>
      </w:r>
      <w:r w:rsidRPr="00A6762D">
        <w:rPr>
          <w:rStyle w:val="FootnoteReference"/>
          <w:b w:val="0"/>
          <w:bCs/>
        </w:rPr>
        <w:footnoteReference w:id="45"/>
      </w:r>
      <w:bookmarkEnd w:id="78"/>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39"/>
        <w:gridCol w:w="2023"/>
        <w:gridCol w:w="1746"/>
        <w:gridCol w:w="1862"/>
      </w:tblGrid>
      <w:tr w:rsidR="00263BCB" w:rsidRPr="00103651" w14:paraId="79319C6C" w14:textId="77777777" w:rsidTr="00103651">
        <w:trPr>
          <w:tblHeader/>
        </w:trPr>
        <w:tc>
          <w:tcPr>
            <w:tcW w:w="2271" w:type="dxa"/>
            <w:tcBorders>
              <w:top w:val="single" w:sz="4" w:space="0" w:color="auto"/>
              <w:bottom w:val="single" w:sz="12" w:space="0" w:color="auto"/>
            </w:tcBorders>
            <w:shd w:val="clear" w:color="auto" w:fill="auto"/>
            <w:vAlign w:val="bottom"/>
          </w:tcPr>
          <w:p w14:paraId="6C7D7F87" w14:textId="77777777" w:rsidR="00263BCB" w:rsidRPr="00103651" w:rsidRDefault="00263BCB" w:rsidP="00103651">
            <w:pPr>
              <w:pStyle w:val="SingleTxtG"/>
              <w:spacing w:before="80" w:after="80" w:line="200" w:lineRule="exact"/>
              <w:ind w:left="0" w:right="113"/>
              <w:jc w:val="left"/>
              <w:rPr>
                <w:i/>
                <w:sz w:val="16"/>
              </w:rPr>
            </w:pPr>
            <w:r w:rsidRPr="00103651">
              <w:rPr>
                <w:i/>
                <w:sz w:val="16"/>
              </w:rPr>
              <w:t>Age</w:t>
            </w:r>
          </w:p>
        </w:tc>
        <w:tc>
          <w:tcPr>
            <w:tcW w:w="2644" w:type="dxa"/>
            <w:tcBorders>
              <w:top w:val="single" w:sz="4" w:space="0" w:color="auto"/>
              <w:bottom w:val="single" w:sz="12" w:space="0" w:color="auto"/>
            </w:tcBorders>
            <w:shd w:val="clear" w:color="auto" w:fill="auto"/>
            <w:vAlign w:val="bottom"/>
          </w:tcPr>
          <w:p w14:paraId="25926118" w14:textId="77777777" w:rsidR="00263BCB" w:rsidRPr="00103651" w:rsidRDefault="00263BCB" w:rsidP="00103651">
            <w:pPr>
              <w:pStyle w:val="SingleTxtG"/>
              <w:spacing w:before="80" w:after="80" w:line="200" w:lineRule="exact"/>
              <w:ind w:left="0" w:right="113"/>
              <w:jc w:val="right"/>
              <w:rPr>
                <w:i/>
                <w:sz w:val="16"/>
              </w:rPr>
            </w:pPr>
            <w:r w:rsidRPr="00103651">
              <w:rPr>
                <w:i/>
                <w:sz w:val="16"/>
              </w:rPr>
              <w:t>Number of employees:</w:t>
            </w:r>
          </w:p>
        </w:tc>
        <w:tc>
          <w:tcPr>
            <w:tcW w:w="2280" w:type="dxa"/>
            <w:tcBorders>
              <w:top w:val="single" w:sz="4" w:space="0" w:color="auto"/>
              <w:bottom w:val="single" w:sz="12" w:space="0" w:color="auto"/>
            </w:tcBorders>
            <w:shd w:val="clear" w:color="auto" w:fill="auto"/>
            <w:vAlign w:val="bottom"/>
          </w:tcPr>
          <w:p w14:paraId="7BA3A3B7" w14:textId="77777777" w:rsidR="00263BCB" w:rsidRPr="00103651" w:rsidRDefault="00263BCB" w:rsidP="00103651">
            <w:pPr>
              <w:pStyle w:val="SingleTxtG"/>
              <w:spacing w:before="80" w:after="80" w:line="200" w:lineRule="exact"/>
              <w:ind w:left="0" w:right="113"/>
              <w:jc w:val="right"/>
              <w:rPr>
                <w:i/>
                <w:sz w:val="16"/>
              </w:rPr>
            </w:pPr>
            <w:r w:rsidRPr="00103651">
              <w:rPr>
                <w:i/>
                <w:sz w:val="16"/>
              </w:rPr>
              <w:t>Men</w:t>
            </w:r>
          </w:p>
        </w:tc>
        <w:tc>
          <w:tcPr>
            <w:tcW w:w="2433" w:type="dxa"/>
            <w:tcBorders>
              <w:top w:val="single" w:sz="4" w:space="0" w:color="auto"/>
              <w:bottom w:val="single" w:sz="12" w:space="0" w:color="auto"/>
            </w:tcBorders>
            <w:shd w:val="clear" w:color="auto" w:fill="auto"/>
            <w:vAlign w:val="bottom"/>
          </w:tcPr>
          <w:p w14:paraId="4FCCA70E" w14:textId="77777777" w:rsidR="00263BCB" w:rsidRPr="00103651" w:rsidRDefault="00263BCB" w:rsidP="00103651">
            <w:pPr>
              <w:pStyle w:val="SingleTxtG"/>
              <w:spacing w:before="80" w:after="80" w:line="200" w:lineRule="exact"/>
              <w:ind w:left="0" w:right="113"/>
              <w:jc w:val="right"/>
              <w:rPr>
                <w:i/>
                <w:sz w:val="16"/>
              </w:rPr>
            </w:pPr>
            <w:r w:rsidRPr="00103651">
              <w:rPr>
                <w:i/>
                <w:sz w:val="16"/>
              </w:rPr>
              <w:t>Women</w:t>
            </w:r>
          </w:p>
        </w:tc>
      </w:tr>
      <w:tr w:rsidR="00263BCB" w:rsidRPr="00103651" w14:paraId="513FE587" w14:textId="77777777" w:rsidTr="00103651">
        <w:tc>
          <w:tcPr>
            <w:tcW w:w="2271" w:type="dxa"/>
            <w:tcBorders>
              <w:top w:val="single" w:sz="12" w:space="0" w:color="auto"/>
            </w:tcBorders>
            <w:shd w:val="clear" w:color="auto" w:fill="auto"/>
          </w:tcPr>
          <w:p w14:paraId="7F4AE15A" w14:textId="77777777" w:rsidR="00263BCB" w:rsidRPr="00103651" w:rsidRDefault="00263BCB" w:rsidP="00103651">
            <w:pPr>
              <w:pStyle w:val="SingleTxtG"/>
              <w:spacing w:before="40" w:after="40" w:line="220" w:lineRule="exact"/>
              <w:ind w:left="0" w:right="113"/>
              <w:jc w:val="left"/>
              <w:rPr>
                <w:sz w:val="18"/>
              </w:rPr>
            </w:pPr>
            <w:r w:rsidRPr="00103651">
              <w:rPr>
                <w:sz w:val="18"/>
              </w:rPr>
              <w:t>15</w:t>
            </w:r>
          </w:p>
        </w:tc>
        <w:tc>
          <w:tcPr>
            <w:tcW w:w="2644" w:type="dxa"/>
            <w:tcBorders>
              <w:top w:val="single" w:sz="12" w:space="0" w:color="auto"/>
            </w:tcBorders>
            <w:shd w:val="clear" w:color="auto" w:fill="auto"/>
            <w:vAlign w:val="bottom"/>
          </w:tcPr>
          <w:p w14:paraId="76B43F4A" w14:textId="77777777" w:rsidR="00263BCB" w:rsidRPr="00103651" w:rsidRDefault="00263BCB" w:rsidP="00103651">
            <w:pPr>
              <w:pStyle w:val="SingleTxtG"/>
              <w:spacing w:before="40" w:after="40" w:line="220" w:lineRule="exact"/>
              <w:ind w:left="0" w:right="113"/>
              <w:jc w:val="right"/>
              <w:rPr>
                <w:b/>
                <w:sz w:val="18"/>
              </w:rPr>
            </w:pPr>
            <w:r w:rsidRPr="00103651">
              <w:rPr>
                <w:sz w:val="18"/>
              </w:rPr>
              <w:t>(584)</w:t>
            </w:r>
          </w:p>
        </w:tc>
        <w:tc>
          <w:tcPr>
            <w:tcW w:w="2280" w:type="dxa"/>
            <w:tcBorders>
              <w:top w:val="single" w:sz="12" w:space="0" w:color="auto"/>
            </w:tcBorders>
            <w:shd w:val="clear" w:color="auto" w:fill="auto"/>
            <w:vAlign w:val="bottom"/>
          </w:tcPr>
          <w:p w14:paraId="7BECF4FD"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c>
          <w:tcPr>
            <w:tcW w:w="2433" w:type="dxa"/>
            <w:tcBorders>
              <w:top w:val="single" w:sz="12" w:space="0" w:color="auto"/>
            </w:tcBorders>
            <w:shd w:val="clear" w:color="auto" w:fill="auto"/>
            <w:vAlign w:val="bottom"/>
          </w:tcPr>
          <w:p w14:paraId="4C7F7888"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r>
      <w:tr w:rsidR="00263BCB" w:rsidRPr="00103651" w14:paraId="09DE8F94" w14:textId="77777777" w:rsidTr="00103651">
        <w:tc>
          <w:tcPr>
            <w:tcW w:w="2271" w:type="dxa"/>
            <w:shd w:val="clear" w:color="auto" w:fill="auto"/>
          </w:tcPr>
          <w:p w14:paraId="1B554A01" w14:textId="77777777" w:rsidR="00263BCB" w:rsidRPr="00103651" w:rsidRDefault="00263BCB" w:rsidP="00103651">
            <w:pPr>
              <w:pStyle w:val="SingleTxtG"/>
              <w:spacing w:before="40" w:after="40" w:line="220" w:lineRule="exact"/>
              <w:ind w:left="0" w:right="113"/>
              <w:jc w:val="left"/>
              <w:rPr>
                <w:sz w:val="18"/>
              </w:rPr>
            </w:pPr>
            <w:r w:rsidRPr="00103651">
              <w:rPr>
                <w:sz w:val="18"/>
              </w:rPr>
              <w:t>16</w:t>
            </w:r>
          </w:p>
        </w:tc>
        <w:tc>
          <w:tcPr>
            <w:tcW w:w="2644" w:type="dxa"/>
            <w:shd w:val="clear" w:color="auto" w:fill="auto"/>
            <w:vAlign w:val="bottom"/>
          </w:tcPr>
          <w:p w14:paraId="3204D9A9" w14:textId="77777777" w:rsidR="00263BCB" w:rsidRPr="00103651" w:rsidRDefault="00263BCB" w:rsidP="00103651">
            <w:pPr>
              <w:pStyle w:val="SingleTxtG"/>
              <w:spacing w:before="40" w:after="40" w:line="220" w:lineRule="exact"/>
              <w:ind w:left="0" w:right="113"/>
              <w:jc w:val="right"/>
              <w:rPr>
                <w:sz w:val="18"/>
              </w:rPr>
            </w:pPr>
            <w:r w:rsidRPr="00103651">
              <w:rPr>
                <w:sz w:val="18"/>
              </w:rPr>
              <w:t>(687)</w:t>
            </w:r>
          </w:p>
        </w:tc>
        <w:tc>
          <w:tcPr>
            <w:tcW w:w="2280" w:type="dxa"/>
            <w:shd w:val="clear" w:color="auto" w:fill="auto"/>
            <w:vAlign w:val="bottom"/>
          </w:tcPr>
          <w:p w14:paraId="7F1F054D"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c>
          <w:tcPr>
            <w:tcW w:w="2433" w:type="dxa"/>
            <w:shd w:val="clear" w:color="auto" w:fill="auto"/>
            <w:vAlign w:val="bottom"/>
          </w:tcPr>
          <w:p w14:paraId="641B642A"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r>
      <w:tr w:rsidR="00263BCB" w:rsidRPr="00103651" w14:paraId="6114D514" w14:textId="77777777" w:rsidTr="00103651">
        <w:tc>
          <w:tcPr>
            <w:tcW w:w="2271" w:type="dxa"/>
            <w:shd w:val="clear" w:color="auto" w:fill="auto"/>
          </w:tcPr>
          <w:p w14:paraId="3A36DEF5" w14:textId="77777777" w:rsidR="00263BCB" w:rsidRPr="00103651" w:rsidRDefault="00263BCB" w:rsidP="00103651">
            <w:pPr>
              <w:pStyle w:val="SingleTxtG"/>
              <w:spacing w:before="40" w:after="40" w:line="220" w:lineRule="exact"/>
              <w:ind w:left="0" w:right="113"/>
              <w:jc w:val="left"/>
              <w:rPr>
                <w:sz w:val="18"/>
              </w:rPr>
            </w:pPr>
            <w:r w:rsidRPr="00103651">
              <w:rPr>
                <w:sz w:val="18"/>
              </w:rPr>
              <w:t>17</w:t>
            </w:r>
          </w:p>
        </w:tc>
        <w:tc>
          <w:tcPr>
            <w:tcW w:w="2644" w:type="dxa"/>
            <w:shd w:val="clear" w:color="auto" w:fill="auto"/>
            <w:vAlign w:val="bottom"/>
          </w:tcPr>
          <w:p w14:paraId="66142DB3" w14:textId="77777777" w:rsidR="00263BCB" w:rsidRPr="00103651" w:rsidRDefault="00263BCB" w:rsidP="00103651">
            <w:pPr>
              <w:pStyle w:val="SingleTxtG"/>
              <w:spacing w:before="40" w:after="40" w:line="220" w:lineRule="exact"/>
              <w:ind w:left="0" w:right="113"/>
              <w:jc w:val="right"/>
              <w:rPr>
                <w:sz w:val="18"/>
              </w:rPr>
            </w:pPr>
            <w:r w:rsidRPr="00103651">
              <w:rPr>
                <w:sz w:val="18"/>
              </w:rPr>
              <w:t>(797)</w:t>
            </w:r>
          </w:p>
        </w:tc>
        <w:tc>
          <w:tcPr>
            <w:tcW w:w="2280" w:type="dxa"/>
            <w:shd w:val="clear" w:color="auto" w:fill="auto"/>
            <w:vAlign w:val="bottom"/>
          </w:tcPr>
          <w:p w14:paraId="2F2A1DEB"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c>
          <w:tcPr>
            <w:tcW w:w="2433" w:type="dxa"/>
            <w:shd w:val="clear" w:color="auto" w:fill="auto"/>
            <w:vAlign w:val="bottom"/>
          </w:tcPr>
          <w:p w14:paraId="7DCA9DCE"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r>
      <w:tr w:rsidR="00263BCB" w:rsidRPr="00103651" w14:paraId="35A88174" w14:textId="77777777" w:rsidTr="00103651">
        <w:tc>
          <w:tcPr>
            <w:tcW w:w="2271" w:type="dxa"/>
            <w:tcBorders>
              <w:bottom w:val="single" w:sz="4" w:space="0" w:color="auto"/>
            </w:tcBorders>
            <w:shd w:val="clear" w:color="auto" w:fill="auto"/>
          </w:tcPr>
          <w:p w14:paraId="773F5A2C" w14:textId="77777777" w:rsidR="00263BCB" w:rsidRPr="00103651" w:rsidRDefault="00263BCB" w:rsidP="00103651">
            <w:pPr>
              <w:pStyle w:val="SingleTxtG"/>
              <w:spacing w:before="40" w:after="40" w:line="220" w:lineRule="exact"/>
              <w:ind w:left="0" w:right="113"/>
              <w:jc w:val="left"/>
              <w:rPr>
                <w:sz w:val="18"/>
              </w:rPr>
            </w:pPr>
            <w:r w:rsidRPr="00103651">
              <w:rPr>
                <w:sz w:val="18"/>
              </w:rPr>
              <w:t>18</w:t>
            </w:r>
          </w:p>
        </w:tc>
        <w:tc>
          <w:tcPr>
            <w:tcW w:w="2644" w:type="dxa"/>
            <w:tcBorders>
              <w:bottom w:val="single" w:sz="4" w:space="0" w:color="auto"/>
            </w:tcBorders>
            <w:shd w:val="clear" w:color="auto" w:fill="auto"/>
            <w:vAlign w:val="bottom"/>
          </w:tcPr>
          <w:p w14:paraId="54733821" w14:textId="77777777" w:rsidR="00263BCB" w:rsidRPr="00103651" w:rsidRDefault="00263BCB" w:rsidP="00103651">
            <w:pPr>
              <w:pStyle w:val="SingleTxtG"/>
              <w:spacing w:before="40" w:after="40" w:line="220" w:lineRule="exact"/>
              <w:ind w:left="0" w:right="113"/>
              <w:jc w:val="right"/>
              <w:rPr>
                <w:sz w:val="18"/>
              </w:rPr>
            </w:pPr>
            <w:r w:rsidRPr="00103651">
              <w:rPr>
                <w:sz w:val="18"/>
              </w:rPr>
              <w:t>1645</w:t>
            </w:r>
          </w:p>
        </w:tc>
        <w:tc>
          <w:tcPr>
            <w:tcW w:w="2280" w:type="dxa"/>
            <w:tcBorders>
              <w:bottom w:val="single" w:sz="4" w:space="0" w:color="auto"/>
            </w:tcBorders>
            <w:shd w:val="clear" w:color="auto" w:fill="auto"/>
            <w:vAlign w:val="bottom"/>
          </w:tcPr>
          <w:p w14:paraId="633D246D" w14:textId="77777777" w:rsidR="00263BCB" w:rsidRPr="00103651" w:rsidRDefault="00263BCB" w:rsidP="00103651">
            <w:pPr>
              <w:pStyle w:val="SingleTxtG"/>
              <w:spacing w:before="40" w:after="40" w:line="220" w:lineRule="exact"/>
              <w:ind w:left="0" w:right="113"/>
              <w:jc w:val="right"/>
              <w:rPr>
                <w:sz w:val="18"/>
              </w:rPr>
            </w:pPr>
            <w:r w:rsidRPr="00103651">
              <w:rPr>
                <w:sz w:val="18"/>
              </w:rPr>
              <w:t>(826)</w:t>
            </w:r>
          </w:p>
        </w:tc>
        <w:tc>
          <w:tcPr>
            <w:tcW w:w="2433" w:type="dxa"/>
            <w:tcBorders>
              <w:bottom w:val="single" w:sz="4" w:space="0" w:color="auto"/>
            </w:tcBorders>
            <w:shd w:val="clear" w:color="auto" w:fill="auto"/>
            <w:vAlign w:val="bottom"/>
          </w:tcPr>
          <w:p w14:paraId="3BAB4CA7" w14:textId="77777777" w:rsidR="00263BCB" w:rsidRPr="00103651" w:rsidRDefault="00263BCB" w:rsidP="00103651">
            <w:pPr>
              <w:pStyle w:val="SingleTxtG"/>
              <w:spacing w:before="40" w:after="40" w:line="220" w:lineRule="exact"/>
              <w:ind w:left="0" w:right="113"/>
              <w:jc w:val="right"/>
              <w:rPr>
                <w:b/>
                <w:sz w:val="18"/>
              </w:rPr>
            </w:pPr>
            <w:r w:rsidRPr="00103651">
              <w:rPr>
                <w:sz w:val="18"/>
              </w:rPr>
              <w:t>(819)</w:t>
            </w:r>
          </w:p>
        </w:tc>
      </w:tr>
      <w:tr w:rsidR="00263BCB" w:rsidRPr="00103651" w14:paraId="127FF12F" w14:textId="77777777" w:rsidTr="00103651">
        <w:tc>
          <w:tcPr>
            <w:tcW w:w="2271" w:type="dxa"/>
            <w:tcBorders>
              <w:top w:val="single" w:sz="4" w:space="0" w:color="auto"/>
              <w:bottom w:val="single" w:sz="12" w:space="0" w:color="auto"/>
            </w:tcBorders>
            <w:shd w:val="clear" w:color="auto" w:fill="auto"/>
          </w:tcPr>
          <w:p w14:paraId="1C7B105E" w14:textId="77777777" w:rsidR="00263BCB" w:rsidRPr="00103651" w:rsidRDefault="00263BCB" w:rsidP="00103651">
            <w:pPr>
              <w:pStyle w:val="SingleTxtG"/>
              <w:spacing w:before="80" w:after="80" w:line="220" w:lineRule="exact"/>
              <w:ind w:left="283" w:right="113"/>
              <w:jc w:val="left"/>
              <w:rPr>
                <w:b/>
                <w:sz w:val="18"/>
              </w:rPr>
            </w:pPr>
            <w:r w:rsidRPr="00103651">
              <w:rPr>
                <w:b/>
                <w:sz w:val="18"/>
              </w:rPr>
              <w:t>Total</w:t>
            </w:r>
          </w:p>
        </w:tc>
        <w:tc>
          <w:tcPr>
            <w:tcW w:w="2644" w:type="dxa"/>
            <w:tcBorders>
              <w:top w:val="single" w:sz="4" w:space="0" w:color="auto"/>
              <w:bottom w:val="single" w:sz="12" w:space="0" w:color="auto"/>
            </w:tcBorders>
            <w:shd w:val="clear" w:color="auto" w:fill="auto"/>
            <w:vAlign w:val="bottom"/>
          </w:tcPr>
          <w:p w14:paraId="382F95BB" w14:textId="534FBB49" w:rsidR="00263BCB" w:rsidRPr="00103651" w:rsidRDefault="00263BCB" w:rsidP="00103651">
            <w:pPr>
              <w:pStyle w:val="SingleTxtG"/>
              <w:spacing w:before="80" w:after="80" w:line="220" w:lineRule="exact"/>
              <w:ind w:left="0" w:right="113"/>
              <w:jc w:val="right"/>
              <w:rPr>
                <w:b/>
                <w:sz w:val="18"/>
              </w:rPr>
            </w:pPr>
            <w:r w:rsidRPr="00103651">
              <w:rPr>
                <w:b/>
                <w:sz w:val="18"/>
              </w:rPr>
              <w:t>3</w:t>
            </w:r>
            <w:r w:rsidR="00103651" w:rsidRPr="00103651">
              <w:rPr>
                <w:b/>
                <w:sz w:val="18"/>
              </w:rPr>
              <w:t xml:space="preserve"> </w:t>
            </w:r>
            <w:r w:rsidRPr="00103651">
              <w:rPr>
                <w:b/>
                <w:sz w:val="18"/>
              </w:rPr>
              <w:t>713</w:t>
            </w:r>
          </w:p>
        </w:tc>
        <w:tc>
          <w:tcPr>
            <w:tcW w:w="2280" w:type="dxa"/>
            <w:tcBorders>
              <w:top w:val="single" w:sz="4" w:space="0" w:color="auto"/>
              <w:bottom w:val="single" w:sz="12" w:space="0" w:color="auto"/>
            </w:tcBorders>
            <w:shd w:val="clear" w:color="auto" w:fill="auto"/>
            <w:vAlign w:val="bottom"/>
          </w:tcPr>
          <w:p w14:paraId="148FE786" w14:textId="497FBD14" w:rsidR="00263BCB" w:rsidRPr="00103651" w:rsidRDefault="00263BCB" w:rsidP="00103651">
            <w:pPr>
              <w:pStyle w:val="SingleTxtG"/>
              <w:spacing w:before="80" w:after="80" w:line="220" w:lineRule="exact"/>
              <w:ind w:left="0" w:right="113"/>
              <w:jc w:val="right"/>
              <w:rPr>
                <w:b/>
                <w:sz w:val="18"/>
              </w:rPr>
            </w:pPr>
            <w:r w:rsidRPr="00103651">
              <w:rPr>
                <w:b/>
                <w:sz w:val="18"/>
              </w:rPr>
              <w:t>1</w:t>
            </w:r>
            <w:r w:rsidR="00103651" w:rsidRPr="00103651">
              <w:rPr>
                <w:b/>
                <w:sz w:val="18"/>
              </w:rPr>
              <w:t xml:space="preserve"> </w:t>
            </w:r>
            <w:r w:rsidRPr="00103651">
              <w:rPr>
                <w:b/>
                <w:sz w:val="18"/>
              </w:rPr>
              <w:t>898</w:t>
            </w:r>
          </w:p>
        </w:tc>
        <w:tc>
          <w:tcPr>
            <w:tcW w:w="2433" w:type="dxa"/>
            <w:tcBorders>
              <w:top w:val="single" w:sz="4" w:space="0" w:color="auto"/>
              <w:bottom w:val="single" w:sz="12" w:space="0" w:color="auto"/>
            </w:tcBorders>
            <w:shd w:val="clear" w:color="auto" w:fill="auto"/>
            <w:vAlign w:val="bottom"/>
          </w:tcPr>
          <w:p w14:paraId="6FB1C92F" w14:textId="44859270" w:rsidR="00263BCB" w:rsidRPr="00103651" w:rsidRDefault="00263BCB" w:rsidP="00103651">
            <w:pPr>
              <w:pStyle w:val="SingleTxtG"/>
              <w:spacing w:before="80" w:after="80" w:line="220" w:lineRule="exact"/>
              <w:ind w:left="0" w:right="113"/>
              <w:jc w:val="right"/>
              <w:rPr>
                <w:b/>
                <w:sz w:val="18"/>
              </w:rPr>
            </w:pPr>
            <w:r w:rsidRPr="00103651">
              <w:rPr>
                <w:b/>
                <w:sz w:val="18"/>
              </w:rPr>
              <w:t>1</w:t>
            </w:r>
            <w:r w:rsidR="00103651" w:rsidRPr="00103651">
              <w:rPr>
                <w:b/>
                <w:sz w:val="18"/>
              </w:rPr>
              <w:t xml:space="preserve"> </w:t>
            </w:r>
            <w:r w:rsidRPr="00103651">
              <w:rPr>
                <w:b/>
                <w:sz w:val="18"/>
              </w:rPr>
              <w:t>816</w:t>
            </w:r>
          </w:p>
        </w:tc>
      </w:tr>
    </w:tbl>
    <w:p w14:paraId="51545B22" w14:textId="77777777" w:rsidR="00263BCB" w:rsidRPr="008E0AD7" w:rsidRDefault="00263BCB" w:rsidP="00263BCB">
      <w:pPr>
        <w:pStyle w:val="H23G"/>
        <w:rPr>
          <w:rStyle w:val="FootnoteReference"/>
          <w:b w:val="0"/>
          <w:bCs/>
        </w:rPr>
      </w:pPr>
      <w:r>
        <w:tab/>
      </w:r>
      <w:r>
        <w:tab/>
      </w:r>
      <w:bookmarkStart w:id="79" w:name="_Toc56781476"/>
      <w:r w:rsidRPr="005D213B">
        <w:t>Employed young p</w:t>
      </w:r>
      <w:r>
        <w:t>eople aged 15 to 18 years, 2014</w:t>
      </w:r>
      <w:r w:rsidRPr="008E0AD7">
        <w:rPr>
          <w:rStyle w:val="FootnoteReference"/>
          <w:b w:val="0"/>
          <w:bCs/>
        </w:rPr>
        <w:footnoteReference w:id="46"/>
      </w:r>
      <w:bookmarkEnd w:id="79"/>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26"/>
        <w:gridCol w:w="2007"/>
        <w:gridCol w:w="1790"/>
        <w:gridCol w:w="1847"/>
      </w:tblGrid>
      <w:tr w:rsidR="00263BCB" w:rsidRPr="00103651" w14:paraId="09CDCF15" w14:textId="77777777" w:rsidTr="00103651">
        <w:trPr>
          <w:tblHeader/>
        </w:trPr>
        <w:tc>
          <w:tcPr>
            <w:tcW w:w="2254" w:type="dxa"/>
            <w:tcBorders>
              <w:top w:val="single" w:sz="4" w:space="0" w:color="auto"/>
              <w:bottom w:val="single" w:sz="12" w:space="0" w:color="auto"/>
            </w:tcBorders>
            <w:shd w:val="clear" w:color="auto" w:fill="auto"/>
            <w:vAlign w:val="bottom"/>
          </w:tcPr>
          <w:p w14:paraId="2C3916FF" w14:textId="77777777" w:rsidR="00263BCB" w:rsidRPr="00103651" w:rsidRDefault="00263BCB" w:rsidP="00103651">
            <w:pPr>
              <w:pStyle w:val="SingleTxtG"/>
              <w:spacing w:before="80" w:after="80" w:line="200" w:lineRule="exact"/>
              <w:ind w:left="0" w:right="113"/>
              <w:jc w:val="left"/>
              <w:rPr>
                <w:i/>
                <w:sz w:val="16"/>
              </w:rPr>
            </w:pPr>
            <w:r w:rsidRPr="00103651">
              <w:rPr>
                <w:i/>
                <w:sz w:val="16"/>
              </w:rPr>
              <w:t>Age</w:t>
            </w:r>
          </w:p>
        </w:tc>
        <w:tc>
          <w:tcPr>
            <w:tcW w:w="2623" w:type="dxa"/>
            <w:tcBorders>
              <w:top w:val="single" w:sz="4" w:space="0" w:color="auto"/>
              <w:bottom w:val="single" w:sz="12" w:space="0" w:color="auto"/>
            </w:tcBorders>
            <w:shd w:val="clear" w:color="auto" w:fill="auto"/>
            <w:vAlign w:val="bottom"/>
          </w:tcPr>
          <w:p w14:paraId="253400D7" w14:textId="77777777" w:rsidR="00263BCB" w:rsidRPr="00103651" w:rsidRDefault="00263BCB" w:rsidP="00103651">
            <w:pPr>
              <w:pStyle w:val="SingleTxtG"/>
              <w:spacing w:before="80" w:after="80" w:line="200" w:lineRule="exact"/>
              <w:ind w:left="0" w:right="113"/>
              <w:jc w:val="right"/>
              <w:rPr>
                <w:i/>
                <w:sz w:val="16"/>
              </w:rPr>
            </w:pPr>
            <w:r w:rsidRPr="00103651">
              <w:rPr>
                <w:i/>
                <w:sz w:val="16"/>
              </w:rPr>
              <w:t>Number of employees:</w:t>
            </w:r>
          </w:p>
        </w:tc>
        <w:tc>
          <w:tcPr>
            <w:tcW w:w="2338" w:type="dxa"/>
            <w:tcBorders>
              <w:top w:val="single" w:sz="4" w:space="0" w:color="auto"/>
              <w:bottom w:val="single" w:sz="12" w:space="0" w:color="auto"/>
            </w:tcBorders>
            <w:shd w:val="clear" w:color="auto" w:fill="auto"/>
            <w:vAlign w:val="bottom"/>
          </w:tcPr>
          <w:p w14:paraId="57110787" w14:textId="77777777" w:rsidR="00263BCB" w:rsidRPr="00103651" w:rsidRDefault="00263BCB" w:rsidP="00103651">
            <w:pPr>
              <w:pStyle w:val="SingleTxtG"/>
              <w:spacing w:before="80" w:after="80" w:line="200" w:lineRule="exact"/>
              <w:ind w:left="0" w:right="113"/>
              <w:jc w:val="right"/>
              <w:rPr>
                <w:i/>
                <w:sz w:val="16"/>
              </w:rPr>
            </w:pPr>
            <w:r w:rsidRPr="00103651">
              <w:rPr>
                <w:i/>
                <w:sz w:val="16"/>
              </w:rPr>
              <w:t>Men</w:t>
            </w:r>
          </w:p>
        </w:tc>
        <w:tc>
          <w:tcPr>
            <w:tcW w:w="2413" w:type="dxa"/>
            <w:tcBorders>
              <w:top w:val="single" w:sz="4" w:space="0" w:color="auto"/>
              <w:bottom w:val="single" w:sz="12" w:space="0" w:color="auto"/>
            </w:tcBorders>
            <w:shd w:val="clear" w:color="auto" w:fill="auto"/>
            <w:vAlign w:val="bottom"/>
          </w:tcPr>
          <w:p w14:paraId="435AB490" w14:textId="77777777" w:rsidR="00263BCB" w:rsidRPr="00103651" w:rsidRDefault="00263BCB" w:rsidP="00103651">
            <w:pPr>
              <w:pStyle w:val="SingleTxtG"/>
              <w:spacing w:before="80" w:after="80" w:line="200" w:lineRule="exact"/>
              <w:ind w:left="0" w:right="113"/>
              <w:jc w:val="right"/>
              <w:rPr>
                <w:i/>
                <w:sz w:val="16"/>
              </w:rPr>
            </w:pPr>
            <w:r w:rsidRPr="00103651">
              <w:rPr>
                <w:i/>
                <w:sz w:val="16"/>
              </w:rPr>
              <w:t>Women</w:t>
            </w:r>
          </w:p>
        </w:tc>
      </w:tr>
      <w:tr w:rsidR="00263BCB" w:rsidRPr="00103651" w14:paraId="3C5D6FF2" w14:textId="77777777" w:rsidTr="00103651">
        <w:tc>
          <w:tcPr>
            <w:tcW w:w="2254" w:type="dxa"/>
            <w:tcBorders>
              <w:top w:val="single" w:sz="12" w:space="0" w:color="auto"/>
            </w:tcBorders>
            <w:shd w:val="clear" w:color="auto" w:fill="auto"/>
          </w:tcPr>
          <w:p w14:paraId="378E1925" w14:textId="77777777" w:rsidR="00263BCB" w:rsidRPr="00103651" w:rsidRDefault="00263BCB" w:rsidP="00103651">
            <w:pPr>
              <w:pStyle w:val="SingleTxtG"/>
              <w:spacing w:before="40" w:after="40" w:line="220" w:lineRule="exact"/>
              <w:ind w:left="0" w:right="113"/>
              <w:jc w:val="left"/>
              <w:rPr>
                <w:sz w:val="18"/>
              </w:rPr>
            </w:pPr>
            <w:r w:rsidRPr="00103651">
              <w:rPr>
                <w:sz w:val="18"/>
              </w:rPr>
              <w:t>15</w:t>
            </w:r>
          </w:p>
        </w:tc>
        <w:tc>
          <w:tcPr>
            <w:tcW w:w="2623" w:type="dxa"/>
            <w:tcBorders>
              <w:top w:val="single" w:sz="12" w:space="0" w:color="auto"/>
            </w:tcBorders>
            <w:shd w:val="clear" w:color="auto" w:fill="auto"/>
            <w:vAlign w:val="bottom"/>
          </w:tcPr>
          <w:p w14:paraId="616762FA"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c>
          <w:tcPr>
            <w:tcW w:w="2338" w:type="dxa"/>
            <w:tcBorders>
              <w:top w:val="single" w:sz="12" w:space="0" w:color="auto"/>
            </w:tcBorders>
            <w:shd w:val="clear" w:color="auto" w:fill="auto"/>
            <w:vAlign w:val="bottom"/>
          </w:tcPr>
          <w:p w14:paraId="564CF60C"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c>
          <w:tcPr>
            <w:tcW w:w="2413" w:type="dxa"/>
            <w:tcBorders>
              <w:top w:val="single" w:sz="12" w:space="0" w:color="auto"/>
            </w:tcBorders>
            <w:shd w:val="clear" w:color="auto" w:fill="auto"/>
            <w:vAlign w:val="bottom"/>
          </w:tcPr>
          <w:p w14:paraId="61881368"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r>
      <w:tr w:rsidR="00263BCB" w:rsidRPr="00103651" w14:paraId="217E0053" w14:textId="77777777" w:rsidTr="00103651">
        <w:tc>
          <w:tcPr>
            <w:tcW w:w="2254" w:type="dxa"/>
            <w:shd w:val="clear" w:color="auto" w:fill="auto"/>
          </w:tcPr>
          <w:p w14:paraId="679C77B8" w14:textId="77777777" w:rsidR="00263BCB" w:rsidRPr="00103651" w:rsidRDefault="00263BCB" w:rsidP="00103651">
            <w:pPr>
              <w:pStyle w:val="SingleTxtG"/>
              <w:spacing w:before="40" w:after="40" w:line="220" w:lineRule="exact"/>
              <w:ind w:left="0" w:right="113"/>
              <w:jc w:val="left"/>
              <w:rPr>
                <w:sz w:val="18"/>
              </w:rPr>
            </w:pPr>
            <w:r w:rsidRPr="00103651">
              <w:rPr>
                <w:sz w:val="18"/>
              </w:rPr>
              <w:t>16</w:t>
            </w:r>
          </w:p>
        </w:tc>
        <w:tc>
          <w:tcPr>
            <w:tcW w:w="2623" w:type="dxa"/>
            <w:shd w:val="clear" w:color="auto" w:fill="auto"/>
            <w:vAlign w:val="bottom"/>
          </w:tcPr>
          <w:p w14:paraId="78A9C1C1" w14:textId="77777777" w:rsidR="00263BCB" w:rsidRPr="00103651" w:rsidRDefault="00263BCB" w:rsidP="00103651">
            <w:pPr>
              <w:pStyle w:val="SingleTxtG"/>
              <w:spacing w:before="40" w:after="40" w:line="220" w:lineRule="exact"/>
              <w:ind w:left="0" w:right="113"/>
              <w:jc w:val="right"/>
              <w:rPr>
                <w:sz w:val="18"/>
              </w:rPr>
            </w:pPr>
            <w:r w:rsidRPr="00103651">
              <w:rPr>
                <w:sz w:val="18"/>
              </w:rPr>
              <w:t>(779)</w:t>
            </w:r>
          </w:p>
        </w:tc>
        <w:tc>
          <w:tcPr>
            <w:tcW w:w="2338" w:type="dxa"/>
            <w:shd w:val="clear" w:color="auto" w:fill="auto"/>
            <w:vAlign w:val="bottom"/>
          </w:tcPr>
          <w:p w14:paraId="237B093E"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c>
          <w:tcPr>
            <w:tcW w:w="2413" w:type="dxa"/>
            <w:shd w:val="clear" w:color="auto" w:fill="auto"/>
            <w:vAlign w:val="bottom"/>
          </w:tcPr>
          <w:p w14:paraId="421E5A61" w14:textId="77777777" w:rsidR="00263BCB" w:rsidRPr="00103651" w:rsidRDefault="00263BCB" w:rsidP="00103651">
            <w:pPr>
              <w:pStyle w:val="SingleTxtG"/>
              <w:spacing w:before="40" w:after="40" w:line="220" w:lineRule="exact"/>
              <w:ind w:left="0" w:right="113"/>
              <w:jc w:val="right"/>
              <w:rPr>
                <w:sz w:val="18"/>
              </w:rPr>
            </w:pPr>
            <w:r w:rsidRPr="00103651">
              <w:rPr>
                <w:sz w:val="18"/>
              </w:rPr>
              <w:t>(606)</w:t>
            </w:r>
          </w:p>
        </w:tc>
      </w:tr>
      <w:tr w:rsidR="00263BCB" w:rsidRPr="00103651" w14:paraId="0781DA71" w14:textId="77777777" w:rsidTr="00103651">
        <w:tc>
          <w:tcPr>
            <w:tcW w:w="2254" w:type="dxa"/>
            <w:shd w:val="clear" w:color="auto" w:fill="auto"/>
          </w:tcPr>
          <w:p w14:paraId="79DF35C2" w14:textId="77777777" w:rsidR="00263BCB" w:rsidRPr="00103651" w:rsidRDefault="00263BCB" w:rsidP="00103651">
            <w:pPr>
              <w:pStyle w:val="SingleTxtG"/>
              <w:spacing w:before="40" w:after="40" w:line="220" w:lineRule="exact"/>
              <w:ind w:left="0" w:right="113"/>
              <w:jc w:val="left"/>
              <w:rPr>
                <w:sz w:val="18"/>
              </w:rPr>
            </w:pPr>
            <w:r w:rsidRPr="00103651">
              <w:rPr>
                <w:sz w:val="18"/>
              </w:rPr>
              <w:t>17</w:t>
            </w:r>
          </w:p>
        </w:tc>
        <w:tc>
          <w:tcPr>
            <w:tcW w:w="2623" w:type="dxa"/>
            <w:shd w:val="clear" w:color="auto" w:fill="auto"/>
            <w:vAlign w:val="bottom"/>
          </w:tcPr>
          <w:p w14:paraId="031E49DE" w14:textId="77777777" w:rsidR="00263BCB" w:rsidRPr="00103651" w:rsidRDefault="00263BCB" w:rsidP="00103651">
            <w:pPr>
              <w:pStyle w:val="SingleTxtG"/>
              <w:spacing w:before="40" w:after="40" w:line="220" w:lineRule="exact"/>
              <w:ind w:left="0" w:right="113"/>
              <w:jc w:val="right"/>
              <w:rPr>
                <w:sz w:val="18"/>
              </w:rPr>
            </w:pPr>
            <w:r w:rsidRPr="00103651">
              <w:rPr>
                <w:sz w:val="18"/>
              </w:rPr>
              <w:t>(578)</w:t>
            </w:r>
          </w:p>
        </w:tc>
        <w:tc>
          <w:tcPr>
            <w:tcW w:w="2338" w:type="dxa"/>
            <w:shd w:val="clear" w:color="auto" w:fill="auto"/>
            <w:vAlign w:val="bottom"/>
          </w:tcPr>
          <w:p w14:paraId="3C047CD3"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c>
          <w:tcPr>
            <w:tcW w:w="2413" w:type="dxa"/>
            <w:shd w:val="clear" w:color="auto" w:fill="auto"/>
            <w:vAlign w:val="bottom"/>
          </w:tcPr>
          <w:p w14:paraId="133586D2"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r>
      <w:tr w:rsidR="00263BCB" w:rsidRPr="00103651" w14:paraId="7F4ED99D" w14:textId="77777777" w:rsidTr="00103651">
        <w:tc>
          <w:tcPr>
            <w:tcW w:w="2254" w:type="dxa"/>
            <w:tcBorders>
              <w:bottom w:val="single" w:sz="4" w:space="0" w:color="auto"/>
            </w:tcBorders>
            <w:shd w:val="clear" w:color="auto" w:fill="auto"/>
          </w:tcPr>
          <w:p w14:paraId="1BA5E4B7" w14:textId="77777777" w:rsidR="00263BCB" w:rsidRPr="00103651" w:rsidRDefault="00263BCB" w:rsidP="00103651">
            <w:pPr>
              <w:pStyle w:val="SingleTxtG"/>
              <w:spacing w:before="40" w:after="40" w:line="220" w:lineRule="exact"/>
              <w:ind w:left="0" w:right="113"/>
              <w:jc w:val="left"/>
              <w:rPr>
                <w:sz w:val="18"/>
              </w:rPr>
            </w:pPr>
            <w:r w:rsidRPr="00103651">
              <w:rPr>
                <w:sz w:val="18"/>
              </w:rPr>
              <w:t>18</w:t>
            </w:r>
          </w:p>
        </w:tc>
        <w:tc>
          <w:tcPr>
            <w:tcW w:w="2623" w:type="dxa"/>
            <w:tcBorders>
              <w:bottom w:val="single" w:sz="4" w:space="0" w:color="auto"/>
            </w:tcBorders>
            <w:shd w:val="clear" w:color="auto" w:fill="auto"/>
            <w:vAlign w:val="bottom"/>
          </w:tcPr>
          <w:p w14:paraId="4643F4C8" w14:textId="77777777" w:rsidR="00263BCB" w:rsidRPr="00103651" w:rsidRDefault="00263BCB" w:rsidP="00103651">
            <w:pPr>
              <w:pStyle w:val="SingleTxtG"/>
              <w:spacing w:before="40" w:after="40" w:line="220" w:lineRule="exact"/>
              <w:ind w:left="0" w:right="113"/>
              <w:jc w:val="right"/>
              <w:rPr>
                <w:sz w:val="18"/>
              </w:rPr>
            </w:pPr>
            <w:r w:rsidRPr="00103651">
              <w:rPr>
                <w:sz w:val="18"/>
              </w:rPr>
              <w:t>(875)</w:t>
            </w:r>
          </w:p>
        </w:tc>
        <w:tc>
          <w:tcPr>
            <w:tcW w:w="2338" w:type="dxa"/>
            <w:tcBorders>
              <w:bottom w:val="single" w:sz="4" w:space="0" w:color="auto"/>
            </w:tcBorders>
            <w:shd w:val="clear" w:color="auto" w:fill="auto"/>
            <w:vAlign w:val="bottom"/>
          </w:tcPr>
          <w:p w14:paraId="38126E41" w14:textId="77777777" w:rsidR="00263BCB" w:rsidRPr="00103651" w:rsidRDefault="00263BCB" w:rsidP="00103651">
            <w:pPr>
              <w:pStyle w:val="SingleTxtG"/>
              <w:spacing w:before="40" w:after="40" w:line="220" w:lineRule="exact"/>
              <w:ind w:left="0" w:right="113"/>
              <w:jc w:val="right"/>
              <w:rPr>
                <w:sz w:val="18"/>
              </w:rPr>
            </w:pPr>
            <w:r w:rsidRPr="00103651">
              <w:rPr>
                <w:sz w:val="18"/>
              </w:rPr>
              <w:t>(676)</w:t>
            </w:r>
          </w:p>
        </w:tc>
        <w:tc>
          <w:tcPr>
            <w:tcW w:w="2413" w:type="dxa"/>
            <w:tcBorders>
              <w:bottom w:val="single" w:sz="4" w:space="0" w:color="auto"/>
            </w:tcBorders>
            <w:shd w:val="clear" w:color="auto" w:fill="auto"/>
            <w:vAlign w:val="bottom"/>
          </w:tcPr>
          <w:p w14:paraId="361C8609"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r>
      <w:tr w:rsidR="00263BCB" w:rsidRPr="00103651" w14:paraId="02672970" w14:textId="77777777" w:rsidTr="00103651">
        <w:tc>
          <w:tcPr>
            <w:tcW w:w="2254" w:type="dxa"/>
            <w:tcBorders>
              <w:top w:val="single" w:sz="4" w:space="0" w:color="auto"/>
              <w:bottom w:val="single" w:sz="12" w:space="0" w:color="auto"/>
            </w:tcBorders>
            <w:shd w:val="clear" w:color="auto" w:fill="auto"/>
          </w:tcPr>
          <w:p w14:paraId="0EFF4DC8" w14:textId="77777777" w:rsidR="00263BCB" w:rsidRPr="00103651" w:rsidRDefault="00263BCB" w:rsidP="00103651">
            <w:pPr>
              <w:pStyle w:val="SingleTxtG"/>
              <w:spacing w:before="80" w:after="80" w:line="220" w:lineRule="exact"/>
              <w:ind w:left="283" w:right="113"/>
              <w:jc w:val="left"/>
              <w:rPr>
                <w:b/>
                <w:sz w:val="18"/>
              </w:rPr>
            </w:pPr>
            <w:r w:rsidRPr="00103651">
              <w:rPr>
                <w:b/>
                <w:sz w:val="18"/>
              </w:rPr>
              <w:t>Total</w:t>
            </w:r>
          </w:p>
        </w:tc>
        <w:tc>
          <w:tcPr>
            <w:tcW w:w="2623" w:type="dxa"/>
            <w:tcBorders>
              <w:top w:val="single" w:sz="4" w:space="0" w:color="auto"/>
              <w:bottom w:val="single" w:sz="12" w:space="0" w:color="auto"/>
            </w:tcBorders>
            <w:shd w:val="clear" w:color="auto" w:fill="auto"/>
            <w:vAlign w:val="bottom"/>
          </w:tcPr>
          <w:p w14:paraId="73579AF0" w14:textId="3309FB2E" w:rsidR="00263BCB" w:rsidRPr="00103651" w:rsidRDefault="00263BCB" w:rsidP="00103651">
            <w:pPr>
              <w:pStyle w:val="SingleTxtG"/>
              <w:spacing w:before="80" w:after="80" w:line="220" w:lineRule="exact"/>
              <w:ind w:left="0" w:right="113"/>
              <w:jc w:val="right"/>
              <w:rPr>
                <w:b/>
                <w:sz w:val="18"/>
              </w:rPr>
            </w:pPr>
            <w:r w:rsidRPr="00103651">
              <w:rPr>
                <w:b/>
                <w:sz w:val="18"/>
              </w:rPr>
              <w:t>2</w:t>
            </w:r>
            <w:r w:rsidR="00103651" w:rsidRPr="00103651">
              <w:rPr>
                <w:b/>
                <w:sz w:val="18"/>
              </w:rPr>
              <w:t xml:space="preserve"> </w:t>
            </w:r>
            <w:r w:rsidRPr="00103651">
              <w:rPr>
                <w:b/>
                <w:sz w:val="18"/>
              </w:rPr>
              <w:t>383</w:t>
            </w:r>
          </w:p>
        </w:tc>
        <w:tc>
          <w:tcPr>
            <w:tcW w:w="2338" w:type="dxa"/>
            <w:tcBorders>
              <w:top w:val="single" w:sz="4" w:space="0" w:color="auto"/>
              <w:bottom w:val="single" w:sz="12" w:space="0" w:color="auto"/>
            </w:tcBorders>
            <w:shd w:val="clear" w:color="auto" w:fill="auto"/>
            <w:vAlign w:val="bottom"/>
          </w:tcPr>
          <w:p w14:paraId="02DFEC9E" w14:textId="20F5E576" w:rsidR="00263BCB" w:rsidRPr="00103651" w:rsidRDefault="00263BCB" w:rsidP="00103651">
            <w:pPr>
              <w:pStyle w:val="SingleTxtG"/>
              <w:spacing w:before="80" w:after="80" w:line="220" w:lineRule="exact"/>
              <w:ind w:left="0" w:right="113"/>
              <w:jc w:val="right"/>
              <w:rPr>
                <w:b/>
                <w:sz w:val="18"/>
              </w:rPr>
            </w:pPr>
            <w:r w:rsidRPr="00103651">
              <w:rPr>
                <w:b/>
                <w:sz w:val="18"/>
              </w:rPr>
              <w:t>(1</w:t>
            </w:r>
            <w:r w:rsidR="00103651" w:rsidRPr="00103651">
              <w:rPr>
                <w:b/>
                <w:sz w:val="18"/>
              </w:rPr>
              <w:t xml:space="preserve"> </w:t>
            </w:r>
            <w:r w:rsidRPr="00103651">
              <w:rPr>
                <w:b/>
                <w:sz w:val="18"/>
              </w:rPr>
              <w:t>379)</w:t>
            </w:r>
          </w:p>
        </w:tc>
        <w:tc>
          <w:tcPr>
            <w:tcW w:w="2413" w:type="dxa"/>
            <w:tcBorders>
              <w:top w:val="single" w:sz="4" w:space="0" w:color="auto"/>
              <w:bottom w:val="single" w:sz="12" w:space="0" w:color="auto"/>
            </w:tcBorders>
            <w:shd w:val="clear" w:color="auto" w:fill="auto"/>
            <w:vAlign w:val="bottom"/>
          </w:tcPr>
          <w:p w14:paraId="63850D96" w14:textId="147099DD" w:rsidR="00263BCB" w:rsidRPr="00103651" w:rsidRDefault="00263BCB" w:rsidP="00103651">
            <w:pPr>
              <w:pStyle w:val="SingleTxtG"/>
              <w:spacing w:before="80" w:after="80" w:line="220" w:lineRule="exact"/>
              <w:ind w:left="0" w:right="113"/>
              <w:jc w:val="right"/>
              <w:rPr>
                <w:b/>
                <w:sz w:val="18"/>
              </w:rPr>
            </w:pPr>
            <w:r w:rsidRPr="00103651">
              <w:rPr>
                <w:b/>
                <w:sz w:val="18"/>
              </w:rPr>
              <w:t>(1</w:t>
            </w:r>
            <w:r w:rsidR="00103651" w:rsidRPr="00103651">
              <w:rPr>
                <w:b/>
                <w:sz w:val="18"/>
              </w:rPr>
              <w:t xml:space="preserve"> </w:t>
            </w:r>
            <w:r w:rsidRPr="00103651">
              <w:rPr>
                <w:b/>
                <w:sz w:val="18"/>
              </w:rPr>
              <w:t>005)</w:t>
            </w:r>
          </w:p>
        </w:tc>
      </w:tr>
    </w:tbl>
    <w:p w14:paraId="4AAD4E0E" w14:textId="77777777" w:rsidR="00263BCB" w:rsidRPr="008E0AD7" w:rsidRDefault="00263BCB" w:rsidP="00263BCB">
      <w:pPr>
        <w:pStyle w:val="H23G"/>
        <w:rPr>
          <w:rStyle w:val="FootnoteReference"/>
          <w:b w:val="0"/>
          <w:bCs/>
        </w:rPr>
      </w:pPr>
      <w:r>
        <w:tab/>
      </w:r>
      <w:r>
        <w:tab/>
      </w:r>
      <w:bookmarkStart w:id="80" w:name="_Toc56781477"/>
      <w:r w:rsidRPr="005D213B">
        <w:t>Employed young p</w:t>
      </w:r>
      <w:r>
        <w:t>eople aged 15 to 18 years, 2015</w:t>
      </w:r>
      <w:r w:rsidRPr="008E0AD7">
        <w:rPr>
          <w:rStyle w:val="FootnoteReference"/>
          <w:b w:val="0"/>
          <w:bCs/>
        </w:rPr>
        <w:footnoteReference w:id="47"/>
      </w:r>
      <w:bookmarkEnd w:id="80"/>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93"/>
        <w:gridCol w:w="1798"/>
        <w:gridCol w:w="1719"/>
        <w:gridCol w:w="2360"/>
      </w:tblGrid>
      <w:tr w:rsidR="00263BCB" w:rsidRPr="00103651" w14:paraId="4CB693C1" w14:textId="77777777" w:rsidTr="00103651">
        <w:trPr>
          <w:tblHeader/>
        </w:trPr>
        <w:tc>
          <w:tcPr>
            <w:tcW w:w="1266" w:type="dxa"/>
            <w:tcBorders>
              <w:top w:val="single" w:sz="4" w:space="0" w:color="auto"/>
              <w:bottom w:val="single" w:sz="12" w:space="0" w:color="auto"/>
            </w:tcBorders>
            <w:shd w:val="clear" w:color="auto" w:fill="auto"/>
            <w:vAlign w:val="bottom"/>
          </w:tcPr>
          <w:p w14:paraId="75985AE8" w14:textId="77777777" w:rsidR="00263BCB" w:rsidRPr="00103651" w:rsidRDefault="00263BCB" w:rsidP="00103651">
            <w:pPr>
              <w:pStyle w:val="SingleTxtG"/>
              <w:spacing w:before="80" w:after="80" w:line="200" w:lineRule="exact"/>
              <w:ind w:left="0" w:right="113"/>
              <w:jc w:val="left"/>
              <w:rPr>
                <w:i/>
                <w:sz w:val="16"/>
              </w:rPr>
            </w:pPr>
            <w:r w:rsidRPr="00103651">
              <w:rPr>
                <w:i/>
                <w:sz w:val="16"/>
              </w:rPr>
              <w:t>Age</w:t>
            </w:r>
          </w:p>
        </w:tc>
        <w:tc>
          <w:tcPr>
            <w:tcW w:w="1524" w:type="dxa"/>
            <w:tcBorders>
              <w:top w:val="single" w:sz="4" w:space="0" w:color="auto"/>
              <w:bottom w:val="single" w:sz="12" w:space="0" w:color="auto"/>
            </w:tcBorders>
            <w:shd w:val="clear" w:color="auto" w:fill="auto"/>
            <w:vAlign w:val="bottom"/>
          </w:tcPr>
          <w:p w14:paraId="70E475BB" w14:textId="77777777" w:rsidR="00263BCB" w:rsidRPr="00103651" w:rsidRDefault="00263BCB" w:rsidP="00103651">
            <w:pPr>
              <w:pStyle w:val="SingleTxtG"/>
              <w:spacing w:before="80" w:after="80" w:line="200" w:lineRule="exact"/>
              <w:ind w:left="0" w:right="113"/>
              <w:jc w:val="right"/>
              <w:rPr>
                <w:i/>
                <w:sz w:val="16"/>
              </w:rPr>
            </w:pPr>
            <w:r w:rsidRPr="00103651">
              <w:rPr>
                <w:i/>
                <w:sz w:val="16"/>
              </w:rPr>
              <w:t>Number of employees:</w:t>
            </w:r>
          </w:p>
        </w:tc>
        <w:tc>
          <w:tcPr>
            <w:tcW w:w="1457" w:type="dxa"/>
            <w:tcBorders>
              <w:top w:val="single" w:sz="4" w:space="0" w:color="auto"/>
              <w:bottom w:val="single" w:sz="12" w:space="0" w:color="auto"/>
            </w:tcBorders>
            <w:shd w:val="clear" w:color="auto" w:fill="auto"/>
            <w:vAlign w:val="bottom"/>
          </w:tcPr>
          <w:p w14:paraId="07858617" w14:textId="77777777" w:rsidR="00263BCB" w:rsidRPr="00103651" w:rsidRDefault="00263BCB" w:rsidP="00103651">
            <w:pPr>
              <w:pStyle w:val="SingleTxtG"/>
              <w:spacing w:before="80" w:after="80" w:line="200" w:lineRule="exact"/>
              <w:ind w:left="0" w:right="113"/>
              <w:jc w:val="right"/>
              <w:rPr>
                <w:i/>
                <w:sz w:val="16"/>
              </w:rPr>
            </w:pPr>
            <w:r w:rsidRPr="00103651">
              <w:rPr>
                <w:i/>
                <w:sz w:val="16"/>
              </w:rPr>
              <w:t>Men</w:t>
            </w:r>
          </w:p>
        </w:tc>
        <w:tc>
          <w:tcPr>
            <w:tcW w:w="2001" w:type="dxa"/>
            <w:tcBorders>
              <w:top w:val="single" w:sz="4" w:space="0" w:color="auto"/>
              <w:bottom w:val="single" w:sz="12" w:space="0" w:color="auto"/>
            </w:tcBorders>
            <w:shd w:val="clear" w:color="auto" w:fill="auto"/>
            <w:vAlign w:val="bottom"/>
          </w:tcPr>
          <w:p w14:paraId="2875DD46" w14:textId="77777777" w:rsidR="00263BCB" w:rsidRPr="00103651" w:rsidRDefault="00263BCB" w:rsidP="00103651">
            <w:pPr>
              <w:pStyle w:val="SingleTxtG"/>
              <w:spacing w:before="80" w:after="80" w:line="200" w:lineRule="exact"/>
              <w:ind w:left="0" w:right="113"/>
              <w:jc w:val="right"/>
              <w:rPr>
                <w:i/>
                <w:sz w:val="16"/>
              </w:rPr>
            </w:pPr>
            <w:r w:rsidRPr="00103651">
              <w:rPr>
                <w:i/>
                <w:sz w:val="16"/>
              </w:rPr>
              <w:t>Women</w:t>
            </w:r>
          </w:p>
        </w:tc>
      </w:tr>
      <w:tr w:rsidR="00263BCB" w:rsidRPr="00103651" w14:paraId="39515B82" w14:textId="77777777" w:rsidTr="00103651">
        <w:tc>
          <w:tcPr>
            <w:tcW w:w="1266" w:type="dxa"/>
            <w:tcBorders>
              <w:top w:val="single" w:sz="12" w:space="0" w:color="auto"/>
            </w:tcBorders>
            <w:shd w:val="clear" w:color="auto" w:fill="auto"/>
          </w:tcPr>
          <w:p w14:paraId="134F3E57" w14:textId="77777777" w:rsidR="00263BCB" w:rsidRPr="00103651" w:rsidRDefault="00263BCB" w:rsidP="00103651">
            <w:pPr>
              <w:pStyle w:val="SingleTxtG"/>
              <w:spacing w:before="40" w:after="40" w:line="220" w:lineRule="exact"/>
              <w:ind w:left="0" w:right="113"/>
              <w:jc w:val="left"/>
              <w:rPr>
                <w:sz w:val="18"/>
              </w:rPr>
            </w:pPr>
            <w:r w:rsidRPr="00103651">
              <w:rPr>
                <w:sz w:val="18"/>
              </w:rPr>
              <w:t>15</w:t>
            </w:r>
          </w:p>
        </w:tc>
        <w:tc>
          <w:tcPr>
            <w:tcW w:w="1524" w:type="dxa"/>
            <w:tcBorders>
              <w:top w:val="single" w:sz="12" w:space="0" w:color="auto"/>
            </w:tcBorders>
            <w:shd w:val="clear" w:color="auto" w:fill="auto"/>
            <w:vAlign w:val="bottom"/>
          </w:tcPr>
          <w:p w14:paraId="6217404F"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c>
          <w:tcPr>
            <w:tcW w:w="1457" w:type="dxa"/>
            <w:tcBorders>
              <w:top w:val="single" w:sz="12" w:space="0" w:color="auto"/>
            </w:tcBorders>
            <w:shd w:val="clear" w:color="auto" w:fill="auto"/>
            <w:vAlign w:val="bottom"/>
          </w:tcPr>
          <w:p w14:paraId="310AF316"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c>
          <w:tcPr>
            <w:tcW w:w="2001" w:type="dxa"/>
            <w:tcBorders>
              <w:top w:val="single" w:sz="12" w:space="0" w:color="auto"/>
            </w:tcBorders>
            <w:shd w:val="clear" w:color="auto" w:fill="auto"/>
            <w:vAlign w:val="bottom"/>
          </w:tcPr>
          <w:p w14:paraId="0C1C6B69"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r>
      <w:tr w:rsidR="00263BCB" w:rsidRPr="00103651" w14:paraId="18DD4254" w14:textId="77777777" w:rsidTr="00103651">
        <w:tc>
          <w:tcPr>
            <w:tcW w:w="1266" w:type="dxa"/>
            <w:shd w:val="clear" w:color="auto" w:fill="auto"/>
          </w:tcPr>
          <w:p w14:paraId="01306532" w14:textId="77777777" w:rsidR="00263BCB" w:rsidRPr="00103651" w:rsidRDefault="00263BCB" w:rsidP="00103651">
            <w:pPr>
              <w:pStyle w:val="SingleTxtG"/>
              <w:spacing w:before="40" w:after="40" w:line="220" w:lineRule="exact"/>
              <w:ind w:left="0" w:right="113"/>
              <w:jc w:val="left"/>
              <w:rPr>
                <w:sz w:val="18"/>
              </w:rPr>
            </w:pPr>
            <w:r w:rsidRPr="00103651">
              <w:rPr>
                <w:sz w:val="18"/>
              </w:rPr>
              <w:t>16</w:t>
            </w:r>
          </w:p>
        </w:tc>
        <w:tc>
          <w:tcPr>
            <w:tcW w:w="1524" w:type="dxa"/>
            <w:shd w:val="clear" w:color="auto" w:fill="auto"/>
            <w:vAlign w:val="bottom"/>
          </w:tcPr>
          <w:p w14:paraId="38A6CFE9" w14:textId="77777777" w:rsidR="00263BCB" w:rsidRPr="00103651" w:rsidRDefault="00263BCB" w:rsidP="00103651">
            <w:pPr>
              <w:pStyle w:val="SingleTxtG"/>
              <w:spacing w:before="40" w:after="40" w:line="220" w:lineRule="exact"/>
              <w:ind w:left="0" w:right="113"/>
              <w:jc w:val="right"/>
              <w:rPr>
                <w:sz w:val="18"/>
              </w:rPr>
            </w:pPr>
            <w:r w:rsidRPr="00103651">
              <w:rPr>
                <w:sz w:val="18"/>
              </w:rPr>
              <w:t>(939)</w:t>
            </w:r>
          </w:p>
        </w:tc>
        <w:tc>
          <w:tcPr>
            <w:tcW w:w="1457" w:type="dxa"/>
            <w:shd w:val="clear" w:color="auto" w:fill="auto"/>
            <w:vAlign w:val="bottom"/>
          </w:tcPr>
          <w:p w14:paraId="7282DF94" w14:textId="77777777" w:rsidR="00263BCB" w:rsidRPr="00103651" w:rsidRDefault="00263BCB" w:rsidP="00103651">
            <w:pPr>
              <w:pStyle w:val="SingleTxtG"/>
              <w:spacing w:before="40" w:after="40" w:line="220" w:lineRule="exact"/>
              <w:ind w:left="0" w:right="113"/>
              <w:jc w:val="right"/>
              <w:rPr>
                <w:sz w:val="18"/>
              </w:rPr>
            </w:pPr>
            <w:r w:rsidRPr="00103651">
              <w:rPr>
                <w:sz w:val="18"/>
              </w:rPr>
              <w:t>(679)</w:t>
            </w:r>
          </w:p>
        </w:tc>
        <w:tc>
          <w:tcPr>
            <w:tcW w:w="2001" w:type="dxa"/>
            <w:shd w:val="clear" w:color="auto" w:fill="auto"/>
            <w:vAlign w:val="bottom"/>
          </w:tcPr>
          <w:p w14:paraId="21C83671"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r>
      <w:tr w:rsidR="00263BCB" w:rsidRPr="00103651" w14:paraId="383285A2" w14:textId="77777777" w:rsidTr="00103651">
        <w:tc>
          <w:tcPr>
            <w:tcW w:w="1266" w:type="dxa"/>
            <w:shd w:val="clear" w:color="auto" w:fill="auto"/>
          </w:tcPr>
          <w:p w14:paraId="7B46499C" w14:textId="77777777" w:rsidR="00263BCB" w:rsidRPr="00103651" w:rsidRDefault="00263BCB" w:rsidP="00103651">
            <w:pPr>
              <w:pStyle w:val="SingleTxtG"/>
              <w:spacing w:before="40" w:after="40" w:line="220" w:lineRule="exact"/>
              <w:ind w:left="0" w:right="113"/>
              <w:jc w:val="left"/>
              <w:rPr>
                <w:sz w:val="18"/>
              </w:rPr>
            </w:pPr>
            <w:r w:rsidRPr="00103651">
              <w:rPr>
                <w:sz w:val="18"/>
              </w:rPr>
              <w:t>17</w:t>
            </w:r>
          </w:p>
        </w:tc>
        <w:tc>
          <w:tcPr>
            <w:tcW w:w="1524" w:type="dxa"/>
            <w:shd w:val="clear" w:color="auto" w:fill="auto"/>
            <w:vAlign w:val="bottom"/>
          </w:tcPr>
          <w:p w14:paraId="5282CF3F" w14:textId="515F818A" w:rsidR="00263BCB" w:rsidRPr="00103651" w:rsidRDefault="00263BCB" w:rsidP="00103651">
            <w:pPr>
              <w:pStyle w:val="SingleTxtG"/>
              <w:spacing w:before="40" w:after="40" w:line="220" w:lineRule="exact"/>
              <w:ind w:left="0" w:right="113"/>
              <w:jc w:val="right"/>
              <w:rPr>
                <w:sz w:val="18"/>
              </w:rPr>
            </w:pPr>
            <w:r w:rsidRPr="00103651">
              <w:rPr>
                <w:sz w:val="18"/>
              </w:rPr>
              <w:t>(1</w:t>
            </w:r>
            <w:r w:rsidR="00103651">
              <w:rPr>
                <w:sz w:val="18"/>
              </w:rPr>
              <w:t xml:space="preserve"> </w:t>
            </w:r>
            <w:r w:rsidRPr="00103651">
              <w:rPr>
                <w:sz w:val="18"/>
              </w:rPr>
              <w:t>059)</w:t>
            </w:r>
          </w:p>
        </w:tc>
        <w:tc>
          <w:tcPr>
            <w:tcW w:w="1457" w:type="dxa"/>
            <w:shd w:val="clear" w:color="auto" w:fill="auto"/>
            <w:vAlign w:val="bottom"/>
          </w:tcPr>
          <w:p w14:paraId="7F557B2D"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c>
          <w:tcPr>
            <w:tcW w:w="2001" w:type="dxa"/>
            <w:shd w:val="clear" w:color="auto" w:fill="auto"/>
            <w:vAlign w:val="bottom"/>
          </w:tcPr>
          <w:p w14:paraId="0D635EA5" w14:textId="77777777" w:rsidR="00263BCB" w:rsidRPr="00103651" w:rsidRDefault="00263BCB" w:rsidP="00103651">
            <w:pPr>
              <w:pStyle w:val="SingleTxtG"/>
              <w:spacing w:before="40" w:after="40" w:line="220" w:lineRule="exact"/>
              <w:ind w:left="0" w:right="113"/>
              <w:jc w:val="right"/>
              <w:rPr>
                <w:sz w:val="18"/>
              </w:rPr>
            </w:pPr>
            <w:r w:rsidRPr="00103651">
              <w:rPr>
                <w:sz w:val="18"/>
              </w:rPr>
              <w:t>(710)</w:t>
            </w:r>
          </w:p>
        </w:tc>
      </w:tr>
      <w:tr w:rsidR="00263BCB" w:rsidRPr="00103651" w14:paraId="5CAAEC47" w14:textId="77777777" w:rsidTr="001E7FB0">
        <w:tc>
          <w:tcPr>
            <w:tcW w:w="1266" w:type="dxa"/>
            <w:tcBorders>
              <w:bottom w:val="single" w:sz="4" w:space="0" w:color="auto"/>
            </w:tcBorders>
            <w:shd w:val="clear" w:color="auto" w:fill="auto"/>
          </w:tcPr>
          <w:p w14:paraId="053D5958" w14:textId="77777777" w:rsidR="00263BCB" w:rsidRPr="00103651" w:rsidRDefault="00263BCB" w:rsidP="00103651">
            <w:pPr>
              <w:pStyle w:val="SingleTxtG"/>
              <w:spacing w:before="40" w:after="40" w:line="220" w:lineRule="exact"/>
              <w:ind w:left="0" w:right="113"/>
              <w:jc w:val="left"/>
              <w:rPr>
                <w:sz w:val="18"/>
              </w:rPr>
            </w:pPr>
            <w:r w:rsidRPr="00103651">
              <w:rPr>
                <w:sz w:val="18"/>
              </w:rPr>
              <w:t>18</w:t>
            </w:r>
          </w:p>
        </w:tc>
        <w:tc>
          <w:tcPr>
            <w:tcW w:w="1524" w:type="dxa"/>
            <w:tcBorders>
              <w:bottom w:val="single" w:sz="4" w:space="0" w:color="auto"/>
            </w:tcBorders>
            <w:shd w:val="clear" w:color="auto" w:fill="auto"/>
            <w:vAlign w:val="bottom"/>
          </w:tcPr>
          <w:p w14:paraId="1D992F02" w14:textId="57F9698B" w:rsidR="00263BCB" w:rsidRPr="00103651" w:rsidRDefault="00263BCB" w:rsidP="00103651">
            <w:pPr>
              <w:pStyle w:val="SingleTxtG"/>
              <w:spacing w:before="40" w:after="40" w:line="220" w:lineRule="exact"/>
              <w:ind w:left="0" w:right="113"/>
              <w:jc w:val="right"/>
              <w:rPr>
                <w:sz w:val="18"/>
              </w:rPr>
            </w:pPr>
            <w:r w:rsidRPr="00103651">
              <w:rPr>
                <w:sz w:val="18"/>
              </w:rPr>
              <w:t>1</w:t>
            </w:r>
            <w:r w:rsidR="00103651">
              <w:rPr>
                <w:sz w:val="18"/>
              </w:rPr>
              <w:t xml:space="preserve"> </w:t>
            </w:r>
            <w:r w:rsidRPr="00103651">
              <w:rPr>
                <w:sz w:val="18"/>
              </w:rPr>
              <w:t>834</w:t>
            </w:r>
          </w:p>
        </w:tc>
        <w:tc>
          <w:tcPr>
            <w:tcW w:w="1457" w:type="dxa"/>
            <w:tcBorders>
              <w:bottom w:val="single" w:sz="4" w:space="0" w:color="auto"/>
            </w:tcBorders>
            <w:shd w:val="clear" w:color="auto" w:fill="auto"/>
            <w:vAlign w:val="bottom"/>
          </w:tcPr>
          <w:p w14:paraId="18AD0F62" w14:textId="01BEE4B6" w:rsidR="00263BCB" w:rsidRPr="00103651" w:rsidRDefault="00263BCB" w:rsidP="00103651">
            <w:pPr>
              <w:pStyle w:val="SingleTxtG"/>
              <w:spacing w:before="40" w:after="40" w:line="220" w:lineRule="exact"/>
              <w:ind w:left="0" w:right="113"/>
              <w:jc w:val="right"/>
              <w:rPr>
                <w:sz w:val="18"/>
              </w:rPr>
            </w:pPr>
            <w:r w:rsidRPr="00103651">
              <w:rPr>
                <w:sz w:val="18"/>
              </w:rPr>
              <w:t>(1</w:t>
            </w:r>
            <w:r w:rsidR="00103651">
              <w:rPr>
                <w:sz w:val="18"/>
              </w:rPr>
              <w:t xml:space="preserve"> </w:t>
            </w:r>
            <w:r w:rsidRPr="00103651">
              <w:rPr>
                <w:sz w:val="18"/>
              </w:rPr>
              <w:t>401)</w:t>
            </w:r>
          </w:p>
        </w:tc>
        <w:tc>
          <w:tcPr>
            <w:tcW w:w="2001" w:type="dxa"/>
            <w:tcBorders>
              <w:bottom w:val="single" w:sz="4" w:space="0" w:color="auto"/>
            </w:tcBorders>
            <w:shd w:val="clear" w:color="auto" w:fill="auto"/>
            <w:vAlign w:val="bottom"/>
          </w:tcPr>
          <w:p w14:paraId="4233EA29" w14:textId="77777777" w:rsidR="00263BCB" w:rsidRPr="00103651" w:rsidRDefault="00263BCB" w:rsidP="00103651">
            <w:pPr>
              <w:pStyle w:val="SingleTxtG"/>
              <w:spacing w:before="40" w:after="40" w:line="220" w:lineRule="exact"/>
              <w:ind w:left="0" w:right="113"/>
              <w:jc w:val="right"/>
              <w:rPr>
                <w:sz w:val="18"/>
              </w:rPr>
            </w:pPr>
            <w:r w:rsidRPr="00103651">
              <w:rPr>
                <w:sz w:val="18"/>
              </w:rPr>
              <w:t>:</w:t>
            </w:r>
          </w:p>
        </w:tc>
      </w:tr>
      <w:tr w:rsidR="00263BCB" w:rsidRPr="00103651" w14:paraId="42F33977" w14:textId="77777777" w:rsidTr="001E7FB0">
        <w:tc>
          <w:tcPr>
            <w:tcW w:w="1266" w:type="dxa"/>
            <w:tcBorders>
              <w:top w:val="single" w:sz="4" w:space="0" w:color="auto"/>
              <w:bottom w:val="single" w:sz="12" w:space="0" w:color="auto"/>
            </w:tcBorders>
            <w:shd w:val="clear" w:color="auto" w:fill="auto"/>
          </w:tcPr>
          <w:p w14:paraId="24374147" w14:textId="77777777" w:rsidR="00263BCB" w:rsidRPr="001E7FB0" w:rsidRDefault="00263BCB" w:rsidP="001E7FB0">
            <w:pPr>
              <w:pStyle w:val="SingleTxtG"/>
              <w:spacing w:before="80" w:after="80" w:line="220" w:lineRule="exact"/>
              <w:ind w:left="283" w:right="113" w:firstLine="1"/>
              <w:jc w:val="left"/>
              <w:rPr>
                <w:b/>
                <w:sz w:val="18"/>
              </w:rPr>
            </w:pPr>
            <w:r w:rsidRPr="001E7FB0">
              <w:rPr>
                <w:b/>
                <w:sz w:val="18"/>
              </w:rPr>
              <w:t>Total</w:t>
            </w:r>
          </w:p>
        </w:tc>
        <w:tc>
          <w:tcPr>
            <w:tcW w:w="1524" w:type="dxa"/>
            <w:tcBorders>
              <w:top w:val="single" w:sz="4" w:space="0" w:color="auto"/>
              <w:bottom w:val="single" w:sz="12" w:space="0" w:color="auto"/>
            </w:tcBorders>
            <w:shd w:val="clear" w:color="auto" w:fill="auto"/>
            <w:vAlign w:val="bottom"/>
          </w:tcPr>
          <w:p w14:paraId="76D00054" w14:textId="1652CE3E" w:rsidR="00263BCB" w:rsidRPr="001E7FB0" w:rsidRDefault="00263BCB" w:rsidP="001E7FB0">
            <w:pPr>
              <w:pStyle w:val="SingleTxtG"/>
              <w:spacing w:before="80" w:after="80" w:line="220" w:lineRule="exact"/>
              <w:ind w:left="0" w:right="113"/>
              <w:jc w:val="right"/>
              <w:rPr>
                <w:b/>
                <w:sz w:val="18"/>
              </w:rPr>
            </w:pPr>
            <w:r w:rsidRPr="001E7FB0">
              <w:rPr>
                <w:b/>
                <w:sz w:val="18"/>
              </w:rPr>
              <w:t>4</w:t>
            </w:r>
            <w:r w:rsidR="00103651" w:rsidRPr="001E7FB0">
              <w:rPr>
                <w:b/>
                <w:sz w:val="18"/>
              </w:rPr>
              <w:t xml:space="preserve"> </w:t>
            </w:r>
            <w:r w:rsidRPr="001E7FB0">
              <w:rPr>
                <w:b/>
                <w:sz w:val="18"/>
              </w:rPr>
              <w:t>155</w:t>
            </w:r>
          </w:p>
        </w:tc>
        <w:tc>
          <w:tcPr>
            <w:tcW w:w="1457" w:type="dxa"/>
            <w:tcBorders>
              <w:top w:val="single" w:sz="4" w:space="0" w:color="auto"/>
              <w:bottom w:val="single" w:sz="12" w:space="0" w:color="auto"/>
            </w:tcBorders>
            <w:shd w:val="clear" w:color="auto" w:fill="auto"/>
            <w:vAlign w:val="bottom"/>
          </w:tcPr>
          <w:p w14:paraId="24A997EB" w14:textId="1358D8D6" w:rsidR="00263BCB" w:rsidRPr="001E7FB0" w:rsidRDefault="00263BCB" w:rsidP="001E7FB0">
            <w:pPr>
              <w:pStyle w:val="SingleTxtG"/>
              <w:spacing w:before="80" w:after="80" w:line="220" w:lineRule="exact"/>
              <w:ind w:left="0" w:right="113"/>
              <w:jc w:val="right"/>
              <w:rPr>
                <w:b/>
                <w:sz w:val="18"/>
              </w:rPr>
            </w:pPr>
            <w:r w:rsidRPr="001E7FB0">
              <w:rPr>
                <w:b/>
                <w:sz w:val="18"/>
              </w:rPr>
              <w:t>2</w:t>
            </w:r>
            <w:r w:rsidR="00103651" w:rsidRPr="001E7FB0">
              <w:rPr>
                <w:b/>
                <w:sz w:val="18"/>
              </w:rPr>
              <w:t xml:space="preserve"> </w:t>
            </w:r>
            <w:r w:rsidRPr="001E7FB0">
              <w:rPr>
                <w:b/>
                <w:sz w:val="18"/>
              </w:rPr>
              <w:t>503</w:t>
            </w:r>
          </w:p>
        </w:tc>
        <w:tc>
          <w:tcPr>
            <w:tcW w:w="2001" w:type="dxa"/>
            <w:tcBorders>
              <w:top w:val="single" w:sz="4" w:space="0" w:color="auto"/>
              <w:bottom w:val="single" w:sz="12" w:space="0" w:color="auto"/>
            </w:tcBorders>
            <w:shd w:val="clear" w:color="auto" w:fill="auto"/>
            <w:vAlign w:val="bottom"/>
          </w:tcPr>
          <w:p w14:paraId="1935E086" w14:textId="52833E7E" w:rsidR="00263BCB" w:rsidRPr="001E7FB0" w:rsidRDefault="00263BCB" w:rsidP="001E7FB0">
            <w:pPr>
              <w:pStyle w:val="SingleTxtG"/>
              <w:spacing w:before="80" w:after="80" w:line="220" w:lineRule="exact"/>
              <w:ind w:left="0" w:right="113"/>
              <w:jc w:val="right"/>
              <w:rPr>
                <w:b/>
                <w:sz w:val="18"/>
              </w:rPr>
            </w:pPr>
            <w:r w:rsidRPr="001E7FB0">
              <w:rPr>
                <w:b/>
                <w:sz w:val="18"/>
              </w:rPr>
              <w:t>1</w:t>
            </w:r>
            <w:r w:rsidR="00103651" w:rsidRPr="001E7FB0">
              <w:rPr>
                <w:b/>
                <w:sz w:val="18"/>
              </w:rPr>
              <w:t xml:space="preserve"> </w:t>
            </w:r>
            <w:r w:rsidRPr="001E7FB0">
              <w:rPr>
                <w:b/>
                <w:sz w:val="18"/>
              </w:rPr>
              <w:t>653</w:t>
            </w:r>
          </w:p>
        </w:tc>
      </w:tr>
    </w:tbl>
    <w:p w14:paraId="07F05A55" w14:textId="77777777" w:rsidR="00263BCB" w:rsidRPr="008E0AD7" w:rsidRDefault="00263BCB" w:rsidP="00263BCB">
      <w:pPr>
        <w:pStyle w:val="H23G"/>
        <w:rPr>
          <w:rStyle w:val="FootnoteReference"/>
          <w:b w:val="0"/>
          <w:bCs/>
        </w:rPr>
      </w:pPr>
      <w:r>
        <w:tab/>
      </w:r>
      <w:r>
        <w:tab/>
      </w:r>
      <w:bookmarkStart w:id="81" w:name="_Toc56781478"/>
      <w:r w:rsidRPr="003C729B">
        <w:t>Employed young p</w:t>
      </w:r>
      <w:r>
        <w:t>eople aged 15 to 18 years, 2016</w:t>
      </w:r>
      <w:r w:rsidRPr="008E0AD7">
        <w:rPr>
          <w:rStyle w:val="FootnoteReference"/>
          <w:b w:val="0"/>
          <w:bCs/>
        </w:rPr>
        <w:footnoteReference w:id="48"/>
      </w:r>
      <w:bookmarkEnd w:id="81"/>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671"/>
        <w:gridCol w:w="2630"/>
        <w:gridCol w:w="1549"/>
        <w:gridCol w:w="1520"/>
      </w:tblGrid>
      <w:tr w:rsidR="00263BCB" w:rsidRPr="001E7FB0" w14:paraId="12B3D7E9" w14:textId="77777777" w:rsidTr="001E7FB0">
        <w:trPr>
          <w:tblHeader/>
        </w:trPr>
        <w:tc>
          <w:tcPr>
            <w:tcW w:w="1671"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2AC62906" w14:textId="77777777" w:rsidR="00263BCB" w:rsidRPr="001E7FB0" w:rsidRDefault="00263BCB" w:rsidP="001E7FB0">
            <w:pPr>
              <w:pStyle w:val="SingleTxtG"/>
              <w:spacing w:before="80" w:after="80" w:line="200" w:lineRule="exact"/>
              <w:ind w:left="0" w:right="113"/>
              <w:jc w:val="left"/>
              <w:rPr>
                <w:i/>
                <w:sz w:val="16"/>
              </w:rPr>
            </w:pPr>
            <w:r w:rsidRPr="001E7FB0">
              <w:rPr>
                <w:i/>
                <w:sz w:val="16"/>
              </w:rPr>
              <w:t>Age</w:t>
            </w:r>
          </w:p>
        </w:tc>
        <w:tc>
          <w:tcPr>
            <w:tcW w:w="263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F20A339" w14:textId="77777777" w:rsidR="00263BCB" w:rsidRPr="001E7FB0" w:rsidRDefault="00263BCB" w:rsidP="001E7FB0">
            <w:pPr>
              <w:pStyle w:val="SingleTxtG"/>
              <w:spacing w:before="80" w:after="80" w:line="200" w:lineRule="exact"/>
              <w:ind w:left="0" w:right="113"/>
              <w:jc w:val="right"/>
              <w:rPr>
                <w:i/>
                <w:sz w:val="16"/>
              </w:rPr>
            </w:pPr>
            <w:r w:rsidRPr="001E7FB0">
              <w:rPr>
                <w:i/>
                <w:sz w:val="16"/>
              </w:rPr>
              <w:t>Number of employees:</w:t>
            </w:r>
          </w:p>
        </w:tc>
        <w:tc>
          <w:tcPr>
            <w:tcW w:w="1549"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72228597" w14:textId="77777777" w:rsidR="00263BCB" w:rsidRPr="001E7FB0" w:rsidRDefault="00263BCB" w:rsidP="001E7FB0">
            <w:pPr>
              <w:pStyle w:val="SingleTxtG"/>
              <w:spacing w:before="80" w:after="80" w:line="200" w:lineRule="exact"/>
              <w:ind w:left="0" w:right="113"/>
              <w:jc w:val="right"/>
              <w:rPr>
                <w:i/>
                <w:sz w:val="16"/>
              </w:rPr>
            </w:pPr>
            <w:r w:rsidRPr="001E7FB0">
              <w:rPr>
                <w:i/>
                <w:sz w:val="16"/>
              </w:rPr>
              <w:t>Men</w:t>
            </w:r>
          </w:p>
        </w:tc>
        <w:tc>
          <w:tcPr>
            <w:tcW w:w="152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316BE16D" w14:textId="77777777" w:rsidR="00263BCB" w:rsidRPr="001E7FB0" w:rsidRDefault="00263BCB" w:rsidP="001E7FB0">
            <w:pPr>
              <w:pStyle w:val="SingleTxtG"/>
              <w:spacing w:before="80" w:after="80" w:line="200" w:lineRule="exact"/>
              <w:ind w:left="0" w:right="113"/>
              <w:jc w:val="right"/>
              <w:rPr>
                <w:i/>
                <w:sz w:val="16"/>
              </w:rPr>
            </w:pPr>
            <w:r w:rsidRPr="001E7FB0">
              <w:rPr>
                <w:i/>
                <w:sz w:val="16"/>
              </w:rPr>
              <w:t>Women</w:t>
            </w:r>
          </w:p>
        </w:tc>
      </w:tr>
      <w:tr w:rsidR="00263BCB" w:rsidRPr="001E7FB0" w14:paraId="76423C11" w14:textId="77777777" w:rsidTr="001E7FB0">
        <w:tc>
          <w:tcPr>
            <w:tcW w:w="1671" w:type="dxa"/>
            <w:tcBorders>
              <w:top w:val="single" w:sz="12" w:space="0" w:color="auto"/>
            </w:tcBorders>
            <w:shd w:val="clear" w:color="auto" w:fill="auto"/>
            <w:noWrap/>
            <w:tcMar>
              <w:top w:w="0" w:type="dxa"/>
              <w:left w:w="0" w:type="dxa"/>
              <w:bottom w:w="0" w:type="dxa"/>
              <w:right w:w="0" w:type="dxa"/>
            </w:tcMar>
          </w:tcPr>
          <w:p w14:paraId="186EB9CC" w14:textId="77777777" w:rsidR="00263BCB" w:rsidRPr="001E7FB0" w:rsidRDefault="00263BCB" w:rsidP="001E7FB0">
            <w:pPr>
              <w:pStyle w:val="SingleTxtG"/>
              <w:spacing w:before="40" w:after="40" w:line="220" w:lineRule="exact"/>
              <w:ind w:left="0" w:right="113"/>
              <w:jc w:val="left"/>
              <w:rPr>
                <w:sz w:val="18"/>
              </w:rPr>
            </w:pPr>
            <w:r w:rsidRPr="001E7FB0">
              <w:rPr>
                <w:sz w:val="18"/>
              </w:rPr>
              <w:t>15</w:t>
            </w:r>
          </w:p>
        </w:tc>
        <w:tc>
          <w:tcPr>
            <w:tcW w:w="2630" w:type="dxa"/>
            <w:tcBorders>
              <w:top w:val="single" w:sz="12" w:space="0" w:color="auto"/>
            </w:tcBorders>
            <w:shd w:val="clear" w:color="auto" w:fill="auto"/>
            <w:noWrap/>
            <w:tcMar>
              <w:top w:w="0" w:type="dxa"/>
              <w:left w:w="0" w:type="dxa"/>
              <w:bottom w:w="0" w:type="dxa"/>
              <w:right w:w="0" w:type="dxa"/>
            </w:tcMar>
            <w:vAlign w:val="bottom"/>
          </w:tcPr>
          <w:p w14:paraId="6ADA8AC4"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c>
          <w:tcPr>
            <w:tcW w:w="1549" w:type="dxa"/>
            <w:tcBorders>
              <w:top w:val="single" w:sz="12" w:space="0" w:color="auto"/>
            </w:tcBorders>
            <w:shd w:val="clear" w:color="auto" w:fill="auto"/>
            <w:noWrap/>
            <w:tcMar>
              <w:top w:w="0" w:type="dxa"/>
              <w:left w:w="0" w:type="dxa"/>
              <w:bottom w:w="0" w:type="dxa"/>
              <w:right w:w="0" w:type="dxa"/>
            </w:tcMar>
            <w:vAlign w:val="bottom"/>
          </w:tcPr>
          <w:p w14:paraId="5D0A823A"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c>
          <w:tcPr>
            <w:tcW w:w="1520" w:type="dxa"/>
            <w:tcBorders>
              <w:top w:val="single" w:sz="12" w:space="0" w:color="auto"/>
            </w:tcBorders>
            <w:shd w:val="clear" w:color="auto" w:fill="auto"/>
            <w:noWrap/>
            <w:tcMar>
              <w:top w:w="0" w:type="dxa"/>
              <w:left w:w="0" w:type="dxa"/>
              <w:bottom w:w="0" w:type="dxa"/>
              <w:right w:w="0" w:type="dxa"/>
            </w:tcMar>
            <w:vAlign w:val="bottom"/>
          </w:tcPr>
          <w:p w14:paraId="7732E32D"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r>
      <w:tr w:rsidR="00263BCB" w:rsidRPr="001E7FB0" w14:paraId="561FD057" w14:textId="77777777" w:rsidTr="001E7FB0">
        <w:tc>
          <w:tcPr>
            <w:tcW w:w="1671" w:type="dxa"/>
            <w:shd w:val="clear" w:color="auto" w:fill="auto"/>
            <w:noWrap/>
            <w:tcMar>
              <w:top w:w="0" w:type="dxa"/>
              <w:left w:w="0" w:type="dxa"/>
              <w:bottom w:w="0" w:type="dxa"/>
              <w:right w:w="0" w:type="dxa"/>
            </w:tcMar>
          </w:tcPr>
          <w:p w14:paraId="660748CA" w14:textId="77777777" w:rsidR="00263BCB" w:rsidRPr="001E7FB0" w:rsidRDefault="00263BCB" w:rsidP="001E7FB0">
            <w:pPr>
              <w:pStyle w:val="SingleTxtG"/>
              <w:spacing w:before="40" w:after="40" w:line="220" w:lineRule="exact"/>
              <w:ind w:left="0" w:right="113"/>
              <w:jc w:val="left"/>
              <w:rPr>
                <w:sz w:val="18"/>
              </w:rPr>
            </w:pPr>
            <w:r w:rsidRPr="001E7FB0">
              <w:rPr>
                <w:sz w:val="18"/>
              </w:rPr>
              <w:t>16</w:t>
            </w:r>
          </w:p>
        </w:tc>
        <w:tc>
          <w:tcPr>
            <w:tcW w:w="2630" w:type="dxa"/>
            <w:shd w:val="clear" w:color="auto" w:fill="auto"/>
            <w:noWrap/>
            <w:tcMar>
              <w:top w:w="0" w:type="dxa"/>
              <w:left w:w="0" w:type="dxa"/>
              <w:bottom w:w="0" w:type="dxa"/>
              <w:right w:w="0" w:type="dxa"/>
            </w:tcMar>
            <w:vAlign w:val="bottom"/>
          </w:tcPr>
          <w:p w14:paraId="40806DE3"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c>
          <w:tcPr>
            <w:tcW w:w="1549" w:type="dxa"/>
            <w:shd w:val="clear" w:color="auto" w:fill="auto"/>
            <w:noWrap/>
            <w:tcMar>
              <w:top w:w="0" w:type="dxa"/>
              <w:left w:w="0" w:type="dxa"/>
              <w:bottom w:w="0" w:type="dxa"/>
              <w:right w:w="0" w:type="dxa"/>
            </w:tcMar>
            <w:vAlign w:val="bottom"/>
          </w:tcPr>
          <w:p w14:paraId="1A0464A6"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c>
          <w:tcPr>
            <w:tcW w:w="1520" w:type="dxa"/>
            <w:shd w:val="clear" w:color="auto" w:fill="auto"/>
            <w:noWrap/>
            <w:tcMar>
              <w:top w:w="0" w:type="dxa"/>
              <w:left w:w="0" w:type="dxa"/>
              <w:bottom w:w="0" w:type="dxa"/>
              <w:right w:w="0" w:type="dxa"/>
            </w:tcMar>
            <w:vAlign w:val="bottom"/>
          </w:tcPr>
          <w:p w14:paraId="3595FD36"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r>
      <w:tr w:rsidR="00263BCB" w:rsidRPr="001E7FB0" w14:paraId="7FDFD6F3" w14:textId="77777777" w:rsidTr="001E7FB0">
        <w:tc>
          <w:tcPr>
            <w:tcW w:w="1671" w:type="dxa"/>
            <w:shd w:val="clear" w:color="auto" w:fill="auto"/>
            <w:noWrap/>
            <w:tcMar>
              <w:top w:w="0" w:type="dxa"/>
              <w:left w:w="0" w:type="dxa"/>
              <w:bottom w:w="0" w:type="dxa"/>
              <w:right w:w="0" w:type="dxa"/>
            </w:tcMar>
          </w:tcPr>
          <w:p w14:paraId="1D887DA3" w14:textId="77777777" w:rsidR="00263BCB" w:rsidRPr="001E7FB0" w:rsidRDefault="00263BCB" w:rsidP="001E7FB0">
            <w:pPr>
              <w:pStyle w:val="SingleTxtG"/>
              <w:spacing w:before="40" w:after="40" w:line="220" w:lineRule="exact"/>
              <w:ind w:left="0" w:right="113"/>
              <w:jc w:val="left"/>
              <w:rPr>
                <w:sz w:val="18"/>
              </w:rPr>
            </w:pPr>
            <w:r w:rsidRPr="001E7FB0">
              <w:rPr>
                <w:sz w:val="18"/>
              </w:rPr>
              <w:t>17</w:t>
            </w:r>
          </w:p>
        </w:tc>
        <w:tc>
          <w:tcPr>
            <w:tcW w:w="2630" w:type="dxa"/>
            <w:shd w:val="clear" w:color="auto" w:fill="auto"/>
            <w:noWrap/>
            <w:tcMar>
              <w:top w:w="0" w:type="dxa"/>
              <w:left w:w="0" w:type="dxa"/>
              <w:bottom w:w="0" w:type="dxa"/>
              <w:right w:w="0" w:type="dxa"/>
            </w:tcMar>
            <w:vAlign w:val="bottom"/>
          </w:tcPr>
          <w:p w14:paraId="18489C80" w14:textId="77777777" w:rsidR="00263BCB" w:rsidRPr="001E7FB0" w:rsidRDefault="00263BCB" w:rsidP="001E7FB0">
            <w:pPr>
              <w:pStyle w:val="SingleTxtG"/>
              <w:spacing w:before="40" w:after="40" w:line="220" w:lineRule="exact"/>
              <w:ind w:left="0" w:right="113"/>
              <w:jc w:val="right"/>
              <w:rPr>
                <w:sz w:val="18"/>
              </w:rPr>
            </w:pPr>
            <w:r w:rsidRPr="001E7FB0">
              <w:rPr>
                <w:sz w:val="18"/>
              </w:rPr>
              <w:t>(783)</w:t>
            </w:r>
          </w:p>
        </w:tc>
        <w:tc>
          <w:tcPr>
            <w:tcW w:w="1549" w:type="dxa"/>
            <w:shd w:val="clear" w:color="auto" w:fill="auto"/>
            <w:noWrap/>
            <w:tcMar>
              <w:top w:w="0" w:type="dxa"/>
              <w:left w:w="0" w:type="dxa"/>
              <w:bottom w:w="0" w:type="dxa"/>
              <w:right w:w="0" w:type="dxa"/>
            </w:tcMar>
            <w:vAlign w:val="bottom"/>
          </w:tcPr>
          <w:p w14:paraId="34A89C83" w14:textId="77777777" w:rsidR="00263BCB" w:rsidRPr="001E7FB0" w:rsidRDefault="00263BCB" w:rsidP="001E7FB0">
            <w:pPr>
              <w:pStyle w:val="SingleTxtG"/>
              <w:spacing w:before="40" w:after="40" w:line="220" w:lineRule="exact"/>
              <w:ind w:left="0" w:right="113"/>
              <w:jc w:val="right"/>
              <w:rPr>
                <w:sz w:val="18"/>
              </w:rPr>
            </w:pPr>
            <w:r w:rsidRPr="001E7FB0">
              <w:rPr>
                <w:sz w:val="18"/>
              </w:rPr>
              <w:t>(580)</w:t>
            </w:r>
          </w:p>
        </w:tc>
        <w:tc>
          <w:tcPr>
            <w:tcW w:w="1520" w:type="dxa"/>
            <w:shd w:val="clear" w:color="auto" w:fill="auto"/>
            <w:noWrap/>
            <w:tcMar>
              <w:top w:w="0" w:type="dxa"/>
              <w:left w:w="0" w:type="dxa"/>
              <w:bottom w:w="0" w:type="dxa"/>
              <w:right w:w="0" w:type="dxa"/>
            </w:tcMar>
            <w:vAlign w:val="bottom"/>
          </w:tcPr>
          <w:p w14:paraId="43892867"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r>
      <w:tr w:rsidR="00263BCB" w:rsidRPr="001E7FB0" w14:paraId="1F0DA467" w14:textId="77777777" w:rsidTr="001E7FB0">
        <w:tc>
          <w:tcPr>
            <w:tcW w:w="1671" w:type="dxa"/>
            <w:tcBorders>
              <w:bottom w:val="single" w:sz="4" w:space="0" w:color="auto"/>
            </w:tcBorders>
            <w:shd w:val="clear" w:color="auto" w:fill="auto"/>
            <w:noWrap/>
            <w:tcMar>
              <w:top w:w="0" w:type="dxa"/>
              <w:left w:w="0" w:type="dxa"/>
              <w:bottom w:w="0" w:type="dxa"/>
              <w:right w:w="0" w:type="dxa"/>
            </w:tcMar>
          </w:tcPr>
          <w:p w14:paraId="494618D2" w14:textId="77777777" w:rsidR="00263BCB" w:rsidRPr="001E7FB0" w:rsidRDefault="00263BCB" w:rsidP="001E7FB0">
            <w:pPr>
              <w:pStyle w:val="SingleTxtG"/>
              <w:spacing w:before="40" w:after="40" w:line="220" w:lineRule="exact"/>
              <w:ind w:left="0" w:right="113"/>
              <w:jc w:val="left"/>
              <w:rPr>
                <w:sz w:val="18"/>
              </w:rPr>
            </w:pPr>
            <w:r w:rsidRPr="001E7FB0">
              <w:rPr>
                <w:sz w:val="18"/>
              </w:rPr>
              <w:t>18</w:t>
            </w:r>
          </w:p>
        </w:tc>
        <w:tc>
          <w:tcPr>
            <w:tcW w:w="2630" w:type="dxa"/>
            <w:tcBorders>
              <w:bottom w:val="single" w:sz="4" w:space="0" w:color="auto"/>
            </w:tcBorders>
            <w:shd w:val="clear" w:color="auto" w:fill="auto"/>
            <w:noWrap/>
            <w:tcMar>
              <w:top w:w="0" w:type="dxa"/>
              <w:left w:w="0" w:type="dxa"/>
              <w:bottom w:w="0" w:type="dxa"/>
              <w:right w:w="0" w:type="dxa"/>
            </w:tcMar>
            <w:vAlign w:val="bottom"/>
          </w:tcPr>
          <w:p w14:paraId="21330389" w14:textId="169AD0CE" w:rsidR="00263BCB" w:rsidRPr="001E7FB0" w:rsidRDefault="00263BCB" w:rsidP="001E7FB0">
            <w:pPr>
              <w:pStyle w:val="SingleTxtG"/>
              <w:spacing w:before="40" w:after="40" w:line="220" w:lineRule="exact"/>
              <w:ind w:left="0" w:right="113"/>
              <w:jc w:val="right"/>
              <w:rPr>
                <w:sz w:val="18"/>
              </w:rPr>
            </w:pPr>
            <w:r w:rsidRPr="001E7FB0">
              <w:rPr>
                <w:sz w:val="18"/>
              </w:rPr>
              <w:t>(1</w:t>
            </w:r>
            <w:r w:rsidR="001E7FB0">
              <w:rPr>
                <w:sz w:val="18"/>
              </w:rPr>
              <w:t xml:space="preserve"> </w:t>
            </w:r>
            <w:r w:rsidRPr="001E7FB0">
              <w:rPr>
                <w:sz w:val="18"/>
              </w:rPr>
              <w:t>277)</w:t>
            </w:r>
          </w:p>
        </w:tc>
        <w:tc>
          <w:tcPr>
            <w:tcW w:w="1549" w:type="dxa"/>
            <w:tcBorders>
              <w:bottom w:val="single" w:sz="4" w:space="0" w:color="auto"/>
            </w:tcBorders>
            <w:shd w:val="clear" w:color="auto" w:fill="auto"/>
            <w:noWrap/>
            <w:tcMar>
              <w:top w:w="0" w:type="dxa"/>
              <w:left w:w="0" w:type="dxa"/>
              <w:bottom w:w="0" w:type="dxa"/>
              <w:right w:w="0" w:type="dxa"/>
            </w:tcMar>
            <w:vAlign w:val="bottom"/>
          </w:tcPr>
          <w:p w14:paraId="3D1B710B" w14:textId="77777777" w:rsidR="00263BCB" w:rsidRPr="001E7FB0" w:rsidRDefault="00263BCB" w:rsidP="001E7FB0">
            <w:pPr>
              <w:pStyle w:val="SingleTxtG"/>
              <w:spacing w:before="40" w:after="40" w:line="220" w:lineRule="exact"/>
              <w:ind w:left="0" w:right="113"/>
              <w:jc w:val="right"/>
              <w:rPr>
                <w:sz w:val="18"/>
              </w:rPr>
            </w:pPr>
            <w:r w:rsidRPr="001E7FB0">
              <w:rPr>
                <w:sz w:val="18"/>
              </w:rPr>
              <w:t>(877)</w:t>
            </w:r>
          </w:p>
        </w:tc>
        <w:tc>
          <w:tcPr>
            <w:tcW w:w="1520" w:type="dxa"/>
            <w:tcBorders>
              <w:bottom w:val="single" w:sz="4" w:space="0" w:color="auto"/>
            </w:tcBorders>
            <w:shd w:val="clear" w:color="auto" w:fill="auto"/>
            <w:noWrap/>
            <w:tcMar>
              <w:top w:w="0" w:type="dxa"/>
              <w:left w:w="0" w:type="dxa"/>
              <w:bottom w:w="0" w:type="dxa"/>
              <w:right w:w="0" w:type="dxa"/>
            </w:tcMar>
            <w:vAlign w:val="bottom"/>
          </w:tcPr>
          <w:p w14:paraId="60CC7767"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r>
      <w:tr w:rsidR="00263BCB" w:rsidRPr="001E7FB0" w14:paraId="043CDCD8" w14:textId="77777777" w:rsidTr="001E7FB0">
        <w:tc>
          <w:tcPr>
            <w:tcW w:w="1671" w:type="dxa"/>
            <w:tcBorders>
              <w:top w:val="single" w:sz="4" w:space="0" w:color="auto"/>
              <w:bottom w:val="single" w:sz="12" w:space="0" w:color="auto"/>
            </w:tcBorders>
            <w:shd w:val="clear" w:color="auto" w:fill="auto"/>
            <w:noWrap/>
            <w:tcMar>
              <w:top w:w="0" w:type="dxa"/>
              <w:left w:w="0" w:type="dxa"/>
              <w:bottom w:w="0" w:type="dxa"/>
              <w:right w:w="0" w:type="dxa"/>
            </w:tcMar>
          </w:tcPr>
          <w:p w14:paraId="6968D22A" w14:textId="77777777" w:rsidR="00263BCB" w:rsidRPr="001E7FB0" w:rsidRDefault="00263BCB" w:rsidP="001E7FB0">
            <w:pPr>
              <w:pStyle w:val="SingleTxtG"/>
              <w:spacing w:before="80" w:after="80" w:line="220" w:lineRule="exact"/>
              <w:ind w:left="283" w:right="113"/>
              <w:jc w:val="left"/>
              <w:rPr>
                <w:sz w:val="18"/>
              </w:rPr>
            </w:pPr>
            <w:r w:rsidRPr="001E7FB0">
              <w:rPr>
                <w:b/>
                <w:sz w:val="18"/>
              </w:rPr>
              <w:t>Total</w:t>
            </w:r>
          </w:p>
        </w:tc>
        <w:tc>
          <w:tcPr>
            <w:tcW w:w="263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755391C9" w14:textId="4C493591" w:rsidR="00263BCB" w:rsidRPr="001E7FB0" w:rsidRDefault="00263BCB" w:rsidP="001E7FB0">
            <w:pPr>
              <w:pStyle w:val="SingleTxtG"/>
              <w:spacing w:before="80" w:after="80" w:line="220" w:lineRule="exact"/>
              <w:ind w:left="0" w:right="113"/>
              <w:jc w:val="right"/>
              <w:rPr>
                <w:b/>
                <w:sz w:val="18"/>
              </w:rPr>
            </w:pPr>
            <w:r w:rsidRPr="001E7FB0">
              <w:rPr>
                <w:b/>
                <w:sz w:val="18"/>
              </w:rPr>
              <w:t>2</w:t>
            </w:r>
            <w:r w:rsidR="001E7FB0" w:rsidRPr="001E7FB0">
              <w:rPr>
                <w:b/>
                <w:sz w:val="18"/>
              </w:rPr>
              <w:t xml:space="preserve"> </w:t>
            </w:r>
            <w:r w:rsidRPr="001E7FB0">
              <w:rPr>
                <w:b/>
                <w:sz w:val="18"/>
              </w:rPr>
              <w:t>518</w:t>
            </w:r>
          </w:p>
        </w:tc>
        <w:tc>
          <w:tcPr>
            <w:tcW w:w="1549"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220CC7E1" w14:textId="2F98E780" w:rsidR="00263BCB" w:rsidRPr="001E7FB0" w:rsidRDefault="00263BCB" w:rsidP="001E7FB0">
            <w:pPr>
              <w:pStyle w:val="SingleTxtG"/>
              <w:spacing w:before="80" w:after="80" w:line="220" w:lineRule="exact"/>
              <w:ind w:left="0" w:right="113"/>
              <w:jc w:val="right"/>
              <w:rPr>
                <w:b/>
                <w:sz w:val="18"/>
              </w:rPr>
            </w:pPr>
            <w:r w:rsidRPr="001E7FB0">
              <w:rPr>
                <w:b/>
                <w:sz w:val="18"/>
              </w:rPr>
              <w:t>1</w:t>
            </w:r>
            <w:r w:rsidR="001E7FB0" w:rsidRPr="001E7FB0">
              <w:rPr>
                <w:b/>
                <w:sz w:val="18"/>
              </w:rPr>
              <w:t xml:space="preserve"> </w:t>
            </w:r>
            <w:r w:rsidRPr="001E7FB0">
              <w:rPr>
                <w:b/>
                <w:sz w:val="18"/>
              </w:rPr>
              <w:t>600</w:t>
            </w:r>
          </w:p>
        </w:tc>
        <w:tc>
          <w:tcPr>
            <w:tcW w:w="152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5F5CBFF4" w14:textId="77777777" w:rsidR="00263BCB" w:rsidRPr="001E7FB0" w:rsidRDefault="00263BCB" w:rsidP="001E7FB0">
            <w:pPr>
              <w:pStyle w:val="SingleTxtG"/>
              <w:spacing w:before="80" w:after="80" w:line="220" w:lineRule="exact"/>
              <w:ind w:left="0" w:right="113"/>
              <w:jc w:val="right"/>
              <w:rPr>
                <w:b/>
                <w:sz w:val="18"/>
              </w:rPr>
            </w:pPr>
            <w:r w:rsidRPr="001E7FB0">
              <w:rPr>
                <w:b/>
                <w:sz w:val="18"/>
              </w:rPr>
              <w:t>(918)</w:t>
            </w:r>
          </w:p>
        </w:tc>
      </w:tr>
    </w:tbl>
    <w:p w14:paraId="2DF0FED8" w14:textId="77777777" w:rsidR="00263BCB" w:rsidRPr="008E0AD7" w:rsidRDefault="00263BCB" w:rsidP="00263BCB">
      <w:pPr>
        <w:pStyle w:val="H23G"/>
        <w:rPr>
          <w:rStyle w:val="FootnoteReference"/>
          <w:b w:val="0"/>
          <w:bCs/>
        </w:rPr>
      </w:pPr>
      <w:r>
        <w:lastRenderedPageBreak/>
        <w:tab/>
      </w:r>
      <w:r>
        <w:tab/>
      </w:r>
      <w:bookmarkStart w:id="82" w:name="_Toc56781479"/>
      <w:r w:rsidRPr="003C729B">
        <w:t>Employed young people aged 15 to 18 years, 2017</w:t>
      </w:r>
      <w:r w:rsidRPr="008E0AD7">
        <w:rPr>
          <w:rStyle w:val="FootnoteReference"/>
          <w:b w:val="0"/>
          <w:bCs/>
        </w:rPr>
        <w:footnoteReference w:id="49"/>
      </w:r>
      <w:bookmarkEnd w:id="82"/>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671"/>
        <w:gridCol w:w="2630"/>
        <w:gridCol w:w="1549"/>
        <w:gridCol w:w="1520"/>
      </w:tblGrid>
      <w:tr w:rsidR="00263BCB" w:rsidRPr="001E7FB0" w14:paraId="513BE8EC" w14:textId="77777777" w:rsidTr="001E7FB0">
        <w:trPr>
          <w:tblHeader/>
        </w:trPr>
        <w:tc>
          <w:tcPr>
            <w:tcW w:w="1671"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116D7D0A" w14:textId="77777777" w:rsidR="00263BCB" w:rsidRPr="001E7FB0" w:rsidRDefault="00263BCB" w:rsidP="001E7FB0">
            <w:pPr>
              <w:pStyle w:val="SingleTxtG"/>
              <w:spacing w:before="80" w:after="80" w:line="200" w:lineRule="exact"/>
              <w:ind w:left="0" w:right="113"/>
              <w:jc w:val="left"/>
              <w:rPr>
                <w:i/>
                <w:sz w:val="16"/>
              </w:rPr>
            </w:pPr>
            <w:r w:rsidRPr="001E7FB0">
              <w:rPr>
                <w:i/>
                <w:sz w:val="16"/>
              </w:rPr>
              <w:t>Age</w:t>
            </w:r>
          </w:p>
        </w:tc>
        <w:tc>
          <w:tcPr>
            <w:tcW w:w="263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30629092" w14:textId="77777777" w:rsidR="00263BCB" w:rsidRPr="001E7FB0" w:rsidRDefault="00263BCB" w:rsidP="001E7FB0">
            <w:pPr>
              <w:pStyle w:val="SingleTxtG"/>
              <w:spacing w:before="80" w:after="80" w:line="200" w:lineRule="exact"/>
              <w:ind w:left="0" w:right="113"/>
              <w:jc w:val="right"/>
              <w:rPr>
                <w:i/>
                <w:sz w:val="16"/>
              </w:rPr>
            </w:pPr>
            <w:r w:rsidRPr="001E7FB0">
              <w:rPr>
                <w:i/>
                <w:sz w:val="16"/>
              </w:rPr>
              <w:t>Number of employees:</w:t>
            </w:r>
          </w:p>
        </w:tc>
        <w:tc>
          <w:tcPr>
            <w:tcW w:w="1549"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505103C2" w14:textId="77777777" w:rsidR="00263BCB" w:rsidRPr="001E7FB0" w:rsidRDefault="00263BCB" w:rsidP="001E7FB0">
            <w:pPr>
              <w:pStyle w:val="SingleTxtG"/>
              <w:spacing w:before="80" w:after="80" w:line="200" w:lineRule="exact"/>
              <w:ind w:left="0" w:right="113"/>
              <w:jc w:val="right"/>
              <w:rPr>
                <w:i/>
                <w:sz w:val="16"/>
              </w:rPr>
            </w:pPr>
            <w:r w:rsidRPr="001E7FB0">
              <w:rPr>
                <w:i/>
                <w:sz w:val="16"/>
              </w:rPr>
              <w:t>Men</w:t>
            </w:r>
          </w:p>
        </w:tc>
        <w:tc>
          <w:tcPr>
            <w:tcW w:w="152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4F0A17B2" w14:textId="77777777" w:rsidR="00263BCB" w:rsidRPr="001E7FB0" w:rsidRDefault="00263BCB" w:rsidP="001E7FB0">
            <w:pPr>
              <w:pStyle w:val="SingleTxtG"/>
              <w:spacing w:before="80" w:after="80" w:line="200" w:lineRule="exact"/>
              <w:ind w:left="0" w:right="113"/>
              <w:jc w:val="right"/>
              <w:rPr>
                <w:i/>
                <w:sz w:val="16"/>
              </w:rPr>
            </w:pPr>
            <w:r w:rsidRPr="001E7FB0">
              <w:rPr>
                <w:i/>
                <w:sz w:val="16"/>
              </w:rPr>
              <w:t>Women</w:t>
            </w:r>
          </w:p>
        </w:tc>
      </w:tr>
      <w:tr w:rsidR="00263BCB" w:rsidRPr="001E7FB0" w14:paraId="1512CD78" w14:textId="77777777" w:rsidTr="001E7FB0">
        <w:tc>
          <w:tcPr>
            <w:tcW w:w="1671" w:type="dxa"/>
            <w:tcBorders>
              <w:top w:val="single" w:sz="12" w:space="0" w:color="auto"/>
            </w:tcBorders>
            <w:shd w:val="clear" w:color="auto" w:fill="auto"/>
            <w:noWrap/>
            <w:tcMar>
              <w:top w:w="0" w:type="dxa"/>
              <w:left w:w="0" w:type="dxa"/>
              <w:bottom w:w="0" w:type="dxa"/>
              <w:right w:w="0" w:type="dxa"/>
            </w:tcMar>
          </w:tcPr>
          <w:p w14:paraId="026376BC" w14:textId="77777777" w:rsidR="00263BCB" w:rsidRPr="001E7FB0" w:rsidRDefault="00263BCB" w:rsidP="001E7FB0">
            <w:pPr>
              <w:pStyle w:val="SingleTxtG"/>
              <w:spacing w:before="40" w:after="40" w:line="220" w:lineRule="exact"/>
              <w:ind w:left="0" w:right="113"/>
              <w:jc w:val="left"/>
              <w:rPr>
                <w:sz w:val="18"/>
              </w:rPr>
            </w:pPr>
            <w:r w:rsidRPr="001E7FB0">
              <w:rPr>
                <w:sz w:val="18"/>
              </w:rPr>
              <w:t>15</w:t>
            </w:r>
          </w:p>
        </w:tc>
        <w:tc>
          <w:tcPr>
            <w:tcW w:w="2630" w:type="dxa"/>
            <w:tcBorders>
              <w:top w:val="single" w:sz="12" w:space="0" w:color="auto"/>
            </w:tcBorders>
            <w:shd w:val="clear" w:color="auto" w:fill="auto"/>
            <w:noWrap/>
            <w:tcMar>
              <w:top w:w="0" w:type="dxa"/>
              <w:left w:w="0" w:type="dxa"/>
              <w:bottom w:w="0" w:type="dxa"/>
              <w:right w:w="0" w:type="dxa"/>
            </w:tcMar>
            <w:vAlign w:val="bottom"/>
          </w:tcPr>
          <w:p w14:paraId="3CCECB56"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c>
          <w:tcPr>
            <w:tcW w:w="1549" w:type="dxa"/>
            <w:tcBorders>
              <w:top w:val="single" w:sz="12" w:space="0" w:color="auto"/>
            </w:tcBorders>
            <w:shd w:val="clear" w:color="auto" w:fill="auto"/>
            <w:noWrap/>
            <w:tcMar>
              <w:top w:w="0" w:type="dxa"/>
              <w:left w:w="0" w:type="dxa"/>
              <w:bottom w:w="0" w:type="dxa"/>
              <w:right w:w="0" w:type="dxa"/>
            </w:tcMar>
            <w:vAlign w:val="bottom"/>
          </w:tcPr>
          <w:p w14:paraId="645B6F32"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c>
          <w:tcPr>
            <w:tcW w:w="1520" w:type="dxa"/>
            <w:tcBorders>
              <w:top w:val="single" w:sz="12" w:space="0" w:color="auto"/>
            </w:tcBorders>
            <w:shd w:val="clear" w:color="auto" w:fill="auto"/>
            <w:noWrap/>
            <w:tcMar>
              <w:top w:w="0" w:type="dxa"/>
              <w:left w:w="0" w:type="dxa"/>
              <w:bottom w:w="0" w:type="dxa"/>
              <w:right w:w="0" w:type="dxa"/>
            </w:tcMar>
            <w:vAlign w:val="bottom"/>
          </w:tcPr>
          <w:p w14:paraId="22C5B08D"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r>
      <w:tr w:rsidR="00263BCB" w:rsidRPr="001E7FB0" w14:paraId="639616C5" w14:textId="77777777" w:rsidTr="001E7FB0">
        <w:tc>
          <w:tcPr>
            <w:tcW w:w="1671" w:type="dxa"/>
            <w:shd w:val="clear" w:color="auto" w:fill="auto"/>
            <w:noWrap/>
            <w:tcMar>
              <w:top w:w="0" w:type="dxa"/>
              <w:left w:w="0" w:type="dxa"/>
              <w:bottom w:w="0" w:type="dxa"/>
              <w:right w:w="0" w:type="dxa"/>
            </w:tcMar>
          </w:tcPr>
          <w:p w14:paraId="0D612992" w14:textId="77777777" w:rsidR="00263BCB" w:rsidRPr="001E7FB0" w:rsidRDefault="00263BCB" w:rsidP="001E7FB0">
            <w:pPr>
              <w:pStyle w:val="SingleTxtG"/>
              <w:spacing w:before="40" w:after="40" w:line="220" w:lineRule="exact"/>
              <w:ind w:left="0" w:right="113"/>
              <w:jc w:val="left"/>
              <w:rPr>
                <w:sz w:val="18"/>
              </w:rPr>
            </w:pPr>
            <w:r w:rsidRPr="001E7FB0">
              <w:rPr>
                <w:sz w:val="18"/>
              </w:rPr>
              <w:t>16</w:t>
            </w:r>
          </w:p>
        </w:tc>
        <w:tc>
          <w:tcPr>
            <w:tcW w:w="2630" w:type="dxa"/>
            <w:shd w:val="clear" w:color="auto" w:fill="auto"/>
            <w:noWrap/>
            <w:tcMar>
              <w:top w:w="0" w:type="dxa"/>
              <w:left w:w="0" w:type="dxa"/>
              <w:bottom w:w="0" w:type="dxa"/>
              <w:right w:w="0" w:type="dxa"/>
            </w:tcMar>
            <w:vAlign w:val="bottom"/>
          </w:tcPr>
          <w:p w14:paraId="6384899F"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c>
          <w:tcPr>
            <w:tcW w:w="1549" w:type="dxa"/>
            <w:shd w:val="clear" w:color="auto" w:fill="auto"/>
            <w:noWrap/>
            <w:tcMar>
              <w:top w:w="0" w:type="dxa"/>
              <w:left w:w="0" w:type="dxa"/>
              <w:bottom w:w="0" w:type="dxa"/>
              <w:right w:w="0" w:type="dxa"/>
            </w:tcMar>
            <w:vAlign w:val="bottom"/>
          </w:tcPr>
          <w:p w14:paraId="6EA092D1"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c>
          <w:tcPr>
            <w:tcW w:w="1520" w:type="dxa"/>
            <w:shd w:val="clear" w:color="auto" w:fill="auto"/>
            <w:noWrap/>
            <w:tcMar>
              <w:top w:w="0" w:type="dxa"/>
              <w:left w:w="0" w:type="dxa"/>
              <w:bottom w:w="0" w:type="dxa"/>
              <w:right w:w="0" w:type="dxa"/>
            </w:tcMar>
            <w:vAlign w:val="bottom"/>
          </w:tcPr>
          <w:p w14:paraId="212D5802"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r>
      <w:tr w:rsidR="00263BCB" w:rsidRPr="001E7FB0" w14:paraId="7BCB8EF8" w14:textId="77777777" w:rsidTr="001E7FB0">
        <w:tc>
          <w:tcPr>
            <w:tcW w:w="1671" w:type="dxa"/>
            <w:shd w:val="clear" w:color="auto" w:fill="auto"/>
            <w:noWrap/>
            <w:tcMar>
              <w:top w:w="0" w:type="dxa"/>
              <w:left w:w="0" w:type="dxa"/>
              <w:bottom w:w="0" w:type="dxa"/>
              <w:right w:w="0" w:type="dxa"/>
            </w:tcMar>
          </w:tcPr>
          <w:p w14:paraId="0FF47FCD" w14:textId="77777777" w:rsidR="00263BCB" w:rsidRPr="001E7FB0" w:rsidRDefault="00263BCB" w:rsidP="001E7FB0">
            <w:pPr>
              <w:pStyle w:val="SingleTxtG"/>
              <w:spacing w:before="40" w:after="40" w:line="220" w:lineRule="exact"/>
              <w:ind w:left="0" w:right="113"/>
              <w:jc w:val="left"/>
              <w:rPr>
                <w:sz w:val="18"/>
              </w:rPr>
            </w:pPr>
            <w:r w:rsidRPr="001E7FB0">
              <w:rPr>
                <w:sz w:val="18"/>
              </w:rPr>
              <w:t>17</w:t>
            </w:r>
          </w:p>
        </w:tc>
        <w:tc>
          <w:tcPr>
            <w:tcW w:w="2630" w:type="dxa"/>
            <w:shd w:val="clear" w:color="auto" w:fill="auto"/>
            <w:noWrap/>
            <w:tcMar>
              <w:top w:w="0" w:type="dxa"/>
              <w:left w:w="0" w:type="dxa"/>
              <w:bottom w:w="0" w:type="dxa"/>
              <w:right w:w="0" w:type="dxa"/>
            </w:tcMar>
            <w:vAlign w:val="bottom"/>
          </w:tcPr>
          <w:p w14:paraId="31D79518"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c>
          <w:tcPr>
            <w:tcW w:w="1549" w:type="dxa"/>
            <w:shd w:val="clear" w:color="auto" w:fill="auto"/>
            <w:noWrap/>
            <w:tcMar>
              <w:top w:w="0" w:type="dxa"/>
              <w:left w:w="0" w:type="dxa"/>
              <w:bottom w:w="0" w:type="dxa"/>
              <w:right w:w="0" w:type="dxa"/>
            </w:tcMar>
            <w:vAlign w:val="bottom"/>
          </w:tcPr>
          <w:p w14:paraId="367F8758"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c>
          <w:tcPr>
            <w:tcW w:w="1520" w:type="dxa"/>
            <w:shd w:val="clear" w:color="auto" w:fill="auto"/>
            <w:noWrap/>
            <w:tcMar>
              <w:top w:w="0" w:type="dxa"/>
              <w:left w:w="0" w:type="dxa"/>
              <w:bottom w:w="0" w:type="dxa"/>
              <w:right w:w="0" w:type="dxa"/>
            </w:tcMar>
            <w:vAlign w:val="bottom"/>
          </w:tcPr>
          <w:p w14:paraId="55781BB3"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r>
      <w:tr w:rsidR="00263BCB" w:rsidRPr="001E7FB0" w14:paraId="17C19EE1" w14:textId="77777777" w:rsidTr="00893C89">
        <w:tc>
          <w:tcPr>
            <w:tcW w:w="1671" w:type="dxa"/>
            <w:tcBorders>
              <w:bottom w:val="single" w:sz="4" w:space="0" w:color="auto"/>
            </w:tcBorders>
            <w:shd w:val="clear" w:color="auto" w:fill="auto"/>
            <w:noWrap/>
            <w:tcMar>
              <w:top w:w="0" w:type="dxa"/>
              <w:left w:w="0" w:type="dxa"/>
              <w:bottom w:w="0" w:type="dxa"/>
              <w:right w:w="0" w:type="dxa"/>
            </w:tcMar>
          </w:tcPr>
          <w:p w14:paraId="4B38C458" w14:textId="77777777" w:rsidR="00263BCB" w:rsidRPr="001E7FB0" w:rsidRDefault="00263BCB" w:rsidP="001E7FB0">
            <w:pPr>
              <w:pStyle w:val="SingleTxtG"/>
              <w:spacing w:before="40" w:after="40" w:line="220" w:lineRule="exact"/>
              <w:ind w:left="0" w:right="113"/>
              <w:jc w:val="left"/>
              <w:rPr>
                <w:sz w:val="18"/>
              </w:rPr>
            </w:pPr>
            <w:r w:rsidRPr="001E7FB0">
              <w:rPr>
                <w:sz w:val="18"/>
              </w:rPr>
              <w:t>18</w:t>
            </w:r>
          </w:p>
        </w:tc>
        <w:tc>
          <w:tcPr>
            <w:tcW w:w="2630" w:type="dxa"/>
            <w:tcBorders>
              <w:bottom w:val="single" w:sz="4" w:space="0" w:color="auto"/>
            </w:tcBorders>
            <w:shd w:val="clear" w:color="auto" w:fill="auto"/>
            <w:noWrap/>
            <w:tcMar>
              <w:top w:w="0" w:type="dxa"/>
              <w:left w:w="0" w:type="dxa"/>
              <w:bottom w:w="0" w:type="dxa"/>
              <w:right w:w="0" w:type="dxa"/>
            </w:tcMar>
            <w:vAlign w:val="bottom"/>
          </w:tcPr>
          <w:p w14:paraId="5BD12E5F" w14:textId="78639675" w:rsidR="00263BCB" w:rsidRPr="001E7FB0" w:rsidRDefault="00263BCB" w:rsidP="001E7FB0">
            <w:pPr>
              <w:pStyle w:val="SingleTxtG"/>
              <w:spacing w:before="40" w:after="40" w:line="220" w:lineRule="exact"/>
              <w:ind w:left="0" w:right="113"/>
              <w:jc w:val="right"/>
              <w:rPr>
                <w:sz w:val="18"/>
              </w:rPr>
            </w:pPr>
            <w:r w:rsidRPr="001E7FB0">
              <w:rPr>
                <w:sz w:val="18"/>
              </w:rPr>
              <w:t>(1</w:t>
            </w:r>
            <w:r w:rsidR="00D00775">
              <w:rPr>
                <w:sz w:val="18"/>
              </w:rPr>
              <w:t xml:space="preserve"> </w:t>
            </w:r>
            <w:r w:rsidRPr="001E7FB0">
              <w:rPr>
                <w:sz w:val="18"/>
              </w:rPr>
              <w:t>453)</w:t>
            </w:r>
          </w:p>
        </w:tc>
        <w:tc>
          <w:tcPr>
            <w:tcW w:w="1549" w:type="dxa"/>
            <w:tcBorders>
              <w:bottom w:val="single" w:sz="4" w:space="0" w:color="auto"/>
            </w:tcBorders>
            <w:shd w:val="clear" w:color="auto" w:fill="auto"/>
            <w:noWrap/>
            <w:tcMar>
              <w:top w:w="0" w:type="dxa"/>
              <w:left w:w="0" w:type="dxa"/>
              <w:bottom w:w="0" w:type="dxa"/>
              <w:right w:w="0" w:type="dxa"/>
            </w:tcMar>
            <w:vAlign w:val="bottom"/>
          </w:tcPr>
          <w:p w14:paraId="02ECDA84" w14:textId="77777777" w:rsidR="00263BCB" w:rsidRPr="001E7FB0" w:rsidRDefault="00263BCB" w:rsidP="001E7FB0">
            <w:pPr>
              <w:pStyle w:val="SingleTxtG"/>
              <w:spacing w:before="40" w:after="40" w:line="220" w:lineRule="exact"/>
              <w:ind w:left="0" w:right="113"/>
              <w:jc w:val="right"/>
              <w:rPr>
                <w:sz w:val="18"/>
              </w:rPr>
            </w:pPr>
            <w:r w:rsidRPr="001E7FB0">
              <w:rPr>
                <w:sz w:val="18"/>
              </w:rPr>
              <w:t>(926)</w:t>
            </w:r>
          </w:p>
        </w:tc>
        <w:tc>
          <w:tcPr>
            <w:tcW w:w="1520" w:type="dxa"/>
            <w:tcBorders>
              <w:bottom w:val="single" w:sz="4" w:space="0" w:color="auto"/>
            </w:tcBorders>
            <w:shd w:val="clear" w:color="auto" w:fill="auto"/>
            <w:noWrap/>
            <w:tcMar>
              <w:top w:w="0" w:type="dxa"/>
              <w:left w:w="0" w:type="dxa"/>
              <w:bottom w:w="0" w:type="dxa"/>
              <w:right w:w="0" w:type="dxa"/>
            </w:tcMar>
            <w:vAlign w:val="bottom"/>
          </w:tcPr>
          <w:p w14:paraId="5387B1EC" w14:textId="77777777" w:rsidR="00263BCB" w:rsidRPr="001E7FB0" w:rsidRDefault="00263BCB" w:rsidP="001E7FB0">
            <w:pPr>
              <w:pStyle w:val="SingleTxtG"/>
              <w:spacing w:before="40" w:after="40" w:line="220" w:lineRule="exact"/>
              <w:ind w:left="0" w:right="113"/>
              <w:jc w:val="right"/>
              <w:rPr>
                <w:sz w:val="18"/>
              </w:rPr>
            </w:pPr>
            <w:r w:rsidRPr="001E7FB0">
              <w:rPr>
                <w:sz w:val="18"/>
              </w:rPr>
              <w:t>(528)</w:t>
            </w:r>
          </w:p>
        </w:tc>
      </w:tr>
      <w:tr w:rsidR="00263BCB" w:rsidRPr="00893C89" w14:paraId="0D28116E" w14:textId="77777777" w:rsidTr="00893C89">
        <w:tc>
          <w:tcPr>
            <w:tcW w:w="1671" w:type="dxa"/>
            <w:tcBorders>
              <w:top w:val="single" w:sz="4" w:space="0" w:color="auto"/>
              <w:bottom w:val="single" w:sz="12" w:space="0" w:color="auto"/>
            </w:tcBorders>
            <w:shd w:val="clear" w:color="auto" w:fill="auto"/>
            <w:noWrap/>
            <w:tcMar>
              <w:top w:w="0" w:type="dxa"/>
              <w:left w:w="0" w:type="dxa"/>
              <w:bottom w:w="0" w:type="dxa"/>
              <w:right w:w="0" w:type="dxa"/>
            </w:tcMar>
          </w:tcPr>
          <w:p w14:paraId="79F8D6AE" w14:textId="77777777" w:rsidR="00263BCB" w:rsidRPr="00893C89" w:rsidRDefault="00263BCB" w:rsidP="00893C89">
            <w:pPr>
              <w:pStyle w:val="SingleTxtG"/>
              <w:spacing w:before="80" w:after="80" w:line="220" w:lineRule="exact"/>
              <w:ind w:left="283" w:right="0"/>
              <w:jc w:val="left"/>
              <w:rPr>
                <w:b/>
                <w:sz w:val="18"/>
              </w:rPr>
            </w:pPr>
            <w:r w:rsidRPr="00893C89">
              <w:rPr>
                <w:b/>
                <w:sz w:val="18"/>
              </w:rPr>
              <w:t>Total</w:t>
            </w:r>
          </w:p>
        </w:tc>
        <w:tc>
          <w:tcPr>
            <w:tcW w:w="263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5A50D336" w14:textId="3DD6E6DE" w:rsidR="00263BCB" w:rsidRPr="00893C89" w:rsidRDefault="00263BCB" w:rsidP="00893C89">
            <w:pPr>
              <w:pStyle w:val="SingleTxtG"/>
              <w:spacing w:before="80" w:after="80" w:line="220" w:lineRule="exact"/>
              <w:ind w:left="0" w:right="113"/>
              <w:jc w:val="right"/>
              <w:rPr>
                <w:b/>
                <w:sz w:val="18"/>
              </w:rPr>
            </w:pPr>
            <w:r w:rsidRPr="00893C89">
              <w:rPr>
                <w:b/>
                <w:sz w:val="18"/>
              </w:rPr>
              <w:t>2</w:t>
            </w:r>
            <w:r w:rsidR="00D00775">
              <w:rPr>
                <w:b/>
                <w:sz w:val="18"/>
              </w:rPr>
              <w:t xml:space="preserve"> </w:t>
            </w:r>
            <w:r w:rsidRPr="00893C89">
              <w:rPr>
                <w:b/>
                <w:sz w:val="18"/>
              </w:rPr>
              <w:t>122</w:t>
            </w:r>
          </w:p>
        </w:tc>
        <w:tc>
          <w:tcPr>
            <w:tcW w:w="1549"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69C39E26" w14:textId="2A4B1829" w:rsidR="00263BCB" w:rsidRPr="00893C89" w:rsidRDefault="00263BCB" w:rsidP="00893C89">
            <w:pPr>
              <w:pStyle w:val="SingleTxtG"/>
              <w:spacing w:before="80" w:after="80" w:line="220" w:lineRule="exact"/>
              <w:ind w:left="0" w:right="113"/>
              <w:jc w:val="right"/>
              <w:rPr>
                <w:b/>
                <w:sz w:val="18"/>
              </w:rPr>
            </w:pPr>
            <w:r w:rsidRPr="00893C89">
              <w:rPr>
                <w:b/>
                <w:sz w:val="18"/>
              </w:rPr>
              <w:t>(1</w:t>
            </w:r>
            <w:r w:rsidR="007547D6">
              <w:rPr>
                <w:b/>
                <w:sz w:val="18"/>
              </w:rPr>
              <w:t xml:space="preserve"> </w:t>
            </w:r>
            <w:r w:rsidRPr="00893C89">
              <w:rPr>
                <w:b/>
                <w:sz w:val="18"/>
              </w:rPr>
              <w:t>462)</w:t>
            </w:r>
          </w:p>
        </w:tc>
        <w:tc>
          <w:tcPr>
            <w:tcW w:w="1520" w:type="dxa"/>
            <w:tcBorders>
              <w:top w:val="single" w:sz="4" w:space="0" w:color="auto"/>
              <w:bottom w:val="single" w:sz="12" w:space="0" w:color="auto"/>
            </w:tcBorders>
            <w:shd w:val="clear" w:color="auto" w:fill="auto"/>
            <w:noWrap/>
            <w:tcMar>
              <w:top w:w="0" w:type="dxa"/>
              <w:left w:w="0" w:type="dxa"/>
              <w:bottom w:w="0" w:type="dxa"/>
              <w:right w:w="0" w:type="dxa"/>
            </w:tcMar>
            <w:vAlign w:val="bottom"/>
          </w:tcPr>
          <w:p w14:paraId="1097085A" w14:textId="77777777" w:rsidR="00263BCB" w:rsidRPr="00893C89" w:rsidRDefault="00263BCB" w:rsidP="00893C89">
            <w:pPr>
              <w:pStyle w:val="SingleTxtG"/>
              <w:spacing w:before="80" w:after="80" w:line="220" w:lineRule="exact"/>
              <w:ind w:left="0" w:right="113"/>
              <w:jc w:val="right"/>
              <w:rPr>
                <w:b/>
                <w:sz w:val="18"/>
              </w:rPr>
            </w:pPr>
            <w:r w:rsidRPr="00893C89">
              <w:rPr>
                <w:b/>
                <w:sz w:val="18"/>
              </w:rPr>
              <w:t>(659)</w:t>
            </w:r>
          </w:p>
        </w:tc>
      </w:tr>
    </w:tbl>
    <w:p w14:paraId="55316D4B" w14:textId="77777777" w:rsidR="00263BCB" w:rsidRPr="005D213B" w:rsidRDefault="00263BCB" w:rsidP="00263BCB">
      <w:pPr>
        <w:pStyle w:val="H23G"/>
        <w:rPr>
          <w:lang w:val="fr-CH"/>
        </w:rPr>
      </w:pPr>
      <w:r>
        <w:rPr>
          <w:lang w:val="fr-CH"/>
        </w:rPr>
        <w:tab/>
      </w:r>
      <w:r>
        <w:rPr>
          <w:lang w:val="fr-CH"/>
        </w:rPr>
        <w:tab/>
      </w:r>
      <w:bookmarkStart w:id="83" w:name="_Toc56781480"/>
      <w:r w:rsidRPr="005D213B">
        <w:rPr>
          <w:lang w:val="fr-CH"/>
        </w:rPr>
        <w:t>Sexual exploitation and sexual abuse (Article 34)</w:t>
      </w:r>
      <w:bookmarkEnd w:id="83"/>
    </w:p>
    <w:p w14:paraId="643AC942" w14:textId="06B14C6E" w:rsidR="00263BCB" w:rsidRPr="005D213B" w:rsidRDefault="00570685" w:rsidP="00570685">
      <w:pPr>
        <w:pStyle w:val="ParaNoG"/>
        <w:numPr>
          <w:ilvl w:val="0"/>
          <w:numId w:val="0"/>
        </w:numPr>
        <w:tabs>
          <w:tab w:val="left" w:pos="0"/>
        </w:tabs>
        <w:ind w:left="1134"/>
      </w:pPr>
      <w:r w:rsidRPr="005D213B">
        <w:t>198.</w:t>
      </w:r>
      <w:r w:rsidRPr="005D213B">
        <w:tab/>
      </w:r>
      <w:r w:rsidR="00263BCB" w:rsidRPr="005D213B">
        <w:t>On 30 December 2017, the Convention on preventing and combating violence against women and domestic violence (the Ista</w:t>
      </w:r>
      <w:r w:rsidR="00263BCB">
        <w:t xml:space="preserve">nbul Convention) was ratified. </w:t>
      </w:r>
      <w:r w:rsidR="00263BCB" w:rsidRPr="005D213B">
        <w:t>A draft text of the National Action Plan for its implementation was prepared, which foresees opening of Centres for Referral of Victims of Sexual Violence.</w:t>
      </w:r>
      <w:r w:rsidR="00A21C4B">
        <w:t xml:space="preserve"> </w:t>
      </w:r>
      <w:r w:rsidR="00263BCB" w:rsidRPr="005D213B">
        <w:t>SOPs were designed to provide a multisector response at the Centres for Referral of Victims of Sexual Violence, with emphasis on child victims.</w:t>
      </w:r>
      <w:r w:rsidR="00A21C4B">
        <w:t xml:space="preserve"> </w:t>
      </w:r>
    </w:p>
    <w:p w14:paraId="3E47E236" w14:textId="77777777" w:rsidR="00263BCB" w:rsidRPr="00A21C4B" w:rsidRDefault="00263BCB" w:rsidP="000A1F93">
      <w:pPr>
        <w:pStyle w:val="H23G"/>
        <w:ind w:right="992"/>
        <w:rPr>
          <w:rStyle w:val="FootnoteReference"/>
        </w:rPr>
      </w:pPr>
      <w:r>
        <w:tab/>
      </w:r>
      <w:r>
        <w:tab/>
      </w:r>
      <w:bookmarkStart w:id="84" w:name="_Toc56781481"/>
      <w:r w:rsidRPr="000A1F93">
        <w:t>Number of children who were susceptible to sexual exploitation, including prostitution, pornography and trafficking in children</w:t>
      </w:r>
      <w:r w:rsidRPr="000A1F93">
        <w:rPr>
          <w:rStyle w:val="FootnoteReference"/>
          <w:b w:val="0"/>
          <w:bCs/>
        </w:rPr>
        <w:footnoteReference w:id="50"/>
      </w:r>
      <w:bookmarkEnd w:id="84"/>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694"/>
        <w:gridCol w:w="1275"/>
        <w:gridCol w:w="851"/>
        <w:gridCol w:w="850"/>
        <w:gridCol w:w="851"/>
        <w:gridCol w:w="849"/>
      </w:tblGrid>
      <w:tr w:rsidR="00263BCB" w:rsidRPr="001E7FB0" w14:paraId="5719AE54" w14:textId="77777777" w:rsidTr="001E7FB0">
        <w:trPr>
          <w:tblHeader/>
        </w:trPr>
        <w:tc>
          <w:tcPr>
            <w:tcW w:w="2694" w:type="dxa"/>
            <w:tcBorders>
              <w:top w:val="single" w:sz="4" w:space="0" w:color="auto"/>
              <w:bottom w:val="single" w:sz="12" w:space="0" w:color="auto"/>
            </w:tcBorders>
            <w:shd w:val="clear" w:color="auto" w:fill="auto"/>
            <w:vAlign w:val="bottom"/>
          </w:tcPr>
          <w:p w14:paraId="66BE0768" w14:textId="2F1FA014" w:rsidR="00263BCB" w:rsidRPr="001E7FB0" w:rsidRDefault="00263BCB" w:rsidP="001E7FB0">
            <w:pPr>
              <w:pStyle w:val="SingleTxtG"/>
              <w:spacing w:before="80" w:after="80" w:line="200" w:lineRule="exact"/>
              <w:ind w:left="0" w:right="113"/>
              <w:jc w:val="left"/>
              <w:rPr>
                <w:i/>
                <w:sz w:val="16"/>
              </w:rPr>
            </w:pPr>
            <w:r w:rsidRPr="001E7FB0">
              <w:rPr>
                <w:i/>
                <w:sz w:val="16"/>
              </w:rPr>
              <w:t>Year of identification of child victims of trafficking for the purpose of sexual exploitation</w:t>
            </w:r>
            <w:r w:rsidR="00A21C4B">
              <w:rPr>
                <w:i/>
                <w:sz w:val="16"/>
              </w:rPr>
              <w:t xml:space="preserve"> </w:t>
            </w:r>
          </w:p>
        </w:tc>
        <w:tc>
          <w:tcPr>
            <w:tcW w:w="1275" w:type="dxa"/>
            <w:tcBorders>
              <w:top w:val="single" w:sz="4" w:space="0" w:color="auto"/>
              <w:bottom w:val="single" w:sz="12" w:space="0" w:color="auto"/>
            </w:tcBorders>
            <w:shd w:val="clear" w:color="auto" w:fill="auto"/>
            <w:vAlign w:val="bottom"/>
          </w:tcPr>
          <w:p w14:paraId="232F2029" w14:textId="77777777" w:rsidR="00263BCB" w:rsidRPr="001E7FB0" w:rsidRDefault="00263BCB" w:rsidP="001E7FB0">
            <w:pPr>
              <w:pStyle w:val="SingleTxtG"/>
              <w:spacing w:before="80" w:after="80" w:line="200" w:lineRule="exact"/>
              <w:ind w:left="0" w:right="113"/>
              <w:jc w:val="right"/>
              <w:rPr>
                <w:i/>
                <w:sz w:val="16"/>
              </w:rPr>
            </w:pPr>
            <w:r w:rsidRPr="001E7FB0">
              <w:rPr>
                <w:i/>
                <w:sz w:val="16"/>
              </w:rPr>
              <w:t>2014</w:t>
            </w:r>
          </w:p>
        </w:tc>
        <w:tc>
          <w:tcPr>
            <w:tcW w:w="851" w:type="dxa"/>
            <w:tcBorders>
              <w:top w:val="single" w:sz="4" w:space="0" w:color="auto"/>
              <w:bottom w:val="single" w:sz="12" w:space="0" w:color="auto"/>
            </w:tcBorders>
            <w:shd w:val="clear" w:color="auto" w:fill="auto"/>
            <w:vAlign w:val="bottom"/>
          </w:tcPr>
          <w:p w14:paraId="61F196A4" w14:textId="77777777" w:rsidR="00263BCB" w:rsidRPr="001E7FB0" w:rsidRDefault="00263BCB" w:rsidP="001E7FB0">
            <w:pPr>
              <w:pStyle w:val="SingleTxtG"/>
              <w:spacing w:before="80" w:after="80" w:line="200" w:lineRule="exact"/>
              <w:ind w:left="0" w:right="113"/>
              <w:jc w:val="right"/>
              <w:rPr>
                <w:i/>
                <w:sz w:val="16"/>
              </w:rPr>
            </w:pPr>
            <w:r w:rsidRPr="001E7FB0">
              <w:rPr>
                <w:i/>
                <w:sz w:val="16"/>
              </w:rPr>
              <w:t>2015</w:t>
            </w:r>
          </w:p>
        </w:tc>
        <w:tc>
          <w:tcPr>
            <w:tcW w:w="850" w:type="dxa"/>
            <w:tcBorders>
              <w:top w:val="single" w:sz="4" w:space="0" w:color="auto"/>
              <w:bottom w:val="single" w:sz="12" w:space="0" w:color="auto"/>
            </w:tcBorders>
            <w:shd w:val="clear" w:color="auto" w:fill="auto"/>
            <w:vAlign w:val="bottom"/>
          </w:tcPr>
          <w:p w14:paraId="0C2CF1F0" w14:textId="77777777" w:rsidR="00263BCB" w:rsidRPr="001E7FB0" w:rsidRDefault="00263BCB" w:rsidP="001E7FB0">
            <w:pPr>
              <w:pStyle w:val="SingleTxtG"/>
              <w:spacing w:before="80" w:after="80" w:line="200" w:lineRule="exact"/>
              <w:ind w:left="0" w:right="113"/>
              <w:jc w:val="right"/>
              <w:rPr>
                <w:i/>
                <w:sz w:val="16"/>
              </w:rPr>
            </w:pPr>
            <w:r w:rsidRPr="001E7FB0">
              <w:rPr>
                <w:i/>
                <w:sz w:val="16"/>
              </w:rPr>
              <w:t>2016</w:t>
            </w:r>
          </w:p>
        </w:tc>
        <w:tc>
          <w:tcPr>
            <w:tcW w:w="851" w:type="dxa"/>
            <w:tcBorders>
              <w:top w:val="single" w:sz="4" w:space="0" w:color="auto"/>
              <w:bottom w:val="single" w:sz="12" w:space="0" w:color="auto"/>
            </w:tcBorders>
            <w:shd w:val="clear" w:color="auto" w:fill="auto"/>
            <w:vAlign w:val="bottom"/>
          </w:tcPr>
          <w:p w14:paraId="334A4E4B" w14:textId="77777777" w:rsidR="00263BCB" w:rsidRPr="001E7FB0" w:rsidRDefault="00263BCB" w:rsidP="001E7FB0">
            <w:pPr>
              <w:pStyle w:val="SingleTxtG"/>
              <w:spacing w:before="80" w:after="80" w:line="200" w:lineRule="exact"/>
              <w:ind w:left="0" w:right="113"/>
              <w:jc w:val="right"/>
              <w:rPr>
                <w:i/>
                <w:sz w:val="16"/>
              </w:rPr>
            </w:pPr>
            <w:r w:rsidRPr="001E7FB0">
              <w:rPr>
                <w:i/>
                <w:sz w:val="16"/>
              </w:rPr>
              <w:t>2017</w:t>
            </w:r>
          </w:p>
        </w:tc>
        <w:tc>
          <w:tcPr>
            <w:tcW w:w="849" w:type="dxa"/>
            <w:tcBorders>
              <w:top w:val="single" w:sz="4" w:space="0" w:color="auto"/>
              <w:bottom w:val="single" w:sz="12" w:space="0" w:color="auto"/>
            </w:tcBorders>
            <w:shd w:val="clear" w:color="auto" w:fill="auto"/>
            <w:noWrap/>
            <w:vAlign w:val="bottom"/>
          </w:tcPr>
          <w:p w14:paraId="44AA5F60" w14:textId="77777777" w:rsidR="00263BCB" w:rsidRPr="001E7FB0" w:rsidRDefault="00263BCB" w:rsidP="001E7FB0">
            <w:pPr>
              <w:pStyle w:val="SingleTxtG"/>
              <w:spacing w:before="80" w:after="80" w:line="200" w:lineRule="exact"/>
              <w:ind w:left="0" w:right="113"/>
              <w:jc w:val="right"/>
              <w:rPr>
                <w:i/>
                <w:sz w:val="16"/>
              </w:rPr>
            </w:pPr>
            <w:r w:rsidRPr="001E7FB0">
              <w:rPr>
                <w:i/>
                <w:sz w:val="16"/>
              </w:rPr>
              <w:t>2018</w:t>
            </w:r>
          </w:p>
        </w:tc>
      </w:tr>
      <w:tr w:rsidR="00263BCB" w:rsidRPr="001E7FB0" w14:paraId="1581AA43" w14:textId="77777777" w:rsidTr="001E7FB0">
        <w:tc>
          <w:tcPr>
            <w:tcW w:w="2694" w:type="dxa"/>
            <w:tcBorders>
              <w:top w:val="single" w:sz="12" w:space="0" w:color="auto"/>
            </w:tcBorders>
            <w:shd w:val="clear" w:color="auto" w:fill="auto"/>
          </w:tcPr>
          <w:p w14:paraId="0F41BF29" w14:textId="77777777" w:rsidR="00263BCB" w:rsidRPr="001E7FB0" w:rsidRDefault="00263BCB" w:rsidP="001E7FB0">
            <w:pPr>
              <w:pStyle w:val="SingleTxtG"/>
              <w:spacing w:before="40" w:after="40" w:line="220" w:lineRule="exact"/>
              <w:ind w:left="0" w:right="113"/>
              <w:jc w:val="left"/>
              <w:rPr>
                <w:sz w:val="18"/>
              </w:rPr>
            </w:pPr>
            <w:r w:rsidRPr="001E7FB0">
              <w:rPr>
                <w:sz w:val="18"/>
              </w:rPr>
              <w:t>Domestic</w:t>
            </w:r>
          </w:p>
        </w:tc>
        <w:tc>
          <w:tcPr>
            <w:tcW w:w="1275" w:type="dxa"/>
            <w:tcBorders>
              <w:top w:val="single" w:sz="12" w:space="0" w:color="auto"/>
            </w:tcBorders>
            <w:shd w:val="clear" w:color="auto" w:fill="auto"/>
            <w:vAlign w:val="bottom"/>
          </w:tcPr>
          <w:p w14:paraId="684F37EC" w14:textId="77777777" w:rsidR="00263BCB" w:rsidRPr="001E7FB0" w:rsidRDefault="00263BCB" w:rsidP="001E7FB0">
            <w:pPr>
              <w:pStyle w:val="SingleTxtG"/>
              <w:spacing w:before="40" w:after="40" w:line="220" w:lineRule="exact"/>
              <w:ind w:left="0" w:right="113"/>
              <w:jc w:val="right"/>
              <w:rPr>
                <w:sz w:val="18"/>
              </w:rPr>
            </w:pPr>
            <w:r w:rsidRPr="001E7FB0">
              <w:rPr>
                <w:sz w:val="18"/>
              </w:rPr>
              <w:t>6</w:t>
            </w:r>
          </w:p>
        </w:tc>
        <w:tc>
          <w:tcPr>
            <w:tcW w:w="851" w:type="dxa"/>
            <w:tcBorders>
              <w:top w:val="single" w:sz="12" w:space="0" w:color="auto"/>
            </w:tcBorders>
            <w:shd w:val="clear" w:color="auto" w:fill="auto"/>
            <w:vAlign w:val="bottom"/>
          </w:tcPr>
          <w:p w14:paraId="42214322" w14:textId="77777777" w:rsidR="00263BCB" w:rsidRPr="001E7FB0" w:rsidRDefault="00263BCB" w:rsidP="001E7FB0">
            <w:pPr>
              <w:pStyle w:val="SingleTxtG"/>
              <w:spacing w:before="40" w:after="40" w:line="220" w:lineRule="exact"/>
              <w:ind w:left="0" w:right="113"/>
              <w:jc w:val="right"/>
              <w:rPr>
                <w:sz w:val="18"/>
              </w:rPr>
            </w:pPr>
            <w:r w:rsidRPr="001E7FB0">
              <w:rPr>
                <w:sz w:val="18"/>
              </w:rPr>
              <w:t>3</w:t>
            </w:r>
          </w:p>
        </w:tc>
        <w:tc>
          <w:tcPr>
            <w:tcW w:w="850" w:type="dxa"/>
            <w:tcBorders>
              <w:top w:val="single" w:sz="12" w:space="0" w:color="auto"/>
            </w:tcBorders>
            <w:shd w:val="clear" w:color="auto" w:fill="auto"/>
            <w:vAlign w:val="bottom"/>
          </w:tcPr>
          <w:p w14:paraId="1119467F" w14:textId="77777777" w:rsidR="00263BCB" w:rsidRPr="001E7FB0" w:rsidRDefault="00263BCB" w:rsidP="001E7FB0">
            <w:pPr>
              <w:pStyle w:val="SingleTxtG"/>
              <w:spacing w:before="40" w:after="40" w:line="220" w:lineRule="exact"/>
              <w:ind w:left="0" w:right="113"/>
              <w:jc w:val="right"/>
              <w:rPr>
                <w:sz w:val="18"/>
              </w:rPr>
            </w:pPr>
            <w:r w:rsidRPr="001E7FB0">
              <w:rPr>
                <w:sz w:val="18"/>
              </w:rPr>
              <w:t>3</w:t>
            </w:r>
          </w:p>
        </w:tc>
        <w:tc>
          <w:tcPr>
            <w:tcW w:w="851" w:type="dxa"/>
            <w:tcBorders>
              <w:top w:val="single" w:sz="12" w:space="0" w:color="auto"/>
            </w:tcBorders>
            <w:shd w:val="clear" w:color="auto" w:fill="auto"/>
            <w:vAlign w:val="bottom"/>
          </w:tcPr>
          <w:p w14:paraId="11B23322" w14:textId="77777777" w:rsidR="00263BCB" w:rsidRPr="001E7FB0" w:rsidRDefault="00263BCB" w:rsidP="001E7FB0">
            <w:pPr>
              <w:pStyle w:val="SingleTxtG"/>
              <w:spacing w:before="40" w:after="40" w:line="220" w:lineRule="exact"/>
              <w:ind w:left="0" w:right="113"/>
              <w:jc w:val="right"/>
              <w:rPr>
                <w:sz w:val="18"/>
              </w:rPr>
            </w:pPr>
            <w:r w:rsidRPr="001E7FB0">
              <w:rPr>
                <w:sz w:val="18"/>
              </w:rPr>
              <w:t>2</w:t>
            </w:r>
          </w:p>
        </w:tc>
        <w:tc>
          <w:tcPr>
            <w:tcW w:w="849" w:type="dxa"/>
            <w:tcBorders>
              <w:top w:val="single" w:sz="12" w:space="0" w:color="auto"/>
            </w:tcBorders>
            <w:shd w:val="clear" w:color="auto" w:fill="auto"/>
            <w:noWrap/>
            <w:vAlign w:val="bottom"/>
          </w:tcPr>
          <w:p w14:paraId="7C604D47" w14:textId="77777777" w:rsidR="00263BCB" w:rsidRPr="001E7FB0" w:rsidRDefault="00263BCB" w:rsidP="001E7FB0">
            <w:pPr>
              <w:pStyle w:val="SingleTxtG"/>
              <w:spacing w:before="40" w:after="40" w:line="220" w:lineRule="exact"/>
              <w:ind w:left="0" w:right="113"/>
              <w:jc w:val="right"/>
              <w:rPr>
                <w:sz w:val="18"/>
              </w:rPr>
            </w:pPr>
            <w:r w:rsidRPr="001E7FB0">
              <w:rPr>
                <w:sz w:val="18"/>
              </w:rPr>
              <w:t>3</w:t>
            </w:r>
          </w:p>
        </w:tc>
      </w:tr>
      <w:tr w:rsidR="00263BCB" w:rsidRPr="001E7FB0" w14:paraId="595E2EA8" w14:textId="77777777" w:rsidTr="001E7FB0">
        <w:tc>
          <w:tcPr>
            <w:tcW w:w="2694" w:type="dxa"/>
            <w:tcBorders>
              <w:bottom w:val="single" w:sz="4" w:space="0" w:color="auto"/>
            </w:tcBorders>
            <w:shd w:val="clear" w:color="auto" w:fill="auto"/>
          </w:tcPr>
          <w:p w14:paraId="2A6D7D6B" w14:textId="77777777" w:rsidR="00263BCB" w:rsidRPr="001E7FB0" w:rsidRDefault="00263BCB" w:rsidP="001E7FB0">
            <w:pPr>
              <w:pStyle w:val="SingleTxtG"/>
              <w:spacing w:before="40" w:after="40" w:line="220" w:lineRule="exact"/>
              <w:ind w:left="0" w:right="113"/>
              <w:jc w:val="left"/>
              <w:rPr>
                <w:sz w:val="18"/>
              </w:rPr>
            </w:pPr>
            <w:r w:rsidRPr="001E7FB0">
              <w:rPr>
                <w:sz w:val="18"/>
              </w:rPr>
              <w:t>Foreign</w:t>
            </w:r>
          </w:p>
        </w:tc>
        <w:tc>
          <w:tcPr>
            <w:tcW w:w="1275" w:type="dxa"/>
            <w:tcBorders>
              <w:bottom w:val="single" w:sz="4" w:space="0" w:color="auto"/>
            </w:tcBorders>
            <w:shd w:val="clear" w:color="auto" w:fill="auto"/>
            <w:vAlign w:val="bottom"/>
          </w:tcPr>
          <w:p w14:paraId="45714ABC"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c>
          <w:tcPr>
            <w:tcW w:w="851" w:type="dxa"/>
            <w:tcBorders>
              <w:bottom w:val="single" w:sz="4" w:space="0" w:color="auto"/>
            </w:tcBorders>
            <w:shd w:val="clear" w:color="auto" w:fill="auto"/>
            <w:vAlign w:val="bottom"/>
          </w:tcPr>
          <w:p w14:paraId="264CF879"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c>
          <w:tcPr>
            <w:tcW w:w="850" w:type="dxa"/>
            <w:tcBorders>
              <w:bottom w:val="single" w:sz="4" w:space="0" w:color="auto"/>
            </w:tcBorders>
            <w:shd w:val="clear" w:color="auto" w:fill="auto"/>
            <w:vAlign w:val="bottom"/>
          </w:tcPr>
          <w:p w14:paraId="71E4FC31"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c>
          <w:tcPr>
            <w:tcW w:w="851" w:type="dxa"/>
            <w:tcBorders>
              <w:bottom w:val="single" w:sz="4" w:space="0" w:color="auto"/>
            </w:tcBorders>
            <w:shd w:val="clear" w:color="auto" w:fill="auto"/>
            <w:vAlign w:val="bottom"/>
          </w:tcPr>
          <w:p w14:paraId="78ABD384" w14:textId="77777777" w:rsidR="00263BCB" w:rsidRPr="001E7FB0" w:rsidRDefault="00263BCB" w:rsidP="001E7FB0">
            <w:pPr>
              <w:pStyle w:val="SingleTxtG"/>
              <w:spacing w:before="40" w:after="40" w:line="220" w:lineRule="exact"/>
              <w:ind w:left="0" w:right="113"/>
              <w:jc w:val="right"/>
              <w:rPr>
                <w:sz w:val="18"/>
              </w:rPr>
            </w:pPr>
            <w:r w:rsidRPr="001E7FB0">
              <w:rPr>
                <w:sz w:val="18"/>
              </w:rPr>
              <w:t>/</w:t>
            </w:r>
          </w:p>
        </w:tc>
        <w:tc>
          <w:tcPr>
            <w:tcW w:w="849" w:type="dxa"/>
            <w:tcBorders>
              <w:bottom w:val="single" w:sz="4" w:space="0" w:color="auto"/>
            </w:tcBorders>
            <w:shd w:val="clear" w:color="auto" w:fill="auto"/>
            <w:noWrap/>
            <w:vAlign w:val="bottom"/>
          </w:tcPr>
          <w:p w14:paraId="72DE688F" w14:textId="77777777" w:rsidR="00263BCB" w:rsidRPr="001E7FB0" w:rsidRDefault="00263BCB" w:rsidP="001E7FB0">
            <w:pPr>
              <w:pStyle w:val="SingleTxtG"/>
              <w:spacing w:before="40" w:after="40" w:line="220" w:lineRule="exact"/>
              <w:ind w:left="0" w:right="113"/>
              <w:jc w:val="right"/>
              <w:rPr>
                <w:sz w:val="18"/>
              </w:rPr>
            </w:pPr>
            <w:r w:rsidRPr="001E7FB0">
              <w:rPr>
                <w:sz w:val="18"/>
              </w:rPr>
              <w:t>1</w:t>
            </w:r>
          </w:p>
        </w:tc>
      </w:tr>
      <w:tr w:rsidR="00263BCB" w:rsidRPr="001E7FB0" w14:paraId="3CD8BB52" w14:textId="77777777" w:rsidTr="001E7FB0">
        <w:tc>
          <w:tcPr>
            <w:tcW w:w="2694" w:type="dxa"/>
            <w:tcBorders>
              <w:top w:val="single" w:sz="4" w:space="0" w:color="auto"/>
              <w:bottom w:val="single" w:sz="12" w:space="0" w:color="auto"/>
            </w:tcBorders>
            <w:shd w:val="clear" w:color="auto" w:fill="auto"/>
          </w:tcPr>
          <w:p w14:paraId="0D30D4DA" w14:textId="77777777" w:rsidR="00263BCB" w:rsidRPr="001E7FB0" w:rsidRDefault="00263BCB" w:rsidP="001E7FB0">
            <w:pPr>
              <w:pStyle w:val="SingleTxtG"/>
              <w:spacing w:before="80" w:after="80" w:line="220" w:lineRule="exact"/>
              <w:ind w:left="283" w:right="113"/>
              <w:jc w:val="left"/>
              <w:rPr>
                <w:b/>
                <w:sz w:val="18"/>
              </w:rPr>
            </w:pPr>
            <w:r w:rsidRPr="001E7FB0">
              <w:rPr>
                <w:b/>
                <w:sz w:val="18"/>
              </w:rPr>
              <w:t>Total</w:t>
            </w:r>
          </w:p>
        </w:tc>
        <w:tc>
          <w:tcPr>
            <w:tcW w:w="1275" w:type="dxa"/>
            <w:tcBorders>
              <w:top w:val="single" w:sz="4" w:space="0" w:color="auto"/>
              <w:bottom w:val="single" w:sz="12" w:space="0" w:color="auto"/>
            </w:tcBorders>
            <w:shd w:val="clear" w:color="auto" w:fill="auto"/>
            <w:vAlign w:val="bottom"/>
          </w:tcPr>
          <w:p w14:paraId="25625F4D" w14:textId="77777777" w:rsidR="00263BCB" w:rsidRPr="001E7FB0" w:rsidRDefault="00263BCB" w:rsidP="001E7FB0">
            <w:pPr>
              <w:pStyle w:val="SingleTxtG"/>
              <w:spacing w:before="80" w:after="80" w:line="220" w:lineRule="exact"/>
              <w:ind w:left="0" w:right="113"/>
              <w:jc w:val="right"/>
              <w:rPr>
                <w:b/>
                <w:sz w:val="18"/>
              </w:rPr>
            </w:pPr>
            <w:r w:rsidRPr="001E7FB0">
              <w:rPr>
                <w:b/>
                <w:sz w:val="18"/>
              </w:rPr>
              <w:t>6</w:t>
            </w:r>
          </w:p>
        </w:tc>
        <w:tc>
          <w:tcPr>
            <w:tcW w:w="851" w:type="dxa"/>
            <w:tcBorders>
              <w:top w:val="single" w:sz="4" w:space="0" w:color="auto"/>
              <w:bottom w:val="single" w:sz="12" w:space="0" w:color="auto"/>
            </w:tcBorders>
            <w:shd w:val="clear" w:color="auto" w:fill="auto"/>
            <w:vAlign w:val="bottom"/>
          </w:tcPr>
          <w:p w14:paraId="49EED7FA" w14:textId="77777777" w:rsidR="00263BCB" w:rsidRPr="001E7FB0" w:rsidRDefault="00263BCB" w:rsidP="001E7FB0">
            <w:pPr>
              <w:pStyle w:val="SingleTxtG"/>
              <w:spacing w:before="80" w:after="80" w:line="220" w:lineRule="exact"/>
              <w:ind w:left="0" w:right="113"/>
              <w:jc w:val="right"/>
              <w:rPr>
                <w:b/>
                <w:sz w:val="18"/>
              </w:rPr>
            </w:pPr>
            <w:r w:rsidRPr="001E7FB0">
              <w:rPr>
                <w:b/>
                <w:sz w:val="18"/>
              </w:rPr>
              <w:t>3</w:t>
            </w:r>
          </w:p>
        </w:tc>
        <w:tc>
          <w:tcPr>
            <w:tcW w:w="850" w:type="dxa"/>
            <w:tcBorders>
              <w:top w:val="single" w:sz="4" w:space="0" w:color="auto"/>
              <w:bottom w:val="single" w:sz="12" w:space="0" w:color="auto"/>
            </w:tcBorders>
            <w:shd w:val="clear" w:color="auto" w:fill="auto"/>
            <w:vAlign w:val="bottom"/>
          </w:tcPr>
          <w:p w14:paraId="6AE064D7" w14:textId="77777777" w:rsidR="00263BCB" w:rsidRPr="001E7FB0" w:rsidRDefault="00263BCB" w:rsidP="001E7FB0">
            <w:pPr>
              <w:pStyle w:val="SingleTxtG"/>
              <w:spacing w:before="80" w:after="80" w:line="220" w:lineRule="exact"/>
              <w:ind w:left="0" w:right="113"/>
              <w:jc w:val="right"/>
              <w:rPr>
                <w:b/>
                <w:sz w:val="18"/>
              </w:rPr>
            </w:pPr>
            <w:r w:rsidRPr="001E7FB0">
              <w:rPr>
                <w:b/>
                <w:sz w:val="18"/>
              </w:rPr>
              <w:t>3</w:t>
            </w:r>
          </w:p>
        </w:tc>
        <w:tc>
          <w:tcPr>
            <w:tcW w:w="851" w:type="dxa"/>
            <w:tcBorders>
              <w:top w:val="single" w:sz="4" w:space="0" w:color="auto"/>
              <w:bottom w:val="single" w:sz="12" w:space="0" w:color="auto"/>
            </w:tcBorders>
            <w:shd w:val="clear" w:color="auto" w:fill="auto"/>
            <w:vAlign w:val="bottom"/>
          </w:tcPr>
          <w:p w14:paraId="3D896FD6" w14:textId="77777777" w:rsidR="00263BCB" w:rsidRPr="001E7FB0" w:rsidRDefault="00263BCB" w:rsidP="001E7FB0">
            <w:pPr>
              <w:pStyle w:val="SingleTxtG"/>
              <w:spacing w:before="80" w:after="80" w:line="220" w:lineRule="exact"/>
              <w:ind w:left="0" w:right="113"/>
              <w:jc w:val="right"/>
              <w:rPr>
                <w:b/>
                <w:sz w:val="18"/>
              </w:rPr>
            </w:pPr>
            <w:r w:rsidRPr="001E7FB0">
              <w:rPr>
                <w:b/>
                <w:sz w:val="18"/>
              </w:rPr>
              <w:t>2</w:t>
            </w:r>
          </w:p>
        </w:tc>
        <w:tc>
          <w:tcPr>
            <w:tcW w:w="849" w:type="dxa"/>
            <w:tcBorders>
              <w:top w:val="single" w:sz="4" w:space="0" w:color="auto"/>
              <w:bottom w:val="single" w:sz="12" w:space="0" w:color="auto"/>
            </w:tcBorders>
            <w:shd w:val="clear" w:color="auto" w:fill="auto"/>
            <w:noWrap/>
            <w:vAlign w:val="bottom"/>
          </w:tcPr>
          <w:p w14:paraId="5C943597" w14:textId="77777777" w:rsidR="00263BCB" w:rsidRPr="001E7FB0" w:rsidRDefault="00263BCB" w:rsidP="001E7FB0">
            <w:pPr>
              <w:pStyle w:val="SingleTxtG"/>
              <w:spacing w:before="80" w:after="80" w:line="220" w:lineRule="exact"/>
              <w:ind w:left="0" w:right="113"/>
              <w:jc w:val="right"/>
              <w:rPr>
                <w:b/>
                <w:sz w:val="18"/>
              </w:rPr>
            </w:pPr>
            <w:r w:rsidRPr="001E7FB0">
              <w:rPr>
                <w:b/>
                <w:sz w:val="18"/>
              </w:rPr>
              <w:t>4</w:t>
            </w:r>
          </w:p>
        </w:tc>
      </w:tr>
    </w:tbl>
    <w:p w14:paraId="61970DFB" w14:textId="640AA037" w:rsidR="00263BCB" w:rsidRPr="005D213B" w:rsidRDefault="00570685" w:rsidP="00570685">
      <w:pPr>
        <w:pStyle w:val="ParaNoG"/>
        <w:numPr>
          <w:ilvl w:val="0"/>
          <w:numId w:val="0"/>
        </w:numPr>
        <w:tabs>
          <w:tab w:val="left" w:pos="0"/>
        </w:tabs>
        <w:spacing w:before="240"/>
        <w:ind w:left="1134"/>
      </w:pPr>
      <w:r w:rsidRPr="005D213B">
        <w:t>199.</w:t>
      </w:r>
      <w:r w:rsidRPr="005D213B">
        <w:tab/>
      </w:r>
      <w:r w:rsidR="00263BCB" w:rsidRPr="005D213B">
        <w:t>All children identified as victims of trafficking in human beings for the purpose of sexual exploitation were included in a programme of reintegration and socialisation.</w:t>
      </w:r>
    </w:p>
    <w:p w14:paraId="7B00442D" w14:textId="77777777" w:rsidR="00263BCB" w:rsidRPr="00147646" w:rsidRDefault="00263BCB" w:rsidP="00263BCB">
      <w:pPr>
        <w:pStyle w:val="H23G"/>
        <w:rPr>
          <w:rStyle w:val="FootnoteReference"/>
          <w:b w:val="0"/>
          <w:bCs/>
        </w:rPr>
      </w:pPr>
      <w:r>
        <w:tab/>
      </w:r>
      <w:r>
        <w:tab/>
      </w:r>
      <w:bookmarkStart w:id="85" w:name="_Toc56781482"/>
      <w:r w:rsidRPr="005D213B">
        <w:t>Number of reported cases of sexual exploitation, sexual abuse, and sale of children, kidnapping and violence against child</w:t>
      </w:r>
      <w:r>
        <w:t>ren during the reporting period</w:t>
      </w:r>
      <w:r w:rsidRPr="00147646">
        <w:rPr>
          <w:rStyle w:val="FootnoteReference"/>
          <w:b w:val="0"/>
          <w:bCs/>
        </w:rPr>
        <w:footnoteReference w:id="51"/>
      </w:r>
      <w:bookmarkEnd w:id="85"/>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694"/>
        <w:gridCol w:w="1275"/>
        <w:gridCol w:w="851"/>
        <w:gridCol w:w="850"/>
        <w:gridCol w:w="851"/>
        <w:gridCol w:w="849"/>
      </w:tblGrid>
      <w:tr w:rsidR="00263BCB" w:rsidRPr="001C0720" w14:paraId="20A4EF1F" w14:textId="77777777" w:rsidTr="001C0720">
        <w:trPr>
          <w:tblHeader/>
        </w:trPr>
        <w:tc>
          <w:tcPr>
            <w:tcW w:w="2694" w:type="dxa"/>
            <w:tcBorders>
              <w:top w:val="single" w:sz="4" w:space="0" w:color="auto"/>
              <w:bottom w:val="single" w:sz="12" w:space="0" w:color="auto"/>
            </w:tcBorders>
            <w:shd w:val="clear" w:color="auto" w:fill="auto"/>
            <w:vAlign w:val="bottom"/>
          </w:tcPr>
          <w:p w14:paraId="54446510" w14:textId="77777777" w:rsidR="00263BCB" w:rsidRPr="001C0720" w:rsidRDefault="00263BCB" w:rsidP="001C0720">
            <w:pPr>
              <w:pStyle w:val="SingleTxtG"/>
              <w:spacing w:before="80" w:after="80" w:line="200" w:lineRule="exact"/>
              <w:ind w:left="0" w:right="113"/>
              <w:jc w:val="left"/>
              <w:rPr>
                <w:i/>
                <w:sz w:val="16"/>
              </w:rPr>
            </w:pPr>
            <w:r w:rsidRPr="001C0720">
              <w:rPr>
                <w:i/>
                <w:sz w:val="16"/>
              </w:rPr>
              <w:t>Year of identification of children victims of trafficking for the purpose of sexual exploitation</w:t>
            </w:r>
          </w:p>
        </w:tc>
        <w:tc>
          <w:tcPr>
            <w:tcW w:w="1275" w:type="dxa"/>
            <w:tcBorders>
              <w:top w:val="single" w:sz="4" w:space="0" w:color="auto"/>
              <w:bottom w:val="single" w:sz="12" w:space="0" w:color="auto"/>
            </w:tcBorders>
            <w:shd w:val="clear" w:color="auto" w:fill="auto"/>
            <w:vAlign w:val="bottom"/>
          </w:tcPr>
          <w:p w14:paraId="5EE5F43F" w14:textId="77777777" w:rsidR="00263BCB" w:rsidRPr="001C0720" w:rsidRDefault="00263BCB" w:rsidP="001C0720">
            <w:pPr>
              <w:pStyle w:val="SingleTxtG"/>
              <w:spacing w:before="80" w:after="80" w:line="200" w:lineRule="exact"/>
              <w:ind w:left="0" w:right="113"/>
              <w:jc w:val="right"/>
              <w:rPr>
                <w:i/>
                <w:sz w:val="16"/>
              </w:rPr>
            </w:pPr>
            <w:r w:rsidRPr="001C0720">
              <w:rPr>
                <w:i/>
                <w:sz w:val="16"/>
              </w:rPr>
              <w:t>2014</w:t>
            </w:r>
          </w:p>
        </w:tc>
        <w:tc>
          <w:tcPr>
            <w:tcW w:w="851" w:type="dxa"/>
            <w:tcBorders>
              <w:top w:val="single" w:sz="4" w:space="0" w:color="auto"/>
              <w:bottom w:val="single" w:sz="12" w:space="0" w:color="auto"/>
            </w:tcBorders>
            <w:shd w:val="clear" w:color="auto" w:fill="auto"/>
            <w:vAlign w:val="bottom"/>
          </w:tcPr>
          <w:p w14:paraId="36D80222" w14:textId="77777777" w:rsidR="00263BCB" w:rsidRPr="001C0720" w:rsidRDefault="00263BCB" w:rsidP="001C0720">
            <w:pPr>
              <w:pStyle w:val="SingleTxtG"/>
              <w:spacing w:before="80" w:after="80" w:line="200" w:lineRule="exact"/>
              <w:ind w:left="0" w:right="113"/>
              <w:jc w:val="right"/>
              <w:rPr>
                <w:i/>
                <w:sz w:val="16"/>
              </w:rPr>
            </w:pPr>
            <w:r w:rsidRPr="001C0720">
              <w:rPr>
                <w:i/>
                <w:sz w:val="16"/>
              </w:rPr>
              <w:t>2015</w:t>
            </w:r>
          </w:p>
        </w:tc>
        <w:tc>
          <w:tcPr>
            <w:tcW w:w="850" w:type="dxa"/>
            <w:tcBorders>
              <w:top w:val="single" w:sz="4" w:space="0" w:color="auto"/>
              <w:bottom w:val="single" w:sz="12" w:space="0" w:color="auto"/>
            </w:tcBorders>
            <w:shd w:val="clear" w:color="auto" w:fill="auto"/>
            <w:vAlign w:val="bottom"/>
          </w:tcPr>
          <w:p w14:paraId="17D6A5C0" w14:textId="77777777" w:rsidR="00263BCB" w:rsidRPr="001C0720" w:rsidRDefault="00263BCB" w:rsidP="001C0720">
            <w:pPr>
              <w:pStyle w:val="SingleTxtG"/>
              <w:spacing w:before="80" w:after="80" w:line="200" w:lineRule="exact"/>
              <w:ind w:left="0" w:right="113"/>
              <w:jc w:val="right"/>
              <w:rPr>
                <w:i/>
                <w:sz w:val="16"/>
              </w:rPr>
            </w:pPr>
            <w:r w:rsidRPr="001C0720">
              <w:rPr>
                <w:i/>
                <w:sz w:val="16"/>
              </w:rPr>
              <w:t>2016</w:t>
            </w:r>
          </w:p>
        </w:tc>
        <w:tc>
          <w:tcPr>
            <w:tcW w:w="851" w:type="dxa"/>
            <w:tcBorders>
              <w:top w:val="single" w:sz="4" w:space="0" w:color="auto"/>
              <w:bottom w:val="single" w:sz="12" w:space="0" w:color="auto"/>
            </w:tcBorders>
            <w:shd w:val="clear" w:color="auto" w:fill="auto"/>
            <w:vAlign w:val="bottom"/>
          </w:tcPr>
          <w:p w14:paraId="20A17099" w14:textId="77777777" w:rsidR="00263BCB" w:rsidRPr="001C0720" w:rsidRDefault="00263BCB" w:rsidP="001C0720">
            <w:pPr>
              <w:pStyle w:val="SingleTxtG"/>
              <w:spacing w:before="80" w:after="80" w:line="200" w:lineRule="exact"/>
              <w:ind w:left="0" w:right="113"/>
              <w:jc w:val="right"/>
              <w:rPr>
                <w:i/>
                <w:sz w:val="16"/>
              </w:rPr>
            </w:pPr>
            <w:r w:rsidRPr="001C0720">
              <w:rPr>
                <w:i/>
                <w:sz w:val="16"/>
              </w:rPr>
              <w:t>2017</w:t>
            </w:r>
          </w:p>
        </w:tc>
        <w:tc>
          <w:tcPr>
            <w:tcW w:w="849" w:type="dxa"/>
            <w:tcBorders>
              <w:top w:val="single" w:sz="4" w:space="0" w:color="auto"/>
              <w:bottom w:val="single" w:sz="12" w:space="0" w:color="auto"/>
            </w:tcBorders>
            <w:shd w:val="clear" w:color="auto" w:fill="auto"/>
            <w:noWrap/>
            <w:vAlign w:val="bottom"/>
          </w:tcPr>
          <w:p w14:paraId="6C6959BF" w14:textId="77777777" w:rsidR="00263BCB" w:rsidRPr="001C0720" w:rsidRDefault="00263BCB" w:rsidP="001C0720">
            <w:pPr>
              <w:pStyle w:val="SingleTxtG"/>
              <w:spacing w:before="80" w:after="80" w:line="200" w:lineRule="exact"/>
              <w:ind w:left="0" w:right="113"/>
              <w:jc w:val="right"/>
              <w:rPr>
                <w:i/>
                <w:sz w:val="16"/>
              </w:rPr>
            </w:pPr>
            <w:r w:rsidRPr="001C0720">
              <w:rPr>
                <w:i/>
                <w:sz w:val="16"/>
              </w:rPr>
              <w:t>2018</w:t>
            </w:r>
          </w:p>
        </w:tc>
      </w:tr>
      <w:tr w:rsidR="00263BCB" w:rsidRPr="001C0720" w14:paraId="61F28A3C" w14:textId="77777777" w:rsidTr="001C0720">
        <w:tc>
          <w:tcPr>
            <w:tcW w:w="2694" w:type="dxa"/>
            <w:tcBorders>
              <w:top w:val="single" w:sz="12" w:space="0" w:color="auto"/>
            </w:tcBorders>
            <w:shd w:val="clear" w:color="auto" w:fill="auto"/>
          </w:tcPr>
          <w:p w14:paraId="7276401D" w14:textId="77777777" w:rsidR="00263BCB" w:rsidRPr="001C0720" w:rsidRDefault="00263BCB" w:rsidP="001C0720">
            <w:pPr>
              <w:pStyle w:val="SingleTxtG"/>
              <w:spacing w:before="40" w:after="40" w:line="220" w:lineRule="exact"/>
              <w:ind w:left="0" w:right="113"/>
              <w:jc w:val="left"/>
              <w:rPr>
                <w:sz w:val="18"/>
              </w:rPr>
            </w:pPr>
            <w:r w:rsidRPr="001C0720">
              <w:rPr>
                <w:sz w:val="18"/>
              </w:rPr>
              <w:t>Domestic</w:t>
            </w:r>
          </w:p>
        </w:tc>
        <w:tc>
          <w:tcPr>
            <w:tcW w:w="1275" w:type="dxa"/>
            <w:tcBorders>
              <w:top w:val="single" w:sz="12" w:space="0" w:color="auto"/>
            </w:tcBorders>
            <w:shd w:val="clear" w:color="auto" w:fill="auto"/>
            <w:vAlign w:val="bottom"/>
          </w:tcPr>
          <w:p w14:paraId="3D86A028" w14:textId="77777777" w:rsidR="00263BCB" w:rsidRPr="001C0720" w:rsidRDefault="00263BCB" w:rsidP="001C0720">
            <w:pPr>
              <w:pStyle w:val="SingleTxtG"/>
              <w:spacing w:before="40" w:after="40" w:line="220" w:lineRule="exact"/>
              <w:ind w:left="0" w:right="113"/>
              <w:jc w:val="right"/>
              <w:rPr>
                <w:sz w:val="18"/>
              </w:rPr>
            </w:pPr>
            <w:r w:rsidRPr="001C0720">
              <w:rPr>
                <w:sz w:val="18"/>
              </w:rPr>
              <w:t>6</w:t>
            </w:r>
          </w:p>
        </w:tc>
        <w:tc>
          <w:tcPr>
            <w:tcW w:w="851" w:type="dxa"/>
            <w:tcBorders>
              <w:top w:val="single" w:sz="12" w:space="0" w:color="auto"/>
            </w:tcBorders>
            <w:shd w:val="clear" w:color="auto" w:fill="auto"/>
            <w:vAlign w:val="bottom"/>
          </w:tcPr>
          <w:p w14:paraId="70BAEFAD" w14:textId="77777777" w:rsidR="00263BCB" w:rsidRPr="001C0720" w:rsidRDefault="00263BCB" w:rsidP="001C0720">
            <w:pPr>
              <w:pStyle w:val="SingleTxtG"/>
              <w:spacing w:before="40" w:after="40" w:line="220" w:lineRule="exact"/>
              <w:ind w:left="0" w:right="113"/>
              <w:jc w:val="right"/>
              <w:rPr>
                <w:sz w:val="18"/>
              </w:rPr>
            </w:pPr>
            <w:r w:rsidRPr="001C0720">
              <w:rPr>
                <w:sz w:val="18"/>
              </w:rPr>
              <w:t>3</w:t>
            </w:r>
          </w:p>
        </w:tc>
        <w:tc>
          <w:tcPr>
            <w:tcW w:w="850" w:type="dxa"/>
            <w:tcBorders>
              <w:top w:val="single" w:sz="12" w:space="0" w:color="auto"/>
            </w:tcBorders>
            <w:shd w:val="clear" w:color="auto" w:fill="auto"/>
            <w:vAlign w:val="bottom"/>
          </w:tcPr>
          <w:p w14:paraId="4E89B52F" w14:textId="77777777" w:rsidR="00263BCB" w:rsidRPr="001C0720" w:rsidRDefault="00263BCB" w:rsidP="001C0720">
            <w:pPr>
              <w:pStyle w:val="SingleTxtG"/>
              <w:spacing w:before="40" w:after="40" w:line="220" w:lineRule="exact"/>
              <w:ind w:left="0" w:right="113"/>
              <w:jc w:val="right"/>
              <w:rPr>
                <w:sz w:val="18"/>
              </w:rPr>
            </w:pPr>
            <w:r w:rsidRPr="001C0720">
              <w:rPr>
                <w:sz w:val="18"/>
              </w:rPr>
              <w:t>3</w:t>
            </w:r>
          </w:p>
        </w:tc>
        <w:tc>
          <w:tcPr>
            <w:tcW w:w="851" w:type="dxa"/>
            <w:tcBorders>
              <w:top w:val="single" w:sz="12" w:space="0" w:color="auto"/>
            </w:tcBorders>
            <w:shd w:val="clear" w:color="auto" w:fill="auto"/>
            <w:vAlign w:val="bottom"/>
          </w:tcPr>
          <w:p w14:paraId="13F8B74D" w14:textId="77777777" w:rsidR="00263BCB" w:rsidRPr="001C0720" w:rsidRDefault="00263BCB" w:rsidP="001C0720">
            <w:pPr>
              <w:pStyle w:val="SingleTxtG"/>
              <w:spacing w:before="40" w:after="40" w:line="220" w:lineRule="exact"/>
              <w:ind w:left="0" w:right="113"/>
              <w:jc w:val="right"/>
              <w:rPr>
                <w:sz w:val="18"/>
              </w:rPr>
            </w:pPr>
            <w:r w:rsidRPr="001C0720">
              <w:rPr>
                <w:sz w:val="18"/>
              </w:rPr>
              <w:t>2</w:t>
            </w:r>
          </w:p>
        </w:tc>
        <w:tc>
          <w:tcPr>
            <w:tcW w:w="849" w:type="dxa"/>
            <w:tcBorders>
              <w:top w:val="single" w:sz="12" w:space="0" w:color="auto"/>
            </w:tcBorders>
            <w:shd w:val="clear" w:color="auto" w:fill="auto"/>
            <w:noWrap/>
            <w:vAlign w:val="bottom"/>
          </w:tcPr>
          <w:p w14:paraId="479CB5AD" w14:textId="77777777" w:rsidR="00263BCB" w:rsidRPr="001C0720" w:rsidRDefault="00263BCB" w:rsidP="001C0720">
            <w:pPr>
              <w:pStyle w:val="SingleTxtG"/>
              <w:spacing w:before="40" w:after="40" w:line="220" w:lineRule="exact"/>
              <w:ind w:left="0" w:right="113"/>
              <w:jc w:val="right"/>
              <w:rPr>
                <w:sz w:val="18"/>
              </w:rPr>
            </w:pPr>
            <w:r w:rsidRPr="001C0720">
              <w:rPr>
                <w:sz w:val="18"/>
              </w:rPr>
              <w:t>3</w:t>
            </w:r>
          </w:p>
        </w:tc>
      </w:tr>
      <w:tr w:rsidR="00263BCB" w:rsidRPr="001C0720" w14:paraId="3AC9963B" w14:textId="77777777" w:rsidTr="00B36CD7">
        <w:tc>
          <w:tcPr>
            <w:tcW w:w="2694" w:type="dxa"/>
            <w:tcBorders>
              <w:bottom w:val="single" w:sz="4" w:space="0" w:color="auto"/>
            </w:tcBorders>
            <w:shd w:val="clear" w:color="auto" w:fill="auto"/>
          </w:tcPr>
          <w:p w14:paraId="30ADF837" w14:textId="77777777" w:rsidR="00263BCB" w:rsidRPr="001C0720" w:rsidRDefault="00263BCB" w:rsidP="001C0720">
            <w:pPr>
              <w:pStyle w:val="SingleTxtG"/>
              <w:spacing w:before="40" w:after="40" w:line="220" w:lineRule="exact"/>
              <w:ind w:left="0" w:right="113"/>
              <w:jc w:val="left"/>
              <w:rPr>
                <w:sz w:val="18"/>
              </w:rPr>
            </w:pPr>
            <w:r w:rsidRPr="001C0720">
              <w:rPr>
                <w:sz w:val="18"/>
              </w:rPr>
              <w:t>Foreign</w:t>
            </w:r>
          </w:p>
        </w:tc>
        <w:tc>
          <w:tcPr>
            <w:tcW w:w="1275" w:type="dxa"/>
            <w:tcBorders>
              <w:bottom w:val="single" w:sz="4" w:space="0" w:color="auto"/>
            </w:tcBorders>
            <w:shd w:val="clear" w:color="auto" w:fill="auto"/>
            <w:vAlign w:val="bottom"/>
          </w:tcPr>
          <w:p w14:paraId="1D181659" w14:textId="77777777" w:rsidR="00263BCB" w:rsidRPr="001C0720" w:rsidRDefault="00263BCB" w:rsidP="001C0720">
            <w:pPr>
              <w:pStyle w:val="SingleTxtG"/>
              <w:spacing w:before="40" w:after="40" w:line="220" w:lineRule="exact"/>
              <w:ind w:left="0" w:right="113"/>
              <w:jc w:val="right"/>
              <w:rPr>
                <w:sz w:val="18"/>
              </w:rPr>
            </w:pPr>
            <w:r w:rsidRPr="001C0720">
              <w:rPr>
                <w:sz w:val="18"/>
              </w:rPr>
              <w:t>/</w:t>
            </w:r>
          </w:p>
        </w:tc>
        <w:tc>
          <w:tcPr>
            <w:tcW w:w="851" w:type="dxa"/>
            <w:tcBorders>
              <w:bottom w:val="single" w:sz="4" w:space="0" w:color="auto"/>
            </w:tcBorders>
            <w:shd w:val="clear" w:color="auto" w:fill="auto"/>
            <w:vAlign w:val="bottom"/>
          </w:tcPr>
          <w:p w14:paraId="401E08EF" w14:textId="77777777" w:rsidR="00263BCB" w:rsidRPr="001C0720" w:rsidRDefault="00263BCB" w:rsidP="001C0720">
            <w:pPr>
              <w:pStyle w:val="SingleTxtG"/>
              <w:spacing w:before="40" w:after="40" w:line="220" w:lineRule="exact"/>
              <w:ind w:left="0" w:right="113"/>
              <w:jc w:val="right"/>
              <w:rPr>
                <w:sz w:val="18"/>
              </w:rPr>
            </w:pPr>
            <w:r w:rsidRPr="001C0720">
              <w:rPr>
                <w:sz w:val="18"/>
              </w:rPr>
              <w:t>/</w:t>
            </w:r>
          </w:p>
        </w:tc>
        <w:tc>
          <w:tcPr>
            <w:tcW w:w="850" w:type="dxa"/>
            <w:tcBorders>
              <w:bottom w:val="single" w:sz="4" w:space="0" w:color="auto"/>
            </w:tcBorders>
            <w:shd w:val="clear" w:color="auto" w:fill="auto"/>
            <w:vAlign w:val="bottom"/>
          </w:tcPr>
          <w:p w14:paraId="5B497FEE" w14:textId="77777777" w:rsidR="00263BCB" w:rsidRPr="001C0720" w:rsidRDefault="00263BCB" w:rsidP="001C0720">
            <w:pPr>
              <w:pStyle w:val="SingleTxtG"/>
              <w:spacing w:before="40" w:after="40" w:line="220" w:lineRule="exact"/>
              <w:ind w:left="0" w:right="113"/>
              <w:jc w:val="right"/>
              <w:rPr>
                <w:sz w:val="18"/>
              </w:rPr>
            </w:pPr>
            <w:r w:rsidRPr="001C0720">
              <w:rPr>
                <w:sz w:val="18"/>
              </w:rPr>
              <w:t>/</w:t>
            </w:r>
          </w:p>
        </w:tc>
        <w:tc>
          <w:tcPr>
            <w:tcW w:w="851" w:type="dxa"/>
            <w:tcBorders>
              <w:bottom w:val="single" w:sz="4" w:space="0" w:color="auto"/>
            </w:tcBorders>
            <w:shd w:val="clear" w:color="auto" w:fill="auto"/>
            <w:vAlign w:val="bottom"/>
          </w:tcPr>
          <w:p w14:paraId="2DBDB5C3" w14:textId="77777777" w:rsidR="00263BCB" w:rsidRPr="001C0720" w:rsidRDefault="00263BCB" w:rsidP="001C0720">
            <w:pPr>
              <w:pStyle w:val="SingleTxtG"/>
              <w:spacing w:before="40" w:after="40" w:line="220" w:lineRule="exact"/>
              <w:ind w:left="0" w:right="113"/>
              <w:jc w:val="right"/>
              <w:rPr>
                <w:sz w:val="18"/>
              </w:rPr>
            </w:pPr>
            <w:r w:rsidRPr="001C0720">
              <w:rPr>
                <w:sz w:val="18"/>
              </w:rPr>
              <w:t>/</w:t>
            </w:r>
          </w:p>
        </w:tc>
        <w:tc>
          <w:tcPr>
            <w:tcW w:w="849" w:type="dxa"/>
            <w:tcBorders>
              <w:bottom w:val="single" w:sz="4" w:space="0" w:color="auto"/>
            </w:tcBorders>
            <w:shd w:val="clear" w:color="auto" w:fill="auto"/>
            <w:noWrap/>
            <w:vAlign w:val="bottom"/>
          </w:tcPr>
          <w:p w14:paraId="61F2CDAF" w14:textId="77777777" w:rsidR="00263BCB" w:rsidRPr="001C0720" w:rsidRDefault="00263BCB" w:rsidP="001C0720">
            <w:pPr>
              <w:pStyle w:val="SingleTxtG"/>
              <w:spacing w:before="40" w:after="40" w:line="220" w:lineRule="exact"/>
              <w:ind w:left="0" w:right="113"/>
              <w:jc w:val="right"/>
              <w:rPr>
                <w:sz w:val="18"/>
              </w:rPr>
            </w:pPr>
            <w:r w:rsidRPr="001C0720">
              <w:rPr>
                <w:sz w:val="18"/>
              </w:rPr>
              <w:t>1</w:t>
            </w:r>
          </w:p>
        </w:tc>
      </w:tr>
      <w:tr w:rsidR="00263BCB" w:rsidRPr="001C0720" w14:paraId="76D2E506" w14:textId="77777777" w:rsidTr="00B36CD7">
        <w:tc>
          <w:tcPr>
            <w:tcW w:w="2694" w:type="dxa"/>
            <w:tcBorders>
              <w:top w:val="single" w:sz="4" w:space="0" w:color="auto"/>
              <w:bottom w:val="single" w:sz="12" w:space="0" w:color="auto"/>
            </w:tcBorders>
            <w:shd w:val="clear" w:color="auto" w:fill="auto"/>
          </w:tcPr>
          <w:p w14:paraId="62951F3C" w14:textId="77777777" w:rsidR="00263BCB" w:rsidRPr="00B36CD7" w:rsidRDefault="00263BCB" w:rsidP="00B36CD7">
            <w:pPr>
              <w:pStyle w:val="SingleTxtG"/>
              <w:spacing w:before="80" w:after="80" w:line="220" w:lineRule="exact"/>
              <w:ind w:left="283" w:right="113"/>
              <w:jc w:val="left"/>
              <w:rPr>
                <w:b/>
                <w:sz w:val="18"/>
              </w:rPr>
            </w:pPr>
            <w:r w:rsidRPr="00B36CD7">
              <w:rPr>
                <w:b/>
                <w:sz w:val="18"/>
              </w:rPr>
              <w:t>Total</w:t>
            </w:r>
          </w:p>
        </w:tc>
        <w:tc>
          <w:tcPr>
            <w:tcW w:w="1275" w:type="dxa"/>
            <w:tcBorders>
              <w:top w:val="single" w:sz="4" w:space="0" w:color="auto"/>
              <w:bottom w:val="single" w:sz="12" w:space="0" w:color="auto"/>
            </w:tcBorders>
            <w:shd w:val="clear" w:color="auto" w:fill="auto"/>
            <w:vAlign w:val="bottom"/>
          </w:tcPr>
          <w:p w14:paraId="0DDC3DC8" w14:textId="77777777" w:rsidR="00263BCB" w:rsidRPr="00B36CD7" w:rsidRDefault="00263BCB" w:rsidP="00B36CD7">
            <w:pPr>
              <w:pStyle w:val="SingleTxtG"/>
              <w:spacing w:before="80" w:after="80" w:line="220" w:lineRule="exact"/>
              <w:ind w:left="0" w:right="113"/>
              <w:jc w:val="right"/>
              <w:rPr>
                <w:b/>
                <w:sz w:val="18"/>
              </w:rPr>
            </w:pPr>
            <w:r w:rsidRPr="00B36CD7">
              <w:rPr>
                <w:b/>
                <w:sz w:val="18"/>
              </w:rPr>
              <w:t>6</w:t>
            </w:r>
          </w:p>
        </w:tc>
        <w:tc>
          <w:tcPr>
            <w:tcW w:w="851" w:type="dxa"/>
            <w:tcBorders>
              <w:top w:val="single" w:sz="4" w:space="0" w:color="auto"/>
              <w:bottom w:val="single" w:sz="12" w:space="0" w:color="auto"/>
            </w:tcBorders>
            <w:shd w:val="clear" w:color="auto" w:fill="auto"/>
            <w:vAlign w:val="bottom"/>
          </w:tcPr>
          <w:p w14:paraId="553AD43B" w14:textId="77777777" w:rsidR="00263BCB" w:rsidRPr="00B36CD7" w:rsidRDefault="00263BCB" w:rsidP="00B36CD7">
            <w:pPr>
              <w:pStyle w:val="SingleTxtG"/>
              <w:spacing w:before="80" w:after="80" w:line="220" w:lineRule="exact"/>
              <w:ind w:left="0" w:right="113"/>
              <w:jc w:val="right"/>
              <w:rPr>
                <w:b/>
                <w:sz w:val="18"/>
              </w:rPr>
            </w:pPr>
            <w:r w:rsidRPr="00B36CD7">
              <w:rPr>
                <w:b/>
                <w:sz w:val="18"/>
              </w:rPr>
              <w:t>3</w:t>
            </w:r>
          </w:p>
        </w:tc>
        <w:tc>
          <w:tcPr>
            <w:tcW w:w="850" w:type="dxa"/>
            <w:tcBorders>
              <w:top w:val="single" w:sz="4" w:space="0" w:color="auto"/>
              <w:bottom w:val="single" w:sz="12" w:space="0" w:color="auto"/>
            </w:tcBorders>
            <w:shd w:val="clear" w:color="auto" w:fill="auto"/>
            <w:vAlign w:val="bottom"/>
          </w:tcPr>
          <w:p w14:paraId="4CECCC93" w14:textId="77777777" w:rsidR="00263BCB" w:rsidRPr="00B36CD7" w:rsidRDefault="00263BCB" w:rsidP="00B36CD7">
            <w:pPr>
              <w:pStyle w:val="SingleTxtG"/>
              <w:spacing w:before="80" w:after="80" w:line="220" w:lineRule="exact"/>
              <w:ind w:left="0" w:right="113"/>
              <w:jc w:val="right"/>
              <w:rPr>
                <w:b/>
                <w:sz w:val="18"/>
              </w:rPr>
            </w:pPr>
            <w:r w:rsidRPr="00B36CD7">
              <w:rPr>
                <w:b/>
                <w:sz w:val="18"/>
              </w:rPr>
              <w:t>3</w:t>
            </w:r>
          </w:p>
        </w:tc>
        <w:tc>
          <w:tcPr>
            <w:tcW w:w="851" w:type="dxa"/>
            <w:tcBorders>
              <w:top w:val="single" w:sz="4" w:space="0" w:color="auto"/>
              <w:bottom w:val="single" w:sz="12" w:space="0" w:color="auto"/>
            </w:tcBorders>
            <w:shd w:val="clear" w:color="auto" w:fill="auto"/>
            <w:vAlign w:val="bottom"/>
          </w:tcPr>
          <w:p w14:paraId="337107E2" w14:textId="77777777" w:rsidR="00263BCB" w:rsidRPr="00B36CD7" w:rsidRDefault="00263BCB" w:rsidP="00B36CD7">
            <w:pPr>
              <w:pStyle w:val="SingleTxtG"/>
              <w:spacing w:before="80" w:after="80" w:line="220" w:lineRule="exact"/>
              <w:ind w:left="0" w:right="113"/>
              <w:jc w:val="right"/>
              <w:rPr>
                <w:b/>
                <w:sz w:val="18"/>
              </w:rPr>
            </w:pPr>
            <w:r w:rsidRPr="00B36CD7">
              <w:rPr>
                <w:b/>
                <w:sz w:val="18"/>
              </w:rPr>
              <w:t>2</w:t>
            </w:r>
          </w:p>
        </w:tc>
        <w:tc>
          <w:tcPr>
            <w:tcW w:w="849" w:type="dxa"/>
            <w:tcBorders>
              <w:top w:val="single" w:sz="4" w:space="0" w:color="auto"/>
              <w:bottom w:val="single" w:sz="12" w:space="0" w:color="auto"/>
            </w:tcBorders>
            <w:shd w:val="clear" w:color="auto" w:fill="auto"/>
            <w:noWrap/>
            <w:vAlign w:val="bottom"/>
          </w:tcPr>
          <w:p w14:paraId="124832D6" w14:textId="77777777" w:rsidR="00263BCB" w:rsidRPr="00B36CD7" w:rsidRDefault="00263BCB" w:rsidP="00B36CD7">
            <w:pPr>
              <w:pStyle w:val="SingleTxtG"/>
              <w:spacing w:before="80" w:after="80" w:line="220" w:lineRule="exact"/>
              <w:ind w:left="0" w:right="113"/>
              <w:jc w:val="right"/>
              <w:rPr>
                <w:b/>
                <w:sz w:val="18"/>
              </w:rPr>
            </w:pPr>
            <w:r w:rsidRPr="00B36CD7">
              <w:rPr>
                <w:b/>
                <w:sz w:val="18"/>
              </w:rPr>
              <w:t>4</w:t>
            </w:r>
          </w:p>
        </w:tc>
      </w:tr>
    </w:tbl>
    <w:p w14:paraId="13A91A9B" w14:textId="2BC777A8" w:rsidR="00263BCB" w:rsidRPr="005D213B" w:rsidRDefault="00263BCB" w:rsidP="00263BCB">
      <w:pPr>
        <w:pStyle w:val="H23G"/>
      </w:pPr>
      <w:r>
        <w:tab/>
      </w:r>
      <w:r>
        <w:tab/>
      </w:r>
      <w:bookmarkStart w:id="86" w:name="_Toc56781483"/>
      <w:r w:rsidRPr="005D213B">
        <w:t>Abduction of, the sale of or trafficking in children (Article 35)</w:t>
      </w:r>
      <w:bookmarkEnd w:id="86"/>
    </w:p>
    <w:p w14:paraId="596E76DC" w14:textId="28692058" w:rsidR="00263BCB" w:rsidRPr="005D213B" w:rsidRDefault="00570685" w:rsidP="00570685">
      <w:pPr>
        <w:pStyle w:val="ParaNoG"/>
        <w:numPr>
          <w:ilvl w:val="0"/>
          <w:numId w:val="0"/>
        </w:numPr>
        <w:tabs>
          <w:tab w:val="left" w:pos="0"/>
        </w:tabs>
        <w:ind w:left="1134"/>
      </w:pPr>
      <w:r w:rsidRPr="005D213B">
        <w:t>200.</w:t>
      </w:r>
      <w:r w:rsidRPr="005D213B">
        <w:tab/>
      </w:r>
      <w:r w:rsidR="00263BCB" w:rsidRPr="005D213B">
        <w:t>Within the National Commission, as a working body, a subgroup for combating trafficking in children continues to operate, with a mandate to monitor the situation with trafficking in children. In 2015, the Subgroup submitted an Initiative for Amendments to Article 418-d of the Criminal Code</w:t>
      </w:r>
      <w:r w:rsidR="00263BCB" w:rsidRPr="00A21C4B">
        <w:rPr>
          <w:rStyle w:val="FootnoteReference"/>
        </w:rPr>
        <w:footnoteReference w:id="52"/>
      </w:r>
      <w:r w:rsidR="00263BCB" w:rsidRPr="00A21C4B">
        <w:rPr>
          <w:rStyle w:val="FootnoteReference"/>
        </w:rPr>
        <w:t xml:space="preserve"> </w:t>
      </w:r>
      <w:r w:rsidR="00263BCB" w:rsidRPr="005D213B">
        <w:t>in context of incriminating begging and erasing of Article 191-a</w:t>
      </w:r>
      <w:r w:rsidR="00A21C4B">
        <w:t xml:space="preserve"> “</w:t>
      </w:r>
      <w:r w:rsidR="00263BCB" w:rsidRPr="005D213B">
        <w:t>Child Prostitution</w:t>
      </w:r>
      <w:r w:rsidR="001B7C17">
        <w:t>”</w:t>
      </w:r>
      <w:r w:rsidR="00263BCB" w:rsidRPr="005D213B">
        <w:t>,</w:t>
      </w:r>
      <w:r w:rsidR="00AE332F">
        <w:t xml:space="preserve"> </w:t>
      </w:r>
      <w:r w:rsidR="00263BCB" w:rsidRPr="005D213B">
        <w:t>due to the conclusion that it is contrary to the principles of non-discrimination and the best interests of the child.</w:t>
      </w:r>
      <w:r w:rsidR="00A21C4B">
        <w:t xml:space="preserve"> </w:t>
      </w:r>
      <w:r w:rsidR="00263BCB" w:rsidRPr="005D213B">
        <w:t>The National Referral Mechanism (NRM) used for referral of human trafficking victims at the MLSP works to coordinate the identification, assistance, and referral of child victims of trafficking.</w:t>
      </w:r>
      <w:r w:rsidR="00A21C4B">
        <w:t xml:space="preserve"> </w:t>
      </w:r>
      <w:r w:rsidR="00263BCB" w:rsidRPr="005D213B">
        <w:t xml:space="preserve">The NRM </w:t>
      </w:r>
      <w:r w:rsidR="00263BCB" w:rsidRPr="005D213B">
        <w:lastRenderedPageBreak/>
        <w:t>continuously implements the activities foreseen in the National Strategy and Action Plan for Combating Trafficking in Human Beings and Illegal Migration 2017</w:t>
      </w:r>
      <w:r w:rsidR="001C0720">
        <w:t>–</w:t>
      </w:r>
      <w:r w:rsidR="00263BCB" w:rsidRPr="005D213B">
        <w:t xml:space="preserve">2020. In the process of protection and reintegration, special measures are taken based on the age and needs of the child/victim according to the physical, psychological, and social consequences experienced by the child/victim of trafficking: </w:t>
      </w:r>
    </w:p>
    <w:p w14:paraId="7DD2CBDB" w14:textId="33322EB9"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rPr>
          <w:b/>
        </w:rPr>
      </w:pPr>
      <w:r w:rsidRPr="005D213B">
        <w:t>•</w:t>
      </w:r>
      <w:r w:rsidRPr="005D213B">
        <w:tab/>
        <w:t>Referral and placement in a shelter, needs assessment and intervention in crisis;</w:t>
      </w:r>
    </w:p>
    <w:p w14:paraId="1AE38D04" w14:textId="5399664D"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Providing</w:t>
      </w:r>
      <w:r w:rsidR="00A21C4B">
        <w:t xml:space="preserve"> </w:t>
      </w:r>
      <w:r w:rsidRPr="005D213B">
        <w:t xml:space="preserve">an expert team that carries out activities in day and night shifts, as well as accompanying victims to the necessary destinations; </w:t>
      </w:r>
    </w:p>
    <w:p w14:paraId="26A5A10E" w14:textId="529CB6DF"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 xml:space="preserve">Provision of food during their stay, hygienic packages, clothing and footwear; </w:t>
      </w:r>
    </w:p>
    <w:p w14:paraId="3B205E51" w14:textId="5AB45138"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Inclusion in the programme of psycho-social support (various workshops, training for computer work, basic language courses in English, etc.);</w:t>
      </w:r>
    </w:p>
    <w:p w14:paraId="63CF2729" w14:textId="7CAB8257"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 xml:space="preserve">Organising occupational and recreational activities, depending on the personal affinities: drawing on glass, canvas, porcelain, napkin technique, handmade jewellery, knitting, sewing, origami techniques; </w:t>
      </w:r>
    </w:p>
    <w:p w14:paraId="1D1E32A7" w14:textId="5FDEAD4E"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 xml:space="preserve">Organising basic medical, laboratory and specialised gynaecological examinations, testing of HIV, hepatitis A, B and C; </w:t>
      </w:r>
    </w:p>
    <w:p w14:paraId="2A89F395" w14:textId="0DF735FC"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Legal counselling and offering information on the country judicial system and representation before the courts by a lawyer in previously initiated court procedures;</w:t>
      </w:r>
    </w:p>
    <w:p w14:paraId="0952567A" w14:textId="118432B3"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Preparation of an individual long-term plan for inclusion in the educational process after returning to place of residence;</w:t>
      </w:r>
      <w:r w:rsidR="00A21C4B">
        <w:t xml:space="preserve"> </w:t>
      </w:r>
    </w:p>
    <w:p w14:paraId="36CC3467" w14:textId="4AAF734E"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Provision of psychological support for victims, including various treatments and sessions, group therapy and individual psychological counselling once a week, as well as emergency and more intensive assistance depending on the need;</w:t>
      </w:r>
    </w:p>
    <w:p w14:paraId="53032218" w14:textId="61EC8B78"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Overcoming stress and trauma, forming habits, improving reading skills, positive thinking, basic knowledge about adolescent developmental problems, emotional relationships and peer relationships, the dangers of communicable sexually transmitted diseases and unwanted pregnancies.</w:t>
      </w:r>
    </w:p>
    <w:p w14:paraId="3A3FC1EB" w14:textId="77777777" w:rsidR="00263BCB" w:rsidRPr="00401BB5" w:rsidRDefault="00263BCB" w:rsidP="00263BCB">
      <w:pPr>
        <w:pStyle w:val="H23G"/>
      </w:pPr>
      <w:r w:rsidRPr="00401BB5">
        <w:tab/>
      </w:r>
      <w:bookmarkStart w:id="87" w:name="_Toc56781484"/>
      <w:r w:rsidRPr="00401BB5">
        <w:t>(e)</w:t>
      </w:r>
      <w:r w:rsidRPr="00401BB5">
        <w:tab/>
        <w:t>Children in conflict with the law, children victims, and children witnesses of criminal acts</w:t>
      </w:r>
      <w:bookmarkEnd w:id="87"/>
    </w:p>
    <w:p w14:paraId="3AFF2DFC" w14:textId="2070F4B9" w:rsidR="00263BCB" w:rsidRPr="005D213B" w:rsidRDefault="00570685" w:rsidP="00570685">
      <w:pPr>
        <w:pStyle w:val="ParaNoG"/>
        <w:numPr>
          <w:ilvl w:val="0"/>
          <w:numId w:val="0"/>
        </w:numPr>
        <w:tabs>
          <w:tab w:val="left" w:pos="0"/>
        </w:tabs>
        <w:ind w:left="1134"/>
      </w:pPr>
      <w:r w:rsidRPr="005D213B">
        <w:t>201.</w:t>
      </w:r>
      <w:r w:rsidRPr="005D213B">
        <w:tab/>
      </w:r>
      <w:r w:rsidR="00263BCB" w:rsidRPr="005D213B">
        <w:t>According to the Law on Children Justice</w:t>
      </w:r>
      <w:r w:rsidR="00D272AA">
        <w:t>,</w:t>
      </w:r>
      <w:r w:rsidR="00263BCB" w:rsidRPr="00A21C4B">
        <w:rPr>
          <w:rStyle w:val="FootnoteReference"/>
        </w:rPr>
        <w:footnoteReference w:id="53"/>
      </w:r>
      <w:r w:rsidR="00263BCB" w:rsidRPr="00A21C4B">
        <w:rPr>
          <w:rStyle w:val="FootnoteReference"/>
        </w:rPr>
        <w:t xml:space="preserve"> </w:t>
      </w:r>
      <w:r w:rsidR="00263BCB" w:rsidRPr="005D213B">
        <w:t>a child in conflict with the law,</w:t>
      </w:r>
      <w:r w:rsidR="00263BCB" w:rsidRPr="00401BB5">
        <w:t xml:space="preserve"> </w:t>
      </w:r>
      <w:r w:rsidR="00263BCB" w:rsidRPr="005D213B">
        <w:t xml:space="preserve">aged 14 to 16 years, is a child who, at the time of the commission of the crime, defined as a criminal offence for which a prison sentence of more than three years is provided, has reached 14 years of age and still is not 16 years old. </w:t>
      </w:r>
    </w:p>
    <w:p w14:paraId="6A93FFAD" w14:textId="50CB405C" w:rsidR="00263BCB" w:rsidRPr="005D213B" w:rsidRDefault="00570685" w:rsidP="00570685">
      <w:pPr>
        <w:pStyle w:val="ParaNoG"/>
        <w:numPr>
          <w:ilvl w:val="0"/>
          <w:numId w:val="0"/>
        </w:numPr>
        <w:tabs>
          <w:tab w:val="left" w:pos="0"/>
        </w:tabs>
        <w:ind w:left="1134"/>
      </w:pPr>
      <w:r w:rsidRPr="005D213B">
        <w:t>202.</w:t>
      </w:r>
      <w:r w:rsidRPr="005D213B">
        <w:tab/>
      </w:r>
      <w:r w:rsidR="00263BCB" w:rsidRPr="005D213B">
        <w:t>A child in conflict with the law over 16 years old is a child who, at the time of the commission of the crime, defined as a criminal offence for which a prison sentence of more than three years is provided, has reached 16 years of age and still is not 18 years old.</w:t>
      </w:r>
    </w:p>
    <w:p w14:paraId="4AC4759A" w14:textId="01A5CD8D" w:rsidR="00263BCB" w:rsidRPr="005D213B" w:rsidRDefault="00570685" w:rsidP="00570685">
      <w:pPr>
        <w:pStyle w:val="ParaNoG"/>
        <w:numPr>
          <w:ilvl w:val="0"/>
          <w:numId w:val="0"/>
        </w:numPr>
        <w:tabs>
          <w:tab w:val="left" w:pos="0"/>
        </w:tabs>
        <w:ind w:left="1134"/>
      </w:pPr>
      <w:r w:rsidRPr="005D213B">
        <w:t>203.</w:t>
      </w:r>
      <w:r w:rsidRPr="005D213B">
        <w:tab/>
      </w:r>
      <w:r w:rsidR="00263BCB" w:rsidRPr="005D213B">
        <w:t>Pursuant to the Law on Children Justice, a child aged 14 to 16 years, may be imposed only correctional measures for action deemed by law as a criminal offence: court reprimand or referral to a special child centre; intensified supervision by parents, guardians, foster family or by the local SWC; and institutional measures, such as referral to a special education institution or a youth correctional facility.</w:t>
      </w:r>
    </w:p>
    <w:p w14:paraId="6DE0620B" w14:textId="218B8CD0" w:rsidR="00263BCB" w:rsidRPr="005D213B" w:rsidRDefault="00570685" w:rsidP="00570685">
      <w:pPr>
        <w:pStyle w:val="ParaNoG"/>
        <w:numPr>
          <w:ilvl w:val="0"/>
          <w:numId w:val="0"/>
        </w:numPr>
        <w:tabs>
          <w:tab w:val="left" w:pos="0"/>
        </w:tabs>
        <w:ind w:left="1134"/>
      </w:pPr>
      <w:r w:rsidRPr="005D213B">
        <w:t>204.</w:t>
      </w:r>
      <w:r w:rsidRPr="005D213B">
        <w:tab/>
      </w:r>
      <w:r w:rsidR="00263BCB" w:rsidRPr="005D213B">
        <w:t xml:space="preserve">A child aged 16 to 18 years, may be imposed correctional measures for action deemed by law as a criminal offence, and exceptionally a punishing sentence or an alternative measure. </w:t>
      </w:r>
    </w:p>
    <w:p w14:paraId="541E3CAD" w14:textId="320C6BAD" w:rsidR="00263BCB" w:rsidRPr="005D213B" w:rsidRDefault="00570685" w:rsidP="00570685">
      <w:pPr>
        <w:pStyle w:val="ParaNoG"/>
        <w:numPr>
          <w:ilvl w:val="0"/>
          <w:numId w:val="0"/>
        </w:numPr>
        <w:tabs>
          <w:tab w:val="left" w:pos="0"/>
        </w:tabs>
        <w:ind w:left="1134"/>
      </w:pPr>
      <w:r w:rsidRPr="005D213B">
        <w:t>205.</w:t>
      </w:r>
      <w:r w:rsidRPr="005D213B">
        <w:tab/>
      </w:r>
      <w:r w:rsidR="00263BCB" w:rsidRPr="005D213B">
        <w:t>A child over the age of 16 may be imposed: child prison; fine; prohibition of driving a motor vehicle of a certain type or category; and expulsion as foreigner from the country.</w:t>
      </w:r>
      <w:r w:rsidR="00A21C4B">
        <w:t xml:space="preserve"> </w:t>
      </w:r>
      <w:r w:rsidR="00263BCB" w:rsidRPr="005D213B">
        <w:t>A criminally liable child over 16 years of age may be punished if, due to the severe consequences of the crime and the high degree of criminal liability, it would not be justified to impose an educational/correctional measure.</w:t>
      </w:r>
    </w:p>
    <w:p w14:paraId="270A9C48" w14:textId="11096FA3" w:rsidR="00263BCB" w:rsidRPr="005D213B" w:rsidRDefault="00570685" w:rsidP="00570685">
      <w:pPr>
        <w:pStyle w:val="ParaNoG"/>
        <w:numPr>
          <w:ilvl w:val="0"/>
          <w:numId w:val="0"/>
        </w:numPr>
        <w:tabs>
          <w:tab w:val="left" w:pos="0"/>
        </w:tabs>
        <w:ind w:left="1134"/>
      </w:pPr>
      <w:r w:rsidRPr="005D213B">
        <w:lastRenderedPageBreak/>
        <w:t>206.</w:t>
      </w:r>
      <w:r w:rsidRPr="005D213B">
        <w:tab/>
      </w:r>
      <w:r w:rsidR="00263BCB" w:rsidRPr="005D213B">
        <w:t>A child prison sentence may only be imposed as a punishment to a child who is criminally responsible, is 16 years and older, and has committed an act: which is defined by law as a criminal offence for which a prison sentence of five years or a more is prescribed, if committed under particularly aggravating circumstances and with high degree of criminal liability of the perpetrator, and it is unjustified to impose a correctional measure.</w:t>
      </w:r>
      <w:r w:rsidR="00A21C4B">
        <w:t xml:space="preserve"> </w:t>
      </w:r>
      <w:r w:rsidR="00263BCB" w:rsidRPr="005D213B">
        <w:t>The child prison sentence may not be shorter than one or longer than ten years.</w:t>
      </w:r>
    </w:p>
    <w:p w14:paraId="5D1A2B0E" w14:textId="36CA7C25" w:rsidR="00263BCB" w:rsidRPr="005D213B" w:rsidRDefault="00570685" w:rsidP="00570685">
      <w:pPr>
        <w:pStyle w:val="ParaNoG"/>
        <w:numPr>
          <w:ilvl w:val="0"/>
          <w:numId w:val="0"/>
        </w:numPr>
        <w:tabs>
          <w:tab w:val="left" w:pos="0"/>
        </w:tabs>
        <w:ind w:left="1134"/>
      </w:pPr>
      <w:r w:rsidRPr="005D213B">
        <w:t>207.</w:t>
      </w:r>
      <w:r w:rsidRPr="005D213B">
        <w:tab/>
      </w:r>
      <w:r w:rsidR="00263BCB" w:rsidRPr="005D213B">
        <w:t>Alternative measures for aforementioned child perpetrator include suspended sentence with protective supervision; conditional cessation of the proceedings against such child; and community work.</w:t>
      </w:r>
    </w:p>
    <w:p w14:paraId="4FF29B11" w14:textId="25688BDE" w:rsidR="00263BCB" w:rsidRPr="005D213B" w:rsidRDefault="00570685" w:rsidP="00570685">
      <w:pPr>
        <w:pStyle w:val="ParaNoG"/>
        <w:numPr>
          <w:ilvl w:val="0"/>
          <w:numId w:val="0"/>
        </w:numPr>
        <w:tabs>
          <w:tab w:val="left" w:pos="0"/>
        </w:tabs>
        <w:ind w:left="1134"/>
      </w:pPr>
      <w:r w:rsidRPr="005D213B">
        <w:t>208.</w:t>
      </w:r>
      <w:r w:rsidRPr="005D213B">
        <w:tab/>
      </w:r>
      <w:r w:rsidR="00263BCB" w:rsidRPr="005D213B">
        <w:t>The implementation of the Law on Children Justice is monitored through indicators developed with the help of UNICEF (for the sixth consecutive year).</w:t>
      </w:r>
      <w:r w:rsidR="00A21C4B">
        <w:t xml:space="preserve"> </w:t>
      </w:r>
      <w:r w:rsidR="00263BCB" w:rsidRPr="005D213B">
        <w:t xml:space="preserve">These indicators demonstrate the exercise of the rights of children in the juvenile justice system and are the basis for their further promotion. </w:t>
      </w:r>
    </w:p>
    <w:p w14:paraId="2933B2FE" w14:textId="288C320B" w:rsidR="00263BCB" w:rsidRPr="005D213B" w:rsidRDefault="00570685" w:rsidP="00570685">
      <w:pPr>
        <w:pStyle w:val="ParaNoG"/>
        <w:numPr>
          <w:ilvl w:val="0"/>
          <w:numId w:val="0"/>
        </w:numPr>
        <w:tabs>
          <w:tab w:val="left" w:pos="0"/>
        </w:tabs>
        <w:ind w:left="1134"/>
      </w:pPr>
      <w:r w:rsidRPr="005D213B">
        <w:t>209.</w:t>
      </w:r>
      <w:r w:rsidRPr="005D213B">
        <w:tab/>
      </w:r>
      <w:r w:rsidR="00263BCB" w:rsidRPr="005D213B">
        <w:t>According to the organisation of the state judicial system, there are no specialised courts for children.</w:t>
      </w:r>
      <w:r w:rsidR="00A21C4B">
        <w:t xml:space="preserve"> </w:t>
      </w:r>
      <w:r w:rsidR="00263BCB" w:rsidRPr="005D213B">
        <w:t>In court proceedings against children, decisions are made by juvenile judges, juvenile panels, and their members in specialised juvenile court departments that have been established in the basic courts with extended jurisdiction.</w:t>
      </w:r>
      <w:r w:rsidR="00A21C4B">
        <w:t xml:space="preserve"> </w:t>
      </w:r>
      <w:r w:rsidR="00263BCB" w:rsidRPr="005D213B">
        <w:t>They attend at least five days during a year specialised training for child or juvenile justice in the country or abroad.</w:t>
      </w:r>
    </w:p>
    <w:p w14:paraId="3F668F9E" w14:textId="7CB78C3E" w:rsidR="00263BCB" w:rsidRPr="005D213B" w:rsidRDefault="00570685" w:rsidP="00570685">
      <w:pPr>
        <w:pStyle w:val="ParaNoG"/>
        <w:numPr>
          <w:ilvl w:val="0"/>
          <w:numId w:val="0"/>
        </w:numPr>
        <w:tabs>
          <w:tab w:val="left" w:pos="0"/>
        </w:tabs>
        <w:ind w:left="1134"/>
      </w:pPr>
      <w:r w:rsidRPr="005D213B">
        <w:t>210.</w:t>
      </w:r>
      <w:r w:rsidRPr="005D213B">
        <w:tab/>
      </w:r>
      <w:r w:rsidR="00263BCB" w:rsidRPr="005D213B">
        <w:t>The limits of child criminal liability are governed by Articles 20</w:t>
      </w:r>
      <w:r w:rsidR="00D272AA">
        <w:t>–</w:t>
      </w:r>
      <w:r w:rsidR="00263BCB" w:rsidRPr="005D213B">
        <w:t>23 of the Law. A child who at the time of committing the act, which is defined by law as a criminal offence or misdemeanour, has not reached 14 years of age, may not be imposed a sanction determined by this Law.</w:t>
      </w:r>
      <w:r w:rsidR="00A21C4B">
        <w:t xml:space="preserve"> </w:t>
      </w:r>
      <w:r w:rsidR="00263BCB" w:rsidRPr="005D213B">
        <w:t>The legally prescribed measures of assistance and protection that are of interest to the child and his/her upbringing and development are applied for a child at risk of up to 14 years of age and for a child at risk over 14 years of age.</w:t>
      </w:r>
    </w:p>
    <w:p w14:paraId="5CA075F7" w14:textId="1061383F" w:rsidR="00263BCB" w:rsidRPr="005D213B" w:rsidRDefault="00570685" w:rsidP="00570685">
      <w:pPr>
        <w:pStyle w:val="ParaNoG"/>
        <w:numPr>
          <w:ilvl w:val="0"/>
          <w:numId w:val="0"/>
        </w:numPr>
        <w:tabs>
          <w:tab w:val="left" w:pos="0"/>
        </w:tabs>
        <w:ind w:left="1134"/>
      </w:pPr>
      <w:r w:rsidRPr="005D213B">
        <w:t>211.</w:t>
      </w:r>
      <w:r w:rsidRPr="005D213B">
        <w:tab/>
      </w:r>
      <w:r w:rsidR="00263BCB" w:rsidRPr="005D213B">
        <w:t>With the UNICEF support, training programmes for the implementation of this Law were adopted in context of achieving the best interests of the child as main goal of the Law, as well as guidelines for dealing with child victims of violence.</w:t>
      </w:r>
    </w:p>
    <w:p w14:paraId="12DA6F35" w14:textId="71316E4B" w:rsidR="00263BCB" w:rsidRPr="005D213B" w:rsidRDefault="00570685" w:rsidP="00570685">
      <w:pPr>
        <w:pStyle w:val="ParaNoG"/>
        <w:numPr>
          <w:ilvl w:val="0"/>
          <w:numId w:val="0"/>
        </w:numPr>
        <w:tabs>
          <w:tab w:val="left" w:pos="0"/>
        </w:tabs>
        <w:ind w:left="1134"/>
      </w:pPr>
      <w:r w:rsidRPr="005D213B">
        <w:t>212.</w:t>
      </w:r>
      <w:r w:rsidRPr="005D213B">
        <w:tab/>
      </w:r>
      <w:r w:rsidR="00263BCB" w:rsidRPr="005D213B">
        <w:t>In 2009, a State Council for Prevention of Child Delinquency was established. It has 15 members. The Council adopted the National Strategy for Prevention of Child Delinquency. Each year, the Council prepares an Annual Report containing an analysis of the degree of implementation of the Child Justice Law, based on indicators that are used in monitoring the implementation of this Law.</w:t>
      </w:r>
    </w:p>
    <w:p w14:paraId="60E8FC00" w14:textId="6C04049A" w:rsidR="00263BCB" w:rsidRPr="005D213B" w:rsidRDefault="00570685" w:rsidP="00570685">
      <w:pPr>
        <w:pStyle w:val="ParaNoG"/>
        <w:numPr>
          <w:ilvl w:val="0"/>
          <w:numId w:val="0"/>
        </w:numPr>
        <w:tabs>
          <w:tab w:val="left" w:pos="0"/>
        </w:tabs>
        <w:ind w:left="1134"/>
      </w:pPr>
      <w:r w:rsidRPr="005D213B">
        <w:t>213.</w:t>
      </w:r>
      <w:r w:rsidRPr="005D213B">
        <w:tab/>
      </w:r>
      <w:r w:rsidR="00263BCB" w:rsidRPr="005D213B">
        <w:t>The principles of the best interests of the child, respect for his/her views on the right to be heard and his/her interest to be taken as primary are appropriately incorporated into the Law. The objectives of the Law are</w:t>
      </w:r>
      <w:r w:rsidR="00263BCB" w:rsidRPr="00401BB5">
        <w:t xml:space="preserve">: </w:t>
      </w:r>
      <w:r w:rsidR="00263BCB" w:rsidRPr="005D213B">
        <w:t>implementation of the priority interest and protection of children from crime, violence, from any form of endangering their freedoms and rights and their proper development; protection of child perpetrators from crime repetition, their socialization, upbringing and reformation; assistance and care for children and protection of their freedoms and rights guaranteed by the Constitution, the Convention on the Rights of the Child and other ratified international agreements on the status of children.</w:t>
      </w:r>
    </w:p>
    <w:p w14:paraId="65186B3B" w14:textId="14110546" w:rsidR="00263BCB" w:rsidRPr="005D213B" w:rsidRDefault="00570685" w:rsidP="00570685">
      <w:pPr>
        <w:pStyle w:val="ParaNoG"/>
        <w:numPr>
          <w:ilvl w:val="0"/>
          <w:numId w:val="0"/>
        </w:numPr>
        <w:tabs>
          <w:tab w:val="left" w:pos="0"/>
        </w:tabs>
        <w:ind w:left="1134"/>
      </w:pPr>
      <w:r w:rsidRPr="005D213B">
        <w:t>214.</w:t>
      </w:r>
      <w:r w:rsidRPr="005D213B">
        <w:tab/>
      </w:r>
      <w:r w:rsidR="00263BCB" w:rsidRPr="005D213B">
        <w:t>Pursuant to paragraph 1 of Article 4 of this Law: the child has the right to be informed about his or her rights that include duties and responsibilities prescribed by the Convention on the Rights of the Child and other international documents on children</w:t>
      </w:r>
      <w:r w:rsidR="00A21C4B">
        <w:t>’</w:t>
      </w:r>
      <w:r w:rsidR="00263BCB" w:rsidRPr="005D213B">
        <w:t>s rights. Paragraph 2 stipulates that the child has the right to be examined, heard, and informed about the rights in context of this procedure and about the procedure itself.</w:t>
      </w:r>
      <w:r w:rsidR="00A21C4B">
        <w:t xml:space="preserve"> </w:t>
      </w:r>
      <w:r w:rsidR="00263BCB" w:rsidRPr="005D213B">
        <w:t>In every judicial and extrajudicial procedure in which he/she participates, the child has the right to participate actively in making decisions about his/her life and to give his/her opinion (paragraph 3).</w:t>
      </w:r>
    </w:p>
    <w:p w14:paraId="74D6B177" w14:textId="2AEAFDA2" w:rsidR="00263BCB" w:rsidRPr="005D213B" w:rsidRDefault="00570685" w:rsidP="00570685">
      <w:pPr>
        <w:pStyle w:val="ParaNoG"/>
        <w:numPr>
          <w:ilvl w:val="0"/>
          <w:numId w:val="0"/>
        </w:numPr>
        <w:tabs>
          <w:tab w:val="left" w:pos="0"/>
        </w:tabs>
        <w:ind w:left="1134"/>
      </w:pPr>
      <w:r w:rsidRPr="005D213B">
        <w:t>215.</w:t>
      </w:r>
      <w:r w:rsidRPr="005D213B">
        <w:tab/>
      </w:r>
      <w:r w:rsidR="00263BCB" w:rsidRPr="005D213B">
        <w:t>The main characteristic of the Law on Children Justice is the introduction and regulation of restorative justice, i.e., extra-judicial procedures for the action by a child, which the Law defines as a criminal offence or a misdemeanour.</w:t>
      </w:r>
      <w:r w:rsidR="00A21C4B">
        <w:t xml:space="preserve"> </w:t>
      </w:r>
      <w:r w:rsidR="00263BCB" w:rsidRPr="005D213B">
        <w:t xml:space="preserve">Article 17 stipulates that, as a rule, the competent authorities and institutions do not initiate court proceedings for the action by a child over 14 years of age, which is stipulated by law as a criminal act or </w:t>
      </w:r>
      <w:r w:rsidR="00263BCB" w:rsidRPr="005D213B">
        <w:lastRenderedPageBreak/>
        <w:t>misdemeanour, in order to avoid the h</w:t>
      </w:r>
      <w:r w:rsidR="00263BCB">
        <w:t xml:space="preserve">armful influence on the child. </w:t>
      </w:r>
      <w:r w:rsidR="00263BCB" w:rsidRPr="005D213B">
        <w:t>Court proceedings are instituted only in those cases defined as a criminal offence by this Law; in other words, if the child over 14 years has committed an act which is defined as a criminal offence for which a prison sentence of three years or a more is pronounced, or when the purpose of the measures or the sanctions defined by this Law cannot be achi</w:t>
      </w:r>
      <w:r w:rsidR="00263BCB">
        <w:t xml:space="preserve">eved without such a procedure. </w:t>
      </w:r>
      <w:r w:rsidR="00263BCB" w:rsidRPr="005D213B">
        <w:t>The proceedings include: implementation of a plan of measures and activities for individual work with the child and the parent (Articles 24</w:t>
      </w:r>
      <w:r w:rsidR="00D272AA">
        <w:t>–</w:t>
      </w:r>
      <w:r w:rsidR="00263BCB" w:rsidRPr="005D213B">
        <w:t>29); intervention and intermediation by the local centre for social work (Article 30); implementation of deterrence measures (Articles 75</w:t>
      </w:r>
      <w:r w:rsidR="00073197">
        <w:t>–</w:t>
      </w:r>
      <w:r w:rsidR="00263BCB" w:rsidRPr="005D213B">
        <w:t>78); and court imposed mediation via formal mediator (Articles 79</w:t>
      </w:r>
      <w:r w:rsidR="00D272AA">
        <w:t>–</w:t>
      </w:r>
      <w:r w:rsidR="00263BCB" w:rsidRPr="005D213B">
        <w:t>85).</w:t>
      </w:r>
    </w:p>
    <w:p w14:paraId="6B6305CF" w14:textId="191A8EF5" w:rsidR="00263BCB" w:rsidRPr="005D213B" w:rsidRDefault="00570685" w:rsidP="00570685">
      <w:pPr>
        <w:pStyle w:val="ParaNoG"/>
        <w:numPr>
          <w:ilvl w:val="0"/>
          <w:numId w:val="0"/>
        </w:numPr>
        <w:tabs>
          <w:tab w:val="left" w:pos="0"/>
        </w:tabs>
        <w:ind w:left="1134"/>
      </w:pPr>
      <w:r w:rsidRPr="005D213B">
        <w:t>216.</w:t>
      </w:r>
      <w:r w:rsidRPr="005D213B">
        <w:tab/>
      </w:r>
      <w:r w:rsidR="00263BCB" w:rsidRPr="005D213B">
        <w:t>The Law on Children Justice defines a child as a victim of a criminal act and as a minor less than 18 years of age.</w:t>
      </w:r>
      <w:r w:rsidR="00A21C4B">
        <w:t xml:space="preserve"> </w:t>
      </w:r>
      <w:r w:rsidR="00263BCB" w:rsidRPr="005D213B">
        <w:t>Child victims have the same rights as the adult victims before, during, and after the criminal proceedings, as well as the special rights recognised by the Convention on the Rights of the Child and other ratified international agreements.</w:t>
      </w:r>
      <w:r w:rsidR="00A21C4B">
        <w:t xml:space="preserve"> </w:t>
      </w:r>
      <w:r w:rsidR="00263BCB" w:rsidRPr="005D213B">
        <w:t>They enjoy enhanced protection and support in the child justice system, in order to reduce the negative consequences of the crime and to prevent the negative impact on the proper development of the child.</w:t>
      </w:r>
    </w:p>
    <w:p w14:paraId="50E2BF79" w14:textId="4E973008" w:rsidR="00263BCB" w:rsidRPr="005D213B" w:rsidRDefault="00570685" w:rsidP="00570685">
      <w:pPr>
        <w:pStyle w:val="ParaNoG"/>
        <w:numPr>
          <w:ilvl w:val="0"/>
          <w:numId w:val="0"/>
        </w:numPr>
        <w:tabs>
          <w:tab w:val="left" w:pos="0"/>
        </w:tabs>
        <w:ind w:left="1134"/>
      </w:pPr>
      <w:r w:rsidRPr="005D213B">
        <w:t>217.</w:t>
      </w:r>
      <w:r w:rsidRPr="005D213B">
        <w:tab/>
      </w:r>
      <w:r w:rsidR="00263BCB" w:rsidRPr="005D213B">
        <w:t>Articles 145</w:t>
      </w:r>
      <w:r w:rsidR="00D272AA">
        <w:t>–</w:t>
      </w:r>
      <w:r w:rsidR="00263BCB" w:rsidRPr="005D213B">
        <w:t>153 of the Law contain provisions for the protection of child victims of criminal offences and child witnesses in the criminal procedure.</w:t>
      </w:r>
      <w:r w:rsidR="00263BCB" w:rsidRPr="00401BB5">
        <w:t xml:space="preserve"> </w:t>
      </w:r>
    </w:p>
    <w:p w14:paraId="25D866BE" w14:textId="3D89127E" w:rsidR="00263BCB" w:rsidRPr="005D213B" w:rsidRDefault="00570685" w:rsidP="00570685">
      <w:pPr>
        <w:pStyle w:val="ParaNoG"/>
        <w:numPr>
          <w:ilvl w:val="0"/>
          <w:numId w:val="0"/>
        </w:numPr>
        <w:tabs>
          <w:tab w:val="left" w:pos="0"/>
        </w:tabs>
        <w:ind w:left="1134"/>
      </w:pPr>
      <w:r w:rsidRPr="005D213B">
        <w:t>218.</w:t>
      </w:r>
      <w:r w:rsidRPr="005D213B">
        <w:tab/>
      </w:r>
      <w:r w:rsidR="00263BCB" w:rsidRPr="005D213B">
        <w:t>Pursuant to Article 145 of this Law, the child victim of a criminal offence has the right: to be treated respecting his/her dignity; to get protection from any discrimination; to be informed about his/her rights in an understandable language according to his/her age; to get respect for the right to privacy; to have the parents/guardians informed about the criminal offence; to participate in the criminal procedure as a damaged party by joining the criminal prosecution or realization of the property and legal claim for damages; to receive special protection in context of his/her safety and that of his/her family; to receive protection against secondary victimisation/re-victimisation and other professional assistance/support from relevant authorities.</w:t>
      </w:r>
    </w:p>
    <w:p w14:paraId="79EA3C12" w14:textId="173DEBBB" w:rsidR="00263BCB" w:rsidRPr="005D213B" w:rsidRDefault="00570685" w:rsidP="00570685">
      <w:pPr>
        <w:pStyle w:val="ParaNoG"/>
        <w:numPr>
          <w:ilvl w:val="0"/>
          <w:numId w:val="0"/>
        </w:numPr>
        <w:tabs>
          <w:tab w:val="left" w:pos="0"/>
        </w:tabs>
        <w:ind w:left="1134"/>
      </w:pPr>
      <w:r w:rsidRPr="005D213B">
        <w:t>219.</w:t>
      </w:r>
      <w:r w:rsidRPr="005D213B">
        <w:tab/>
      </w:r>
      <w:r w:rsidR="00263BCB" w:rsidRPr="005D213B">
        <w:t>In the police and criminal proceedings, the child victim of a criminal offence is entitled to: legal assistance from a lawyer before giving testimony/statement or filing a property and legal claim, for compensation for material/non-pecuniary damage under the programme referred to in Article 151 of the Law in accordance with Article 152; if the compensation of damage cannot be provided from the convicted person, then such child is entitled to a legal representative from the moment of giving the first testimony and during all proceedings. The legal assistance to a child victim is provided as a rule by a lawyer who attended a specialised training on children</w:t>
      </w:r>
      <w:r w:rsidR="00A21C4B">
        <w:t>’</w:t>
      </w:r>
      <w:r w:rsidR="00263BCB" w:rsidRPr="005D213B">
        <w:t xml:space="preserve">s rights. </w:t>
      </w:r>
    </w:p>
    <w:p w14:paraId="2A0F6F75" w14:textId="27D45141" w:rsidR="00263BCB" w:rsidRPr="005D213B" w:rsidRDefault="00570685" w:rsidP="00570685">
      <w:pPr>
        <w:pStyle w:val="ParaNoG"/>
        <w:numPr>
          <w:ilvl w:val="0"/>
          <w:numId w:val="0"/>
        </w:numPr>
        <w:tabs>
          <w:tab w:val="left" w:pos="0"/>
        </w:tabs>
        <w:ind w:left="1134"/>
      </w:pPr>
      <w:r w:rsidRPr="005D213B">
        <w:t>220.</w:t>
      </w:r>
      <w:r w:rsidRPr="005D213B">
        <w:tab/>
      </w:r>
      <w:r w:rsidR="00263BCB" w:rsidRPr="005D213B">
        <w:t xml:space="preserve">Article 146 regulates special rights of process protection, that is, the right of the child victim to special measures of process protection when giving statements and during examination at all stages of the court proceedings. </w:t>
      </w:r>
    </w:p>
    <w:p w14:paraId="2D33AB27" w14:textId="63F0CC23" w:rsidR="00263BCB" w:rsidRPr="005D213B" w:rsidRDefault="00570685" w:rsidP="00570685">
      <w:pPr>
        <w:pStyle w:val="ParaNoG"/>
        <w:numPr>
          <w:ilvl w:val="0"/>
          <w:numId w:val="0"/>
        </w:numPr>
        <w:tabs>
          <w:tab w:val="left" w:pos="0"/>
        </w:tabs>
        <w:ind w:left="1134"/>
      </w:pPr>
      <w:r w:rsidRPr="005D213B">
        <w:t>221.</w:t>
      </w:r>
      <w:r w:rsidRPr="005D213B">
        <w:tab/>
      </w:r>
      <w:r w:rsidR="00263BCB" w:rsidRPr="005D213B">
        <w:t>The court can order the following specific measures of procedural protection, when a child is heard in court: the use of protective screens to conceal the victim and the witness from the sight of the defendant, the concealment of the victim</w:t>
      </w:r>
      <w:r w:rsidR="00A21C4B">
        <w:t>’</w:t>
      </w:r>
      <w:r w:rsidR="00263BCB" w:rsidRPr="005D213B">
        <w:t>s identity or appearance, giving testimony by way of videoconference, the removal of robes or hats, the exclusion of the public, the video and audio recording of the testimony/interrogation to be used as evidence, the taking of statement through a professional intermediary, the use of technical means for communication and the protection of the privacy of the child and its family.</w:t>
      </w:r>
    </w:p>
    <w:p w14:paraId="3239D43B" w14:textId="37B98A06" w:rsidR="00263BCB" w:rsidRPr="00401BB5" w:rsidRDefault="00570685" w:rsidP="00570685">
      <w:pPr>
        <w:pStyle w:val="ParaNoG"/>
        <w:numPr>
          <w:ilvl w:val="0"/>
          <w:numId w:val="0"/>
        </w:numPr>
        <w:tabs>
          <w:tab w:val="left" w:pos="0"/>
        </w:tabs>
        <w:ind w:left="1134"/>
      </w:pPr>
      <w:r w:rsidRPr="00401BB5">
        <w:t>222.</w:t>
      </w:r>
      <w:r w:rsidRPr="00401BB5">
        <w:tab/>
      </w:r>
      <w:r w:rsidR="00263BCB" w:rsidRPr="005D213B">
        <w:t>In accordance with Paragraph 1 of Article 151, the compensation for a child victim, or a child who has been injured by an action that is deemed by law to be a criminal offence or an act of violence, as well as other acts of individual/group violence, is provided under the budget of the MoJ. Following the opinion acquired by the State Council for the Prevention of Child Delinquency, the MoJ adopts an annual programme, which plans for the sources, and the manner of expenditures mentioned in paragraph (1) of this Article.</w:t>
      </w:r>
      <w:r w:rsidR="00A21C4B">
        <w:t xml:space="preserve"> </w:t>
      </w:r>
    </w:p>
    <w:p w14:paraId="6F8FA5D6" w14:textId="78B0F525" w:rsidR="00263BCB" w:rsidRPr="005D213B" w:rsidRDefault="00570685" w:rsidP="00570685">
      <w:pPr>
        <w:pStyle w:val="ParaNoG"/>
        <w:numPr>
          <w:ilvl w:val="0"/>
          <w:numId w:val="0"/>
        </w:numPr>
        <w:tabs>
          <w:tab w:val="left" w:pos="0"/>
        </w:tabs>
        <w:ind w:left="1134"/>
      </w:pPr>
      <w:r w:rsidRPr="005D213B">
        <w:t>223.</w:t>
      </w:r>
      <w:r w:rsidRPr="005D213B">
        <w:tab/>
      </w:r>
      <w:r w:rsidR="00263BCB" w:rsidRPr="005D213B">
        <w:t xml:space="preserve">Article 152 outlines the conditions and the procedure for exercising the right to compensation. Paragraph 1 foresees the possibility that a child who has the legal status of victim by way of court decision, and whose property and legal claims have been accepted, may submit a request for compensation of damages from the funds outlined in Article 151 </w:t>
      </w:r>
      <w:r w:rsidR="00263BCB" w:rsidRPr="005D213B">
        <w:lastRenderedPageBreak/>
        <w:t xml:space="preserve">paragraph (1) of this Law before the competent court, in cases in which the material and legal claims cannot be compensated from the property of the perpetrator of the crime due to factual or legal obstacles, and in the case when more than six months have passed since the legally binding decision for the material and legal claims. </w:t>
      </w:r>
    </w:p>
    <w:p w14:paraId="74D9EABD" w14:textId="112FFAB0" w:rsidR="00263BCB" w:rsidRPr="005D213B" w:rsidRDefault="00570685" w:rsidP="00570685">
      <w:pPr>
        <w:pStyle w:val="ParaNoG"/>
        <w:numPr>
          <w:ilvl w:val="0"/>
          <w:numId w:val="0"/>
        </w:numPr>
        <w:tabs>
          <w:tab w:val="left" w:pos="0"/>
        </w:tabs>
        <w:ind w:left="1134"/>
      </w:pPr>
      <w:r w:rsidRPr="005D213B">
        <w:t>224.</w:t>
      </w:r>
      <w:r w:rsidRPr="005D213B">
        <w:tab/>
      </w:r>
      <w:r w:rsidR="00263BCB" w:rsidRPr="005D213B">
        <w:t>With the assistance of the UNICEF, a commentary on the Law on Children Justice has been developed, which should help and advance the implementation of the Law.</w:t>
      </w:r>
    </w:p>
    <w:p w14:paraId="670F595B" w14:textId="512C564F" w:rsidR="00263BCB" w:rsidRPr="005D213B" w:rsidRDefault="002B100F" w:rsidP="00837F3B">
      <w:pPr>
        <w:pStyle w:val="H23G"/>
      </w:pPr>
      <w:bookmarkStart w:id="88" w:name="_Hlk56697043"/>
      <w:r w:rsidRPr="002B100F" w:rsidDel="002B100F">
        <w:t xml:space="preserve"> </w:t>
      </w:r>
      <w:r>
        <w:tab/>
      </w:r>
      <w:r>
        <w:tab/>
      </w:r>
      <w:bookmarkStart w:id="89" w:name="_Toc56781485"/>
      <w:r w:rsidR="00263BCB" w:rsidRPr="00837F3B">
        <w:t>Physical and psychological recovery and social reintegration (Article 39)</w:t>
      </w:r>
      <w:bookmarkEnd w:id="89"/>
    </w:p>
    <w:bookmarkEnd w:id="88"/>
    <w:p w14:paraId="52E3EC46" w14:textId="76EA2F92" w:rsidR="00263BCB" w:rsidRPr="005D213B" w:rsidRDefault="00570685" w:rsidP="00570685">
      <w:pPr>
        <w:pStyle w:val="ParaNoG"/>
        <w:numPr>
          <w:ilvl w:val="0"/>
          <w:numId w:val="0"/>
        </w:numPr>
        <w:tabs>
          <w:tab w:val="left" w:pos="0"/>
        </w:tabs>
        <w:ind w:left="1134"/>
      </w:pPr>
      <w:r w:rsidRPr="005D213B">
        <w:t>225.</w:t>
      </w:r>
      <w:r w:rsidRPr="005D213B">
        <w:tab/>
      </w:r>
      <w:r w:rsidR="00263BCB" w:rsidRPr="005D213B">
        <w:t xml:space="preserve">A Programme for Resocialization and Reintegration of Victims of Human Trafficking has been completed, which will be implemented through the MLSP and the professionals at the SWCs, together with civil society organizations. </w:t>
      </w:r>
    </w:p>
    <w:p w14:paraId="0CEC08B5" w14:textId="1504DEF6" w:rsidR="00263BCB" w:rsidRPr="005D213B" w:rsidRDefault="00570685" w:rsidP="00570685">
      <w:pPr>
        <w:pStyle w:val="ParaNoG"/>
        <w:numPr>
          <w:ilvl w:val="0"/>
          <w:numId w:val="0"/>
        </w:numPr>
        <w:tabs>
          <w:tab w:val="left" w:pos="0"/>
        </w:tabs>
        <w:ind w:left="1134"/>
      </w:pPr>
      <w:r w:rsidRPr="005D213B">
        <w:t>226.</w:t>
      </w:r>
      <w:r w:rsidRPr="005D213B">
        <w:tab/>
      </w:r>
      <w:r w:rsidR="00263BCB" w:rsidRPr="005D213B">
        <w:t>With the permission of the MLSP, a Programme for Psychosocial Support of the Victims devised by the civil society organization</w:t>
      </w:r>
      <w:r w:rsidR="00A21C4B">
        <w:t xml:space="preserve"> “</w:t>
      </w:r>
      <w:r w:rsidR="00263BCB" w:rsidRPr="005D213B">
        <w:t>Open Gate</w:t>
      </w:r>
      <w:r w:rsidR="00A21C4B">
        <w:t>”</w:t>
      </w:r>
      <w:r w:rsidR="00263BCB" w:rsidRPr="005D213B">
        <w:t xml:space="preserve"> is implemented at the Centre for Victims of Human Trafficking and Sexual Violence.</w:t>
      </w:r>
    </w:p>
    <w:p w14:paraId="5616C1F9" w14:textId="361D16EA" w:rsidR="00263BCB" w:rsidRPr="005D213B" w:rsidRDefault="00570685" w:rsidP="00570685">
      <w:pPr>
        <w:pStyle w:val="ParaNoG"/>
        <w:numPr>
          <w:ilvl w:val="0"/>
          <w:numId w:val="0"/>
        </w:numPr>
        <w:tabs>
          <w:tab w:val="left" w:pos="0"/>
        </w:tabs>
        <w:ind w:left="1134"/>
      </w:pPr>
      <w:r w:rsidRPr="005D213B">
        <w:t>227.</w:t>
      </w:r>
      <w:r w:rsidRPr="005D213B">
        <w:tab/>
      </w:r>
      <w:r w:rsidR="00263BCB" w:rsidRPr="005D213B">
        <w:t>In accordance with the Law on Social Protection, the PI Institute for Social Work is authorized to provide training for professionals in the field of social protection. In the period from 2014 to 2017, the following training programmes were completed: 74 expert associates from all SWCs were trained to work with children-victims of sexual abuse, 103 expert associates were trained on</w:t>
      </w:r>
      <w:r w:rsidR="00A21C4B">
        <w:t xml:space="preserve"> </w:t>
      </w:r>
      <w:r w:rsidR="00263BCB" w:rsidRPr="005D213B">
        <w:t>the</w:t>
      </w:r>
      <w:r w:rsidR="00A21C4B">
        <w:t xml:space="preserve"> “</w:t>
      </w:r>
      <w:r w:rsidR="00263BCB" w:rsidRPr="005D213B">
        <w:t>Procedures for institutional treatment of children victims of violence,</w:t>
      </w:r>
      <w:r w:rsidR="00A21C4B">
        <w:t>”</w:t>
      </w:r>
      <w:r w:rsidR="00263BCB" w:rsidRPr="005D213B">
        <w:t xml:space="preserve"> 37 expert associates from all SWCs were trained on recognizing indicators of children-victims, as well as training of 30 expert associates from the Institutions of the system for the social protection of children on working with children- victims of crimes. </w:t>
      </w:r>
    </w:p>
    <w:p w14:paraId="421C4C77" w14:textId="77777777" w:rsidR="00263BCB" w:rsidRPr="005D213B" w:rsidRDefault="00263BCB" w:rsidP="00263BCB">
      <w:pPr>
        <w:pStyle w:val="H23G"/>
      </w:pPr>
      <w:r>
        <w:tab/>
      </w:r>
      <w:bookmarkStart w:id="90" w:name="_Toc56781486"/>
      <w:r>
        <w:t>(f)</w:t>
      </w:r>
      <w:r>
        <w:tab/>
      </w:r>
      <w:r w:rsidRPr="005D213B">
        <w:t>Children in armed conflicts (Article 38), including physical and psychological recovery and social reintegration (Article 39)</w:t>
      </w:r>
      <w:bookmarkEnd w:id="90"/>
    </w:p>
    <w:p w14:paraId="52AE575B" w14:textId="760843C7" w:rsidR="00263BCB" w:rsidRPr="005D213B" w:rsidRDefault="00570685" w:rsidP="00570685">
      <w:pPr>
        <w:pStyle w:val="ParaNoG"/>
        <w:numPr>
          <w:ilvl w:val="0"/>
          <w:numId w:val="0"/>
        </w:numPr>
        <w:tabs>
          <w:tab w:val="left" w:pos="0"/>
        </w:tabs>
        <w:ind w:left="1134"/>
      </w:pPr>
      <w:r w:rsidRPr="005D213B">
        <w:t>228.</w:t>
      </w:r>
      <w:r w:rsidRPr="005D213B">
        <w:tab/>
      </w:r>
      <w:r w:rsidR="00263BCB" w:rsidRPr="005D213B">
        <w:t xml:space="preserve">There are no mechanisms developed for the detection of children involved in armed conflict. In line with the short stay of children asylum seekers at the Reception Centre for Asylum Seekers, the country has the obligation of building up human capacities that would be qualified to apply the indicators for identification of children involved or taking part in an armed conflict. </w:t>
      </w:r>
    </w:p>
    <w:p w14:paraId="055A2E01" w14:textId="7EC8BD04" w:rsidR="00263BCB" w:rsidRPr="005D213B" w:rsidRDefault="00570685" w:rsidP="00570685">
      <w:pPr>
        <w:pStyle w:val="ParaNoG"/>
        <w:numPr>
          <w:ilvl w:val="0"/>
          <w:numId w:val="0"/>
        </w:numPr>
        <w:tabs>
          <w:tab w:val="left" w:pos="0"/>
        </w:tabs>
        <w:ind w:left="1134"/>
      </w:pPr>
      <w:r w:rsidRPr="005D213B">
        <w:t>229.</w:t>
      </w:r>
      <w:r w:rsidRPr="005D213B">
        <w:tab/>
      </w:r>
      <w:r w:rsidR="00263BCB" w:rsidRPr="005D213B">
        <w:t>Various means for the protection of children/victims are outlined in the Optional Protocol, the national legislation, the National Strategy and the 2017</w:t>
      </w:r>
      <w:r w:rsidR="00AF6BE7">
        <w:t>–</w:t>
      </w:r>
      <w:r w:rsidR="00263BCB" w:rsidRPr="005D213B">
        <w:t>2020 National Action Plan.</w:t>
      </w:r>
    </w:p>
    <w:p w14:paraId="6FA39E13" w14:textId="43ADD4C7" w:rsidR="00263BCB" w:rsidRPr="005D213B" w:rsidRDefault="00570685" w:rsidP="00570685">
      <w:pPr>
        <w:pStyle w:val="ParaNoG"/>
        <w:numPr>
          <w:ilvl w:val="0"/>
          <w:numId w:val="0"/>
        </w:numPr>
        <w:tabs>
          <w:tab w:val="left" w:pos="0"/>
        </w:tabs>
        <w:ind w:left="1134"/>
      </w:pPr>
      <w:r w:rsidRPr="005D213B">
        <w:t>230.</w:t>
      </w:r>
      <w:r w:rsidRPr="005D213B">
        <w:tab/>
      </w:r>
      <w:r w:rsidR="00263BCB" w:rsidRPr="005D213B">
        <w:t>The SOPs for victims of human trafficking envisage separate procedures for children victims, according to which the children (both nationals and foreigners) enjoy all the rights under domestic laws and international instruments, as well as specific protection in respect of identification and referral, preliminary care and medium-term assistance, return, reintegration and criminal proceedings.</w:t>
      </w:r>
    </w:p>
    <w:p w14:paraId="72F42434" w14:textId="50AACE01" w:rsidR="00263BCB" w:rsidRPr="005D213B" w:rsidRDefault="00570685" w:rsidP="00570685">
      <w:pPr>
        <w:pStyle w:val="ParaNoG"/>
        <w:numPr>
          <w:ilvl w:val="0"/>
          <w:numId w:val="0"/>
        </w:numPr>
        <w:tabs>
          <w:tab w:val="left" w:pos="0"/>
        </w:tabs>
        <w:ind w:left="1134"/>
      </w:pPr>
      <w:r w:rsidRPr="005D213B">
        <w:t>231.</w:t>
      </w:r>
      <w:r w:rsidRPr="005D213B">
        <w:tab/>
      </w:r>
      <w:r w:rsidR="00263BCB" w:rsidRPr="005D213B">
        <w:t xml:space="preserve">Furthermore, the guidelines of the UNICEF Guide for the Protection of the Rights of Children Victims of Human Trafficking are also implemented, thereby ensuring the basic standards for treatment and implementation of specific measures in regard to the protection of and assistance to children, including everyone else involved. </w:t>
      </w:r>
    </w:p>
    <w:p w14:paraId="1B1DCEE9" w14:textId="3F9BA236" w:rsidR="00263BCB" w:rsidRPr="005D213B" w:rsidRDefault="00570685" w:rsidP="00570685">
      <w:pPr>
        <w:pStyle w:val="ParaNoG"/>
        <w:numPr>
          <w:ilvl w:val="0"/>
          <w:numId w:val="0"/>
        </w:numPr>
        <w:tabs>
          <w:tab w:val="left" w:pos="0"/>
        </w:tabs>
        <w:ind w:left="1134"/>
      </w:pPr>
      <w:r w:rsidRPr="005D213B">
        <w:t>232.</w:t>
      </w:r>
      <w:r w:rsidRPr="005D213B">
        <w:tab/>
      </w:r>
      <w:r w:rsidR="00263BCB" w:rsidRPr="005D213B">
        <w:t>There is no record of unaccompanied children who have been granted international protection. However, in the case of refugee children and children enjoying the status of persons under subsidiary protection, there is a legal possibility for accessing education and healthcare under the same conditions as Macedonian nationals. With the 2012 amendments to the Law on Health Insurance, persons under international protection are equalized with Macedonian nationals in regards to health insurance. Additionally, refugee families, who are voluntarily engaging in the process of local integration through the Centre for Integration of Refugees and Foreigners, receive mentoring support and concrete assistance in their everyday life, including attendance of elementary and secondary school for the children, both levels of education being mandatory.</w:t>
      </w:r>
    </w:p>
    <w:p w14:paraId="61978966" w14:textId="77777777" w:rsidR="00263BCB" w:rsidRPr="005D213B" w:rsidRDefault="00263BCB" w:rsidP="00263BCB">
      <w:pPr>
        <w:pStyle w:val="H1G"/>
      </w:pPr>
      <w:r>
        <w:lastRenderedPageBreak/>
        <w:tab/>
      </w:r>
      <w:bookmarkStart w:id="91" w:name="_Toc56781487"/>
      <w:r w:rsidRPr="005D213B">
        <w:t>10.</w:t>
      </w:r>
      <w:r>
        <w:tab/>
      </w:r>
      <w:r w:rsidRPr="005D213B">
        <w:t>Activities for implementing the Optional Protocol on the Sale of Children, Child Prostitution and Child Pornography</w:t>
      </w:r>
      <w:bookmarkEnd w:id="91"/>
    </w:p>
    <w:p w14:paraId="0D7EF635" w14:textId="0F8A3096" w:rsidR="00263BCB" w:rsidRPr="005D213B" w:rsidRDefault="00263BCB" w:rsidP="00263BCB">
      <w:pPr>
        <w:pStyle w:val="H23G"/>
      </w:pPr>
      <w:r>
        <w:tab/>
      </w:r>
      <w:bookmarkStart w:id="92" w:name="_Toc56781488"/>
      <w:r>
        <w:t>(а)</w:t>
      </w:r>
      <w:r>
        <w:tab/>
      </w:r>
      <w:r w:rsidRPr="005D213B">
        <w:t>The recommendations regarding the sale of children are integrated into the National Strategy and Action Plan for Combating Human Trafficking 2017</w:t>
      </w:r>
      <w:r w:rsidR="00AF6BE7">
        <w:t>–</w:t>
      </w:r>
      <w:r w:rsidRPr="005D213B">
        <w:t>2020, and are expected to be implemented in accordan</w:t>
      </w:r>
      <w:r>
        <w:t>ce with the assigned timeframe</w:t>
      </w:r>
      <w:bookmarkEnd w:id="92"/>
    </w:p>
    <w:p w14:paraId="5AB81529" w14:textId="4C8C5B69" w:rsidR="00263BCB" w:rsidRPr="005D213B" w:rsidRDefault="00570685" w:rsidP="00570685">
      <w:pPr>
        <w:pStyle w:val="ParaNoG"/>
        <w:numPr>
          <w:ilvl w:val="0"/>
          <w:numId w:val="0"/>
        </w:numPr>
        <w:tabs>
          <w:tab w:val="left" w:pos="0"/>
        </w:tabs>
        <w:ind w:left="1134"/>
      </w:pPr>
      <w:r w:rsidRPr="005D213B">
        <w:t>233.</w:t>
      </w:r>
      <w:r w:rsidRPr="005D213B">
        <w:tab/>
      </w:r>
      <w:r w:rsidR="00263BCB" w:rsidRPr="005D213B">
        <w:t>In line with Recommendation 6 of the Concluding Observations of the Committee (regarding the Report filed under Article 8 of the Optional Protocol), the National Commission for Combating Human Trafficking and Illegal Migration is responsible for the collection of data on the sale of children and to manage the National Database.</w:t>
      </w:r>
    </w:p>
    <w:p w14:paraId="6310B1CA" w14:textId="0CFFCDF1" w:rsidR="00263BCB" w:rsidRPr="005D213B" w:rsidRDefault="00570685" w:rsidP="00570685">
      <w:pPr>
        <w:pStyle w:val="ParaNoG"/>
        <w:numPr>
          <w:ilvl w:val="0"/>
          <w:numId w:val="0"/>
        </w:numPr>
        <w:tabs>
          <w:tab w:val="left" w:pos="0"/>
        </w:tabs>
        <w:ind w:left="1134"/>
      </w:pPr>
      <w:r w:rsidRPr="005D213B">
        <w:t>234.</w:t>
      </w:r>
      <w:r w:rsidRPr="005D213B">
        <w:tab/>
      </w:r>
      <w:r w:rsidR="00263BCB" w:rsidRPr="005D213B">
        <w:t>It is led by the National Coordinator (the State Secretary of the MoI), while also staffed by a deputy National Coordinator, a Secretary and members of the Commission.</w:t>
      </w:r>
      <w:r w:rsidR="00263BCB" w:rsidRPr="00A21C4B">
        <w:rPr>
          <w:rStyle w:val="FootnoteReference"/>
        </w:rPr>
        <w:footnoteReference w:id="54"/>
      </w:r>
      <w:r w:rsidR="00263BCB" w:rsidRPr="00A21C4B">
        <w:rPr>
          <w:rStyle w:val="FootnoteReference"/>
        </w:rPr>
        <w:t xml:space="preserve"> </w:t>
      </w:r>
      <w:r w:rsidR="00263BCB" w:rsidRPr="005D213B">
        <w:t xml:space="preserve">Two bodies were established within the National Commission in 2003, a Secretariat, and a Subgroup for Combating the Sale of Children, both of them executive bodies of the Commission. </w:t>
      </w:r>
    </w:p>
    <w:p w14:paraId="128181CE" w14:textId="7FC03D62" w:rsidR="00263BCB" w:rsidRPr="00395200" w:rsidRDefault="00570685" w:rsidP="00570685">
      <w:pPr>
        <w:pStyle w:val="ParaNoG"/>
        <w:numPr>
          <w:ilvl w:val="0"/>
          <w:numId w:val="0"/>
        </w:numPr>
        <w:tabs>
          <w:tab w:val="left" w:pos="0"/>
        </w:tabs>
        <w:ind w:left="1134"/>
      </w:pPr>
      <w:r w:rsidRPr="00395200">
        <w:t>235.</w:t>
      </w:r>
      <w:r w:rsidRPr="00395200">
        <w:tab/>
      </w:r>
      <w:r w:rsidR="00263BCB" w:rsidRPr="005D213B">
        <w:t>The National Commission keeps data from all the relevant institutions included in the process of identifying victims of human trafficking. The data is organized by gender, age, ethnic background, the type of the exploitation and so on. However, there is no data on social background. Statistical data on human trafficking the 2010–2018 period is as follows:</w:t>
      </w:r>
      <w:r w:rsidR="00263BCB" w:rsidRPr="00A21C4B">
        <w:rPr>
          <w:rStyle w:val="FootnoteReference"/>
        </w:rPr>
        <w:footnoteReference w:id="55"/>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34"/>
        <w:gridCol w:w="842"/>
        <w:gridCol w:w="853"/>
        <w:gridCol w:w="852"/>
        <w:gridCol w:w="852"/>
        <w:gridCol w:w="853"/>
        <w:gridCol w:w="853"/>
        <w:gridCol w:w="853"/>
        <w:gridCol w:w="841"/>
        <w:gridCol w:w="853"/>
        <w:gridCol w:w="853"/>
      </w:tblGrid>
      <w:tr w:rsidR="00AF6BE7" w:rsidRPr="00AF6BE7" w14:paraId="7E162EEF" w14:textId="77777777" w:rsidTr="001D0FFC">
        <w:trPr>
          <w:cantSplit/>
          <w:trHeight w:val="479"/>
          <w:tblHeader/>
        </w:trPr>
        <w:tc>
          <w:tcPr>
            <w:tcW w:w="1134" w:type="dxa"/>
            <w:vMerge w:val="restart"/>
            <w:tcBorders>
              <w:top w:val="single" w:sz="4" w:space="0" w:color="auto"/>
              <w:bottom w:val="single" w:sz="12" w:space="0" w:color="auto"/>
            </w:tcBorders>
            <w:shd w:val="clear" w:color="auto" w:fill="auto"/>
            <w:vAlign w:val="bottom"/>
          </w:tcPr>
          <w:p w14:paraId="0D5D7323" w14:textId="383ADD9F" w:rsidR="00AF6BE7" w:rsidRPr="00AF6BE7" w:rsidRDefault="00AF6BE7" w:rsidP="00AF6BE7">
            <w:pPr>
              <w:pStyle w:val="SingleTxtG"/>
              <w:spacing w:before="80" w:after="80" w:line="200" w:lineRule="exact"/>
              <w:ind w:left="0" w:right="113"/>
              <w:jc w:val="left"/>
              <w:rPr>
                <w:i/>
                <w:sz w:val="16"/>
              </w:rPr>
            </w:pPr>
            <w:r w:rsidRPr="00AF6BE7">
              <w:rPr>
                <w:i/>
                <w:sz w:val="16"/>
              </w:rPr>
              <w:t>Year of identification</w:t>
            </w:r>
          </w:p>
        </w:tc>
        <w:tc>
          <w:tcPr>
            <w:tcW w:w="1695" w:type="dxa"/>
            <w:gridSpan w:val="2"/>
            <w:tcBorders>
              <w:top w:val="single" w:sz="4" w:space="0" w:color="auto"/>
              <w:bottom w:val="single" w:sz="4" w:space="0" w:color="auto"/>
              <w:right w:val="single" w:sz="24" w:space="0" w:color="FFFFFF" w:themeColor="background1"/>
            </w:tcBorders>
            <w:shd w:val="clear" w:color="auto" w:fill="auto"/>
            <w:vAlign w:val="bottom"/>
          </w:tcPr>
          <w:p w14:paraId="5516BB23" w14:textId="77777777" w:rsidR="00AF6BE7" w:rsidRPr="00AF6BE7" w:rsidRDefault="00AF6BE7" w:rsidP="00AF6BE7">
            <w:pPr>
              <w:pStyle w:val="SingleTxtG"/>
              <w:spacing w:before="80" w:after="80" w:line="200" w:lineRule="exact"/>
              <w:ind w:left="0" w:right="113"/>
              <w:jc w:val="center"/>
              <w:rPr>
                <w:i/>
                <w:sz w:val="16"/>
              </w:rPr>
            </w:pPr>
            <w:r w:rsidRPr="00AF6BE7">
              <w:rPr>
                <w:i/>
                <w:sz w:val="16"/>
              </w:rPr>
              <w:t>2014</w:t>
            </w:r>
          </w:p>
        </w:tc>
        <w:tc>
          <w:tcPr>
            <w:tcW w:w="170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4161B1C" w14:textId="77777777" w:rsidR="00AF6BE7" w:rsidRPr="00AF6BE7" w:rsidRDefault="00AF6BE7" w:rsidP="00AF6BE7">
            <w:pPr>
              <w:pStyle w:val="SingleTxtG"/>
              <w:spacing w:before="80" w:after="80" w:line="200" w:lineRule="exact"/>
              <w:ind w:left="0" w:right="113"/>
              <w:jc w:val="center"/>
              <w:rPr>
                <w:i/>
                <w:sz w:val="16"/>
              </w:rPr>
            </w:pPr>
            <w:r w:rsidRPr="00AF6BE7">
              <w:rPr>
                <w:i/>
                <w:sz w:val="16"/>
              </w:rPr>
              <w:t>2015</w:t>
            </w:r>
          </w:p>
        </w:tc>
        <w:tc>
          <w:tcPr>
            <w:tcW w:w="170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F1AE281" w14:textId="77777777" w:rsidR="00AF6BE7" w:rsidRPr="00AF6BE7" w:rsidRDefault="00AF6BE7" w:rsidP="00AF6BE7">
            <w:pPr>
              <w:pStyle w:val="SingleTxtG"/>
              <w:spacing w:before="80" w:after="80" w:line="200" w:lineRule="exact"/>
              <w:ind w:left="0" w:right="113"/>
              <w:jc w:val="center"/>
              <w:rPr>
                <w:i/>
                <w:sz w:val="16"/>
              </w:rPr>
            </w:pPr>
            <w:r w:rsidRPr="00AF6BE7">
              <w:rPr>
                <w:i/>
                <w:sz w:val="16"/>
              </w:rPr>
              <w:t>2016</w:t>
            </w:r>
          </w:p>
        </w:tc>
        <w:tc>
          <w:tcPr>
            <w:tcW w:w="1694"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057046D5" w14:textId="77777777" w:rsidR="00AF6BE7" w:rsidRPr="00AF6BE7" w:rsidRDefault="00AF6BE7" w:rsidP="00AF6BE7">
            <w:pPr>
              <w:pStyle w:val="SingleTxtG"/>
              <w:spacing w:before="80" w:after="80" w:line="200" w:lineRule="exact"/>
              <w:ind w:left="0" w:right="113"/>
              <w:jc w:val="center"/>
              <w:rPr>
                <w:i/>
                <w:sz w:val="16"/>
              </w:rPr>
            </w:pPr>
            <w:r w:rsidRPr="00AF6BE7">
              <w:rPr>
                <w:i/>
                <w:sz w:val="16"/>
              </w:rPr>
              <w:t>2017</w:t>
            </w:r>
          </w:p>
        </w:tc>
        <w:tc>
          <w:tcPr>
            <w:tcW w:w="1706" w:type="dxa"/>
            <w:gridSpan w:val="2"/>
            <w:tcBorders>
              <w:top w:val="single" w:sz="4" w:space="0" w:color="auto"/>
              <w:left w:val="single" w:sz="24" w:space="0" w:color="FFFFFF" w:themeColor="background1"/>
              <w:bottom w:val="single" w:sz="4" w:space="0" w:color="auto"/>
            </w:tcBorders>
            <w:shd w:val="clear" w:color="auto" w:fill="auto"/>
            <w:noWrap/>
            <w:vAlign w:val="bottom"/>
          </w:tcPr>
          <w:p w14:paraId="3F5A164C" w14:textId="77777777" w:rsidR="00AF6BE7" w:rsidRPr="00AF6BE7" w:rsidRDefault="00AF6BE7" w:rsidP="00AF6BE7">
            <w:pPr>
              <w:pStyle w:val="SingleTxtG"/>
              <w:spacing w:before="80" w:after="80" w:line="200" w:lineRule="exact"/>
              <w:ind w:left="0" w:right="113"/>
              <w:jc w:val="center"/>
              <w:rPr>
                <w:i/>
                <w:sz w:val="16"/>
              </w:rPr>
            </w:pPr>
            <w:r w:rsidRPr="00AF6BE7">
              <w:rPr>
                <w:i/>
                <w:sz w:val="16"/>
              </w:rPr>
              <w:t>2018</w:t>
            </w:r>
          </w:p>
        </w:tc>
      </w:tr>
      <w:tr w:rsidR="00AF6BE7" w:rsidRPr="00AF6BE7" w14:paraId="029CD48A" w14:textId="77777777" w:rsidTr="001D0FFC">
        <w:trPr>
          <w:cantSplit/>
          <w:trHeight w:val="526"/>
        </w:trPr>
        <w:tc>
          <w:tcPr>
            <w:tcW w:w="1134" w:type="dxa"/>
            <w:vMerge/>
            <w:tcBorders>
              <w:top w:val="single" w:sz="8" w:space="0" w:color="auto"/>
              <w:bottom w:val="single" w:sz="12" w:space="0" w:color="auto"/>
            </w:tcBorders>
            <w:shd w:val="clear" w:color="auto" w:fill="auto"/>
          </w:tcPr>
          <w:p w14:paraId="3413720C" w14:textId="47CACE4B" w:rsidR="00AF6BE7" w:rsidRPr="00AF6BE7" w:rsidRDefault="00AF6BE7" w:rsidP="00AF6BE7">
            <w:pPr>
              <w:pStyle w:val="SingleTxtG"/>
              <w:spacing w:before="80" w:after="80" w:line="200" w:lineRule="exact"/>
              <w:ind w:left="0" w:right="113"/>
              <w:jc w:val="left"/>
              <w:rPr>
                <w:i/>
                <w:sz w:val="16"/>
              </w:rPr>
            </w:pPr>
          </w:p>
        </w:tc>
        <w:tc>
          <w:tcPr>
            <w:tcW w:w="842" w:type="dxa"/>
            <w:tcBorders>
              <w:top w:val="single" w:sz="4" w:space="0" w:color="auto"/>
              <w:bottom w:val="single" w:sz="12" w:space="0" w:color="auto"/>
            </w:tcBorders>
            <w:shd w:val="clear" w:color="auto" w:fill="auto"/>
            <w:vAlign w:val="bottom"/>
          </w:tcPr>
          <w:p w14:paraId="690B0D80" w14:textId="77777777" w:rsidR="00AF6BE7" w:rsidRPr="00AF6BE7" w:rsidRDefault="00AF6BE7" w:rsidP="00AF6BE7">
            <w:pPr>
              <w:pStyle w:val="SingleTxtG"/>
              <w:spacing w:before="80" w:after="80" w:line="200" w:lineRule="exact"/>
              <w:ind w:left="0" w:right="0"/>
              <w:jc w:val="right"/>
              <w:rPr>
                <w:i/>
                <w:sz w:val="16"/>
              </w:rPr>
            </w:pPr>
            <w:r w:rsidRPr="00AF6BE7">
              <w:rPr>
                <w:i/>
                <w:sz w:val="16"/>
              </w:rPr>
              <w:t>children</w:t>
            </w:r>
          </w:p>
        </w:tc>
        <w:tc>
          <w:tcPr>
            <w:tcW w:w="853" w:type="dxa"/>
            <w:tcBorders>
              <w:top w:val="single" w:sz="4" w:space="0" w:color="auto"/>
              <w:bottom w:val="single" w:sz="12" w:space="0" w:color="auto"/>
              <w:right w:val="single" w:sz="24" w:space="0" w:color="FFFFFF" w:themeColor="background1"/>
            </w:tcBorders>
            <w:shd w:val="clear" w:color="auto" w:fill="auto"/>
            <w:vAlign w:val="bottom"/>
          </w:tcPr>
          <w:p w14:paraId="6811CADA" w14:textId="77777777" w:rsidR="00AF6BE7" w:rsidRPr="00AF6BE7" w:rsidRDefault="00AF6BE7" w:rsidP="00AF6BE7">
            <w:pPr>
              <w:pStyle w:val="SingleTxtG"/>
              <w:spacing w:before="80" w:after="80" w:line="200" w:lineRule="exact"/>
              <w:ind w:left="0" w:right="0"/>
              <w:jc w:val="right"/>
              <w:rPr>
                <w:i/>
                <w:sz w:val="16"/>
              </w:rPr>
            </w:pPr>
            <w:r w:rsidRPr="00AF6BE7">
              <w:rPr>
                <w:i/>
                <w:sz w:val="16"/>
              </w:rPr>
              <w:t>adults</w:t>
            </w:r>
          </w:p>
        </w:tc>
        <w:tc>
          <w:tcPr>
            <w:tcW w:w="852" w:type="dxa"/>
            <w:tcBorders>
              <w:top w:val="single" w:sz="4" w:space="0" w:color="auto"/>
              <w:left w:val="single" w:sz="24" w:space="0" w:color="FFFFFF" w:themeColor="background1"/>
              <w:bottom w:val="single" w:sz="12" w:space="0" w:color="auto"/>
            </w:tcBorders>
            <w:shd w:val="clear" w:color="auto" w:fill="auto"/>
            <w:vAlign w:val="bottom"/>
          </w:tcPr>
          <w:p w14:paraId="0DA007DB" w14:textId="77777777" w:rsidR="00AF6BE7" w:rsidRPr="00AF6BE7" w:rsidRDefault="00AF6BE7" w:rsidP="00AF6BE7">
            <w:pPr>
              <w:pStyle w:val="SingleTxtG"/>
              <w:spacing w:before="80" w:after="80" w:line="200" w:lineRule="exact"/>
              <w:ind w:left="0" w:right="0"/>
              <w:jc w:val="right"/>
              <w:rPr>
                <w:i/>
                <w:sz w:val="16"/>
              </w:rPr>
            </w:pPr>
            <w:r w:rsidRPr="00AF6BE7">
              <w:rPr>
                <w:i/>
                <w:sz w:val="16"/>
              </w:rPr>
              <w:t>children</w:t>
            </w:r>
          </w:p>
        </w:tc>
        <w:tc>
          <w:tcPr>
            <w:tcW w:w="852" w:type="dxa"/>
            <w:tcBorders>
              <w:top w:val="single" w:sz="4" w:space="0" w:color="auto"/>
              <w:bottom w:val="single" w:sz="12" w:space="0" w:color="auto"/>
              <w:right w:val="single" w:sz="24" w:space="0" w:color="FFFFFF" w:themeColor="background1"/>
            </w:tcBorders>
            <w:shd w:val="clear" w:color="auto" w:fill="auto"/>
            <w:vAlign w:val="bottom"/>
          </w:tcPr>
          <w:p w14:paraId="4F5A1D4C" w14:textId="77777777" w:rsidR="00AF6BE7" w:rsidRPr="00AF6BE7" w:rsidRDefault="00AF6BE7" w:rsidP="00AF6BE7">
            <w:pPr>
              <w:pStyle w:val="SingleTxtG"/>
              <w:spacing w:before="80" w:after="80" w:line="200" w:lineRule="exact"/>
              <w:ind w:left="0" w:right="0"/>
              <w:jc w:val="right"/>
              <w:rPr>
                <w:i/>
                <w:sz w:val="16"/>
              </w:rPr>
            </w:pPr>
            <w:r w:rsidRPr="00AF6BE7">
              <w:rPr>
                <w:i/>
                <w:sz w:val="16"/>
              </w:rPr>
              <w:t>adults</w:t>
            </w:r>
          </w:p>
        </w:tc>
        <w:tc>
          <w:tcPr>
            <w:tcW w:w="853" w:type="dxa"/>
            <w:tcBorders>
              <w:top w:val="single" w:sz="4" w:space="0" w:color="auto"/>
              <w:left w:val="single" w:sz="24" w:space="0" w:color="FFFFFF" w:themeColor="background1"/>
              <w:bottom w:val="single" w:sz="12" w:space="0" w:color="auto"/>
            </w:tcBorders>
            <w:shd w:val="clear" w:color="auto" w:fill="auto"/>
            <w:vAlign w:val="bottom"/>
          </w:tcPr>
          <w:p w14:paraId="4F22C40D" w14:textId="77777777" w:rsidR="00AF6BE7" w:rsidRPr="00AF6BE7" w:rsidRDefault="00AF6BE7" w:rsidP="00AF6BE7">
            <w:pPr>
              <w:pStyle w:val="SingleTxtG"/>
              <w:spacing w:before="80" w:after="80" w:line="200" w:lineRule="exact"/>
              <w:ind w:left="0" w:right="0"/>
              <w:jc w:val="right"/>
              <w:rPr>
                <w:i/>
                <w:sz w:val="16"/>
              </w:rPr>
            </w:pPr>
            <w:r w:rsidRPr="00AF6BE7">
              <w:rPr>
                <w:i/>
                <w:sz w:val="16"/>
              </w:rPr>
              <w:t>children</w:t>
            </w:r>
          </w:p>
        </w:tc>
        <w:tc>
          <w:tcPr>
            <w:tcW w:w="853" w:type="dxa"/>
            <w:tcBorders>
              <w:top w:val="single" w:sz="4" w:space="0" w:color="auto"/>
              <w:bottom w:val="single" w:sz="12" w:space="0" w:color="auto"/>
              <w:right w:val="single" w:sz="24" w:space="0" w:color="FFFFFF" w:themeColor="background1"/>
            </w:tcBorders>
            <w:shd w:val="clear" w:color="auto" w:fill="auto"/>
            <w:vAlign w:val="bottom"/>
          </w:tcPr>
          <w:p w14:paraId="03C7FF97" w14:textId="77777777" w:rsidR="00AF6BE7" w:rsidRPr="00AF6BE7" w:rsidRDefault="00AF6BE7" w:rsidP="00AF6BE7">
            <w:pPr>
              <w:pStyle w:val="SingleTxtG"/>
              <w:spacing w:before="80" w:after="80" w:line="200" w:lineRule="exact"/>
              <w:ind w:left="0" w:right="0"/>
              <w:jc w:val="right"/>
              <w:rPr>
                <w:i/>
                <w:sz w:val="16"/>
              </w:rPr>
            </w:pPr>
            <w:r w:rsidRPr="00AF6BE7">
              <w:rPr>
                <w:i/>
                <w:sz w:val="16"/>
              </w:rPr>
              <w:t>adults</w:t>
            </w:r>
          </w:p>
        </w:tc>
        <w:tc>
          <w:tcPr>
            <w:tcW w:w="853" w:type="dxa"/>
            <w:tcBorders>
              <w:top w:val="single" w:sz="4" w:space="0" w:color="auto"/>
              <w:left w:val="single" w:sz="24" w:space="0" w:color="FFFFFF" w:themeColor="background1"/>
              <w:bottom w:val="single" w:sz="12" w:space="0" w:color="auto"/>
            </w:tcBorders>
            <w:shd w:val="clear" w:color="auto" w:fill="auto"/>
            <w:vAlign w:val="bottom"/>
          </w:tcPr>
          <w:p w14:paraId="2AA507AB" w14:textId="77777777" w:rsidR="00AF6BE7" w:rsidRPr="00AF6BE7" w:rsidRDefault="00AF6BE7" w:rsidP="00AF6BE7">
            <w:pPr>
              <w:pStyle w:val="SingleTxtG"/>
              <w:spacing w:before="80" w:after="80" w:line="200" w:lineRule="exact"/>
              <w:ind w:left="0" w:right="0"/>
              <w:jc w:val="right"/>
              <w:rPr>
                <w:i/>
                <w:sz w:val="16"/>
              </w:rPr>
            </w:pPr>
            <w:r w:rsidRPr="00AF6BE7">
              <w:rPr>
                <w:i/>
                <w:sz w:val="16"/>
              </w:rPr>
              <w:t>children</w:t>
            </w:r>
          </w:p>
        </w:tc>
        <w:tc>
          <w:tcPr>
            <w:tcW w:w="841" w:type="dxa"/>
            <w:tcBorders>
              <w:top w:val="single" w:sz="4" w:space="0" w:color="auto"/>
              <w:bottom w:val="single" w:sz="12" w:space="0" w:color="auto"/>
              <w:right w:val="single" w:sz="24" w:space="0" w:color="FFFFFF" w:themeColor="background1"/>
            </w:tcBorders>
            <w:shd w:val="clear" w:color="auto" w:fill="auto"/>
            <w:vAlign w:val="bottom"/>
          </w:tcPr>
          <w:p w14:paraId="1823ED5C" w14:textId="77777777" w:rsidR="00AF6BE7" w:rsidRPr="00AF6BE7" w:rsidRDefault="00AF6BE7" w:rsidP="00AF6BE7">
            <w:pPr>
              <w:pStyle w:val="SingleTxtG"/>
              <w:spacing w:before="80" w:after="80" w:line="200" w:lineRule="exact"/>
              <w:ind w:left="0" w:right="0"/>
              <w:jc w:val="right"/>
              <w:rPr>
                <w:i/>
                <w:sz w:val="16"/>
              </w:rPr>
            </w:pPr>
            <w:r w:rsidRPr="00AF6BE7">
              <w:rPr>
                <w:i/>
                <w:sz w:val="16"/>
              </w:rPr>
              <w:t>adults</w:t>
            </w:r>
          </w:p>
        </w:tc>
        <w:tc>
          <w:tcPr>
            <w:tcW w:w="853" w:type="dxa"/>
            <w:tcBorders>
              <w:top w:val="single" w:sz="4" w:space="0" w:color="auto"/>
              <w:left w:val="single" w:sz="24" w:space="0" w:color="FFFFFF" w:themeColor="background1"/>
              <w:bottom w:val="single" w:sz="12" w:space="0" w:color="auto"/>
            </w:tcBorders>
            <w:shd w:val="clear" w:color="auto" w:fill="auto"/>
            <w:vAlign w:val="bottom"/>
          </w:tcPr>
          <w:p w14:paraId="3555ABC7" w14:textId="77777777" w:rsidR="00AF6BE7" w:rsidRPr="00AF6BE7" w:rsidRDefault="00AF6BE7" w:rsidP="00AF6BE7">
            <w:pPr>
              <w:pStyle w:val="SingleTxtG"/>
              <w:spacing w:before="80" w:after="80" w:line="200" w:lineRule="exact"/>
              <w:ind w:left="0" w:right="0"/>
              <w:jc w:val="right"/>
              <w:rPr>
                <w:i/>
                <w:sz w:val="16"/>
              </w:rPr>
            </w:pPr>
            <w:r w:rsidRPr="00AF6BE7">
              <w:rPr>
                <w:i/>
                <w:sz w:val="16"/>
              </w:rPr>
              <w:t>children</w:t>
            </w:r>
          </w:p>
        </w:tc>
        <w:tc>
          <w:tcPr>
            <w:tcW w:w="853" w:type="dxa"/>
            <w:tcBorders>
              <w:top w:val="single" w:sz="4" w:space="0" w:color="auto"/>
              <w:bottom w:val="single" w:sz="12" w:space="0" w:color="auto"/>
            </w:tcBorders>
            <w:shd w:val="clear" w:color="auto" w:fill="auto"/>
            <w:vAlign w:val="bottom"/>
          </w:tcPr>
          <w:p w14:paraId="32ABC477" w14:textId="77777777" w:rsidR="00AF6BE7" w:rsidRPr="00AF6BE7" w:rsidRDefault="00AF6BE7" w:rsidP="00AF6BE7">
            <w:pPr>
              <w:pStyle w:val="SingleTxtG"/>
              <w:spacing w:before="80" w:after="80" w:line="200" w:lineRule="exact"/>
              <w:ind w:left="0" w:right="0"/>
              <w:jc w:val="right"/>
              <w:rPr>
                <w:i/>
                <w:sz w:val="16"/>
              </w:rPr>
            </w:pPr>
            <w:r w:rsidRPr="00AF6BE7">
              <w:rPr>
                <w:i/>
                <w:sz w:val="16"/>
              </w:rPr>
              <w:t>adults</w:t>
            </w:r>
          </w:p>
        </w:tc>
      </w:tr>
      <w:tr w:rsidR="00263BCB" w:rsidRPr="00AF6BE7" w14:paraId="16557CEB" w14:textId="77777777" w:rsidTr="001D0FFC">
        <w:trPr>
          <w:cantSplit/>
        </w:trPr>
        <w:tc>
          <w:tcPr>
            <w:tcW w:w="1134" w:type="dxa"/>
            <w:tcBorders>
              <w:top w:val="single" w:sz="12" w:space="0" w:color="auto"/>
            </w:tcBorders>
            <w:shd w:val="clear" w:color="auto" w:fill="auto"/>
          </w:tcPr>
          <w:p w14:paraId="5592544D" w14:textId="77777777" w:rsidR="00263BCB" w:rsidRPr="00AF6BE7" w:rsidRDefault="00263BCB" w:rsidP="00AF6BE7">
            <w:pPr>
              <w:pStyle w:val="SingleTxtG"/>
              <w:spacing w:before="40" w:after="40" w:line="220" w:lineRule="exact"/>
              <w:ind w:left="0" w:right="113"/>
              <w:jc w:val="left"/>
              <w:rPr>
                <w:sz w:val="18"/>
              </w:rPr>
            </w:pPr>
            <w:r w:rsidRPr="00AF6BE7">
              <w:rPr>
                <w:sz w:val="18"/>
              </w:rPr>
              <w:t>Domestic</w:t>
            </w:r>
          </w:p>
        </w:tc>
        <w:tc>
          <w:tcPr>
            <w:tcW w:w="842" w:type="dxa"/>
            <w:tcBorders>
              <w:top w:val="single" w:sz="12" w:space="0" w:color="auto"/>
            </w:tcBorders>
            <w:shd w:val="clear" w:color="auto" w:fill="auto"/>
            <w:vAlign w:val="bottom"/>
          </w:tcPr>
          <w:p w14:paraId="69B8E138" w14:textId="77777777" w:rsidR="00263BCB" w:rsidRPr="00AF6BE7" w:rsidRDefault="00263BCB" w:rsidP="00AF6BE7">
            <w:pPr>
              <w:pStyle w:val="SingleTxtG"/>
              <w:spacing w:before="40" w:after="40" w:line="220" w:lineRule="exact"/>
              <w:ind w:left="0" w:right="113"/>
              <w:jc w:val="right"/>
              <w:rPr>
                <w:sz w:val="18"/>
              </w:rPr>
            </w:pPr>
            <w:r w:rsidRPr="00AF6BE7">
              <w:rPr>
                <w:sz w:val="18"/>
              </w:rPr>
              <w:t>6</w:t>
            </w:r>
          </w:p>
        </w:tc>
        <w:tc>
          <w:tcPr>
            <w:tcW w:w="853" w:type="dxa"/>
            <w:tcBorders>
              <w:top w:val="single" w:sz="12" w:space="0" w:color="auto"/>
            </w:tcBorders>
            <w:shd w:val="clear" w:color="auto" w:fill="auto"/>
            <w:vAlign w:val="bottom"/>
          </w:tcPr>
          <w:p w14:paraId="74A50A9D" w14:textId="77777777" w:rsidR="00263BCB" w:rsidRPr="00AF6BE7" w:rsidRDefault="00263BCB" w:rsidP="00AF6BE7">
            <w:pPr>
              <w:pStyle w:val="SingleTxtG"/>
              <w:spacing w:before="40" w:after="40" w:line="220" w:lineRule="exact"/>
              <w:ind w:left="0" w:right="113"/>
              <w:jc w:val="right"/>
              <w:rPr>
                <w:sz w:val="18"/>
              </w:rPr>
            </w:pPr>
            <w:r w:rsidRPr="00AF6BE7">
              <w:rPr>
                <w:sz w:val="18"/>
              </w:rPr>
              <w:t>1</w:t>
            </w:r>
          </w:p>
        </w:tc>
        <w:tc>
          <w:tcPr>
            <w:tcW w:w="852" w:type="dxa"/>
            <w:tcBorders>
              <w:top w:val="single" w:sz="12" w:space="0" w:color="auto"/>
            </w:tcBorders>
            <w:shd w:val="clear" w:color="auto" w:fill="auto"/>
            <w:vAlign w:val="bottom"/>
          </w:tcPr>
          <w:p w14:paraId="7A95311A" w14:textId="77777777" w:rsidR="00263BCB" w:rsidRPr="00AF6BE7" w:rsidRDefault="00263BCB" w:rsidP="00AF6BE7">
            <w:pPr>
              <w:pStyle w:val="SingleTxtG"/>
              <w:spacing w:before="40" w:after="40" w:line="220" w:lineRule="exact"/>
              <w:ind w:left="0" w:right="113"/>
              <w:jc w:val="right"/>
              <w:rPr>
                <w:sz w:val="18"/>
              </w:rPr>
            </w:pPr>
            <w:r w:rsidRPr="00AF6BE7">
              <w:rPr>
                <w:sz w:val="18"/>
              </w:rPr>
              <w:t>3</w:t>
            </w:r>
          </w:p>
        </w:tc>
        <w:tc>
          <w:tcPr>
            <w:tcW w:w="852" w:type="dxa"/>
            <w:tcBorders>
              <w:top w:val="single" w:sz="12" w:space="0" w:color="auto"/>
            </w:tcBorders>
            <w:shd w:val="clear" w:color="auto" w:fill="auto"/>
            <w:vAlign w:val="bottom"/>
          </w:tcPr>
          <w:p w14:paraId="4889AD41"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853" w:type="dxa"/>
            <w:tcBorders>
              <w:top w:val="single" w:sz="12" w:space="0" w:color="auto"/>
            </w:tcBorders>
            <w:shd w:val="clear" w:color="auto" w:fill="auto"/>
            <w:vAlign w:val="bottom"/>
          </w:tcPr>
          <w:p w14:paraId="64C8655C" w14:textId="77777777" w:rsidR="00263BCB" w:rsidRPr="00AF6BE7" w:rsidRDefault="00263BCB" w:rsidP="00AF6BE7">
            <w:pPr>
              <w:pStyle w:val="SingleTxtG"/>
              <w:spacing w:before="40" w:after="40" w:line="220" w:lineRule="exact"/>
              <w:ind w:left="0" w:right="113"/>
              <w:jc w:val="right"/>
              <w:rPr>
                <w:sz w:val="18"/>
              </w:rPr>
            </w:pPr>
            <w:r w:rsidRPr="00AF6BE7">
              <w:rPr>
                <w:sz w:val="18"/>
              </w:rPr>
              <w:t>3</w:t>
            </w:r>
          </w:p>
        </w:tc>
        <w:tc>
          <w:tcPr>
            <w:tcW w:w="853" w:type="dxa"/>
            <w:tcBorders>
              <w:top w:val="single" w:sz="12" w:space="0" w:color="auto"/>
            </w:tcBorders>
            <w:shd w:val="clear" w:color="auto" w:fill="auto"/>
            <w:vAlign w:val="bottom"/>
          </w:tcPr>
          <w:p w14:paraId="76E576F3" w14:textId="77777777" w:rsidR="00263BCB" w:rsidRPr="00AF6BE7" w:rsidRDefault="00263BCB" w:rsidP="00AF6BE7">
            <w:pPr>
              <w:pStyle w:val="SingleTxtG"/>
              <w:spacing w:before="40" w:after="40" w:line="220" w:lineRule="exact"/>
              <w:ind w:left="0" w:right="113"/>
              <w:jc w:val="right"/>
              <w:rPr>
                <w:sz w:val="18"/>
              </w:rPr>
            </w:pPr>
            <w:r w:rsidRPr="00AF6BE7">
              <w:rPr>
                <w:sz w:val="18"/>
              </w:rPr>
              <w:t>2</w:t>
            </w:r>
          </w:p>
        </w:tc>
        <w:tc>
          <w:tcPr>
            <w:tcW w:w="853" w:type="dxa"/>
            <w:tcBorders>
              <w:top w:val="single" w:sz="12" w:space="0" w:color="auto"/>
            </w:tcBorders>
            <w:shd w:val="clear" w:color="auto" w:fill="auto"/>
            <w:vAlign w:val="bottom"/>
          </w:tcPr>
          <w:p w14:paraId="5C114422" w14:textId="77777777" w:rsidR="00263BCB" w:rsidRPr="00AF6BE7" w:rsidRDefault="00263BCB" w:rsidP="00AF6BE7">
            <w:pPr>
              <w:pStyle w:val="SingleTxtG"/>
              <w:spacing w:before="40" w:after="40" w:line="220" w:lineRule="exact"/>
              <w:ind w:left="0" w:right="113"/>
              <w:jc w:val="right"/>
              <w:rPr>
                <w:sz w:val="18"/>
              </w:rPr>
            </w:pPr>
            <w:r w:rsidRPr="00AF6BE7">
              <w:rPr>
                <w:sz w:val="18"/>
              </w:rPr>
              <w:t>2</w:t>
            </w:r>
          </w:p>
        </w:tc>
        <w:tc>
          <w:tcPr>
            <w:tcW w:w="841" w:type="dxa"/>
            <w:tcBorders>
              <w:top w:val="single" w:sz="12" w:space="0" w:color="auto"/>
            </w:tcBorders>
            <w:shd w:val="clear" w:color="auto" w:fill="auto"/>
            <w:vAlign w:val="bottom"/>
          </w:tcPr>
          <w:p w14:paraId="1D6FAFEF"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853" w:type="dxa"/>
            <w:tcBorders>
              <w:top w:val="single" w:sz="12" w:space="0" w:color="auto"/>
            </w:tcBorders>
            <w:shd w:val="clear" w:color="auto" w:fill="auto"/>
            <w:noWrap/>
            <w:vAlign w:val="bottom"/>
          </w:tcPr>
          <w:p w14:paraId="60BD26A9" w14:textId="77777777" w:rsidR="00263BCB" w:rsidRPr="00AF6BE7" w:rsidRDefault="00263BCB" w:rsidP="00AF6BE7">
            <w:pPr>
              <w:pStyle w:val="SingleTxtG"/>
              <w:spacing w:before="40" w:after="40" w:line="220" w:lineRule="exact"/>
              <w:ind w:left="0" w:right="113"/>
              <w:jc w:val="right"/>
              <w:rPr>
                <w:sz w:val="18"/>
              </w:rPr>
            </w:pPr>
            <w:r w:rsidRPr="00AF6BE7">
              <w:rPr>
                <w:sz w:val="18"/>
              </w:rPr>
              <w:t>3</w:t>
            </w:r>
          </w:p>
        </w:tc>
        <w:tc>
          <w:tcPr>
            <w:tcW w:w="853" w:type="dxa"/>
            <w:tcBorders>
              <w:top w:val="single" w:sz="12" w:space="0" w:color="auto"/>
            </w:tcBorders>
            <w:shd w:val="clear" w:color="auto" w:fill="auto"/>
            <w:vAlign w:val="bottom"/>
          </w:tcPr>
          <w:p w14:paraId="5380FC22" w14:textId="77777777" w:rsidR="00263BCB" w:rsidRPr="00AF6BE7" w:rsidRDefault="00263BCB" w:rsidP="00AF6BE7">
            <w:pPr>
              <w:pStyle w:val="SingleTxtG"/>
              <w:spacing w:before="40" w:after="40" w:line="220" w:lineRule="exact"/>
              <w:ind w:left="0" w:right="113"/>
              <w:jc w:val="right"/>
              <w:rPr>
                <w:sz w:val="18"/>
              </w:rPr>
            </w:pPr>
            <w:r w:rsidRPr="00AF6BE7">
              <w:rPr>
                <w:sz w:val="18"/>
              </w:rPr>
              <w:t>1</w:t>
            </w:r>
          </w:p>
        </w:tc>
      </w:tr>
      <w:tr w:rsidR="00263BCB" w:rsidRPr="00AF6BE7" w14:paraId="0817434D" w14:textId="77777777" w:rsidTr="001D0FFC">
        <w:trPr>
          <w:cantSplit/>
        </w:trPr>
        <w:tc>
          <w:tcPr>
            <w:tcW w:w="1134" w:type="dxa"/>
            <w:tcBorders>
              <w:bottom w:val="single" w:sz="4" w:space="0" w:color="auto"/>
            </w:tcBorders>
            <w:shd w:val="clear" w:color="auto" w:fill="auto"/>
          </w:tcPr>
          <w:p w14:paraId="68A611AB" w14:textId="77777777" w:rsidR="00263BCB" w:rsidRPr="00AF6BE7" w:rsidRDefault="00263BCB" w:rsidP="00AF6BE7">
            <w:pPr>
              <w:pStyle w:val="SingleTxtG"/>
              <w:spacing w:before="40" w:after="40" w:line="220" w:lineRule="exact"/>
              <w:ind w:left="0" w:right="113"/>
              <w:jc w:val="left"/>
              <w:rPr>
                <w:sz w:val="18"/>
              </w:rPr>
            </w:pPr>
            <w:r w:rsidRPr="00AF6BE7">
              <w:rPr>
                <w:sz w:val="18"/>
              </w:rPr>
              <w:t>Foreign</w:t>
            </w:r>
          </w:p>
        </w:tc>
        <w:tc>
          <w:tcPr>
            <w:tcW w:w="842" w:type="dxa"/>
            <w:tcBorders>
              <w:bottom w:val="single" w:sz="4" w:space="0" w:color="auto"/>
            </w:tcBorders>
            <w:shd w:val="clear" w:color="auto" w:fill="auto"/>
            <w:vAlign w:val="bottom"/>
          </w:tcPr>
          <w:p w14:paraId="4600C635"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853" w:type="dxa"/>
            <w:tcBorders>
              <w:bottom w:val="single" w:sz="4" w:space="0" w:color="auto"/>
            </w:tcBorders>
            <w:shd w:val="clear" w:color="auto" w:fill="auto"/>
            <w:vAlign w:val="bottom"/>
          </w:tcPr>
          <w:p w14:paraId="26C0A71D" w14:textId="77777777" w:rsidR="00263BCB" w:rsidRPr="00AF6BE7" w:rsidRDefault="00263BCB" w:rsidP="00AF6BE7">
            <w:pPr>
              <w:pStyle w:val="SingleTxtG"/>
              <w:spacing w:before="40" w:after="40" w:line="220" w:lineRule="exact"/>
              <w:ind w:left="0" w:right="113"/>
              <w:jc w:val="right"/>
              <w:rPr>
                <w:sz w:val="18"/>
              </w:rPr>
            </w:pPr>
            <w:r w:rsidRPr="00AF6BE7">
              <w:rPr>
                <w:sz w:val="18"/>
              </w:rPr>
              <w:t>1</w:t>
            </w:r>
          </w:p>
        </w:tc>
        <w:tc>
          <w:tcPr>
            <w:tcW w:w="852" w:type="dxa"/>
            <w:tcBorders>
              <w:bottom w:val="single" w:sz="4" w:space="0" w:color="auto"/>
            </w:tcBorders>
            <w:shd w:val="clear" w:color="auto" w:fill="auto"/>
            <w:vAlign w:val="bottom"/>
          </w:tcPr>
          <w:p w14:paraId="47D7BE6E"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852" w:type="dxa"/>
            <w:tcBorders>
              <w:bottom w:val="single" w:sz="4" w:space="0" w:color="auto"/>
            </w:tcBorders>
            <w:shd w:val="clear" w:color="auto" w:fill="auto"/>
            <w:vAlign w:val="bottom"/>
          </w:tcPr>
          <w:p w14:paraId="3AB152F6" w14:textId="77777777" w:rsidR="00263BCB" w:rsidRPr="00AF6BE7" w:rsidRDefault="00263BCB" w:rsidP="00AF6BE7">
            <w:pPr>
              <w:pStyle w:val="SingleTxtG"/>
              <w:spacing w:before="40" w:after="40" w:line="220" w:lineRule="exact"/>
              <w:ind w:left="0" w:right="113"/>
              <w:jc w:val="right"/>
              <w:rPr>
                <w:sz w:val="18"/>
              </w:rPr>
            </w:pPr>
            <w:r w:rsidRPr="00AF6BE7">
              <w:rPr>
                <w:sz w:val="18"/>
              </w:rPr>
              <w:t>1</w:t>
            </w:r>
          </w:p>
        </w:tc>
        <w:tc>
          <w:tcPr>
            <w:tcW w:w="853" w:type="dxa"/>
            <w:tcBorders>
              <w:bottom w:val="single" w:sz="4" w:space="0" w:color="auto"/>
            </w:tcBorders>
            <w:shd w:val="clear" w:color="auto" w:fill="auto"/>
            <w:vAlign w:val="bottom"/>
          </w:tcPr>
          <w:p w14:paraId="3FC86868"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853" w:type="dxa"/>
            <w:tcBorders>
              <w:bottom w:val="single" w:sz="4" w:space="0" w:color="auto"/>
            </w:tcBorders>
            <w:shd w:val="clear" w:color="auto" w:fill="auto"/>
            <w:vAlign w:val="bottom"/>
          </w:tcPr>
          <w:p w14:paraId="065A2ABD" w14:textId="77777777" w:rsidR="00263BCB" w:rsidRPr="00AF6BE7" w:rsidRDefault="00263BCB" w:rsidP="00AF6BE7">
            <w:pPr>
              <w:pStyle w:val="SingleTxtG"/>
              <w:spacing w:before="40" w:after="40" w:line="220" w:lineRule="exact"/>
              <w:ind w:left="0" w:right="113"/>
              <w:jc w:val="right"/>
              <w:rPr>
                <w:sz w:val="18"/>
              </w:rPr>
            </w:pPr>
            <w:r w:rsidRPr="00AF6BE7">
              <w:rPr>
                <w:sz w:val="18"/>
              </w:rPr>
              <w:t>1</w:t>
            </w:r>
          </w:p>
        </w:tc>
        <w:tc>
          <w:tcPr>
            <w:tcW w:w="853" w:type="dxa"/>
            <w:tcBorders>
              <w:bottom w:val="single" w:sz="4" w:space="0" w:color="auto"/>
            </w:tcBorders>
            <w:shd w:val="clear" w:color="auto" w:fill="auto"/>
            <w:vAlign w:val="bottom"/>
          </w:tcPr>
          <w:p w14:paraId="4C2636AD"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841" w:type="dxa"/>
            <w:tcBorders>
              <w:bottom w:val="single" w:sz="4" w:space="0" w:color="auto"/>
            </w:tcBorders>
            <w:shd w:val="clear" w:color="auto" w:fill="auto"/>
            <w:vAlign w:val="bottom"/>
          </w:tcPr>
          <w:p w14:paraId="710C7684"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853" w:type="dxa"/>
            <w:tcBorders>
              <w:bottom w:val="single" w:sz="4" w:space="0" w:color="auto"/>
            </w:tcBorders>
            <w:shd w:val="clear" w:color="auto" w:fill="auto"/>
            <w:noWrap/>
            <w:vAlign w:val="bottom"/>
          </w:tcPr>
          <w:p w14:paraId="062BA6D5" w14:textId="77777777" w:rsidR="00263BCB" w:rsidRPr="00AF6BE7" w:rsidRDefault="00263BCB" w:rsidP="00AF6BE7">
            <w:pPr>
              <w:pStyle w:val="SingleTxtG"/>
              <w:spacing w:before="40" w:after="40" w:line="220" w:lineRule="exact"/>
              <w:ind w:left="0" w:right="113"/>
              <w:jc w:val="right"/>
              <w:rPr>
                <w:sz w:val="18"/>
              </w:rPr>
            </w:pPr>
            <w:r w:rsidRPr="00AF6BE7">
              <w:rPr>
                <w:sz w:val="18"/>
              </w:rPr>
              <w:t>1</w:t>
            </w:r>
          </w:p>
        </w:tc>
        <w:tc>
          <w:tcPr>
            <w:tcW w:w="853" w:type="dxa"/>
            <w:tcBorders>
              <w:bottom w:val="single" w:sz="4" w:space="0" w:color="auto"/>
            </w:tcBorders>
            <w:shd w:val="clear" w:color="auto" w:fill="auto"/>
            <w:noWrap/>
            <w:vAlign w:val="bottom"/>
          </w:tcPr>
          <w:p w14:paraId="53ABFD0A" w14:textId="032590AD" w:rsidR="00263BCB" w:rsidRPr="00AF6BE7" w:rsidRDefault="00A21C4B" w:rsidP="00AF6BE7">
            <w:pPr>
              <w:pStyle w:val="SingleTxtG"/>
              <w:spacing w:before="40" w:after="40" w:line="220" w:lineRule="exact"/>
              <w:ind w:left="0" w:right="113"/>
              <w:jc w:val="right"/>
              <w:rPr>
                <w:sz w:val="18"/>
              </w:rPr>
            </w:pPr>
            <w:r>
              <w:rPr>
                <w:sz w:val="18"/>
              </w:rPr>
              <w:t xml:space="preserve"> </w:t>
            </w:r>
          </w:p>
        </w:tc>
      </w:tr>
      <w:tr w:rsidR="00263BCB" w:rsidRPr="00AF6BE7" w14:paraId="766699F6" w14:textId="77777777" w:rsidTr="001D0FFC">
        <w:trPr>
          <w:cantSplit/>
        </w:trPr>
        <w:tc>
          <w:tcPr>
            <w:tcW w:w="1134" w:type="dxa"/>
            <w:tcBorders>
              <w:top w:val="single" w:sz="4" w:space="0" w:color="auto"/>
              <w:bottom w:val="single" w:sz="4" w:space="0" w:color="auto"/>
            </w:tcBorders>
            <w:shd w:val="clear" w:color="auto" w:fill="auto"/>
          </w:tcPr>
          <w:p w14:paraId="7F7D8C34" w14:textId="77777777" w:rsidR="00263BCB" w:rsidRPr="00AF6BE7" w:rsidRDefault="00263BCB" w:rsidP="001D0FFC">
            <w:pPr>
              <w:pStyle w:val="SingleTxtG"/>
              <w:spacing w:before="80" w:after="80" w:line="220" w:lineRule="exact"/>
              <w:ind w:left="142" w:right="113"/>
              <w:jc w:val="left"/>
              <w:rPr>
                <w:b/>
                <w:sz w:val="18"/>
              </w:rPr>
            </w:pPr>
            <w:r w:rsidRPr="00AF6BE7">
              <w:rPr>
                <w:b/>
                <w:sz w:val="18"/>
              </w:rPr>
              <w:t>Total</w:t>
            </w:r>
          </w:p>
        </w:tc>
        <w:tc>
          <w:tcPr>
            <w:tcW w:w="842" w:type="dxa"/>
            <w:tcBorders>
              <w:top w:val="single" w:sz="4" w:space="0" w:color="auto"/>
              <w:bottom w:val="single" w:sz="4" w:space="0" w:color="auto"/>
            </w:tcBorders>
            <w:shd w:val="clear" w:color="auto" w:fill="auto"/>
            <w:vAlign w:val="bottom"/>
          </w:tcPr>
          <w:p w14:paraId="0E789FAE" w14:textId="77777777" w:rsidR="00263BCB" w:rsidRPr="00AF6BE7" w:rsidRDefault="00263BCB" w:rsidP="00AF6BE7">
            <w:pPr>
              <w:pStyle w:val="SingleTxtG"/>
              <w:spacing w:before="80" w:after="80" w:line="220" w:lineRule="exact"/>
              <w:ind w:left="0" w:right="113"/>
              <w:jc w:val="right"/>
              <w:rPr>
                <w:b/>
                <w:sz w:val="18"/>
              </w:rPr>
            </w:pPr>
            <w:r w:rsidRPr="00AF6BE7">
              <w:rPr>
                <w:b/>
                <w:sz w:val="18"/>
              </w:rPr>
              <w:t>6</w:t>
            </w:r>
          </w:p>
        </w:tc>
        <w:tc>
          <w:tcPr>
            <w:tcW w:w="853" w:type="dxa"/>
            <w:tcBorders>
              <w:top w:val="single" w:sz="4" w:space="0" w:color="auto"/>
              <w:bottom w:val="single" w:sz="4" w:space="0" w:color="auto"/>
            </w:tcBorders>
            <w:shd w:val="clear" w:color="auto" w:fill="auto"/>
            <w:vAlign w:val="bottom"/>
          </w:tcPr>
          <w:p w14:paraId="44928232" w14:textId="77777777" w:rsidR="00263BCB" w:rsidRPr="00AF6BE7" w:rsidRDefault="00263BCB" w:rsidP="00AF6BE7">
            <w:pPr>
              <w:pStyle w:val="SingleTxtG"/>
              <w:spacing w:before="80" w:after="80" w:line="220" w:lineRule="exact"/>
              <w:ind w:left="0" w:right="113"/>
              <w:jc w:val="right"/>
              <w:rPr>
                <w:b/>
                <w:sz w:val="18"/>
              </w:rPr>
            </w:pPr>
            <w:r w:rsidRPr="00AF6BE7">
              <w:rPr>
                <w:b/>
                <w:sz w:val="18"/>
              </w:rPr>
              <w:t>2</w:t>
            </w:r>
          </w:p>
        </w:tc>
        <w:tc>
          <w:tcPr>
            <w:tcW w:w="852" w:type="dxa"/>
            <w:tcBorders>
              <w:top w:val="single" w:sz="4" w:space="0" w:color="auto"/>
              <w:bottom w:val="single" w:sz="4" w:space="0" w:color="auto"/>
            </w:tcBorders>
            <w:shd w:val="clear" w:color="auto" w:fill="auto"/>
            <w:vAlign w:val="bottom"/>
          </w:tcPr>
          <w:p w14:paraId="4399838B" w14:textId="77777777" w:rsidR="00263BCB" w:rsidRPr="00AF6BE7" w:rsidRDefault="00263BCB" w:rsidP="00AF6BE7">
            <w:pPr>
              <w:pStyle w:val="SingleTxtG"/>
              <w:spacing w:before="80" w:after="80" w:line="220" w:lineRule="exact"/>
              <w:ind w:left="0" w:right="113"/>
              <w:jc w:val="right"/>
              <w:rPr>
                <w:b/>
                <w:sz w:val="18"/>
              </w:rPr>
            </w:pPr>
            <w:r w:rsidRPr="00AF6BE7">
              <w:rPr>
                <w:b/>
                <w:sz w:val="18"/>
              </w:rPr>
              <w:t>3</w:t>
            </w:r>
          </w:p>
        </w:tc>
        <w:tc>
          <w:tcPr>
            <w:tcW w:w="852" w:type="dxa"/>
            <w:tcBorders>
              <w:top w:val="single" w:sz="4" w:space="0" w:color="auto"/>
              <w:bottom w:val="single" w:sz="4" w:space="0" w:color="auto"/>
            </w:tcBorders>
            <w:shd w:val="clear" w:color="auto" w:fill="auto"/>
            <w:vAlign w:val="bottom"/>
          </w:tcPr>
          <w:p w14:paraId="73583AFE" w14:textId="77777777" w:rsidR="00263BCB" w:rsidRPr="00AF6BE7" w:rsidRDefault="00263BCB" w:rsidP="00AF6BE7">
            <w:pPr>
              <w:pStyle w:val="SingleTxtG"/>
              <w:spacing w:before="80" w:after="80" w:line="220" w:lineRule="exact"/>
              <w:ind w:left="0" w:right="113"/>
              <w:jc w:val="right"/>
              <w:rPr>
                <w:b/>
                <w:sz w:val="18"/>
              </w:rPr>
            </w:pPr>
            <w:r w:rsidRPr="00AF6BE7">
              <w:rPr>
                <w:b/>
                <w:sz w:val="18"/>
              </w:rPr>
              <w:t>1</w:t>
            </w:r>
          </w:p>
        </w:tc>
        <w:tc>
          <w:tcPr>
            <w:tcW w:w="853" w:type="dxa"/>
            <w:tcBorders>
              <w:top w:val="single" w:sz="4" w:space="0" w:color="auto"/>
              <w:bottom w:val="single" w:sz="4" w:space="0" w:color="auto"/>
            </w:tcBorders>
            <w:shd w:val="clear" w:color="auto" w:fill="auto"/>
            <w:vAlign w:val="bottom"/>
          </w:tcPr>
          <w:p w14:paraId="1ADC17C3" w14:textId="77777777" w:rsidR="00263BCB" w:rsidRPr="00AF6BE7" w:rsidRDefault="00263BCB" w:rsidP="00AF6BE7">
            <w:pPr>
              <w:pStyle w:val="SingleTxtG"/>
              <w:spacing w:before="80" w:after="80" w:line="220" w:lineRule="exact"/>
              <w:ind w:left="0" w:right="113"/>
              <w:jc w:val="right"/>
              <w:rPr>
                <w:b/>
                <w:sz w:val="18"/>
              </w:rPr>
            </w:pPr>
            <w:r w:rsidRPr="00AF6BE7">
              <w:rPr>
                <w:b/>
                <w:sz w:val="18"/>
              </w:rPr>
              <w:t>3</w:t>
            </w:r>
          </w:p>
        </w:tc>
        <w:tc>
          <w:tcPr>
            <w:tcW w:w="853" w:type="dxa"/>
            <w:tcBorders>
              <w:top w:val="single" w:sz="4" w:space="0" w:color="auto"/>
              <w:bottom w:val="single" w:sz="4" w:space="0" w:color="auto"/>
            </w:tcBorders>
            <w:shd w:val="clear" w:color="auto" w:fill="auto"/>
            <w:vAlign w:val="bottom"/>
          </w:tcPr>
          <w:p w14:paraId="0888667D" w14:textId="77777777" w:rsidR="00263BCB" w:rsidRPr="00AF6BE7" w:rsidRDefault="00263BCB" w:rsidP="00AF6BE7">
            <w:pPr>
              <w:pStyle w:val="SingleTxtG"/>
              <w:spacing w:before="80" w:after="80" w:line="220" w:lineRule="exact"/>
              <w:ind w:left="0" w:right="113"/>
              <w:jc w:val="right"/>
              <w:rPr>
                <w:b/>
                <w:sz w:val="18"/>
              </w:rPr>
            </w:pPr>
            <w:r w:rsidRPr="00AF6BE7">
              <w:rPr>
                <w:b/>
                <w:sz w:val="18"/>
              </w:rPr>
              <w:t>3</w:t>
            </w:r>
          </w:p>
        </w:tc>
        <w:tc>
          <w:tcPr>
            <w:tcW w:w="853" w:type="dxa"/>
            <w:tcBorders>
              <w:top w:val="single" w:sz="4" w:space="0" w:color="auto"/>
              <w:bottom w:val="single" w:sz="4" w:space="0" w:color="auto"/>
            </w:tcBorders>
            <w:shd w:val="clear" w:color="auto" w:fill="auto"/>
            <w:vAlign w:val="bottom"/>
          </w:tcPr>
          <w:p w14:paraId="73D08A4C" w14:textId="77777777" w:rsidR="00263BCB" w:rsidRPr="00AF6BE7" w:rsidRDefault="00263BCB" w:rsidP="00AF6BE7">
            <w:pPr>
              <w:pStyle w:val="SingleTxtG"/>
              <w:spacing w:before="80" w:after="80" w:line="220" w:lineRule="exact"/>
              <w:ind w:left="0" w:right="113"/>
              <w:jc w:val="right"/>
              <w:rPr>
                <w:b/>
                <w:sz w:val="18"/>
              </w:rPr>
            </w:pPr>
            <w:r w:rsidRPr="00AF6BE7">
              <w:rPr>
                <w:b/>
                <w:sz w:val="18"/>
              </w:rPr>
              <w:t>2</w:t>
            </w:r>
          </w:p>
        </w:tc>
        <w:tc>
          <w:tcPr>
            <w:tcW w:w="841" w:type="dxa"/>
            <w:tcBorders>
              <w:top w:val="single" w:sz="4" w:space="0" w:color="auto"/>
              <w:bottom w:val="single" w:sz="4" w:space="0" w:color="auto"/>
            </w:tcBorders>
            <w:shd w:val="clear" w:color="auto" w:fill="auto"/>
            <w:vAlign w:val="bottom"/>
          </w:tcPr>
          <w:p w14:paraId="22566AFD" w14:textId="77777777" w:rsidR="00263BCB" w:rsidRPr="00AF6BE7" w:rsidRDefault="00263BCB" w:rsidP="00AF6BE7">
            <w:pPr>
              <w:pStyle w:val="SingleTxtG"/>
              <w:spacing w:before="80" w:after="80" w:line="220" w:lineRule="exact"/>
              <w:ind w:left="0" w:right="113"/>
              <w:jc w:val="right"/>
              <w:rPr>
                <w:b/>
                <w:sz w:val="18"/>
              </w:rPr>
            </w:pPr>
            <w:r w:rsidRPr="00AF6BE7">
              <w:rPr>
                <w:b/>
                <w:sz w:val="18"/>
              </w:rPr>
              <w:t>/</w:t>
            </w:r>
          </w:p>
        </w:tc>
        <w:tc>
          <w:tcPr>
            <w:tcW w:w="853" w:type="dxa"/>
            <w:tcBorders>
              <w:top w:val="single" w:sz="4" w:space="0" w:color="auto"/>
              <w:bottom w:val="single" w:sz="4" w:space="0" w:color="auto"/>
            </w:tcBorders>
            <w:shd w:val="clear" w:color="auto" w:fill="auto"/>
            <w:noWrap/>
            <w:vAlign w:val="bottom"/>
          </w:tcPr>
          <w:p w14:paraId="68533C9B" w14:textId="77777777" w:rsidR="00263BCB" w:rsidRPr="00AF6BE7" w:rsidRDefault="00263BCB" w:rsidP="00AF6BE7">
            <w:pPr>
              <w:pStyle w:val="SingleTxtG"/>
              <w:spacing w:before="80" w:after="80" w:line="220" w:lineRule="exact"/>
              <w:ind w:left="0" w:right="113"/>
              <w:jc w:val="right"/>
              <w:rPr>
                <w:b/>
                <w:sz w:val="18"/>
              </w:rPr>
            </w:pPr>
            <w:r w:rsidRPr="00AF6BE7">
              <w:rPr>
                <w:b/>
                <w:sz w:val="18"/>
              </w:rPr>
              <w:t>4</w:t>
            </w:r>
          </w:p>
        </w:tc>
        <w:tc>
          <w:tcPr>
            <w:tcW w:w="853" w:type="dxa"/>
            <w:tcBorders>
              <w:top w:val="single" w:sz="4" w:space="0" w:color="auto"/>
              <w:bottom w:val="single" w:sz="4" w:space="0" w:color="auto"/>
            </w:tcBorders>
            <w:shd w:val="clear" w:color="auto" w:fill="auto"/>
            <w:vAlign w:val="bottom"/>
          </w:tcPr>
          <w:p w14:paraId="5C48F833" w14:textId="77777777" w:rsidR="00263BCB" w:rsidRPr="00AF6BE7" w:rsidRDefault="00263BCB" w:rsidP="00AF6BE7">
            <w:pPr>
              <w:pStyle w:val="SingleTxtG"/>
              <w:spacing w:before="80" w:after="80" w:line="220" w:lineRule="exact"/>
              <w:ind w:left="0" w:right="113"/>
              <w:jc w:val="right"/>
              <w:rPr>
                <w:b/>
                <w:sz w:val="18"/>
              </w:rPr>
            </w:pPr>
            <w:r w:rsidRPr="00AF6BE7">
              <w:rPr>
                <w:b/>
                <w:sz w:val="18"/>
              </w:rPr>
              <w:t>1</w:t>
            </w:r>
          </w:p>
        </w:tc>
      </w:tr>
      <w:tr w:rsidR="00263BCB" w:rsidRPr="00AF6BE7" w14:paraId="197E7751" w14:textId="77777777" w:rsidTr="001D0FFC">
        <w:trPr>
          <w:cantSplit/>
        </w:trPr>
        <w:tc>
          <w:tcPr>
            <w:tcW w:w="1134" w:type="dxa"/>
            <w:tcBorders>
              <w:top w:val="single" w:sz="4" w:space="0" w:color="auto"/>
              <w:bottom w:val="single" w:sz="12" w:space="0" w:color="auto"/>
            </w:tcBorders>
            <w:shd w:val="clear" w:color="auto" w:fill="auto"/>
          </w:tcPr>
          <w:p w14:paraId="592D5F9D" w14:textId="1D959B1E" w:rsidR="00263BCB" w:rsidRPr="00AF6BE7" w:rsidRDefault="00263BCB" w:rsidP="001D0FFC">
            <w:pPr>
              <w:pStyle w:val="SingleTxtG"/>
              <w:spacing w:before="80" w:after="80" w:line="220" w:lineRule="exact"/>
              <w:ind w:left="142" w:right="113"/>
              <w:jc w:val="left"/>
              <w:rPr>
                <w:b/>
                <w:sz w:val="18"/>
              </w:rPr>
            </w:pPr>
            <w:r w:rsidRPr="00AF6BE7">
              <w:rPr>
                <w:b/>
                <w:sz w:val="18"/>
              </w:rPr>
              <w:t>Total identified victims</w:t>
            </w:r>
          </w:p>
        </w:tc>
        <w:tc>
          <w:tcPr>
            <w:tcW w:w="1695" w:type="dxa"/>
            <w:gridSpan w:val="2"/>
            <w:tcBorders>
              <w:top w:val="single" w:sz="4" w:space="0" w:color="auto"/>
              <w:bottom w:val="single" w:sz="12" w:space="0" w:color="auto"/>
            </w:tcBorders>
            <w:shd w:val="clear" w:color="auto" w:fill="auto"/>
            <w:vAlign w:val="bottom"/>
          </w:tcPr>
          <w:p w14:paraId="3CB9DD95" w14:textId="77777777" w:rsidR="00263BCB" w:rsidRPr="00AF6BE7" w:rsidRDefault="00263BCB" w:rsidP="00AF6BE7">
            <w:pPr>
              <w:pStyle w:val="SingleTxtG"/>
              <w:spacing w:before="80" w:after="80" w:line="220" w:lineRule="exact"/>
              <w:ind w:left="0" w:right="113"/>
              <w:jc w:val="right"/>
              <w:rPr>
                <w:b/>
                <w:sz w:val="18"/>
              </w:rPr>
            </w:pPr>
            <w:r w:rsidRPr="00AF6BE7">
              <w:rPr>
                <w:b/>
                <w:sz w:val="18"/>
              </w:rPr>
              <w:t>8</w:t>
            </w:r>
          </w:p>
        </w:tc>
        <w:tc>
          <w:tcPr>
            <w:tcW w:w="1704" w:type="dxa"/>
            <w:gridSpan w:val="2"/>
            <w:tcBorders>
              <w:top w:val="single" w:sz="4" w:space="0" w:color="auto"/>
              <w:bottom w:val="single" w:sz="12" w:space="0" w:color="auto"/>
            </w:tcBorders>
            <w:shd w:val="clear" w:color="auto" w:fill="auto"/>
            <w:vAlign w:val="bottom"/>
          </w:tcPr>
          <w:p w14:paraId="417664E9" w14:textId="77777777" w:rsidR="00263BCB" w:rsidRPr="00AF6BE7" w:rsidRDefault="00263BCB" w:rsidP="00AF6BE7">
            <w:pPr>
              <w:pStyle w:val="SingleTxtG"/>
              <w:spacing w:before="80" w:after="80" w:line="220" w:lineRule="exact"/>
              <w:ind w:left="0" w:right="113"/>
              <w:jc w:val="right"/>
              <w:rPr>
                <w:b/>
                <w:sz w:val="18"/>
              </w:rPr>
            </w:pPr>
            <w:r w:rsidRPr="00AF6BE7">
              <w:rPr>
                <w:b/>
                <w:sz w:val="18"/>
              </w:rPr>
              <w:t>4</w:t>
            </w:r>
          </w:p>
        </w:tc>
        <w:tc>
          <w:tcPr>
            <w:tcW w:w="1706" w:type="dxa"/>
            <w:gridSpan w:val="2"/>
            <w:tcBorders>
              <w:top w:val="single" w:sz="4" w:space="0" w:color="auto"/>
              <w:bottom w:val="single" w:sz="12" w:space="0" w:color="auto"/>
            </w:tcBorders>
            <w:shd w:val="clear" w:color="auto" w:fill="auto"/>
            <w:vAlign w:val="bottom"/>
          </w:tcPr>
          <w:p w14:paraId="760A18EE" w14:textId="68E9B394" w:rsidR="00263BCB" w:rsidRPr="00AF6BE7" w:rsidRDefault="00263BCB" w:rsidP="00AF6BE7">
            <w:pPr>
              <w:pStyle w:val="SingleTxtG"/>
              <w:spacing w:before="80" w:after="80" w:line="220" w:lineRule="exact"/>
              <w:ind w:left="0" w:right="113"/>
              <w:jc w:val="right"/>
              <w:rPr>
                <w:b/>
                <w:sz w:val="18"/>
              </w:rPr>
            </w:pPr>
            <w:r w:rsidRPr="00AF6BE7">
              <w:rPr>
                <w:b/>
                <w:sz w:val="18"/>
              </w:rPr>
              <w:t>6</w:t>
            </w:r>
          </w:p>
        </w:tc>
        <w:tc>
          <w:tcPr>
            <w:tcW w:w="1694" w:type="dxa"/>
            <w:gridSpan w:val="2"/>
            <w:tcBorders>
              <w:top w:val="single" w:sz="4" w:space="0" w:color="auto"/>
              <w:bottom w:val="single" w:sz="12" w:space="0" w:color="auto"/>
            </w:tcBorders>
            <w:shd w:val="clear" w:color="auto" w:fill="auto"/>
            <w:vAlign w:val="bottom"/>
          </w:tcPr>
          <w:p w14:paraId="7C6B5DF0" w14:textId="4554FFE4" w:rsidR="00263BCB" w:rsidRPr="00AF6BE7" w:rsidRDefault="00263BCB" w:rsidP="00AF6BE7">
            <w:pPr>
              <w:pStyle w:val="SingleTxtG"/>
              <w:spacing w:before="80" w:after="80" w:line="220" w:lineRule="exact"/>
              <w:ind w:left="0" w:right="113"/>
              <w:jc w:val="right"/>
              <w:rPr>
                <w:b/>
                <w:sz w:val="18"/>
              </w:rPr>
            </w:pPr>
            <w:r w:rsidRPr="00AF6BE7">
              <w:rPr>
                <w:b/>
                <w:sz w:val="18"/>
              </w:rPr>
              <w:t>2</w:t>
            </w:r>
          </w:p>
        </w:tc>
        <w:tc>
          <w:tcPr>
            <w:tcW w:w="1706" w:type="dxa"/>
            <w:gridSpan w:val="2"/>
            <w:tcBorders>
              <w:top w:val="single" w:sz="4" w:space="0" w:color="auto"/>
              <w:bottom w:val="single" w:sz="12" w:space="0" w:color="auto"/>
            </w:tcBorders>
            <w:shd w:val="clear" w:color="auto" w:fill="auto"/>
            <w:noWrap/>
            <w:vAlign w:val="bottom"/>
          </w:tcPr>
          <w:p w14:paraId="3DFFCD94" w14:textId="77777777" w:rsidR="00263BCB" w:rsidRPr="00AF6BE7" w:rsidRDefault="00263BCB" w:rsidP="00AF6BE7">
            <w:pPr>
              <w:pStyle w:val="SingleTxtG"/>
              <w:spacing w:before="80" w:after="80" w:line="220" w:lineRule="exact"/>
              <w:ind w:left="0" w:right="113"/>
              <w:jc w:val="right"/>
              <w:rPr>
                <w:b/>
                <w:sz w:val="18"/>
              </w:rPr>
            </w:pPr>
            <w:r w:rsidRPr="00AF6BE7">
              <w:rPr>
                <w:b/>
                <w:sz w:val="18"/>
              </w:rPr>
              <w:t>5</w:t>
            </w:r>
          </w:p>
        </w:tc>
      </w:tr>
    </w:tbl>
    <w:p w14:paraId="23B41C05" w14:textId="77777777" w:rsidR="00263BCB" w:rsidRPr="005D213B" w:rsidRDefault="00263BCB" w:rsidP="00263BCB">
      <w:pPr>
        <w:pStyle w:val="SingleTxtG"/>
        <w:spacing w:line="240" w:lineRule="atLeast"/>
      </w:pP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03"/>
        <w:gridCol w:w="1324"/>
        <w:gridCol w:w="850"/>
        <w:gridCol w:w="851"/>
        <w:gridCol w:w="1417"/>
        <w:gridCol w:w="1701"/>
        <w:gridCol w:w="1559"/>
        <w:gridCol w:w="1134"/>
      </w:tblGrid>
      <w:tr w:rsidR="00147646" w:rsidRPr="00AF6BE7" w14:paraId="5CB8D769" w14:textId="77777777" w:rsidTr="00147646">
        <w:trPr>
          <w:tblHeader/>
        </w:trPr>
        <w:tc>
          <w:tcPr>
            <w:tcW w:w="803" w:type="dxa"/>
            <w:tcBorders>
              <w:top w:val="single" w:sz="4" w:space="0" w:color="auto"/>
              <w:bottom w:val="single" w:sz="12" w:space="0" w:color="auto"/>
            </w:tcBorders>
            <w:shd w:val="clear" w:color="auto" w:fill="auto"/>
            <w:vAlign w:val="bottom"/>
          </w:tcPr>
          <w:p w14:paraId="4FA3AB21" w14:textId="77777777" w:rsidR="00263BCB" w:rsidRPr="00AF6BE7" w:rsidRDefault="00263BCB" w:rsidP="00AF6BE7">
            <w:pPr>
              <w:pStyle w:val="SingleTxtG"/>
              <w:spacing w:before="80" w:after="80" w:line="200" w:lineRule="exact"/>
              <w:ind w:left="0" w:right="113"/>
              <w:jc w:val="left"/>
              <w:rPr>
                <w:i/>
                <w:sz w:val="16"/>
              </w:rPr>
            </w:pPr>
            <w:r w:rsidRPr="00AF6BE7">
              <w:rPr>
                <w:i/>
                <w:sz w:val="16"/>
              </w:rPr>
              <w:t>Year</w:t>
            </w:r>
          </w:p>
        </w:tc>
        <w:tc>
          <w:tcPr>
            <w:tcW w:w="1324" w:type="dxa"/>
            <w:tcBorders>
              <w:top w:val="single" w:sz="4" w:space="0" w:color="auto"/>
              <w:bottom w:val="single" w:sz="12" w:space="0" w:color="auto"/>
            </w:tcBorders>
            <w:shd w:val="clear" w:color="auto" w:fill="auto"/>
            <w:vAlign w:val="bottom"/>
          </w:tcPr>
          <w:p w14:paraId="54E8FD7C" w14:textId="77777777" w:rsidR="00263BCB" w:rsidRPr="00AF6BE7" w:rsidRDefault="00263BCB" w:rsidP="00AF6BE7">
            <w:pPr>
              <w:pStyle w:val="SingleTxtG"/>
              <w:spacing w:before="80" w:after="80" w:line="200" w:lineRule="exact"/>
              <w:ind w:left="0" w:right="113"/>
              <w:jc w:val="right"/>
              <w:rPr>
                <w:i/>
                <w:sz w:val="16"/>
              </w:rPr>
            </w:pPr>
            <w:r w:rsidRPr="00AF6BE7">
              <w:rPr>
                <w:i/>
                <w:sz w:val="16"/>
              </w:rPr>
              <w:t>Number of identified victims</w:t>
            </w:r>
          </w:p>
        </w:tc>
        <w:tc>
          <w:tcPr>
            <w:tcW w:w="850" w:type="dxa"/>
            <w:tcBorders>
              <w:top w:val="single" w:sz="4" w:space="0" w:color="auto"/>
              <w:bottom w:val="single" w:sz="12" w:space="0" w:color="auto"/>
            </w:tcBorders>
            <w:shd w:val="clear" w:color="auto" w:fill="auto"/>
            <w:vAlign w:val="bottom"/>
          </w:tcPr>
          <w:p w14:paraId="0951587D" w14:textId="77777777" w:rsidR="00263BCB" w:rsidRPr="00AF6BE7" w:rsidRDefault="00263BCB" w:rsidP="00AF6BE7">
            <w:pPr>
              <w:pStyle w:val="SingleTxtG"/>
              <w:spacing w:before="80" w:after="80" w:line="200" w:lineRule="exact"/>
              <w:ind w:left="0" w:right="113"/>
              <w:jc w:val="right"/>
              <w:rPr>
                <w:i/>
                <w:sz w:val="16"/>
              </w:rPr>
            </w:pPr>
            <w:r w:rsidRPr="00AF6BE7">
              <w:rPr>
                <w:i/>
                <w:sz w:val="16"/>
              </w:rPr>
              <w:t>Sex</w:t>
            </w:r>
          </w:p>
        </w:tc>
        <w:tc>
          <w:tcPr>
            <w:tcW w:w="851" w:type="dxa"/>
            <w:tcBorders>
              <w:top w:val="single" w:sz="4" w:space="0" w:color="auto"/>
              <w:bottom w:val="single" w:sz="12" w:space="0" w:color="auto"/>
            </w:tcBorders>
            <w:shd w:val="clear" w:color="auto" w:fill="auto"/>
            <w:vAlign w:val="bottom"/>
          </w:tcPr>
          <w:p w14:paraId="10BC701B" w14:textId="77777777" w:rsidR="00263BCB" w:rsidRPr="00AF6BE7" w:rsidRDefault="00263BCB" w:rsidP="00AF6BE7">
            <w:pPr>
              <w:pStyle w:val="SingleTxtG"/>
              <w:spacing w:before="80" w:after="80" w:line="200" w:lineRule="exact"/>
              <w:ind w:left="0" w:right="113"/>
              <w:jc w:val="right"/>
              <w:rPr>
                <w:i/>
                <w:sz w:val="16"/>
              </w:rPr>
            </w:pPr>
            <w:r w:rsidRPr="00AF6BE7">
              <w:rPr>
                <w:i/>
                <w:sz w:val="16"/>
              </w:rPr>
              <w:t>Age</w:t>
            </w:r>
          </w:p>
        </w:tc>
        <w:tc>
          <w:tcPr>
            <w:tcW w:w="1417" w:type="dxa"/>
            <w:tcBorders>
              <w:top w:val="single" w:sz="4" w:space="0" w:color="auto"/>
              <w:bottom w:val="single" w:sz="12" w:space="0" w:color="auto"/>
            </w:tcBorders>
            <w:shd w:val="clear" w:color="auto" w:fill="auto"/>
            <w:vAlign w:val="bottom"/>
          </w:tcPr>
          <w:p w14:paraId="2825743B" w14:textId="77777777" w:rsidR="00263BCB" w:rsidRPr="00AF6BE7" w:rsidRDefault="00263BCB" w:rsidP="00AF6BE7">
            <w:pPr>
              <w:pStyle w:val="SingleTxtG"/>
              <w:spacing w:before="80" w:after="80" w:line="200" w:lineRule="exact"/>
              <w:ind w:left="0" w:right="113"/>
              <w:jc w:val="right"/>
              <w:rPr>
                <w:i/>
                <w:sz w:val="16"/>
              </w:rPr>
            </w:pPr>
            <w:r w:rsidRPr="00AF6BE7">
              <w:rPr>
                <w:i/>
                <w:sz w:val="16"/>
              </w:rPr>
              <w:t>Nationality</w:t>
            </w:r>
          </w:p>
        </w:tc>
        <w:tc>
          <w:tcPr>
            <w:tcW w:w="1701" w:type="dxa"/>
            <w:tcBorders>
              <w:top w:val="single" w:sz="4" w:space="0" w:color="auto"/>
              <w:bottom w:val="single" w:sz="12" w:space="0" w:color="auto"/>
            </w:tcBorders>
            <w:shd w:val="clear" w:color="auto" w:fill="auto"/>
            <w:vAlign w:val="bottom"/>
          </w:tcPr>
          <w:p w14:paraId="3FE8CCA8" w14:textId="77777777" w:rsidR="00263BCB" w:rsidRPr="00AF6BE7" w:rsidRDefault="00263BCB" w:rsidP="00AF6BE7">
            <w:pPr>
              <w:pStyle w:val="SingleTxtG"/>
              <w:spacing w:before="80" w:after="80" w:line="200" w:lineRule="exact"/>
              <w:ind w:left="0" w:right="113"/>
              <w:jc w:val="right"/>
              <w:rPr>
                <w:i/>
                <w:sz w:val="16"/>
              </w:rPr>
            </w:pPr>
            <w:r w:rsidRPr="00AF6BE7">
              <w:rPr>
                <w:i/>
                <w:sz w:val="16"/>
              </w:rPr>
              <w:t>Type of Exploitation</w:t>
            </w:r>
          </w:p>
        </w:tc>
        <w:tc>
          <w:tcPr>
            <w:tcW w:w="1559" w:type="dxa"/>
            <w:tcBorders>
              <w:top w:val="single" w:sz="4" w:space="0" w:color="auto"/>
              <w:bottom w:val="single" w:sz="12" w:space="0" w:color="auto"/>
            </w:tcBorders>
            <w:shd w:val="clear" w:color="auto" w:fill="auto"/>
            <w:vAlign w:val="bottom"/>
          </w:tcPr>
          <w:p w14:paraId="5CB11D68" w14:textId="6F1B0F10" w:rsidR="00263BCB" w:rsidRPr="00AF6BE7" w:rsidRDefault="00263BCB" w:rsidP="001D0FFC">
            <w:pPr>
              <w:pStyle w:val="SingleTxtG"/>
              <w:spacing w:before="80" w:after="80" w:line="200" w:lineRule="exact"/>
              <w:ind w:left="0" w:right="113"/>
              <w:jc w:val="right"/>
              <w:rPr>
                <w:i/>
                <w:sz w:val="16"/>
              </w:rPr>
            </w:pPr>
            <w:r w:rsidRPr="00AF6BE7">
              <w:rPr>
                <w:i/>
                <w:sz w:val="16"/>
              </w:rPr>
              <w:t>Interna</w:t>
            </w:r>
            <w:r w:rsidR="00147646">
              <w:rPr>
                <w:i/>
                <w:sz w:val="16"/>
              </w:rPr>
              <w:t>l</w:t>
            </w:r>
            <w:r w:rsidRPr="00AF6BE7">
              <w:rPr>
                <w:i/>
                <w:sz w:val="16"/>
              </w:rPr>
              <w:t>/external trade</w:t>
            </w:r>
          </w:p>
        </w:tc>
        <w:tc>
          <w:tcPr>
            <w:tcW w:w="1134" w:type="dxa"/>
            <w:tcBorders>
              <w:top w:val="single" w:sz="4" w:space="0" w:color="auto"/>
              <w:bottom w:val="single" w:sz="12" w:space="0" w:color="auto"/>
            </w:tcBorders>
            <w:shd w:val="clear" w:color="auto" w:fill="auto"/>
            <w:vAlign w:val="bottom"/>
          </w:tcPr>
          <w:p w14:paraId="11C20EA7" w14:textId="77777777" w:rsidR="00263BCB" w:rsidRPr="00AF6BE7" w:rsidRDefault="00263BCB" w:rsidP="00AF6BE7">
            <w:pPr>
              <w:pStyle w:val="SingleTxtG"/>
              <w:spacing w:before="80" w:after="80" w:line="200" w:lineRule="exact"/>
              <w:ind w:left="0" w:right="113"/>
              <w:jc w:val="right"/>
              <w:rPr>
                <w:i/>
                <w:sz w:val="16"/>
              </w:rPr>
            </w:pPr>
            <w:r w:rsidRPr="00AF6BE7">
              <w:rPr>
                <w:i/>
                <w:sz w:val="16"/>
              </w:rPr>
              <w:t>Who identified them</w:t>
            </w:r>
          </w:p>
        </w:tc>
      </w:tr>
      <w:tr w:rsidR="00147646" w:rsidRPr="00AF6BE7" w14:paraId="384F6779" w14:textId="77777777" w:rsidTr="00147646">
        <w:tc>
          <w:tcPr>
            <w:tcW w:w="803" w:type="dxa"/>
            <w:tcBorders>
              <w:top w:val="single" w:sz="12" w:space="0" w:color="auto"/>
            </w:tcBorders>
            <w:shd w:val="clear" w:color="auto" w:fill="auto"/>
          </w:tcPr>
          <w:p w14:paraId="3A2CC092" w14:textId="77777777" w:rsidR="00263BCB" w:rsidRPr="00AF6BE7" w:rsidRDefault="00263BCB" w:rsidP="00AF6BE7">
            <w:pPr>
              <w:pStyle w:val="SingleTxtG"/>
              <w:spacing w:before="40" w:after="40" w:line="220" w:lineRule="exact"/>
              <w:ind w:left="0" w:right="113"/>
              <w:jc w:val="left"/>
              <w:rPr>
                <w:sz w:val="18"/>
              </w:rPr>
            </w:pPr>
            <w:r w:rsidRPr="00AF6BE7">
              <w:rPr>
                <w:sz w:val="18"/>
              </w:rPr>
              <w:t>2010</w:t>
            </w:r>
          </w:p>
        </w:tc>
        <w:tc>
          <w:tcPr>
            <w:tcW w:w="1324" w:type="dxa"/>
            <w:tcBorders>
              <w:top w:val="single" w:sz="12" w:space="0" w:color="auto"/>
            </w:tcBorders>
            <w:shd w:val="clear" w:color="auto" w:fill="auto"/>
            <w:vAlign w:val="bottom"/>
          </w:tcPr>
          <w:p w14:paraId="61E46A51" w14:textId="77777777" w:rsidR="00263BCB" w:rsidRPr="00AF6BE7" w:rsidRDefault="00263BCB" w:rsidP="00AF6BE7">
            <w:pPr>
              <w:pStyle w:val="SingleTxtG"/>
              <w:spacing w:before="40" w:after="40" w:line="220" w:lineRule="exact"/>
              <w:ind w:left="0" w:right="113"/>
              <w:jc w:val="right"/>
              <w:rPr>
                <w:sz w:val="18"/>
              </w:rPr>
            </w:pPr>
            <w:r w:rsidRPr="00AF6BE7">
              <w:rPr>
                <w:sz w:val="18"/>
              </w:rPr>
              <w:t>9</w:t>
            </w:r>
          </w:p>
        </w:tc>
        <w:tc>
          <w:tcPr>
            <w:tcW w:w="850" w:type="dxa"/>
            <w:tcBorders>
              <w:top w:val="single" w:sz="12" w:space="0" w:color="auto"/>
            </w:tcBorders>
            <w:shd w:val="clear" w:color="auto" w:fill="auto"/>
            <w:vAlign w:val="bottom"/>
          </w:tcPr>
          <w:p w14:paraId="12CF97FF" w14:textId="77777777" w:rsidR="00263BCB" w:rsidRPr="00AF6BE7" w:rsidRDefault="00263BCB" w:rsidP="00AF6BE7">
            <w:pPr>
              <w:pStyle w:val="SingleTxtG"/>
              <w:spacing w:before="40" w:after="40" w:line="220" w:lineRule="exact"/>
              <w:ind w:left="0" w:right="113"/>
              <w:jc w:val="right"/>
              <w:rPr>
                <w:sz w:val="18"/>
              </w:rPr>
            </w:pPr>
            <w:r w:rsidRPr="00AF6BE7">
              <w:rPr>
                <w:sz w:val="18"/>
              </w:rPr>
              <w:t>F</w:t>
            </w:r>
          </w:p>
        </w:tc>
        <w:tc>
          <w:tcPr>
            <w:tcW w:w="851" w:type="dxa"/>
            <w:tcBorders>
              <w:top w:val="single" w:sz="12" w:space="0" w:color="auto"/>
            </w:tcBorders>
            <w:shd w:val="clear" w:color="auto" w:fill="auto"/>
            <w:vAlign w:val="bottom"/>
          </w:tcPr>
          <w:p w14:paraId="4106BAB3"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1417" w:type="dxa"/>
            <w:tcBorders>
              <w:top w:val="single" w:sz="12" w:space="0" w:color="auto"/>
            </w:tcBorders>
            <w:shd w:val="clear" w:color="auto" w:fill="auto"/>
            <w:vAlign w:val="bottom"/>
          </w:tcPr>
          <w:p w14:paraId="3A352D2F"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1701" w:type="dxa"/>
            <w:tcBorders>
              <w:top w:val="single" w:sz="12" w:space="0" w:color="auto"/>
            </w:tcBorders>
            <w:shd w:val="clear" w:color="auto" w:fill="auto"/>
            <w:vAlign w:val="bottom"/>
          </w:tcPr>
          <w:p w14:paraId="25133AD8" w14:textId="77777777" w:rsidR="00263BCB" w:rsidRPr="00AF6BE7" w:rsidRDefault="00263BCB" w:rsidP="00AF6BE7">
            <w:pPr>
              <w:pStyle w:val="SingleTxtG"/>
              <w:spacing w:before="40" w:after="40" w:line="220" w:lineRule="exact"/>
              <w:ind w:left="0" w:right="113"/>
              <w:jc w:val="right"/>
              <w:rPr>
                <w:sz w:val="18"/>
              </w:rPr>
            </w:pPr>
            <w:r w:rsidRPr="00AF6BE7">
              <w:rPr>
                <w:sz w:val="18"/>
              </w:rPr>
              <w:t>7 Sexual</w:t>
            </w:r>
          </w:p>
          <w:p w14:paraId="6DC530FB" w14:textId="77777777" w:rsidR="00263BCB" w:rsidRPr="00AF6BE7" w:rsidRDefault="00263BCB" w:rsidP="00AF6BE7">
            <w:pPr>
              <w:pStyle w:val="SingleTxtG"/>
              <w:spacing w:before="40" w:after="40" w:line="220" w:lineRule="exact"/>
              <w:ind w:left="0" w:right="113"/>
              <w:jc w:val="right"/>
              <w:rPr>
                <w:sz w:val="18"/>
              </w:rPr>
            </w:pPr>
            <w:r w:rsidRPr="00AF6BE7">
              <w:rPr>
                <w:sz w:val="18"/>
              </w:rPr>
              <w:t>2 Labour</w:t>
            </w:r>
          </w:p>
        </w:tc>
        <w:tc>
          <w:tcPr>
            <w:tcW w:w="1559" w:type="dxa"/>
            <w:tcBorders>
              <w:top w:val="single" w:sz="12" w:space="0" w:color="auto"/>
            </w:tcBorders>
            <w:shd w:val="clear" w:color="auto" w:fill="auto"/>
            <w:vAlign w:val="bottom"/>
          </w:tcPr>
          <w:p w14:paraId="40F4F615"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1134" w:type="dxa"/>
            <w:tcBorders>
              <w:top w:val="single" w:sz="12" w:space="0" w:color="auto"/>
            </w:tcBorders>
            <w:shd w:val="clear" w:color="auto" w:fill="auto"/>
            <w:vAlign w:val="bottom"/>
          </w:tcPr>
          <w:p w14:paraId="109168DC" w14:textId="77777777" w:rsidR="00263BCB" w:rsidRPr="00AF6BE7" w:rsidRDefault="00263BCB" w:rsidP="00AF6BE7">
            <w:pPr>
              <w:pStyle w:val="SingleTxtG"/>
              <w:spacing w:before="40" w:after="40" w:line="220" w:lineRule="exact"/>
              <w:ind w:left="0" w:right="113"/>
              <w:jc w:val="right"/>
              <w:rPr>
                <w:sz w:val="18"/>
              </w:rPr>
            </w:pPr>
            <w:r w:rsidRPr="00AF6BE7">
              <w:rPr>
                <w:sz w:val="18"/>
              </w:rPr>
              <w:t>MOI</w:t>
            </w:r>
          </w:p>
          <w:p w14:paraId="3570829C" w14:textId="77777777" w:rsidR="00263BCB" w:rsidRPr="00AF6BE7" w:rsidRDefault="00263BCB" w:rsidP="00AF6BE7">
            <w:pPr>
              <w:pStyle w:val="SingleTxtG"/>
              <w:spacing w:before="40" w:after="40" w:line="220" w:lineRule="exact"/>
              <w:ind w:left="0" w:right="113"/>
              <w:jc w:val="right"/>
              <w:rPr>
                <w:sz w:val="18"/>
              </w:rPr>
            </w:pPr>
            <w:r w:rsidRPr="00AF6BE7">
              <w:rPr>
                <w:sz w:val="18"/>
              </w:rPr>
              <w:t>MLSP</w:t>
            </w:r>
          </w:p>
        </w:tc>
      </w:tr>
      <w:tr w:rsidR="00147646" w:rsidRPr="00AF6BE7" w14:paraId="7C5063BE" w14:textId="77777777" w:rsidTr="00147646">
        <w:tc>
          <w:tcPr>
            <w:tcW w:w="803" w:type="dxa"/>
            <w:shd w:val="clear" w:color="auto" w:fill="auto"/>
          </w:tcPr>
          <w:p w14:paraId="59416DC3" w14:textId="77777777" w:rsidR="00263BCB" w:rsidRPr="00AF6BE7" w:rsidRDefault="00263BCB" w:rsidP="00AF6BE7">
            <w:pPr>
              <w:pStyle w:val="SingleTxtG"/>
              <w:spacing w:before="40" w:after="40" w:line="220" w:lineRule="exact"/>
              <w:ind w:left="0" w:right="113"/>
              <w:jc w:val="left"/>
              <w:rPr>
                <w:sz w:val="18"/>
              </w:rPr>
            </w:pPr>
            <w:r w:rsidRPr="00AF6BE7">
              <w:rPr>
                <w:sz w:val="18"/>
              </w:rPr>
              <w:t>2011</w:t>
            </w:r>
          </w:p>
        </w:tc>
        <w:tc>
          <w:tcPr>
            <w:tcW w:w="1324" w:type="dxa"/>
            <w:shd w:val="clear" w:color="auto" w:fill="auto"/>
            <w:vAlign w:val="bottom"/>
          </w:tcPr>
          <w:p w14:paraId="3E1CC5C1" w14:textId="712F6885" w:rsidR="00263BCB" w:rsidRPr="00AF6BE7" w:rsidRDefault="00147646" w:rsidP="00AF6BE7">
            <w:pPr>
              <w:pStyle w:val="SingleTxtG"/>
              <w:spacing w:before="40" w:after="40" w:line="220" w:lineRule="exact"/>
              <w:ind w:left="0" w:right="113"/>
              <w:jc w:val="right"/>
              <w:rPr>
                <w:sz w:val="18"/>
              </w:rPr>
            </w:pPr>
            <w:r>
              <w:rPr>
                <w:sz w:val="18"/>
              </w:rPr>
              <w:t>11</w:t>
            </w:r>
          </w:p>
        </w:tc>
        <w:tc>
          <w:tcPr>
            <w:tcW w:w="850" w:type="dxa"/>
            <w:shd w:val="clear" w:color="auto" w:fill="auto"/>
            <w:vAlign w:val="bottom"/>
          </w:tcPr>
          <w:p w14:paraId="70DB56E0" w14:textId="77777777" w:rsidR="00263BCB" w:rsidRPr="00AF6BE7" w:rsidRDefault="00263BCB" w:rsidP="00AF6BE7">
            <w:pPr>
              <w:pStyle w:val="SingleTxtG"/>
              <w:spacing w:before="40" w:after="40" w:line="220" w:lineRule="exact"/>
              <w:ind w:left="0" w:right="113"/>
              <w:jc w:val="right"/>
              <w:rPr>
                <w:sz w:val="18"/>
              </w:rPr>
            </w:pPr>
            <w:r w:rsidRPr="00AF6BE7">
              <w:rPr>
                <w:sz w:val="18"/>
              </w:rPr>
              <w:t>F</w:t>
            </w:r>
          </w:p>
        </w:tc>
        <w:tc>
          <w:tcPr>
            <w:tcW w:w="851" w:type="dxa"/>
            <w:shd w:val="clear" w:color="auto" w:fill="auto"/>
            <w:vAlign w:val="bottom"/>
          </w:tcPr>
          <w:p w14:paraId="29A0C072"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1417" w:type="dxa"/>
            <w:shd w:val="clear" w:color="auto" w:fill="auto"/>
            <w:vAlign w:val="bottom"/>
          </w:tcPr>
          <w:p w14:paraId="17038CA4" w14:textId="77777777" w:rsidR="00263BCB" w:rsidRPr="00AF6BE7" w:rsidRDefault="00263BCB" w:rsidP="00AF6BE7">
            <w:pPr>
              <w:pStyle w:val="SingleTxtG"/>
              <w:spacing w:before="40" w:after="40" w:line="220" w:lineRule="exact"/>
              <w:ind w:left="0" w:right="113"/>
              <w:jc w:val="right"/>
              <w:rPr>
                <w:sz w:val="18"/>
              </w:rPr>
            </w:pPr>
            <w:r w:rsidRPr="00AF6BE7">
              <w:rPr>
                <w:sz w:val="18"/>
              </w:rPr>
              <w:t>2 Macedonian</w:t>
            </w:r>
          </w:p>
          <w:p w14:paraId="7E371E08" w14:textId="77777777" w:rsidR="00263BCB" w:rsidRPr="00AF6BE7" w:rsidRDefault="00263BCB" w:rsidP="00AF6BE7">
            <w:pPr>
              <w:pStyle w:val="SingleTxtG"/>
              <w:spacing w:before="40" w:after="40" w:line="220" w:lineRule="exact"/>
              <w:ind w:left="0" w:right="113"/>
              <w:jc w:val="right"/>
              <w:rPr>
                <w:sz w:val="18"/>
              </w:rPr>
            </w:pPr>
            <w:r w:rsidRPr="00AF6BE7">
              <w:rPr>
                <w:sz w:val="18"/>
              </w:rPr>
              <w:t>1 Bulgarian</w:t>
            </w:r>
          </w:p>
          <w:p w14:paraId="23880A6D" w14:textId="77777777" w:rsidR="00263BCB" w:rsidRPr="00AF6BE7" w:rsidRDefault="00263BCB" w:rsidP="00AF6BE7">
            <w:pPr>
              <w:pStyle w:val="SingleTxtG"/>
              <w:spacing w:before="40" w:after="40" w:line="220" w:lineRule="exact"/>
              <w:ind w:left="0" w:right="113"/>
              <w:jc w:val="right"/>
              <w:rPr>
                <w:sz w:val="18"/>
              </w:rPr>
            </w:pPr>
            <w:r w:rsidRPr="00AF6BE7">
              <w:rPr>
                <w:sz w:val="18"/>
              </w:rPr>
              <w:t>2 Albanian</w:t>
            </w:r>
          </w:p>
          <w:p w14:paraId="3504B244" w14:textId="77777777" w:rsidR="00263BCB" w:rsidRPr="00AF6BE7" w:rsidRDefault="00263BCB" w:rsidP="00AF6BE7">
            <w:pPr>
              <w:pStyle w:val="SingleTxtG"/>
              <w:spacing w:before="40" w:after="40" w:line="220" w:lineRule="exact"/>
              <w:ind w:left="0" w:right="113"/>
              <w:jc w:val="right"/>
              <w:rPr>
                <w:sz w:val="18"/>
              </w:rPr>
            </w:pPr>
            <w:r w:rsidRPr="00AF6BE7">
              <w:rPr>
                <w:sz w:val="18"/>
              </w:rPr>
              <w:t>6 Roma</w:t>
            </w:r>
          </w:p>
        </w:tc>
        <w:tc>
          <w:tcPr>
            <w:tcW w:w="1701" w:type="dxa"/>
            <w:shd w:val="clear" w:color="auto" w:fill="auto"/>
            <w:vAlign w:val="bottom"/>
          </w:tcPr>
          <w:p w14:paraId="1037BD2A" w14:textId="77777777" w:rsidR="00263BCB" w:rsidRPr="00AF6BE7" w:rsidRDefault="00263BCB" w:rsidP="00AF6BE7">
            <w:pPr>
              <w:pStyle w:val="SingleTxtG"/>
              <w:spacing w:before="40" w:after="40" w:line="220" w:lineRule="exact"/>
              <w:ind w:left="0" w:right="113"/>
              <w:jc w:val="right"/>
              <w:rPr>
                <w:sz w:val="18"/>
              </w:rPr>
            </w:pPr>
            <w:r w:rsidRPr="00AF6BE7">
              <w:rPr>
                <w:sz w:val="18"/>
              </w:rPr>
              <w:t>7 Sexual</w:t>
            </w:r>
          </w:p>
          <w:p w14:paraId="45609B4C" w14:textId="77777777" w:rsidR="00263BCB" w:rsidRPr="00AF6BE7" w:rsidRDefault="00263BCB" w:rsidP="00AF6BE7">
            <w:pPr>
              <w:pStyle w:val="SingleTxtG"/>
              <w:spacing w:before="40" w:after="40" w:line="220" w:lineRule="exact"/>
              <w:ind w:left="0" w:right="113"/>
              <w:jc w:val="right"/>
              <w:rPr>
                <w:sz w:val="18"/>
              </w:rPr>
            </w:pPr>
            <w:r w:rsidRPr="00AF6BE7">
              <w:rPr>
                <w:sz w:val="18"/>
              </w:rPr>
              <w:t>2 Labour</w:t>
            </w:r>
          </w:p>
          <w:p w14:paraId="26327E70" w14:textId="77777777" w:rsidR="00263BCB" w:rsidRPr="00AF6BE7" w:rsidRDefault="00263BCB" w:rsidP="00AF6BE7">
            <w:pPr>
              <w:pStyle w:val="SingleTxtG"/>
              <w:spacing w:before="40" w:after="40" w:line="220" w:lineRule="exact"/>
              <w:ind w:left="0" w:right="113"/>
              <w:jc w:val="right"/>
              <w:rPr>
                <w:sz w:val="18"/>
              </w:rPr>
            </w:pPr>
            <w:r w:rsidRPr="00AF6BE7">
              <w:rPr>
                <w:sz w:val="18"/>
              </w:rPr>
              <w:t>2 Labour and sexual</w:t>
            </w:r>
          </w:p>
        </w:tc>
        <w:tc>
          <w:tcPr>
            <w:tcW w:w="1559" w:type="dxa"/>
            <w:shd w:val="clear" w:color="auto" w:fill="auto"/>
            <w:vAlign w:val="bottom"/>
          </w:tcPr>
          <w:p w14:paraId="7A2961A1" w14:textId="77777777" w:rsidR="00263BCB" w:rsidRPr="00AF6BE7" w:rsidRDefault="00263BCB" w:rsidP="00AF6BE7">
            <w:pPr>
              <w:pStyle w:val="SingleTxtG"/>
              <w:spacing w:before="40" w:after="40" w:line="220" w:lineRule="exact"/>
              <w:ind w:left="0" w:right="113"/>
              <w:jc w:val="right"/>
              <w:rPr>
                <w:sz w:val="18"/>
              </w:rPr>
            </w:pPr>
            <w:r w:rsidRPr="00AF6BE7">
              <w:rPr>
                <w:sz w:val="18"/>
              </w:rPr>
              <w:t>9 Internally traded</w:t>
            </w:r>
          </w:p>
          <w:p w14:paraId="2093609D" w14:textId="77777777" w:rsidR="00263BCB" w:rsidRPr="00AF6BE7" w:rsidRDefault="00263BCB" w:rsidP="00AF6BE7">
            <w:pPr>
              <w:pStyle w:val="SingleTxtG"/>
              <w:spacing w:before="40" w:after="40" w:line="220" w:lineRule="exact"/>
              <w:ind w:left="0" w:right="113"/>
              <w:jc w:val="right"/>
              <w:rPr>
                <w:sz w:val="18"/>
              </w:rPr>
            </w:pPr>
            <w:r w:rsidRPr="00AF6BE7">
              <w:rPr>
                <w:sz w:val="18"/>
              </w:rPr>
              <w:t>2 Foreign nationals in the state</w:t>
            </w:r>
          </w:p>
        </w:tc>
        <w:tc>
          <w:tcPr>
            <w:tcW w:w="1134" w:type="dxa"/>
            <w:shd w:val="clear" w:color="auto" w:fill="auto"/>
            <w:vAlign w:val="bottom"/>
          </w:tcPr>
          <w:p w14:paraId="50EE3C14" w14:textId="77777777" w:rsidR="00263BCB" w:rsidRPr="00AF6BE7" w:rsidRDefault="00263BCB" w:rsidP="00AF6BE7">
            <w:pPr>
              <w:pStyle w:val="SingleTxtG"/>
              <w:spacing w:before="40" w:after="40" w:line="220" w:lineRule="exact"/>
              <w:ind w:left="0" w:right="113"/>
              <w:jc w:val="right"/>
              <w:rPr>
                <w:sz w:val="18"/>
              </w:rPr>
            </w:pPr>
            <w:r w:rsidRPr="00AF6BE7">
              <w:rPr>
                <w:sz w:val="18"/>
              </w:rPr>
              <w:t>MOI</w:t>
            </w:r>
          </w:p>
          <w:p w14:paraId="5E83AB52" w14:textId="77777777" w:rsidR="00263BCB" w:rsidRPr="00AF6BE7" w:rsidRDefault="00263BCB" w:rsidP="00AF6BE7">
            <w:pPr>
              <w:pStyle w:val="SingleTxtG"/>
              <w:spacing w:before="40" w:after="40" w:line="220" w:lineRule="exact"/>
              <w:ind w:left="0" w:right="113"/>
              <w:jc w:val="right"/>
              <w:rPr>
                <w:sz w:val="18"/>
              </w:rPr>
            </w:pPr>
            <w:r w:rsidRPr="00AF6BE7">
              <w:rPr>
                <w:sz w:val="18"/>
              </w:rPr>
              <w:t>MLSP</w:t>
            </w:r>
          </w:p>
        </w:tc>
      </w:tr>
      <w:tr w:rsidR="00147646" w:rsidRPr="00AF6BE7" w14:paraId="4E535C15" w14:textId="77777777" w:rsidTr="00147646">
        <w:tc>
          <w:tcPr>
            <w:tcW w:w="803" w:type="dxa"/>
            <w:shd w:val="clear" w:color="auto" w:fill="auto"/>
          </w:tcPr>
          <w:p w14:paraId="330F7300" w14:textId="77777777" w:rsidR="00263BCB" w:rsidRPr="00AF6BE7" w:rsidRDefault="00263BCB" w:rsidP="00AF6BE7">
            <w:pPr>
              <w:pStyle w:val="SingleTxtG"/>
              <w:spacing w:before="40" w:after="40" w:line="220" w:lineRule="exact"/>
              <w:ind w:left="0" w:right="113"/>
              <w:jc w:val="left"/>
              <w:rPr>
                <w:sz w:val="18"/>
              </w:rPr>
            </w:pPr>
            <w:r w:rsidRPr="00AF6BE7">
              <w:rPr>
                <w:sz w:val="18"/>
              </w:rPr>
              <w:t>2012</w:t>
            </w:r>
          </w:p>
        </w:tc>
        <w:tc>
          <w:tcPr>
            <w:tcW w:w="1324" w:type="dxa"/>
            <w:shd w:val="clear" w:color="auto" w:fill="auto"/>
            <w:vAlign w:val="bottom"/>
          </w:tcPr>
          <w:p w14:paraId="72BB8DF4" w14:textId="77777777" w:rsidR="00263BCB" w:rsidRPr="00AF6BE7" w:rsidRDefault="00263BCB" w:rsidP="00AF6BE7">
            <w:pPr>
              <w:pStyle w:val="SingleTxtG"/>
              <w:spacing w:before="40" w:after="40" w:line="220" w:lineRule="exact"/>
              <w:ind w:left="0" w:right="113"/>
              <w:jc w:val="right"/>
              <w:rPr>
                <w:sz w:val="18"/>
              </w:rPr>
            </w:pPr>
            <w:r w:rsidRPr="00AF6BE7">
              <w:rPr>
                <w:sz w:val="18"/>
              </w:rPr>
              <w:t>8</w:t>
            </w:r>
          </w:p>
        </w:tc>
        <w:tc>
          <w:tcPr>
            <w:tcW w:w="850" w:type="dxa"/>
            <w:shd w:val="clear" w:color="auto" w:fill="auto"/>
            <w:vAlign w:val="bottom"/>
          </w:tcPr>
          <w:p w14:paraId="2041CA5F" w14:textId="77777777" w:rsidR="00263BCB" w:rsidRPr="00AF6BE7" w:rsidRDefault="00263BCB" w:rsidP="00AF6BE7">
            <w:pPr>
              <w:pStyle w:val="SingleTxtG"/>
              <w:spacing w:before="40" w:after="40" w:line="220" w:lineRule="exact"/>
              <w:ind w:left="0" w:right="113"/>
              <w:jc w:val="right"/>
              <w:rPr>
                <w:sz w:val="18"/>
              </w:rPr>
            </w:pPr>
            <w:r w:rsidRPr="00AF6BE7">
              <w:rPr>
                <w:sz w:val="18"/>
              </w:rPr>
              <w:t>6 F</w:t>
            </w:r>
          </w:p>
          <w:p w14:paraId="16FD5463" w14:textId="77777777" w:rsidR="00263BCB" w:rsidRPr="00AF6BE7" w:rsidRDefault="00263BCB" w:rsidP="00AF6BE7">
            <w:pPr>
              <w:pStyle w:val="SingleTxtG"/>
              <w:spacing w:before="40" w:after="40" w:line="220" w:lineRule="exact"/>
              <w:ind w:left="0" w:right="113"/>
              <w:jc w:val="right"/>
              <w:rPr>
                <w:sz w:val="18"/>
              </w:rPr>
            </w:pPr>
            <w:r w:rsidRPr="00AF6BE7">
              <w:rPr>
                <w:sz w:val="18"/>
              </w:rPr>
              <w:t>2 M</w:t>
            </w:r>
          </w:p>
        </w:tc>
        <w:tc>
          <w:tcPr>
            <w:tcW w:w="851" w:type="dxa"/>
            <w:shd w:val="clear" w:color="auto" w:fill="auto"/>
            <w:vAlign w:val="bottom"/>
          </w:tcPr>
          <w:p w14:paraId="0F9B2472"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1417" w:type="dxa"/>
            <w:shd w:val="clear" w:color="auto" w:fill="auto"/>
            <w:vAlign w:val="bottom"/>
          </w:tcPr>
          <w:p w14:paraId="4DD1F205" w14:textId="77777777" w:rsidR="00263BCB" w:rsidRPr="00AF6BE7" w:rsidRDefault="00263BCB" w:rsidP="00AF6BE7">
            <w:pPr>
              <w:pStyle w:val="SingleTxtG"/>
              <w:spacing w:before="40" w:after="40" w:line="220" w:lineRule="exact"/>
              <w:ind w:left="0" w:right="113"/>
              <w:jc w:val="right"/>
              <w:rPr>
                <w:sz w:val="18"/>
              </w:rPr>
            </w:pPr>
            <w:r w:rsidRPr="00AF6BE7">
              <w:rPr>
                <w:sz w:val="18"/>
              </w:rPr>
              <w:t>4 Macedonian</w:t>
            </w:r>
          </w:p>
          <w:p w14:paraId="0A3E8409" w14:textId="77777777" w:rsidR="00263BCB" w:rsidRPr="00AF6BE7" w:rsidRDefault="00263BCB" w:rsidP="00AF6BE7">
            <w:pPr>
              <w:pStyle w:val="SingleTxtG"/>
              <w:spacing w:before="40" w:after="40" w:line="220" w:lineRule="exact"/>
              <w:ind w:left="0" w:right="113"/>
              <w:jc w:val="right"/>
              <w:rPr>
                <w:sz w:val="18"/>
              </w:rPr>
            </w:pPr>
            <w:r w:rsidRPr="00AF6BE7">
              <w:rPr>
                <w:sz w:val="18"/>
              </w:rPr>
              <w:t>3 Albanian</w:t>
            </w:r>
          </w:p>
          <w:p w14:paraId="1B5BF50F" w14:textId="77777777" w:rsidR="00263BCB" w:rsidRPr="00AF6BE7" w:rsidRDefault="00263BCB" w:rsidP="00AF6BE7">
            <w:pPr>
              <w:pStyle w:val="SingleTxtG"/>
              <w:spacing w:before="40" w:after="40" w:line="220" w:lineRule="exact"/>
              <w:ind w:left="0" w:right="113"/>
              <w:jc w:val="right"/>
              <w:rPr>
                <w:sz w:val="18"/>
              </w:rPr>
            </w:pPr>
            <w:r w:rsidRPr="00AF6BE7">
              <w:rPr>
                <w:sz w:val="18"/>
              </w:rPr>
              <w:t>1 Bosnian</w:t>
            </w:r>
          </w:p>
        </w:tc>
        <w:tc>
          <w:tcPr>
            <w:tcW w:w="1701" w:type="dxa"/>
            <w:shd w:val="clear" w:color="auto" w:fill="auto"/>
            <w:vAlign w:val="bottom"/>
          </w:tcPr>
          <w:p w14:paraId="31D5053C" w14:textId="77777777" w:rsidR="00263BCB" w:rsidRPr="00AF6BE7" w:rsidRDefault="00263BCB" w:rsidP="00AF6BE7">
            <w:pPr>
              <w:pStyle w:val="SingleTxtG"/>
              <w:spacing w:before="40" w:after="40" w:line="220" w:lineRule="exact"/>
              <w:ind w:left="0" w:right="113"/>
              <w:jc w:val="right"/>
              <w:rPr>
                <w:sz w:val="18"/>
              </w:rPr>
            </w:pPr>
            <w:r w:rsidRPr="00AF6BE7">
              <w:rPr>
                <w:sz w:val="18"/>
              </w:rPr>
              <w:t>1 Sexual</w:t>
            </w:r>
          </w:p>
          <w:p w14:paraId="54369EE5" w14:textId="77777777" w:rsidR="00263BCB" w:rsidRPr="00AF6BE7" w:rsidRDefault="00263BCB" w:rsidP="00AF6BE7">
            <w:pPr>
              <w:pStyle w:val="SingleTxtG"/>
              <w:spacing w:before="40" w:after="40" w:line="220" w:lineRule="exact"/>
              <w:ind w:left="0" w:right="113"/>
              <w:jc w:val="right"/>
              <w:rPr>
                <w:sz w:val="18"/>
              </w:rPr>
            </w:pPr>
            <w:r w:rsidRPr="00AF6BE7">
              <w:rPr>
                <w:sz w:val="18"/>
              </w:rPr>
              <w:t>3 Labour</w:t>
            </w:r>
          </w:p>
          <w:p w14:paraId="4E7A97B3" w14:textId="77777777" w:rsidR="00263BCB" w:rsidRPr="00AF6BE7" w:rsidRDefault="00263BCB" w:rsidP="00AF6BE7">
            <w:pPr>
              <w:pStyle w:val="SingleTxtG"/>
              <w:spacing w:before="40" w:after="40" w:line="220" w:lineRule="exact"/>
              <w:ind w:left="0" w:right="113"/>
              <w:jc w:val="right"/>
              <w:rPr>
                <w:sz w:val="18"/>
              </w:rPr>
            </w:pPr>
            <w:r w:rsidRPr="00AF6BE7">
              <w:rPr>
                <w:sz w:val="18"/>
              </w:rPr>
              <w:t>4 Labour and sexual</w:t>
            </w:r>
          </w:p>
        </w:tc>
        <w:tc>
          <w:tcPr>
            <w:tcW w:w="1559" w:type="dxa"/>
            <w:shd w:val="clear" w:color="auto" w:fill="auto"/>
            <w:vAlign w:val="bottom"/>
          </w:tcPr>
          <w:p w14:paraId="501A8611" w14:textId="77777777" w:rsidR="00263BCB" w:rsidRPr="00AF6BE7" w:rsidRDefault="00263BCB" w:rsidP="00AF6BE7">
            <w:pPr>
              <w:pStyle w:val="SingleTxtG"/>
              <w:spacing w:before="40" w:after="40" w:line="220" w:lineRule="exact"/>
              <w:ind w:left="0" w:right="113"/>
              <w:jc w:val="right"/>
              <w:rPr>
                <w:sz w:val="18"/>
              </w:rPr>
            </w:pPr>
            <w:r w:rsidRPr="00AF6BE7">
              <w:rPr>
                <w:sz w:val="18"/>
              </w:rPr>
              <w:t>4 Internally traded</w:t>
            </w:r>
          </w:p>
          <w:p w14:paraId="2496246D" w14:textId="77777777" w:rsidR="00263BCB" w:rsidRPr="00AF6BE7" w:rsidRDefault="00263BCB" w:rsidP="00AF6BE7">
            <w:pPr>
              <w:pStyle w:val="SingleTxtG"/>
              <w:spacing w:before="40" w:after="40" w:line="220" w:lineRule="exact"/>
              <w:ind w:left="0" w:right="113"/>
              <w:jc w:val="right"/>
              <w:rPr>
                <w:sz w:val="18"/>
              </w:rPr>
            </w:pPr>
            <w:r w:rsidRPr="00AF6BE7">
              <w:rPr>
                <w:sz w:val="18"/>
              </w:rPr>
              <w:t>4 Foreign nationals in the state</w:t>
            </w:r>
          </w:p>
        </w:tc>
        <w:tc>
          <w:tcPr>
            <w:tcW w:w="1134" w:type="dxa"/>
            <w:shd w:val="clear" w:color="auto" w:fill="auto"/>
            <w:vAlign w:val="bottom"/>
          </w:tcPr>
          <w:p w14:paraId="2F0032CE" w14:textId="77777777" w:rsidR="00263BCB" w:rsidRPr="00AF6BE7" w:rsidRDefault="00263BCB" w:rsidP="00AF6BE7">
            <w:pPr>
              <w:pStyle w:val="SingleTxtG"/>
              <w:spacing w:before="40" w:after="40" w:line="220" w:lineRule="exact"/>
              <w:ind w:left="0" w:right="113"/>
              <w:jc w:val="right"/>
              <w:rPr>
                <w:sz w:val="18"/>
              </w:rPr>
            </w:pPr>
            <w:r w:rsidRPr="00AF6BE7">
              <w:rPr>
                <w:sz w:val="18"/>
              </w:rPr>
              <w:t>MOI</w:t>
            </w:r>
          </w:p>
          <w:p w14:paraId="35A9CE12" w14:textId="77777777" w:rsidR="00263BCB" w:rsidRPr="00AF6BE7" w:rsidRDefault="00263BCB" w:rsidP="00AF6BE7">
            <w:pPr>
              <w:pStyle w:val="SingleTxtG"/>
              <w:spacing w:before="40" w:after="40" w:line="220" w:lineRule="exact"/>
              <w:ind w:left="0" w:right="113"/>
              <w:jc w:val="right"/>
              <w:rPr>
                <w:sz w:val="18"/>
              </w:rPr>
            </w:pPr>
            <w:r w:rsidRPr="00AF6BE7">
              <w:rPr>
                <w:sz w:val="18"/>
              </w:rPr>
              <w:t>MLSP</w:t>
            </w:r>
          </w:p>
        </w:tc>
      </w:tr>
      <w:tr w:rsidR="00147646" w:rsidRPr="00AF6BE7" w14:paraId="11F72679" w14:textId="77777777" w:rsidTr="00147646">
        <w:tc>
          <w:tcPr>
            <w:tcW w:w="803" w:type="dxa"/>
            <w:shd w:val="clear" w:color="auto" w:fill="auto"/>
          </w:tcPr>
          <w:p w14:paraId="6F007FC5" w14:textId="77777777" w:rsidR="00263BCB" w:rsidRPr="00AF6BE7" w:rsidRDefault="00263BCB" w:rsidP="00AF6BE7">
            <w:pPr>
              <w:pStyle w:val="SingleTxtG"/>
              <w:spacing w:before="40" w:after="40" w:line="220" w:lineRule="exact"/>
              <w:ind w:left="0" w:right="113"/>
              <w:jc w:val="left"/>
              <w:rPr>
                <w:sz w:val="18"/>
              </w:rPr>
            </w:pPr>
            <w:r w:rsidRPr="00AF6BE7">
              <w:rPr>
                <w:sz w:val="18"/>
              </w:rPr>
              <w:t>2013</w:t>
            </w:r>
          </w:p>
        </w:tc>
        <w:tc>
          <w:tcPr>
            <w:tcW w:w="1324" w:type="dxa"/>
            <w:shd w:val="clear" w:color="auto" w:fill="auto"/>
            <w:vAlign w:val="bottom"/>
          </w:tcPr>
          <w:p w14:paraId="0132A939" w14:textId="77777777" w:rsidR="00263BCB" w:rsidRPr="00AF6BE7" w:rsidRDefault="00263BCB" w:rsidP="00AF6BE7">
            <w:pPr>
              <w:pStyle w:val="SingleTxtG"/>
              <w:spacing w:before="40" w:after="40" w:line="220" w:lineRule="exact"/>
              <w:ind w:left="0" w:right="113"/>
              <w:jc w:val="right"/>
              <w:rPr>
                <w:sz w:val="18"/>
              </w:rPr>
            </w:pPr>
            <w:r w:rsidRPr="00AF6BE7">
              <w:rPr>
                <w:sz w:val="18"/>
              </w:rPr>
              <w:t>15</w:t>
            </w:r>
          </w:p>
        </w:tc>
        <w:tc>
          <w:tcPr>
            <w:tcW w:w="850" w:type="dxa"/>
            <w:shd w:val="clear" w:color="auto" w:fill="auto"/>
            <w:vAlign w:val="bottom"/>
          </w:tcPr>
          <w:p w14:paraId="0F929E8A" w14:textId="77777777" w:rsidR="00263BCB" w:rsidRPr="00AF6BE7" w:rsidRDefault="00263BCB" w:rsidP="00AF6BE7">
            <w:pPr>
              <w:pStyle w:val="SingleTxtG"/>
              <w:spacing w:before="40" w:after="40" w:line="220" w:lineRule="exact"/>
              <w:ind w:left="0" w:right="113"/>
              <w:jc w:val="right"/>
              <w:rPr>
                <w:sz w:val="18"/>
              </w:rPr>
            </w:pPr>
            <w:r w:rsidRPr="00AF6BE7">
              <w:rPr>
                <w:sz w:val="18"/>
              </w:rPr>
              <w:t>F</w:t>
            </w:r>
          </w:p>
        </w:tc>
        <w:tc>
          <w:tcPr>
            <w:tcW w:w="851" w:type="dxa"/>
            <w:shd w:val="clear" w:color="auto" w:fill="auto"/>
            <w:vAlign w:val="bottom"/>
          </w:tcPr>
          <w:p w14:paraId="06D8DBC5"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1417" w:type="dxa"/>
            <w:shd w:val="clear" w:color="auto" w:fill="auto"/>
            <w:vAlign w:val="bottom"/>
          </w:tcPr>
          <w:p w14:paraId="4873C60E" w14:textId="77777777" w:rsidR="00263BCB" w:rsidRPr="00AF6BE7" w:rsidRDefault="00263BCB" w:rsidP="00AF6BE7">
            <w:pPr>
              <w:pStyle w:val="SingleTxtG"/>
              <w:spacing w:before="40" w:after="40" w:line="220" w:lineRule="exact"/>
              <w:ind w:left="0" w:right="113"/>
              <w:jc w:val="right"/>
              <w:rPr>
                <w:sz w:val="18"/>
              </w:rPr>
            </w:pPr>
            <w:r w:rsidRPr="00AF6BE7">
              <w:rPr>
                <w:sz w:val="18"/>
              </w:rPr>
              <w:t>2 Macedonian</w:t>
            </w:r>
          </w:p>
          <w:p w14:paraId="1C81F319" w14:textId="77777777" w:rsidR="00263BCB" w:rsidRPr="00AF6BE7" w:rsidRDefault="00263BCB" w:rsidP="00AF6BE7">
            <w:pPr>
              <w:pStyle w:val="SingleTxtG"/>
              <w:spacing w:before="40" w:after="40" w:line="220" w:lineRule="exact"/>
              <w:ind w:left="0" w:right="113"/>
              <w:jc w:val="right"/>
              <w:rPr>
                <w:sz w:val="18"/>
              </w:rPr>
            </w:pPr>
            <w:r w:rsidRPr="00AF6BE7">
              <w:rPr>
                <w:sz w:val="18"/>
              </w:rPr>
              <w:t>3 Serbian</w:t>
            </w:r>
          </w:p>
          <w:p w14:paraId="4057C65F" w14:textId="77777777" w:rsidR="00263BCB" w:rsidRPr="00AF6BE7" w:rsidRDefault="00263BCB" w:rsidP="00AF6BE7">
            <w:pPr>
              <w:pStyle w:val="SingleTxtG"/>
              <w:spacing w:before="40" w:after="40" w:line="220" w:lineRule="exact"/>
              <w:ind w:left="0" w:right="113"/>
              <w:jc w:val="right"/>
              <w:rPr>
                <w:sz w:val="18"/>
              </w:rPr>
            </w:pPr>
            <w:r w:rsidRPr="00AF6BE7">
              <w:rPr>
                <w:sz w:val="18"/>
              </w:rPr>
              <w:t>5 Albanian</w:t>
            </w:r>
          </w:p>
          <w:p w14:paraId="046D8C75" w14:textId="7A68EB3F" w:rsidR="00263BCB" w:rsidRPr="00AF6BE7" w:rsidRDefault="00263BCB" w:rsidP="00147646">
            <w:pPr>
              <w:pStyle w:val="SingleTxtG"/>
              <w:spacing w:before="40" w:after="40" w:line="220" w:lineRule="exact"/>
              <w:ind w:left="0" w:right="113"/>
              <w:jc w:val="right"/>
              <w:rPr>
                <w:sz w:val="18"/>
              </w:rPr>
            </w:pPr>
            <w:r w:rsidRPr="00AF6BE7">
              <w:rPr>
                <w:sz w:val="18"/>
              </w:rPr>
              <w:t>5 Roma</w:t>
            </w:r>
          </w:p>
        </w:tc>
        <w:tc>
          <w:tcPr>
            <w:tcW w:w="1701" w:type="dxa"/>
            <w:shd w:val="clear" w:color="auto" w:fill="auto"/>
            <w:vAlign w:val="bottom"/>
          </w:tcPr>
          <w:p w14:paraId="79B22611" w14:textId="77777777" w:rsidR="00263BCB" w:rsidRPr="00AF6BE7" w:rsidRDefault="00263BCB" w:rsidP="00AF6BE7">
            <w:pPr>
              <w:pStyle w:val="SingleTxtG"/>
              <w:spacing w:before="40" w:after="40" w:line="220" w:lineRule="exact"/>
              <w:ind w:left="0" w:right="113"/>
              <w:jc w:val="right"/>
              <w:rPr>
                <w:sz w:val="18"/>
              </w:rPr>
            </w:pPr>
            <w:r w:rsidRPr="00AF6BE7">
              <w:rPr>
                <w:sz w:val="18"/>
              </w:rPr>
              <w:t>4 forced marriage</w:t>
            </w:r>
          </w:p>
          <w:p w14:paraId="426B4889" w14:textId="77777777" w:rsidR="00263BCB" w:rsidRPr="00AF6BE7" w:rsidRDefault="00263BCB" w:rsidP="00AF6BE7">
            <w:pPr>
              <w:pStyle w:val="SingleTxtG"/>
              <w:spacing w:before="40" w:after="40" w:line="220" w:lineRule="exact"/>
              <w:ind w:left="0" w:right="113"/>
              <w:jc w:val="right"/>
              <w:rPr>
                <w:sz w:val="18"/>
              </w:rPr>
            </w:pPr>
            <w:r w:rsidRPr="00AF6BE7">
              <w:rPr>
                <w:sz w:val="18"/>
              </w:rPr>
              <w:t>5 sexual</w:t>
            </w:r>
          </w:p>
          <w:p w14:paraId="28CA8FC1" w14:textId="77777777" w:rsidR="00263BCB" w:rsidRPr="00AF6BE7" w:rsidRDefault="00263BCB" w:rsidP="00AF6BE7">
            <w:pPr>
              <w:pStyle w:val="SingleTxtG"/>
              <w:spacing w:before="40" w:after="40" w:line="220" w:lineRule="exact"/>
              <w:ind w:left="0" w:right="113"/>
              <w:jc w:val="right"/>
              <w:rPr>
                <w:sz w:val="18"/>
              </w:rPr>
            </w:pPr>
            <w:r w:rsidRPr="00AF6BE7">
              <w:rPr>
                <w:sz w:val="18"/>
              </w:rPr>
              <w:t>2 labour</w:t>
            </w:r>
          </w:p>
          <w:p w14:paraId="7DF9ACBC" w14:textId="77777777" w:rsidR="00263BCB" w:rsidRPr="00AF6BE7" w:rsidRDefault="00263BCB" w:rsidP="00AF6BE7">
            <w:pPr>
              <w:pStyle w:val="SingleTxtG"/>
              <w:spacing w:before="40" w:after="40" w:line="220" w:lineRule="exact"/>
              <w:ind w:left="0" w:right="113"/>
              <w:jc w:val="right"/>
              <w:rPr>
                <w:sz w:val="18"/>
              </w:rPr>
            </w:pPr>
            <w:r w:rsidRPr="00AF6BE7">
              <w:rPr>
                <w:sz w:val="18"/>
              </w:rPr>
              <w:t>4 labour and sexual</w:t>
            </w:r>
          </w:p>
        </w:tc>
        <w:tc>
          <w:tcPr>
            <w:tcW w:w="1559" w:type="dxa"/>
            <w:shd w:val="clear" w:color="auto" w:fill="auto"/>
            <w:vAlign w:val="bottom"/>
          </w:tcPr>
          <w:p w14:paraId="6E64AF64" w14:textId="77777777" w:rsidR="00263BCB" w:rsidRPr="00AF6BE7" w:rsidRDefault="00263BCB" w:rsidP="00AF6BE7">
            <w:pPr>
              <w:pStyle w:val="SingleTxtG"/>
              <w:spacing w:before="40" w:after="40" w:line="220" w:lineRule="exact"/>
              <w:ind w:left="0" w:right="113"/>
              <w:jc w:val="right"/>
              <w:rPr>
                <w:sz w:val="18"/>
              </w:rPr>
            </w:pPr>
            <w:r w:rsidRPr="00AF6BE7">
              <w:rPr>
                <w:sz w:val="18"/>
              </w:rPr>
              <w:t>4 internally traded</w:t>
            </w:r>
          </w:p>
          <w:p w14:paraId="27A97C5A" w14:textId="77777777" w:rsidR="00263BCB" w:rsidRPr="00AF6BE7" w:rsidRDefault="00263BCB" w:rsidP="00AF6BE7">
            <w:pPr>
              <w:pStyle w:val="SingleTxtG"/>
              <w:spacing w:before="40" w:after="40" w:line="220" w:lineRule="exact"/>
              <w:ind w:left="0" w:right="113"/>
              <w:jc w:val="right"/>
              <w:rPr>
                <w:sz w:val="18"/>
              </w:rPr>
            </w:pPr>
            <w:r w:rsidRPr="00AF6BE7">
              <w:rPr>
                <w:sz w:val="18"/>
              </w:rPr>
              <w:t>5 externally traded</w:t>
            </w:r>
          </w:p>
          <w:p w14:paraId="2C144743" w14:textId="77777777" w:rsidR="00263BCB" w:rsidRPr="00AF6BE7" w:rsidRDefault="00263BCB" w:rsidP="00AF6BE7">
            <w:pPr>
              <w:pStyle w:val="SingleTxtG"/>
              <w:spacing w:before="40" w:after="40" w:line="220" w:lineRule="exact"/>
              <w:ind w:left="0" w:right="113"/>
              <w:jc w:val="right"/>
              <w:rPr>
                <w:sz w:val="18"/>
              </w:rPr>
            </w:pPr>
            <w:r w:rsidRPr="00AF6BE7">
              <w:rPr>
                <w:sz w:val="18"/>
              </w:rPr>
              <w:t>6 foreign nationals in the state</w:t>
            </w:r>
          </w:p>
        </w:tc>
        <w:tc>
          <w:tcPr>
            <w:tcW w:w="1134" w:type="dxa"/>
            <w:shd w:val="clear" w:color="auto" w:fill="auto"/>
            <w:vAlign w:val="bottom"/>
          </w:tcPr>
          <w:p w14:paraId="20FEA285" w14:textId="77777777" w:rsidR="00263BCB" w:rsidRPr="00AF6BE7" w:rsidRDefault="00263BCB" w:rsidP="00AF6BE7">
            <w:pPr>
              <w:pStyle w:val="SingleTxtG"/>
              <w:spacing w:before="40" w:after="40" w:line="220" w:lineRule="exact"/>
              <w:ind w:left="0" w:right="113"/>
              <w:jc w:val="right"/>
              <w:rPr>
                <w:sz w:val="18"/>
              </w:rPr>
            </w:pPr>
            <w:r w:rsidRPr="00AF6BE7">
              <w:rPr>
                <w:sz w:val="18"/>
              </w:rPr>
              <w:t>MOI</w:t>
            </w:r>
          </w:p>
          <w:p w14:paraId="63AD7F3D" w14:textId="77777777" w:rsidR="00263BCB" w:rsidRPr="00AF6BE7" w:rsidRDefault="00263BCB" w:rsidP="00AF6BE7">
            <w:pPr>
              <w:pStyle w:val="SingleTxtG"/>
              <w:spacing w:before="40" w:after="40" w:line="220" w:lineRule="exact"/>
              <w:ind w:left="0" w:right="113"/>
              <w:jc w:val="right"/>
              <w:rPr>
                <w:sz w:val="18"/>
              </w:rPr>
            </w:pPr>
            <w:r w:rsidRPr="00AF6BE7">
              <w:rPr>
                <w:sz w:val="18"/>
              </w:rPr>
              <w:t>MLSP</w:t>
            </w:r>
          </w:p>
        </w:tc>
      </w:tr>
      <w:tr w:rsidR="00147646" w:rsidRPr="00AF6BE7" w14:paraId="534EA51E" w14:textId="77777777" w:rsidTr="00147646">
        <w:tc>
          <w:tcPr>
            <w:tcW w:w="803" w:type="dxa"/>
            <w:shd w:val="clear" w:color="auto" w:fill="auto"/>
          </w:tcPr>
          <w:p w14:paraId="518BA53B" w14:textId="77777777" w:rsidR="00263BCB" w:rsidRPr="00AF6BE7" w:rsidRDefault="00263BCB" w:rsidP="00AF6BE7">
            <w:pPr>
              <w:pStyle w:val="SingleTxtG"/>
              <w:spacing w:before="40" w:after="40" w:line="220" w:lineRule="exact"/>
              <w:ind w:left="0" w:right="113"/>
              <w:jc w:val="left"/>
              <w:rPr>
                <w:sz w:val="18"/>
              </w:rPr>
            </w:pPr>
            <w:r w:rsidRPr="00AF6BE7">
              <w:rPr>
                <w:sz w:val="18"/>
              </w:rPr>
              <w:t>2014</w:t>
            </w:r>
          </w:p>
        </w:tc>
        <w:tc>
          <w:tcPr>
            <w:tcW w:w="1324" w:type="dxa"/>
            <w:shd w:val="clear" w:color="auto" w:fill="auto"/>
            <w:vAlign w:val="bottom"/>
          </w:tcPr>
          <w:p w14:paraId="754EA7E4" w14:textId="77777777" w:rsidR="00263BCB" w:rsidRPr="00AF6BE7" w:rsidRDefault="00263BCB" w:rsidP="00AF6BE7">
            <w:pPr>
              <w:pStyle w:val="SingleTxtG"/>
              <w:spacing w:before="40" w:after="40" w:line="220" w:lineRule="exact"/>
              <w:ind w:left="0" w:right="113"/>
              <w:jc w:val="right"/>
              <w:rPr>
                <w:sz w:val="18"/>
              </w:rPr>
            </w:pPr>
            <w:r w:rsidRPr="00AF6BE7">
              <w:rPr>
                <w:sz w:val="18"/>
              </w:rPr>
              <w:t>8</w:t>
            </w:r>
          </w:p>
        </w:tc>
        <w:tc>
          <w:tcPr>
            <w:tcW w:w="850" w:type="dxa"/>
            <w:shd w:val="clear" w:color="auto" w:fill="auto"/>
            <w:vAlign w:val="bottom"/>
          </w:tcPr>
          <w:p w14:paraId="658BBF66" w14:textId="77777777" w:rsidR="00263BCB" w:rsidRPr="00AF6BE7" w:rsidRDefault="00263BCB" w:rsidP="00AF6BE7">
            <w:pPr>
              <w:pStyle w:val="SingleTxtG"/>
              <w:spacing w:before="40" w:after="40" w:line="220" w:lineRule="exact"/>
              <w:ind w:left="0" w:right="113"/>
              <w:jc w:val="right"/>
              <w:rPr>
                <w:sz w:val="18"/>
              </w:rPr>
            </w:pPr>
            <w:r w:rsidRPr="00AF6BE7">
              <w:rPr>
                <w:sz w:val="18"/>
              </w:rPr>
              <w:t>7 F</w:t>
            </w:r>
          </w:p>
          <w:p w14:paraId="3D3AA9B6" w14:textId="77777777" w:rsidR="00263BCB" w:rsidRPr="00AF6BE7" w:rsidRDefault="00263BCB" w:rsidP="00AF6BE7">
            <w:pPr>
              <w:pStyle w:val="SingleTxtG"/>
              <w:spacing w:before="40" w:after="40" w:line="220" w:lineRule="exact"/>
              <w:ind w:left="0" w:right="113"/>
              <w:jc w:val="right"/>
              <w:rPr>
                <w:sz w:val="18"/>
              </w:rPr>
            </w:pPr>
            <w:r w:rsidRPr="00AF6BE7">
              <w:rPr>
                <w:sz w:val="18"/>
              </w:rPr>
              <w:lastRenderedPageBreak/>
              <w:t>1 M</w:t>
            </w:r>
          </w:p>
        </w:tc>
        <w:tc>
          <w:tcPr>
            <w:tcW w:w="851" w:type="dxa"/>
            <w:shd w:val="clear" w:color="auto" w:fill="auto"/>
            <w:vAlign w:val="bottom"/>
          </w:tcPr>
          <w:p w14:paraId="0E8D760C" w14:textId="77777777" w:rsidR="00263BCB" w:rsidRPr="00AF6BE7" w:rsidRDefault="00263BCB" w:rsidP="00AF6BE7">
            <w:pPr>
              <w:pStyle w:val="SingleTxtG"/>
              <w:spacing w:before="40" w:after="40" w:line="220" w:lineRule="exact"/>
              <w:ind w:left="0" w:right="113"/>
              <w:jc w:val="right"/>
              <w:rPr>
                <w:sz w:val="18"/>
              </w:rPr>
            </w:pPr>
            <w:r w:rsidRPr="00AF6BE7">
              <w:rPr>
                <w:sz w:val="18"/>
              </w:rPr>
              <w:lastRenderedPageBreak/>
              <w:t>/</w:t>
            </w:r>
          </w:p>
        </w:tc>
        <w:tc>
          <w:tcPr>
            <w:tcW w:w="1417" w:type="dxa"/>
            <w:shd w:val="clear" w:color="auto" w:fill="auto"/>
            <w:vAlign w:val="bottom"/>
          </w:tcPr>
          <w:p w14:paraId="63F67669" w14:textId="77777777" w:rsidR="00263BCB" w:rsidRPr="00AF6BE7" w:rsidRDefault="00263BCB" w:rsidP="00AF6BE7">
            <w:pPr>
              <w:pStyle w:val="SingleTxtG"/>
              <w:spacing w:before="40" w:after="40" w:line="220" w:lineRule="exact"/>
              <w:ind w:left="0" w:right="113"/>
              <w:jc w:val="right"/>
              <w:rPr>
                <w:sz w:val="18"/>
              </w:rPr>
            </w:pPr>
            <w:r w:rsidRPr="00AF6BE7">
              <w:rPr>
                <w:sz w:val="18"/>
              </w:rPr>
              <w:t>1 Macedonian</w:t>
            </w:r>
          </w:p>
          <w:p w14:paraId="01298200" w14:textId="77777777" w:rsidR="00263BCB" w:rsidRPr="00AF6BE7" w:rsidRDefault="00263BCB" w:rsidP="00AF6BE7">
            <w:pPr>
              <w:pStyle w:val="SingleTxtG"/>
              <w:spacing w:before="40" w:after="40" w:line="220" w:lineRule="exact"/>
              <w:ind w:left="0" w:right="113"/>
              <w:jc w:val="right"/>
              <w:rPr>
                <w:sz w:val="18"/>
              </w:rPr>
            </w:pPr>
            <w:r w:rsidRPr="00AF6BE7">
              <w:rPr>
                <w:sz w:val="18"/>
              </w:rPr>
              <w:lastRenderedPageBreak/>
              <w:t>4 Albanian</w:t>
            </w:r>
          </w:p>
          <w:p w14:paraId="306CE409" w14:textId="77777777" w:rsidR="00263BCB" w:rsidRPr="00AF6BE7" w:rsidRDefault="00263BCB" w:rsidP="00AF6BE7">
            <w:pPr>
              <w:pStyle w:val="SingleTxtG"/>
              <w:spacing w:before="40" w:after="40" w:line="220" w:lineRule="exact"/>
              <w:ind w:left="0" w:right="113"/>
              <w:jc w:val="right"/>
              <w:rPr>
                <w:sz w:val="18"/>
              </w:rPr>
            </w:pPr>
            <w:r w:rsidRPr="00AF6BE7">
              <w:rPr>
                <w:sz w:val="18"/>
              </w:rPr>
              <w:t>3 Roma</w:t>
            </w:r>
          </w:p>
        </w:tc>
        <w:tc>
          <w:tcPr>
            <w:tcW w:w="1701" w:type="dxa"/>
            <w:shd w:val="clear" w:color="auto" w:fill="auto"/>
            <w:vAlign w:val="bottom"/>
          </w:tcPr>
          <w:p w14:paraId="5C750349" w14:textId="77777777" w:rsidR="00263BCB" w:rsidRPr="00AF6BE7" w:rsidRDefault="00263BCB" w:rsidP="00AF6BE7">
            <w:pPr>
              <w:pStyle w:val="SingleTxtG"/>
              <w:spacing w:before="40" w:after="40" w:line="220" w:lineRule="exact"/>
              <w:ind w:left="0" w:right="113"/>
              <w:jc w:val="right"/>
              <w:rPr>
                <w:sz w:val="18"/>
              </w:rPr>
            </w:pPr>
            <w:r w:rsidRPr="00AF6BE7">
              <w:rPr>
                <w:sz w:val="18"/>
              </w:rPr>
              <w:lastRenderedPageBreak/>
              <w:t>4 forced marriage</w:t>
            </w:r>
          </w:p>
          <w:p w14:paraId="100C00F2" w14:textId="77777777" w:rsidR="00263BCB" w:rsidRPr="00AF6BE7" w:rsidRDefault="00263BCB" w:rsidP="00AF6BE7">
            <w:pPr>
              <w:pStyle w:val="SingleTxtG"/>
              <w:spacing w:before="40" w:after="40" w:line="220" w:lineRule="exact"/>
              <w:ind w:left="0" w:right="113"/>
              <w:jc w:val="right"/>
              <w:rPr>
                <w:sz w:val="18"/>
              </w:rPr>
            </w:pPr>
            <w:r w:rsidRPr="00AF6BE7">
              <w:rPr>
                <w:sz w:val="18"/>
              </w:rPr>
              <w:lastRenderedPageBreak/>
              <w:t>3 sexual</w:t>
            </w:r>
          </w:p>
          <w:p w14:paraId="378CF19F" w14:textId="77777777" w:rsidR="00263BCB" w:rsidRPr="00AF6BE7" w:rsidRDefault="00263BCB" w:rsidP="00AF6BE7">
            <w:pPr>
              <w:pStyle w:val="SingleTxtG"/>
              <w:spacing w:before="40" w:after="40" w:line="220" w:lineRule="exact"/>
              <w:ind w:left="0" w:right="113"/>
              <w:jc w:val="right"/>
              <w:rPr>
                <w:sz w:val="18"/>
              </w:rPr>
            </w:pPr>
            <w:r w:rsidRPr="00AF6BE7">
              <w:rPr>
                <w:sz w:val="18"/>
              </w:rPr>
              <w:t>1 labour (begging)</w:t>
            </w:r>
          </w:p>
        </w:tc>
        <w:tc>
          <w:tcPr>
            <w:tcW w:w="1559" w:type="dxa"/>
            <w:shd w:val="clear" w:color="auto" w:fill="auto"/>
            <w:vAlign w:val="bottom"/>
          </w:tcPr>
          <w:p w14:paraId="351E32F6" w14:textId="77777777" w:rsidR="00263BCB" w:rsidRPr="00AF6BE7" w:rsidRDefault="00263BCB" w:rsidP="00AF6BE7">
            <w:pPr>
              <w:pStyle w:val="SingleTxtG"/>
              <w:spacing w:before="40" w:after="40" w:line="220" w:lineRule="exact"/>
              <w:ind w:left="0" w:right="113"/>
              <w:jc w:val="right"/>
              <w:rPr>
                <w:sz w:val="18"/>
              </w:rPr>
            </w:pPr>
            <w:r w:rsidRPr="00AF6BE7">
              <w:rPr>
                <w:sz w:val="18"/>
              </w:rPr>
              <w:lastRenderedPageBreak/>
              <w:t>5 internally traded</w:t>
            </w:r>
          </w:p>
          <w:p w14:paraId="6295C4CE" w14:textId="77777777" w:rsidR="00263BCB" w:rsidRPr="00AF6BE7" w:rsidRDefault="00263BCB" w:rsidP="00AF6BE7">
            <w:pPr>
              <w:pStyle w:val="SingleTxtG"/>
              <w:spacing w:before="40" w:after="40" w:line="220" w:lineRule="exact"/>
              <w:ind w:left="0" w:right="113"/>
              <w:jc w:val="right"/>
              <w:rPr>
                <w:sz w:val="18"/>
              </w:rPr>
            </w:pPr>
            <w:r w:rsidRPr="00AF6BE7">
              <w:rPr>
                <w:sz w:val="18"/>
              </w:rPr>
              <w:lastRenderedPageBreak/>
              <w:t>2 externally traded</w:t>
            </w:r>
          </w:p>
          <w:p w14:paraId="26AC10F1" w14:textId="77777777" w:rsidR="00263BCB" w:rsidRPr="00AF6BE7" w:rsidRDefault="00263BCB" w:rsidP="00AF6BE7">
            <w:pPr>
              <w:pStyle w:val="SingleTxtG"/>
              <w:spacing w:before="40" w:after="40" w:line="220" w:lineRule="exact"/>
              <w:ind w:left="0" w:right="113"/>
              <w:jc w:val="right"/>
              <w:rPr>
                <w:sz w:val="18"/>
              </w:rPr>
            </w:pPr>
            <w:r w:rsidRPr="00AF6BE7">
              <w:rPr>
                <w:sz w:val="18"/>
              </w:rPr>
              <w:t>1 foreign nationals in the state</w:t>
            </w:r>
          </w:p>
        </w:tc>
        <w:tc>
          <w:tcPr>
            <w:tcW w:w="1134" w:type="dxa"/>
            <w:shd w:val="clear" w:color="auto" w:fill="auto"/>
            <w:vAlign w:val="bottom"/>
          </w:tcPr>
          <w:p w14:paraId="3212BBED" w14:textId="77777777" w:rsidR="00263BCB" w:rsidRPr="00AF6BE7" w:rsidRDefault="00263BCB" w:rsidP="00AF6BE7">
            <w:pPr>
              <w:pStyle w:val="SingleTxtG"/>
              <w:spacing w:before="40" w:after="40" w:line="220" w:lineRule="exact"/>
              <w:ind w:left="0" w:right="113"/>
              <w:jc w:val="right"/>
              <w:rPr>
                <w:sz w:val="18"/>
              </w:rPr>
            </w:pPr>
            <w:r w:rsidRPr="00AF6BE7">
              <w:rPr>
                <w:sz w:val="18"/>
              </w:rPr>
              <w:lastRenderedPageBreak/>
              <w:t>MOI</w:t>
            </w:r>
          </w:p>
          <w:p w14:paraId="13C04CCA" w14:textId="77777777" w:rsidR="00263BCB" w:rsidRPr="00AF6BE7" w:rsidRDefault="00263BCB" w:rsidP="00AF6BE7">
            <w:pPr>
              <w:pStyle w:val="SingleTxtG"/>
              <w:spacing w:before="40" w:after="40" w:line="220" w:lineRule="exact"/>
              <w:ind w:left="0" w:right="113"/>
              <w:jc w:val="right"/>
              <w:rPr>
                <w:sz w:val="18"/>
              </w:rPr>
            </w:pPr>
            <w:r w:rsidRPr="00AF6BE7">
              <w:rPr>
                <w:sz w:val="18"/>
              </w:rPr>
              <w:lastRenderedPageBreak/>
              <w:t>MLSP</w:t>
            </w:r>
          </w:p>
        </w:tc>
      </w:tr>
      <w:tr w:rsidR="00147646" w:rsidRPr="00AF6BE7" w14:paraId="1459FD0F" w14:textId="77777777" w:rsidTr="00147646">
        <w:tc>
          <w:tcPr>
            <w:tcW w:w="803" w:type="dxa"/>
            <w:shd w:val="clear" w:color="auto" w:fill="auto"/>
          </w:tcPr>
          <w:p w14:paraId="0B215189" w14:textId="77777777" w:rsidR="00263BCB" w:rsidRPr="00AF6BE7" w:rsidRDefault="00263BCB" w:rsidP="00AF6BE7">
            <w:pPr>
              <w:pStyle w:val="SingleTxtG"/>
              <w:spacing w:before="40" w:after="40" w:line="220" w:lineRule="exact"/>
              <w:ind w:left="0" w:right="113"/>
              <w:jc w:val="left"/>
              <w:rPr>
                <w:sz w:val="18"/>
              </w:rPr>
            </w:pPr>
            <w:r w:rsidRPr="00AF6BE7">
              <w:rPr>
                <w:sz w:val="18"/>
              </w:rPr>
              <w:lastRenderedPageBreak/>
              <w:t>2015</w:t>
            </w:r>
          </w:p>
        </w:tc>
        <w:tc>
          <w:tcPr>
            <w:tcW w:w="1324" w:type="dxa"/>
            <w:shd w:val="clear" w:color="auto" w:fill="auto"/>
            <w:vAlign w:val="bottom"/>
          </w:tcPr>
          <w:p w14:paraId="18419BE3" w14:textId="77777777" w:rsidR="00263BCB" w:rsidRPr="00AF6BE7" w:rsidRDefault="00263BCB" w:rsidP="00AF6BE7">
            <w:pPr>
              <w:pStyle w:val="SingleTxtG"/>
              <w:spacing w:before="40" w:after="40" w:line="220" w:lineRule="exact"/>
              <w:ind w:left="0" w:right="113"/>
              <w:jc w:val="right"/>
              <w:rPr>
                <w:sz w:val="18"/>
              </w:rPr>
            </w:pPr>
            <w:r w:rsidRPr="00AF6BE7">
              <w:rPr>
                <w:sz w:val="18"/>
              </w:rPr>
              <w:t>3</w:t>
            </w:r>
          </w:p>
        </w:tc>
        <w:tc>
          <w:tcPr>
            <w:tcW w:w="850" w:type="dxa"/>
            <w:shd w:val="clear" w:color="auto" w:fill="auto"/>
            <w:vAlign w:val="bottom"/>
          </w:tcPr>
          <w:p w14:paraId="2805FFE6" w14:textId="77777777" w:rsidR="00263BCB" w:rsidRPr="00AF6BE7" w:rsidRDefault="00263BCB" w:rsidP="00AF6BE7">
            <w:pPr>
              <w:pStyle w:val="SingleTxtG"/>
              <w:spacing w:before="40" w:after="40" w:line="220" w:lineRule="exact"/>
              <w:ind w:left="0" w:right="113"/>
              <w:jc w:val="right"/>
              <w:rPr>
                <w:sz w:val="18"/>
              </w:rPr>
            </w:pPr>
            <w:r w:rsidRPr="00AF6BE7">
              <w:rPr>
                <w:sz w:val="18"/>
              </w:rPr>
              <w:t>F</w:t>
            </w:r>
          </w:p>
        </w:tc>
        <w:tc>
          <w:tcPr>
            <w:tcW w:w="851" w:type="dxa"/>
            <w:shd w:val="clear" w:color="auto" w:fill="auto"/>
            <w:vAlign w:val="bottom"/>
          </w:tcPr>
          <w:p w14:paraId="0936E962"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1417" w:type="dxa"/>
            <w:shd w:val="clear" w:color="auto" w:fill="auto"/>
            <w:vAlign w:val="bottom"/>
          </w:tcPr>
          <w:p w14:paraId="1AA40B60" w14:textId="77777777" w:rsidR="00263BCB" w:rsidRPr="00AF6BE7" w:rsidRDefault="00263BCB" w:rsidP="00AF6BE7">
            <w:pPr>
              <w:pStyle w:val="SingleTxtG"/>
              <w:spacing w:before="40" w:after="40" w:line="220" w:lineRule="exact"/>
              <w:ind w:left="0" w:right="113"/>
              <w:jc w:val="right"/>
              <w:rPr>
                <w:sz w:val="18"/>
              </w:rPr>
            </w:pPr>
            <w:r w:rsidRPr="00AF6BE7">
              <w:rPr>
                <w:sz w:val="18"/>
              </w:rPr>
              <w:t>2 Albanian</w:t>
            </w:r>
          </w:p>
          <w:p w14:paraId="22553340" w14:textId="77777777" w:rsidR="00263BCB" w:rsidRPr="00AF6BE7" w:rsidRDefault="00263BCB" w:rsidP="00AF6BE7">
            <w:pPr>
              <w:pStyle w:val="SingleTxtG"/>
              <w:spacing w:before="40" w:after="40" w:line="220" w:lineRule="exact"/>
              <w:ind w:left="0" w:right="113"/>
              <w:jc w:val="right"/>
              <w:rPr>
                <w:sz w:val="18"/>
              </w:rPr>
            </w:pPr>
            <w:r w:rsidRPr="00AF6BE7">
              <w:rPr>
                <w:sz w:val="18"/>
              </w:rPr>
              <w:t>1 Roma</w:t>
            </w:r>
          </w:p>
        </w:tc>
        <w:tc>
          <w:tcPr>
            <w:tcW w:w="1701" w:type="dxa"/>
            <w:shd w:val="clear" w:color="auto" w:fill="auto"/>
            <w:vAlign w:val="bottom"/>
          </w:tcPr>
          <w:p w14:paraId="399BDBC4" w14:textId="77777777" w:rsidR="00263BCB" w:rsidRPr="00AF6BE7" w:rsidRDefault="00263BCB" w:rsidP="00AF6BE7">
            <w:pPr>
              <w:pStyle w:val="SingleTxtG"/>
              <w:spacing w:before="40" w:after="40" w:line="220" w:lineRule="exact"/>
              <w:ind w:left="0" w:right="113"/>
              <w:jc w:val="right"/>
              <w:rPr>
                <w:sz w:val="18"/>
              </w:rPr>
            </w:pPr>
            <w:r w:rsidRPr="00AF6BE7">
              <w:rPr>
                <w:sz w:val="18"/>
              </w:rPr>
              <w:t>1 forced marriage</w:t>
            </w:r>
          </w:p>
          <w:p w14:paraId="2B4ACCEA" w14:textId="77777777" w:rsidR="00263BCB" w:rsidRPr="00AF6BE7" w:rsidRDefault="00263BCB" w:rsidP="00AF6BE7">
            <w:pPr>
              <w:pStyle w:val="SingleTxtG"/>
              <w:spacing w:before="40" w:after="40" w:line="220" w:lineRule="exact"/>
              <w:ind w:left="0" w:right="113"/>
              <w:jc w:val="right"/>
              <w:rPr>
                <w:sz w:val="18"/>
              </w:rPr>
            </w:pPr>
            <w:r w:rsidRPr="00AF6BE7">
              <w:rPr>
                <w:sz w:val="18"/>
              </w:rPr>
              <w:t>1 sexual</w:t>
            </w:r>
          </w:p>
          <w:p w14:paraId="6FA3F742" w14:textId="77777777" w:rsidR="00263BCB" w:rsidRPr="00AF6BE7" w:rsidRDefault="00263BCB" w:rsidP="00AF6BE7">
            <w:pPr>
              <w:pStyle w:val="SingleTxtG"/>
              <w:spacing w:before="40" w:after="40" w:line="220" w:lineRule="exact"/>
              <w:ind w:left="0" w:right="113"/>
              <w:jc w:val="right"/>
              <w:rPr>
                <w:sz w:val="18"/>
              </w:rPr>
            </w:pPr>
            <w:r w:rsidRPr="00AF6BE7">
              <w:rPr>
                <w:sz w:val="18"/>
              </w:rPr>
              <w:t>1 labour</w:t>
            </w:r>
          </w:p>
        </w:tc>
        <w:tc>
          <w:tcPr>
            <w:tcW w:w="1559" w:type="dxa"/>
            <w:shd w:val="clear" w:color="auto" w:fill="auto"/>
            <w:vAlign w:val="bottom"/>
          </w:tcPr>
          <w:p w14:paraId="00519F68" w14:textId="77777777" w:rsidR="00263BCB" w:rsidRPr="00AF6BE7" w:rsidRDefault="00263BCB" w:rsidP="00AF6BE7">
            <w:pPr>
              <w:pStyle w:val="SingleTxtG"/>
              <w:spacing w:before="40" w:after="40" w:line="220" w:lineRule="exact"/>
              <w:ind w:left="0" w:right="113"/>
              <w:jc w:val="right"/>
              <w:rPr>
                <w:sz w:val="18"/>
              </w:rPr>
            </w:pPr>
            <w:r w:rsidRPr="00AF6BE7">
              <w:rPr>
                <w:sz w:val="18"/>
              </w:rPr>
              <w:t>1 internally traded</w:t>
            </w:r>
          </w:p>
          <w:p w14:paraId="4C9A7B68" w14:textId="16273D57" w:rsidR="00263BCB" w:rsidRPr="00AF6BE7" w:rsidRDefault="00263BCB" w:rsidP="00147646">
            <w:pPr>
              <w:pStyle w:val="SingleTxtG"/>
              <w:spacing w:before="40" w:after="40" w:line="220" w:lineRule="exact"/>
              <w:ind w:left="0" w:right="113"/>
              <w:jc w:val="right"/>
              <w:rPr>
                <w:sz w:val="18"/>
              </w:rPr>
            </w:pPr>
            <w:r w:rsidRPr="00AF6BE7">
              <w:rPr>
                <w:sz w:val="18"/>
              </w:rPr>
              <w:t>2 externally traded</w:t>
            </w:r>
          </w:p>
        </w:tc>
        <w:tc>
          <w:tcPr>
            <w:tcW w:w="1134" w:type="dxa"/>
            <w:shd w:val="clear" w:color="auto" w:fill="auto"/>
            <w:vAlign w:val="bottom"/>
          </w:tcPr>
          <w:p w14:paraId="5D7D1A46" w14:textId="77777777" w:rsidR="00263BCB" w:rsidRPr="00AF6BE7" w:rsidRDefault="00263BCB" w:rsidP="00AF6BE7">
            <w:pPr>
              <w:pStyle w:val="SingleTxtG"/>
              <w:spacing w:before="40" w:after="40" w:line="220" w:lineRule="exact"/>
              <w:ind w:left="0" w:right="113"/>
              <w:jc w:val="right"/>
              <w:rPr>
                <w:sz w:val="18"/>
              </w:rPr>
            </w:pPr>
            <w:r w:rsidRPr="00AF6BE7">
              <w:rPr>
                <w:sz w:val="18"/>
              </w:rPr>
              <w:t>MOI</w:t>
            </w:r>
          </w:p>
          <w:p w14:paraId="2365D2F0" w14:textId="77777777" w:rsidR="00263BCB" w:rsidRPr="00AF6BE7" w:rsidRDefault="00263BCB" w:rsidP="00AF6BE7">
            <w:pPr>
              <w:pStyle w:val="SingleTxtG"/>
              <w:spacing w:before="40" w:after="40" w:line="220" w:lineRule="exact"/>
              <w:ind w:left="0" w:right="113"/>
              <w:jc w:val="right"/>
              <w:rPr>
                <w:sz w:val="18"/>
              </w:rPr>
            </w:pPr>
            <w:r w:rsidRPr="00AF6BE7">
              <w:rPr>
                <w:sz w:val="18"/>
              </w:rPr>
              <w:t>MLSP</w:t>
            </w:r>
          </w:p>
        </w:tc>
      </w:tr>
      <w:tr w:rsidR="00147646" w:rsidRPr="00AF6BE7" w14:paraId="3709C21E" w14:textId="77777777" w:rsidTr="00147646">
        <w:tc>
          <w:tcPr>
            <w:tcW w:w="803" w:type="dxa"/>
            <w:shd w:val="clear" w:color="auto" w:fill="auto"/>
          </w:tcPr>
          <w:p w14:paraId="5B4DE0F2" w14:textId="77777777" w:rsidR="00263BCB" w:rsidRPr="00AF6BE7" w:rsidRDefault="00263BCB" w:rsidP="00AF6BE7">
            <w:pPr>
              <w:pStyle w:val="SingleTxtG"/>
              <w:spacing w:before="40" w:after="40" w:line="220" w:lineRule="exact"/>
              <w:ind w:left="0" w:right="113"/>
              <w:jc w:val="left"/>
              <w:rPr>
                <w:sz w:val="18"/>
              </w:rPr>
            </w:pPr>
            <w:r w:rsidRPr="00AF6BE7">
              <w:rPr>
                <w:sz w:val="18"/>
              </w:rPr>
              <w:t>2016</w:t>
            </w:r>
          </w:p>
        </w:tc>
        <w:tc>
          <w:tcPr>
            <w:tcW w:w="1324" w:type="dxa"/>
            <w:shd w:val="clear" w:color="auto" w:fill="auto"/>
            <w:vAlign w:val="bottom"/>
          </w:tcPr>
          <w:p w14:paraId="55BB7C1B" w14:textId="77777777" w:rsidR="00263BCB" w:rsidRPr="00AF6BE7" w:rsidRDefault="00263BCB" w:rsidP="00AF6BE7">
            <w:pPr>
              <w:pStyle w:val="SingleTxtG"/>
              <w:spacing w:before="40" w:after="40" w:line="220" w:lineRule="exact"/>
              <w:ind w:left="0" w:right="113"/>
              <w:jc w:val="right"/>
              <w:rPr>
                <w:sz w:val="18"/>
              </w:rPr>
            </w:pPr>
            <w:r w:rsidRPr="00AF6BE7">
              <w:rPr>
                <w:sz w:val="18"/>
              </w:rPr>
              <w:t>6</w:t>
            </w:r>
          </w:p>
        </w:tc>
        <w:tc>
          <w:tcPr>
            <w:tcW w:w="850" w:type="dxa"/>
            <w:shd w:val="clear" w:color="auto" w:fill="auto"/>
            <w:vAlign w:val="bottom"/>
          </w:tcPr>
          <w:p w14:paraId="1494E9A2" w14:textId="77777777" w:rsidR="00263BCB" w:rsidRPr="00AF6BE7" w:rsidRDefault="00263BCB" w:rsidP="00AF6BE7">
            <w:pPr>
              <w:pStyle w:val="SingleTxtG"/>
              <w:spacing w:before="40" w:after="40" w:line="220" w:lineRule="exact"/>
              <w:ind w:left="0" w:right="113"/>
              <w:jc w:val="right"/>
              <w:rPr>
                <w:sz w:val="18"/>
              </w:rPr>
            </w:pPr>
            <w:r w:rsidRPr="00AF6BE7">
              <w:rPr>
                <w:sz w:val="18"/>
              </w:rPr>
              <w:t>F</w:t>
            </w:r>
          </w:p>
        </w:tc>
        <w:tc>
          <w:tcPr>
            <w:tcW w:w="851" w:type="dxa"/>
            <w:shd w:val="clear" w:color="auto" w:fill="auto"/>
            <w:vAlign w:val="bottom"/>
          </w:tcPr>
          <w:p w14:paraId="2FD3ACD1"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1417" w:type="dxa"/>
            <w:shd w:val="clear" w:color="auto" w:fill="auto"/>
            <w:vAlign w:val="bottom"/>
          </w:tcPr>
          <w:p w14:paraId="669993E8" w14:textId="77777777" w:rsidR="00263BCB" w:rsidRPr="00AF6BE7" w:rsidRDefault="00263BCB" w:rsidP="00AF6BE7">
            <w:pPr>
              <w:pStyle w:val="SingleTxtG"/>
              <w:spacing w:before="40" w:after="40" w:line="220" w:lineRule="exact"/>
              <w:ind w:left="0" w:right="113"/>
              <w:jc w:val="right"/>
              <w:rPr>
                <w:sz w:val="18"/>
              </w:rPr>
            </w:pPr>
            <w:r w:rsidRPr="00AF6BE7">
              <w:rPr>
                <w:sz w:val="18"/>
              </w:rPr>
              <w:t>1 Macedonian</w:t>
            </w:r>
          </w:p>
          <w:p w14:paraId="2CCC1E26" w14:textId="77777777" w:rsidR="00263BCB" w:rsidRPr="00AF6BE7" w:rsidRDefault="00263BCB" w:rsidP="00AF6BE7">
            <w:pPr>
              <w:pStyle w:val="SingleTxtG"/>
              <w:spacing w:before="40" w:after="40" w:line="220" w:lineRule="exact"/>
              <w:ind w:left="0" w:right="113"/>
              <w:jc w:val="right"/>
              <w:rPr>
                <w:sz w:val="18"/>
              </w:rPr>
            </w:pPr>
            <w:r w:rsidRPr="00AF6BE7">
              <w:rPr>
                <w:sz w:val="18"/>
              </w:rPr>
              <w:t>1 Serbian</w:t>
            </w:r>
          </w:p>
          <w:p w14:paraId="2DAD5CBD" w14:textId="77777777" w:rsidR="00263BCB" w:rsidRPr="00AF6BE7" w:rsidRDefault="00263BCB" w:rsidP="00AF6BE7">
            <w:pPr>
              <w:pStyle w:val="SingleTxtG"/>
              <w:spacing w:before="40" w:after="40" w:line="220" w:lineRule="exact"/>
              <w:ind w:left="0" w:right="113"/>
              <w:jc w:val="right"/>
              <w:rPr>
                <w:sz w:val="18"/>
              </w:rPr>
            </w:pPr>
            <w:r w:rsidRPr="00AF6BE7">
              <w:rPr>
                <w:sz w:val="18"/>
              </w:rPr>
              <w:t>2 Albanian</w:t>
            </w:r>
          </w:p>
          <w:p w14:paraId="144730EF" w14:textId="117F451D" w:rsidR="00263BCB" w:rsidRPr="00AF6BE7" w:rsidRDefault="00263BCB" w:rsidP="001D0FFC">
            <w:pPr>
              <w:pStyle w:val="SingleTxtG"/>
              <w:spacing w:before="40" w:after="40" w:line="220" w:lineRule="exact"/>
              <w:ind w:left="0" w:right="113"/>
              <w:jc w:val="right"/>
              <w:rPr>
                <w:sz w:val="18"/>
              </w:rPr>
            </w:pPr>
            <w:r w:rsidRPr="00AF6BE7">
              <w:rPr>
                <w:sz w:val="18"/>
              </w:rPr>
              <w:t>2 Roma</w:t>
            </w:r>
          </w:p>
        </w:tc>
        <w:tc>
          <w:tcPr>
            <w:tcW w:w="1701" w:type="dxa"/>
            <w:shd w:val="clear" w:color="auto" w:fill="auto"/>
            <w:vAlign w:val="bottom"/>
          </w:tcPr>
          <w:p w14:paraId="0A2CF368" w14:textId="77777777" w:rsidR="00263BCB" w:rsidRPr="00AF6BE7" w:rsidRDefault="00263BCB" w:rsidP="00AF6BE7">
            <w:pPr>
              <w:pStyle w:val="SingleTxtG"/>
              <w:spacing w:before="40" w:after="40" w:line="220" w:lineRule="exact"/>
              <w:ind w:left="0" w:right="113"/>
              <w:jc w:val="right"/>
              <w:rPr>
                <w:sz w:val="18"/>
              </w:rPr>
            </w:pPr>
            <w:r w:rsidRPr="00AF6BE7">
              <w:rPr>
                <w:sz w:val="18"/>
              </w:rPr>
              <w:t>5 Sexual</w:t>
            </w:r>
          </w:p>
          <w:p w14:paraId="79828131" w14:textId="77777777" w:rsidR="00263BCB" w:rsidRPr="00AF6BE7" w:rsidRDefault="00263BCB" w:rsidP="00AF6BE7">
            <w:pPr>
              <w:pStyle w:val="SingleTxtG"/>
              <w:spacing w:before="40" w:after="40" w:line="220" w:lineRule="exact"/>
              <w:ind w:left="0" w:right="113"/>
              <w:jc w:val="right"/>
              <w:rPr>
                <w:sz w:val="18"/>
              </w:rPr>
            </w:pPr>
            <w:r w:rsidRPr="00AF6BE7">
              <w:rPr>
                <w:sz w:val="18"/>
              </w:rPr>
              <w:t>1 Sexual and forced marriage</w:t>
            </w:r>
          </w:p>
        </w:tc>
        <w:tc>
          <w:tcPr>
            <w:tcW w:w="1559" w:type="dxa"/>
            <w:shd w:val="clear" w:color="auto" w:fill="auto"/>
            <w:vAlign w:val="bottom"/>
          </w:tcPr>
          <w:p w14:paraId="1EA33FA5" w14:textId="77777777" w:rsidR="00263BCB" w:rsidRPr="00AF6BE7" w:rsidRDefault="00263BCB" w:rsidP="00AF6BE7">
            <w:pPr>
              <w:pStyle w:val="SingleTxtG"/>
              <w:spacing w:before="40" w:after="40" w:line="220" w:lineRule="exact"/>
              <w:ind w:left="0" w:right="113"/>
              <w:jc w:val="right"/>
              <w:rPr>
                <w:sz w:val="18"/>
              </w:rPr>
            </w:pPr>
            <w:r w:rsidRPr="00AF6BE7">
              <w:rPr>
                <w:sz w:val="18"/>
              </w:rPr>
              <w:t>5 internally traded</w:t>
            </w:r>
          </w:p>
          <w:p w14:paraId="77CD66BE" w14:textId="77777777" w:rsidR="00263BCB" w:rsidRPr="00AF6BE7" w:rsidRDefault="00263BCB" w:rsidP="00AF6BE7">
            <w:pPr>
              <w:pStyle w:val="SingleTxtG"/>
              <w:spacing w:before="40" w:after="40" w:line="220" w:lineRule="exact"/>
              <w:ind w:left="0" w:right="113"/>
              <w:jc w:val="right"/>
              <w:rPr>
                <w:sz w:val="18"/>
              </w:rPr>
            </w:pPr>
            <w:r w:rsidRPr="00AF6BE7">
              <w:rPr>
                <w:sz w:val="18"/>
              </w:rPr>
              <w:t>1 foreign nationals in the state</w:t>
            </w:r>
          </w:p>
        </w:tc>
        <w:tc>
          <w:tcPr>
            <w:tcW w:w="1134" w:type="dxa"/>
            <w:shd w:val="clear" w:color="auto" w:fill="auto"/>
            <w:vAlign w:val="bottom"/>
          </w:tcPr>
          <w:p w14:paraId="1DEB8402" w14:textId="77777777" w:rsidR="00263BCB" w:rsidRPr="00AF6BE7" w:rsidRDefault="00263BCB" w:rsidP="00AF6BE7">
            <w:pPr>
              <w:pStyle w:val="SingleTxtG"/>
              <w:spacing w:before="40" w:after="40" w:line="220" w:lineRule="exact"/>
              <w:ind w:left="0" w:right="113"/>
              <w:jc w:val="right"/>
              <w:rPr>
                <w:sz w:val="18"/>
              </w:rPr>
            </w:pPr>
            <w:r w:rsidRPr="00AF6BE7">
              <w:rPr>
                <w:sz w:val="18"/>
              </w:rPr>
              <w:t>MOI</w:t>
            </w:r>
          </w:p>
          <w:p w14:paraId="6F33F34D" w14:textId="77777777" w:rsidR="00263BCB" w:rsidRPr="00AF6BE7" w:rsidRDefault="00263BCB" w:rsidP="00AF6BE7">
            <w:pPr>
              <w:pStyle w:val="SingleTxtG"/>
              <w:spacing w:before="40" w:after="40" w:line="220" w:lineRule="exact"/>
              <w:ind w:left="0" w:right="113"/>
              <w:jc w:val="right"/>
              <w:rPr>
                <w:sz w:val="18"/>
              </w:rPr>
            </w:pPr>
            <w:r w:rsidRPr="00AF6BE7">
              <w:rPr>
                <w:sz w:val="18"/>
              </w:rPr>
              <w:t>MLSP</w:t>
            </w:r>
          </w:p>
        </w:tc>
      </w:tr>
      <w:tr w:rsidR="00147646" w:rsidRPr="00AF6BE7" w14:paraId="33640EAC" w14:textId="77777777" w:rsidTr="00147646">
        <w:tc>
          <w:tcPr>
            <w:tcW w:w="803" w:type="dxa"/>
            <w:shd w:val="clear" w:color="auto" w:fill="auto"/>
          </w:tcPr>
          <w:p w14:paraId="0C68B72B" w14:textId="77777777" w:rsidR="00263BCB" w:rsidRPr="00AF6BE7" w:rsidRDefault="00263BCB" w:rsidP="00AF6BE7">
            <w:pPr>
              <w:pStyle w:val="SingleTxtG"/>
              <w:spacing w:before="40" w:after="40" w:line="220" w:lineRule="exact"/>
              <w:ind w:left="0" w:right="113"/>
              <w:jc w:val="left"/>
              <w:rPr>
                <w:sz w:val="18"/>
              </w:rPr>
            </w:pPr>
            <w:r w:rsidRPr="00AF6BE7">
              <w:rPr>
                <w:sz w:val="18"/>
              </w:rPr>
              <w:t>2017</w:t>
            </w:r>
          </w:p>
        </w:tc>
        <w:tc>
          <w:tcPr>
            <w:tcW w:w="1324" w:type="dxa"/>
            <w:shd w:val="clear" w:color="auto" w:fill="auto"/>
            <w:vAlign w:val="bottom"/>
          </w:tcPr>
          <w:p w14:paraId="28479DED" w14:textId="77777777" w:rsidR="00263BCB" w:rsidRPr="00AF6BE7" w:rsidRDefault="00263BCB" w:rsidP="00AF6BE7">
            <w:pPr>
              <w:pStyle w:val="SingleTxtG"/>
              <w:spacing w:before="40" w:after="40" w:line="220" w:lineRule="exact"/>
              <w:ind w:left="0" w:right="113"/>
              <w:jc w:val="right"/>
              <w:rPr>
                <w:sz w:val="18"/>
              </w:rPr>
            </w:pPr>
            <w:r w:rsidRPr="00AF6BE7">
              <w:rPr>
                <w:sz w:val="18"/>
              </w:rPr>
              <w:t>2</w:t>
            </w:r>
          </w:p>
        </w:tc>
        <w:tc>
          <w:tcPr>
            <w:tcW w:w="850" w:type="dxa"/>
            <w:shd w:val="clear" w:color="auto" w:fill="auto"/>
            <w:vAlign w:val="bottom"/>
          </w:tcPr>
          <w:p w14:paraId="5E825481" w14:textId="77777777" w:rsidR="00263BCB" w:rsidRPr="00AF6BE7" w:rsidRDefault="00263BCB" w:rsidP="00AF6BE7">
            <w:pPr>
              <w:pStyle w:val="SingleTxtG"/>
              <w:spacing w:before="40" w:after="40" w:line="220" w:lineRule="exact"/>
              <w:ind w:left="0" w:right="113"/>
              <w:jc w:val="right"/>
              <w:rPr>
                <w:sz w:val="18"/>
              </w:rPr>
            </w:pPr>
            <w:r w:rsidRPr="00AF6BE7">
              <w:rPr>
                <w:sz w:val="18"/>
              </w:rPr>
              <w:t>1 M</w:t>
            </w:r>
          </w:p>
          <w:p w14:paraId="48F0B6AC" w14:textId="77777777" w:rsidR="00263BCB" w:rsidRPr="00AF6BE7" w:rsidRDefault="00263BCB" w:rsidP="00AF6BE7">
            <w:pPr>
              <w:pStyle w:val="SingleTxtG"/>
              <w:spacing w:before="40" w:after="40" w:line="220" w:lineRule="exact"/>
              <w:ind w:left="0" w:right="113"/>
              <w:jc w:val="right"/>
              <w:rPr>
                <w:sz w:val="18"/>
              </w:rPr>
            </w:pPr>
            <w:r w:rsidRPr="00AF6BE7">
              <w:rPr>
                <w:sz w:val="18"/>
              </w:rPr>
              <w:t>1 F</w:t>
            </w:r>
          </w:p>
        </w:tc>
        <w:tc>
          <w:tcPr>
            <w:tcW w:w="851" w:type="dxa"/>
            <w:shd w:val="clear" w:color="auto" w:fill="auto"/>
            <w:vAlign w:val="bottom"/>
          </w:tcPr>
          <w:p w14:paraId="559CCE35"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1417" w:type="dxa"/>
            <w:shd w:val="clear" w:color="auto" w:fill="auto"/>
            <w:vAlign w:val="bottom"/>
          </w:tcPr>
          <w:p w14:paraId="7B9FAC67" w14:textId="77777777" w:rsidR="00263BCB" w:rsidRPr="00AF6BE7" w:rsidRDefault="00263BCB" w:rsidP="00AF6BE7">
            <w:pPr>
              <w:pStyle w:val="SingleTxtG"/>
              <w:spacing w:before="40" w:after="40" w:line="220" w:lineRule="exact"/>
              <w:ind w:left="0" w:right="113"/>
              <w:jc w:val="right"/>
              <w:rPr>
                <w:sz w:val="18"/>
              </w:rPr>
            </w:pPr>
            <w:r w:rsidRPr="00AF6BE7">
              <w:rPr>
                <w:sz w:val="18"/>
              </w:rPr>
              <w:t>2 Roma</w:t>
            </w:r>
          </w:p>
        </w:tc>
        <w:tc>
          <w:tcPr>
            <w:tcW w:w="1701" w:type="dxa"/>
            <w:shd w:val="clear" w:color="auto" w:fill="auto"/>
            <w:vAlign w:val="bottom"/>
          </w:tcPr>
          <w:p w14:paraId="37A5F3DD" w14:textId="77777777" w:rsidR="00263BCB" w:rsidRPr="00AF6BE7" w:rsidRDefault="00263BCB" w:rsidP="00AF6BE7">
            <w:pPr>
              <w:pStyle w:val="SingleTxtG"/>
              <w:spacing w:before="40" w:after="40" w:line="220" w:lineRule="exact"/>
              <w:ind w:left="0" w:right="113"/>
              <w:jc w:val="right"/>
              <w:rPr>
                <w:sz w:val="18"/>
              </w:rPr>
            </w:pPr>
            <w:r w:rsidRPr="00AF6BE7">
              <w:rPr>
                <w:sz w:val="18"/>
              </w:rPr>
              <w:t>1 Beggar</w:t>
            </w:r>
          </w:p>
          <w:p w14:paraId="74893648" w14:textId="77777777" w:rsidR="00263BCB" w:rsidRPr="00AF6BE7" w:rsidRDefault="00263BCB" w:rsidP="00AF6BE7">
            <w:pPr>
              <w:pStyle w:val="SingleTxtG"/>
              <w:spacing w:before="40" w:after="40" w:line="220" w:lineRule="exact"/>
              <w:ind w:left="0" w:right="113"/>
              <w:jc w:val="right"/>
              <w:rPr>
                <w:sz w:val="18"/>
              </w:rPr>
            </w:pPr>
            <w:r w:rsidRPr="00AF6BE7">
              <w:rPr>
                <w:sz w:val="18"/>
              </w:rPr>
              <w:t>1 Sexual</w:t>
            </w:r>
          </w:p>
        </w:tc>
        <w:tc>
          <w:tcPr>
            <w:tcW w:w="1559" w:type="dxa"/>
            <w:shd w:val="clear" w:color="auto" w:fill="auto"/>
            <w:vAlign w:val="bottom"/>
          </w:tcPr>
          <w:p w14:paraId="0D9CEDE7" w14:textId="7C1DD843" w:rsidR="00263BCB" w:rsidRPr="00AF6BE7" w:rsidRDefault="00263BCB" w:rsidP="00147646">
            <w:pPr>
              <w:pStyle w:val="SingleTxtG"/>
              <w:spacing w:before="40" w:after="40" w:line="220" w:lineRule="exact"/>
              <w:ind w:left="0" w:right="113"/>
              <w:jc w:val="right"/>
              <w:rPr>
                <w:sz w:val="18"/>
              </w:rPr>
            </w:pPr>
            <w:r w:rsidRPr="00AF6BE7">
              <w:rPr>
                <w:sz w:val="18"/>
              </w:rPr>
              <w:t>2 Internally traded</w:t>
            </w:r>
          </w:p>
        </w:tc>
        <w:tc>
          <w:tcPr>
            <w:tcW w:w="1134" w:type="dxa"/>
            <w:shd w:val="clear" w:color="auto" w:fill="auto"/>
            <w:vAlign w:val="bottom"/>
          </w:tcPr>
          <w:p w14:paraId="585F7F4C" w14:textId="77777777" w:rsidR="00263BCB" w:rsidRPr="00AF6BE7" w:rsidRDefault="00263BCB" w:rsidP="00AF6BE7">
            <w:pPr>
              <w:pStyle w:val="SingleTxtG"/>
              <w:spacing w:before="40" w:after="40" w:line="220" w:lineRule="exact"/>
              <w:ind w:left="0" w:right="113"/>
              <w:jc w:val="right"/>
              <w:rPr>
                <w:sz w:val="18"/>
              </w:rPr>
            </w:pPr>
            <w:r w:rsidRPr="00AF6BE7">
              <w:rPr>
                <w:sz w:val="18"/>
              </w:rPr>
              <w:t>MOI</w:t>
            </w:r>
          </w:p>
          <w:p w14:paraId="62A37248" w14:textId="77777777" w:rsidR="00263BCB" w:rsidRPr="00AF6BE7" w:rsidRDefault="00263BCB" w:rsidP="00AF6BE7">
            <w:pPr>
              <w:pStyle w:val="SingleTxtG"/>
              <w:spacing w:before="40" w:after="40" w:line="220" w:lineRule="exact"/>
              <w:ind w:left="0" w:right="113"/>
              <w:jc w:val="right"/>
              <w:rPr>
                <w:sz w:val="18"/>
              </w:rPr>
            </w:pPr>
            <w:r w:rsidRPr="00AF6BE7">
              <w:rPr>
                <w:sz w:val="18"/>
              </w:rPr>
              <w:t>MLSP</w:t>
            </w:r>
          </w:p>
        </w:tc>
      </w:tr>
      <w:tr w:rsidR="00147646" w:rsidRPr="00AF6BE7" w14:paraId="3723FAEC" w14:textId="77777777" w:rsidTr="00147646">
        <w:tc>
          <w:tcPr>
            <w:tcW w:w="803" w:type="dxa"/>
            <w:shd w:val="clear" w:color="auto" w:fill="auto"/>
          </w:tcPr>
          <w:p w14:paraId="2093A026" w14:textId="77777777" w:rsidR="00263BCB" w:rsidRPr="00AF6BE7" w:rsidRDefault="00263BCB" w:rsidP="00AF6BE7">
            <w:pPr>
              <w:pStyle w:val="SingleTxtG"/>
              <w:spacing w:before="40" w:after="40" w:line="220" w:lineRule="exact"/>
              <w:ind w:left="0" w:right="113"/>
              <w:jc w:val="left"/>
              <w:rPr>
                <w:sz w:val="18"/>
              </w:rPr>
            </w:pPr>
            <w:r w:rsidRPr="00AF6BE7">
              <w:rPr>
                <w:sz w:val="18"/>
              </w:rPr>
              <w:t>2018 (up to April)</w:t>
            </w:r>
          </w:p>
        </w:tc>
        <w:tc>
          <w:tcPr>
            <w:tcW w:w="1324" w:type="dxa"/>
            <w:shd w:val="clear" w:color="auto" w:fill="auto"/>
            <w:vAlign w:val="bottom"/>
          </w:tcPr>
          <w:p w14:paraId="5A73861A" w14:textId="77777777" w:rsidR="00263BCB" w:rsidRPr="00AF6BE7" w:rsidRDefault="00263BCB" w:rsidP="00AF6BE7">
            <w:pPr>
              <w:pStyle w:val="SingleTxtG"/>
              <w:spacing w:before="40" w:after="40" w:line="220" w:lineRule="exact"/>
              <w:ind w:left="0" w:right="113"/>
              <w:jc w:val="right"/>
              <w:rPr>
                <w:sz w:val="18"/>
              </w:rPr>
            </w:pPr>
            <w:r w:rsidRPr="00AF6BE7">
              <w:rPr>
                <w:sz w:val="18"/>
              </w:rPr>
              <w:t>5</w:t>
            </w:r>
          </w:p>
        </w:tc>
        <w:tc>
          <w:tcPr>
            <w:tcW w:w="850" w:type="dxa"/>
            <w:shd w:val="clear" w:color="auto" w:fill="auto"/>
            <w:vAlign w:val="bottom"/>
          </w:tcPr>
          <w:p w14:paraId="1CEC8B68" w14:textId="77777777" w:rsidR="00263BCB" w:rsidRPr="00AF6BE7" w:rsidRDefault="00263BCB" w:rsidP="00AF6BE7">
            <w:pPr>
              <w:pStyle w:val="SingleTxtG"/>
              <w:spacing w:before="40" w:after="40" w:line="220" w:lineRule="exact"/>
              <w:ind w:left="0" w:right="113"/>
              <w:jc w:val="right"/>
              <w:rPr>
                <w:sz w:val="18"/>
              </w:rPr>
            </w:pPr>
            <w:r w:rsidRPr="00AF6BE7">
              <w:rPr>
                <w:sz w:val="18"/>
              </w:rPr>
              <w:t>5 F</w:t>
            </w:r>
          </w:p>
        </w:tc>
        <w:tc>
          <w:tcPr>
            <w:tcW w:w="851" w:type="dxa"/>
            <w:shd w:val="clear" w:color="auto" w:fill="auto"/>
            <w:vAlign w:val="bottom"/>
          </w:tcPr>
          <w:p w14:paraId="39ACE734" w14:textId="77777777" w:rsidR="00263BCB" w:rsidRPr="00AF6BE7" w:rsidRDefault="00263BCB" w:rsidP="00AF6BE7">
            <w:pPr>
              <w:pStyle w:val="SingleTxtG"/>
              <w:spacing w:before="40" w:after="40" w:line="220" w:lineRule="exact"/>
              <w:ind w:left="0" w:right="113"/>
              <w:jc w:val="right"/>
              <w:rPr>
                <w:sz w:val="18"/>
              </w:rPr>
            </w:pPr>
            <w:r w:rsidRPr="00AF6BE7">
              <w:rPr>
                <w:sz w:val="18"/>
              </w:rPr>
              <w:t>/</w:t>
            </w:r>
          </w:p>
        </w:tc>
        <w:tc>
          <w:tcPr>
            <w:tcW w:w="1417" w:type="dxa"/>
            <w:shd w:val="clear" w:color="auto" w:fill="auto"/>
            <w:vAlign w:val="bottom"/>
          </w:tcPr>
          <w:p w14:paraId="392E883D" w14:textId="77777777" w:rsidR="00263BCB" w:rsidRPr="00AF6BE7" w:rsidRDefault="00263BCB" w:rsidP="00AF6BE7">
            <w:pPr>
              <w:pStyle w:val="SingleTxtG"/>
              <w:spacing w:before="40" w:after="40" w:line="220" w:lineRule="exact"/>
              <w:ind w:left="0" w:right="113"/>
              <w:jc w:val="right"/>
              <w:rPr>
                <w:sz w:val="18"/>
              </w:rPr>
            </w:pPr>
            <w:r w:rsidRPr="00AF6BE7">
              <w:rPr>
                <w:sz w:val="18"/>
              </w:rPr>
              <w:t>1 Macedonian</w:t>
            </w:r>
          </w:p>
          <w:p w14:paraId="492D578A" w14:textId="77777777" w:rsidR="00263BCB" w:rsidRPr="00AF6BE7" w:rsidRDefault="00263BCB" w:rsidP="00AF6BE7">
            <w:pPr>
              <w:pStyle w:val="SingleTxtG"/>
              <w:spacing w:before="40" w:after="40" w:line="220" w:lineRule="exact"/>
              <w:ind w:left="0" w:right="113"/>
              <w:jc w:val="right"/>
              <w:rPr>
                <w:sz w:val="18"/>
              </w:rPr>
            </w:pPr>
            <w:r w:rsidRPr="00AF6BE7">
              <w:rPr>
                <w:sz w:val="18"/>
              </w:rPr>
              <w:t>2 Roma</w:t>
            </w:r>
          </w:p>
          <w:p w14:paraId="6B8418A1" w14:textId="77777777" w:rsidR="00263BCB" w:rsidRPr="00AF6BE7" w:rsidRDefault="00263BCB" w:rsidP="00AF6BE7">
            <w:pPr>
              <w:pStyle w:val="SingleTxtG"/>
              <w:spacing w:before="40" w:after="40" w:line="220" w:lineRule="exact"/>
              <w:ind w:left="0" w:right="113"/>
              <w:jc w:val="right"/>
              <w:rPr>
                <w:sz w:val="18"/>
              </w:rPr>
            </w:pPr>
            <w:r w:rsidRPr="00AF6BE7">
              <w:rPr>
                <w:sz w:val="18"/>
              </w:rPr>
              <w:t>2 Albanian</w:t>
            </w:r>
          </w:p>
        </w:tc>
        <w:tc>
          <w:tcPr>
            <w:tcW w:w="1701" w:type="dxa"/>
            <w:shd w:val="clear" w:color="auto" w:fill="auto"/>
            <w:vAlign w:val="bottom"/>
          </w:tcPr>
          <w:p w14:paraId="45B1CDFA" w14:textId="77777777" w:rsidR="00263BCB" w:rsidRPr="00AF6BE7" w:rsidRDefault="00263BCB" w:rsidP="00AF6BE7">
            <w:pPr>
              <w:pStyle w:val="SingleTxtG"/>
              <w:spacing w:before="40" w:after="40" w:line="220" w:lineRule="exact"/>
              <w:ind w:left="0" w:right="113"/>
              <w:jc w:val="right"/>
              <w:rPr>
                <w:sz w:val="18"/>
              </w:rPr>
            </w:pPr>
            <w:r w:rsidRPr="00AF6BE7">
              <w:rPr>
                <w:sz w:val="18"/>
              </w:rPr>
              <w:t>2 Sexual</w:t>
            </w:r>
          </w:p>
          <w:p w14:paraId="5137C277" w14:textId="77777777" w:rsidR="00263BCB" w:rsidRPr="00AF6BE7" w:rsidRDefault="00263BCB" w:rsidP="00AF6BE7">
            <w:pPr>
              <w:pStyle w:val="SingleTxtG"/>
              <w:spacing w:before="40" w:after="40" w:line="220" w:lineRule="exact"/>
              <w:ind w:left="0" w:right="113"/>
              <w:jc w:val="right"/>
              <w:rPr>
                <w:sz w:val="18"/>
              </w:rPr>
            </w:pPr>
            <w:r w:rsidRPr="00AF6BE7">
              <w:rPr>
                <w:sz w:val="18"/>
              </w:rPr>
              <w:t>2 Forced marriage</w:t>
            </w:r>
          </w:p>
          <w:p w14:paraId="632C367B" w14:textId="77777777" w:rsidR="00263BCB" w:rsidRPr="00AF6BE7" w:rsidRDefault="00263BCB" w:rsidP="00AF6BE7">
            <w:pPr>
              <w:pStyle w:val="SingleTxtG"/>
              <w:spacing w:before="40" w:after="40" w:line="220" w:lineRule="exact"/>
              <w:ind w:left="0" w:right="113"/>
              <w:jc w:val="right"/>
              <w:rPr>
                <w:sz w:val="18"/>
              </w:rPr>
            </w:pPr>
            <w:r w:rsidRPr="00AF6BE7">
              <w:rPr>
                <w:sz w:val="18"/>
              </w:rPr>
              <w:t>1 Sexual and labour</w:t>
            </w:r>
          </w:p>
        </w:tc>
        <w:tc>
          <w:tcPr>
            <w:tcW w:w="1559" w:type="dxa"/>
            <w:shd w:val="clear" w:color="auto" w:fill="auto"/>
            <w:vAlign w:val="bottom"/>
          </w:tcPr>
          <w:p w14:paraId="3232F210" w14:textId="77777777" w:rsidR="00263BCB" w:rsidRPr="00AF6BE7" w:rsidRDefault="00263BCB" w:rsidP="00AF6BE7">
            <w:pPr>
              <w:pStyle w:val="SingleTxtG"/>
              <w:spacing w:before="40" w:after="40" w:line="220" w:lineRule="exact"/>
              <w:ind w:left="0" w:right="113"/>
              <w:jc w:val="right"/>
              <w:rPr>
                <w:sz w:val="18"/>
              </w:rPr>
            </w:pPr>
            <w:r w:rsidRPr="00AF6BE7">
              <w:rPr>
                <w:sz w:val="18"/>
              </w:rPr>
              <w:t>4 internally traded</w:t>
            </w:r>
          </w:p>
          <w:p w14:paraId="677D206F" w14:textId="77777777" w:rsidR="00263BCB" w:rsidRPr="00AF6BE7" w:rsidRDefault="00263BCB" w:rsidP="00AF6BE7">
            <w:pPr>
              <w:pStyle w:val="SingleTxtG"/>
              <w:spacing w:before="40" w:after="40" w:line="220" w:lineRule="exact"/>
              <w:ind w:left="0" w:right="113"/>
              <w:jc w:val="right"/>
              <w:rPr>
                <w:sz w:val="18"/>
              </w:rPr>
            </w:pPr>
            <w:r w:rsidRPr="00AF6BE7">
              <w:rPr>
                <w:sz w:val="18"/>
              </w:rPr>
              <w:t>1 foreign nationals in the state</w:t>
            </w:r>
          </w:p>
        </w:tc>
        <w:tc>
          <w:tcPr>
            <w:tcW w:w="1134" w:type="dxa"/>
            <w:shd w:val="clear" w:color="auto" w:fill="auto"/>
            <w:vAlign w:val="bottom"/>
          </w:tcPr>
          <w:p w14:paraId="46522D3F" w14:textId="77777777" w:rsidR="00263BCB" w:rsidRPr="00AF6BE7" w:rsidRDefault="00263BCB" w:rsidP="00AF6BE7">
            <w:pPr>
              <w:pStyle w:val="SingleTxtG"/>
              <w:spacing w:before="40" w:after="40" w:line="220" w:lineRule="exact"/>
              <w:ind w:left="0" w:right="113"/>
              <w:jc w:val="right"/>
              <w:rPr>
                <w:sz w:val="18"/>
              </w:rPr>
            </w:pPr>
            <w:r w:rsidRPr="00AF6BE7">
              <w:rPr>
                <w:sz w:val="18"/>
              </w:rPr>
              <w:t>MOI</w:t>
            </w:r>
          </w:p>
          <w:p w14:paraId="599EAB71" w14:textId="77777777" w:rsidR="00263BCB" w:rsidRPr="00AF6BE7" w:rsidRDefault="00263BCB" w:rsidP="00AF6BE7">
            <w:pPr>
              <w:pStyle w:val="SingleTxtG"/>
              <w:spacing w:before="40" w:after="40" w:line="220" w:lineRule="exact"/>
              <w:ind w:left="0" w:right="113"/>
              <w:jc w:val="right"/>
              <w:rPr>
                <w:sz w:val="18"/>
              </w:rPr>
            </w:pPr>
            <w:r w:rsidRPr="00AF6BE7">
              <w:rPr>
                <w:sz w:val="18"/>
              </w:rPr>
              <w:t>MLSP</w:t>
            </w:r>
          </w:p>
        </w:tc>
      </w:tr>
    </w:tbl>
    <w:p w14:paraId="7A5E06A6" w14:textId="2CC43F61" w:rsidR="00263BCB" w:rsidRPr="005D213B" w:rsidRDefault="00570685" w:rsidP="00570685">
      <w:pPr>
        <w:pStyle w:val="ParaNoG"/>
        <w:numPr>
          <w:ilvl w:val="0"/>
          <w:numId w:val="0"/>
        </w:numPr>
        <w:tabs>
          <w:tab w:val="left" w:pos="0"/>
        </w:tabs>
        <w:spacing w:before="240"/>
        <w:ind w:left="1134"/>
      </w:pPr>
      <w:r w:rsidRPr="005D213B">
        <w:t>236.</w:t>
      </w:r>
      <w:r w:rsidRPr="005D213B">
        <w:tab/>
      </w:r>
      <w:r w:rsidR="00263BCB" w:rsidRPr="00837F3B">
        <w:t>In line with Recommendation 8, the principle of non-discrimination is incorporated within the legal framework and in the programmes and measures pertaining to children. The assistance and support to children victims of human trafficking is provided to all children regardless</w:t>
      </w:r>
      <w:r w:rsidR="00263BCB" w:rsidRPr="009A1A03">
        <w:t xml:space="preserve"> of ethnic</w:t>
      </w:r>
      <w:r w:rsidR="00263BCB" w:rsidRPr="005D213B">
        <w:t xml:space="preserve"> or national origin. The principle of non-discrimination is a basic principle of the SOPs for treatment of VTHB, and the same applies to the Programme for Assistance and Support for the Reintegration of Children Victims.</w:t>
      </w:r>
    </w:p>
    <w:p w14:paraId="0432031F" w14:textId="4D50B889" w:rsidR="00263BCB" w:rsidRPr="00401BB5" w:rsidRDefault="00570685" w:rsidP="00570685">
      <w:pPr>
        <w:pStyle w:val="ParaNoG"/>
        <w:numPr>
          <w:ilvl w:val="0"/>
          <w:numId w:val="0"/>
        </w:numPr>
        <w:tabs>
          <w:tab w:val="left" w:pos="0"/>
        </w:tabs>
        <w:ind w:left="1134"/>
      </w:pPr>
      <w:r w:rsidRPr="00401BB5">
        <w:t>237.</w:t>
      </w:r>
      <w:r w:rsidRPr="00401BB5">
        <w:tab/>
      </w:r>
      <w:r w:rsidR="00263BCB" w:rsidRPr="00401BB5">
        <w:t xml:space="preserve">Considering that the safety of the victims is the priority, victims are assigned guardians from the SWCs, and, if necessary, translators. </w:t>
      </w:r>
    </w:p>
    <w:p w14:paraId="0DAE76A2" w14:textId="2F1ED7FC" w:rsidR="00263BCB" w:rsidRPr="00401BB5" w:rsidRDefault="00570685" w:rsidP="00570685">
      <w:pPr>
        <w:pStyle w:val="ParaNoG"/>
        <w:numPr>
          <w:ilvl w:val="0"/>
          <w:numId w:val="0"/>
        </w:numPr>
        <w:tabs>
          <w:tab w:val="left" w:pos="0"/>
        </w:tabs>
        <w:ind w:left="1134"/>
      </w:pPr>
      <w:r w:rsidRPr="00401BB5">
        <w:t>238.</w:t>
      </w:r>
      <w:r w:rsidRPr="00401BB5">
        <w:tab/>
      </w:r>
      <w:r w:rsidR="00263BCB" w:rsidRPr="00401BB5">
        <w:t>In cooperation with UNICEF and various NGOs, informative materials have been prepared and printed out in various languages with the goal of familiarizing the victims with their rights and options.</w:t>
      </w:r>
    </w:p>
    <w:p w14:paraId="7909EB6E" w14:textId="5A52A207" w:rsidR="00263BCB" w:rsidRPr="00401BB5" w:rsidRDefault="00570685" w:rsidP="00570685">
      <w:pPr>
        <w:pStyle w:val="ParaNoG"/>
        <w:numPr>
          <w:ilvl w:val="0"/>
          <w:numId w:val="0"/>
        </w:numPr>
        <w:tabs>
          <w:tab w:val="left" w:pos="0"/>
        </w:tabs>
        <w:ind w:left="1134"/>
      </w:pPr>
      <w:r w:rsidRPr="00401BB5">
        <w:t>239.</w:t>
      </w:r>
      <w:r w:rsidRPr="00401BB5">
        <w:tab/>
      </w:r>
      <w:r w:rsidR="00263BCB" w:rsidRPr="00401BB5">
        <w:t>For the employees in the state and public institutions on the national and the local level, including social partners from the civil sector, in the past period, the MLSP has organized a great number of basic and specialized training sessions on how to recognize discrimination and on the available safeguards for non-discrimination.</w:t>
      </w:r>
    </w:p>
    <w:p w14:paraId="0C99DF36" w14:textId="0B4111C0" w:rsidR="00263BCB" w:rsidRPr="005D213B" w:rsidRDefault="00570685" w:rsidP="00570685">
      <w:pPr>
        <w:pStyle w:val="ParaNoG"/>
        <w:numPr>
          <w:ilvl w:val="0"/>
          <w:numId w:val="0"/>
        </w:numPr>
        <w:tabs>
          <w:tab w:val="left" w:pos="0"/>
        </w:tabs>
        <w:ind w:left="1134"/>
      </w:pPr>
      <w:r w:rsidRPr="005D213B">
        <w:t>240.</w:t>
      </w:r>
      <w:r w:rsidRPr="005D213B">
        <w:tab/>
      </w:r>
      <w:r w:rsidR="00263BCB" w:rsidRPr="00401BB5">
        <w:t>For more details regarding the activities for improved social inclusion of the Roma, see Chapter IX, Special measures for protection, item b).</w:t>
      </w:r>
    </w:p>
    <w:p w14:paraId="0614E506" w14:textId="18D3AA83" w:rsidR="00263BCB" w:rsidRPr="005D213B" w:rsidRDefault="00570685" w:rsidP="00570685">
      <w:pPr>
        <w:pStyle w:val="ParaNoG"/>
        <w:numPr>
          <w:ilvl w:val="0"/>
          <w:numId w:val="0"/>
        </w:numPr>
        <w:tabs>
          <w:tab w:val="left" w:pos="0"/>
        </w:tabs>
        <w:ind w:left="1134"/>
      </w:pPr>
      <w:r w:rsidRPr="005D213B">
        <w:t>241.</w:t>
      </w:r>
      <w:r w:rsidRPr="005D213B">
        <w:tab/>
      </w:r>
      <w:r w:rsidR="00263BCB" w:rsidRPr="005D213B">
        <w:t>In line with Recommendation 9, the Subgroup for Combating the Sale of Children is a specialized body (see response to Recommendation 6) that tends to the specific needs of children victims while protecting their rights at the same time. According to its mandate, the Subgroup administers the activities pertaining to children, and adheres to all the principles including the principle of non-discrimination.</w:t>
      </w:r>
    </w:p>
    <w:p w14:paraId="6AA2D8D1" w14:textId="10EE1621" w:rsidR="00263BCB" w:rsidRPr="005D213B" w:rsidRDefault="00570685" w:rsidP="00570685">
      <w:pPr>
        <w:pStyle w:val="ParaNoG"/>
        <w:numPr>
          <w:ilvl w:val="0"/>
          <w:numId w:val="0"/>
        </w:numPr>
        <w:tabs>
          <w:tab w:val="left" w:pos="0"/>
        </w:tabs>
        <w:ind w:left="1134"/>
      </w:pPr>
      <w:r w:rsidRPr="005D213B">
        <w:t>242.</w:t>
      </w:r>
      <w:r w:rsidRPr="005D213B">
        <w:tab/>
      </w:r>
      <w:r w:rsidR="00263BCB" w:rsidRPr="005D213B">
        <w:t xml:space="preserve">All the institutions, bodies and individuals included in the child justice system are guided by the Law on Children Justice, the goal of which is to achieve the overarching interest of protecting children against crime, violence and any other forms of threat to their rights and freedoms. </w:t>
      </w:r>
    </w:p>
    <w:p w14:paraId="0464A844" w14:textId="4B04C45E" w:rsidR="00263BCB" w:rsidRPr="005D213B" w:rsidRDefault="00570685" w:rsidP="00570685">
      <w:pPr>
        <w:pStyle w:val="ParaNoG"/>
        <w:numPr>
          <w:ilvl w:val="0"/>
          <w:numId w:val="0"/>
        </w:numPr>
        <w:tabs>
          <w:tab w:val="left" w:pos="0"/>
        </w:tabs>
        <w:ind w:left="1134"/>
      </w:pPr>
      <w:r w:rsidRPr="005D213B">
        <w:t>243.</w:t>
      </w:r>
      <w:r w:rsidRPr="005D213B">
        <w:tab/>
      </w:r>
      <w:r w:rsidR="00263BCB" w:rsidRPr="005D213B">
        <w:t xml:space="preserve">Part five of the Law on Children Justice is concerned with the protection of children as victims of crimes, or as witnesses in criminal proceedings. It regulates the protection of children acting as the injured party or a witness, and protects the rights of the child victim in adherence with the principle of non-discrimination. </w:t>
      </w:r>
    </w:p>
    <w:p w14:paraId="2497E01E" w14:textId="62ED7740" w:rsidR="00263BCB" w:rsidRPr="005D213B" w:rsidRDefault="00570685" w:rsidP="00570685">
      <w:pPr>
        <w:pStyle w:val="ParaNoG"/>
        <w:numPr>
          <w:ilvl w:val="0"/>
          <w:numId w:val="0"/>
        </w:numPr>
        <w:tabs>
          <w:tab w:val="left" w:pos="0"/>
        </w:tabs>
        <w:ind w:left="1134"/>
      </w:pPr>
      <w:r w:rsidRPr="005D213B">
        <w:t>244.</w:t>
      </w:r>
      <w:r w:rsidRPr="005D213B">
        <w:tab/>
      </w:r>
      <w:r w:rsidR="00263BCB" w:rsidRPr="005D213B">
        <w:t xml:space="preserve">In accordance with Recommendations 3 and 10, the Subgroup for Combating the Sale of Children continues to operate as a working body within the National Commission. The activities of the body are focused on the prevention of child sale and the improved protection for juvenile victims, as well as on coordinating the cooperation between the relevant sides. The body prepares an operative plan of activities for combating the sale of </w:t>
      </w:r>
      <w:r w:rsidR="00263BCB" w:rsidRPr="005D213B">
        <w:lastRenderedPageBreak/>
        <w:t>children, which stems from the National Strategy and Action Plan for Combating Human Trafficking and Illegal Migration 2017</w:t>
      </w:r>
      <w:r w:rsidR="00FD31A2">
        <w:t>–</w:t>
      </w:r>
      <w:r w:rsidR="00263BCB" w:rsidRPr="005D213B">
        <w:t>2020. On the Subgroup</w:t>
      </w:r>
      <w:r w:rsidR="00A21C4B">
        <w:t>’</w:t>
      </w:r>
      <w:r w:rsidR="00263BCB" w:rsidRPr="005D213B">
        <w:t>s initiative, Article 418 of the Criminal Code has been amended,</w:t>
      </w:r>
      <w:r w:rsidR="00263BCB" w:rsidRPr="00A21C4B">
        <w:rPr>
          <w:rStyle w:val="FootnoteReference"/>
        </w:rPr>
        <w:footnoteReference w:id="56"/>
      </w:r>
      <w:r w:rsidR="00263BCB" w:rsidRPr="00A21C4B">
        <w:rPr>
          <w:rStyle w:val="FootnoteReference"/>
        </w:rPr>
        <w:t xml:space="preserve"> </w:t>
      </w:r>
      <w:r w:rsidR="00263BCB" w:rsidRPr="005D213B">
        <w:t>adding a penalty of a minimum of 8 years in prison for any person who will mislead a child into begging or exploitation for illegal activities. The same Article foresees a prison sentence of a minimum of 10 years for the perpetrator of the same criminal acts against a child younger than 14 years. Additionally, Article 418 has been further amended by adding Paragraph 4, which tightens the penal policy and foresees a prison sentence of a minimum of 12 years for a client receiving sexual favours from a child younger than 14.</w:t>
      </w:r>
      <w:r w:rsidR="00A21C4B">
        <w:t xml:space="preserve"> </w:t>
      </w:r>
    </w:p>
    <w:p w14:paraId="717DA734" w14:textId="47BDD9C7" w:rsidR="00263BCB" w:rsidRPr="005D213B" w:rsidRDefault="00570685" w:rsidP="00570685">
      <w:pPr>
        <w:pStyle w:val="ParaNoG"/>
        <w:numPr>
          <w:ilvl w:val="0"/>
          <w:numId w:val="0"/>
        </w:numPr>
        <w:tabs>
          <w:tab w:val="left" w:pos="0"/>
        </w:tabs>
        <w:ind w:left="1134"/>
      </w:pPr>
      <w:r w:rsidRPr="005D213B">
        <w:t>245.</w:t>
      </w:r>
      <w:r w:rsidRPr="005D213B">
        <w:tab/>
      </w:r>
      <w:r w:rsidR="00263BCB" w:rsidRPr="005D213B">
        <w:t>In line with Recommendation 14 of the Concluding Observations, the MLSP is hard at work on the fourth National Strategy and Action Plan for Combating Human Trafficking and Illegal Migration 2017</w:t>
      </w:r>
      <w:r w:rsidR="00CA480E">
        <w:t>–</w:t>
      </w:r>
      <w:r w:rsidR="00263BCB" w:rsidRPr="005D213B">
        <w:t>2020. In view of this, and in line with the priority activities outlined in the Government</w:t>
      </w:r>
      <w:r w:rsidR="00A21C4B">
        <w:t>’</w:t>
      </w:r>
      <w:r w:rsidR="00263BCB" w:rsidRPr="005D213B">
        <w:t xml:space="preserve">s Reform Plan 3-6-9, the MLSP, in collaboration with the MoI and NGOs, established mobile teams tasked with the identification of vulnerable categories, including victims of human trafficking in five cities: Skopje, Bitola, Gevgelija, Tetovo and Kumanovo. </w:t>
      </w:r>
    </w:p>
    <w:p w14:paraId="7C845A97" w14:textId="77777777" w:rsidR="00263BCB" w:rsidRPr="005D213B" w:rsidRDefault="00263BCB" w:rsidP="00263BCB">
      <w:pPr>
        <w:pStyle w:val="H23G"/>
      </w:pPr>
      <w:r>
        <w:tab/>
      </w:r>
      <w:bookmarkStart w:id="93" w:name="_Toc56781489"/>
      <w:r>
        <w:t>(b)</w:t>
      </w:r>
      <w:r>
        <w:tab/>
      </w:r>
      <w:r w:rsidRPr="005D213B">
        <w:t>More significant changes achieved in terms of undertaken legal measures</w:t>
      </w:r>
      <w:bookmarkEnd w:id="93"/>
    </w:p>
    <w:p w14:paraId="7C9457DA" w14:textId="7A0FB5C9" w:rsidR="00263BCB" w:rsidRPr="005D213B" w:rsidRDefault="00570685" w:rsidP="00570685">
      <w:pPr>
        <w:pStyle w:val="ParaNoG"/>
        <w:numPr>
          <w:ilvl w:val="0"/>
          <w:numId w:val="0"/>
        </w:numPr>
        <w:tabs>
          <w:tab w:val="left" w:pos="0"/>
        </w:tabs>
        <w:ind w:left="1134"/>
      </w:pPr>
      <w:r w:rsidRPr="005D213B">
        <w:t>246.</w:t>
      </w:r>
      <w:r w:rsidRPr="005D213B">
        <w:tab/>
      </w:r>
      <w:r w:rsidR="00263BCB" w:rsidRPr="005D213B">
        <w:t>Article 20 of the Convention, pertaining to child pornography, is built into Article 193-a: Production and distribution of child pornography. It foresees the following penalties:</w:t>
      </w:r>
    </w:p>
    <w:p w14:paraId="61FB2FEB" w14:textId="68A2AFB7" w:rsidR="00263BCB" w:rsidRPr="005D213B" w:rsidRDefault="00CA480E" w:rsidP="00263BCB">
      <w:pPr>
        <w:pStyle w:val="SingleTxtG"/>
        <w:spacing w:line="240" w:lineRule="atLeast"/>
      </w:pPr>
      <w:r>
        <w:tab/>
      </w:r>
      <w:r w:rsidR="00263BCB" w:rsidRPr="005D213B">
        <w:t>(a)</w:t>
      </w:r>
      <w:r w:rsidR="00263BCB" w:rsidRPr="005D213B">
        <w:tab/>
        <w:t>Whosoever produces child pornography for the purpose of its distribution, transfer, or offer or in any other manner to make the children pornography available, shall be sentenced to imprisonment of minimum fiv</w:t>
      </w:r>
      <w:r w:rsidR="00263BCB">
        <w:t>e years;</w:t>
      </w:r>
    </w:p>
    <w:p w14:paraId="7C6A2F99" w14:textId="443BF3B2" w:rsidR="00263BCB" w:rsidRPr="005D213B" w:rsidRDefault="00CA480E" w:rsidP="00263BCB">
      <w:pPr>
        <w:pStyle w:val="SingleTxtG"/>
        <w:spacing w:line="240" w:lineRule="atLeast"/>
      </w:pPr>
      <w:r>
        <w:tab/>
      </w:r>
      <w:r w:rsidR="00263BCB" w:rsidRPr="005D213B">
        <w:t>(b)</w:t>
      </w:r>
      <w:r w:rsidR="00263BCB" w:rsidRPr="005D213B">
        <w:tab/>
        <w:t>Whosoever purchases child pornography for himself or for another, or whosoever owns child pornography shall be sentenced to impr</w:t>
      </w:r>
      <w:r w:rsidR="00263BCB">
        <w:t>isonment of five to eight years;</w:t>
      </w:r>
    </w:p>
    <w:p w14:paraId="10B0E9A2" w14:textId="4B00C2F0" w:rsidR="00263BCB" w:rsidRPr="005D213B" w:rsidRDefault="00CA480E" w:rsidP="00263BCB">
      <w:pPr>
        <w:pStyle w:val="SingleTxtG"/>
        <w:spacing w:line="240" w:lineRule="atLeast"/>
      </w:pPr>
      <w:r>
        <w:tab/>
      </w:r>
      <w:r w:rsidR="00263BCB" w:rsidRPr="005D213B">
        <w:t>(c)</w:t>
      </w:r>
      <w:r w:rsidR="00263BCB" w:rsidRPr="005D213B">
        <w:tab/>
        <w:t>If the crime referred to in paragraphs (1) and (2) of this Article is committed via an information system or other mass communication media, the offender shall be sentenced to impr</w:t>
      </w:r>
      <w:r w:rsidR="00263BCB">
        <w:t>isonment of minimum eight years;</w:t>
      </w:r>
    </w:p>
    <w:p w14:paraId="6DFFB8CD" w14:textId="774351C4" w:rsidR="00263BCB" w:rsidRPr="005D213B" w:rsidRDefault="00CA480E" w:rsidP="00263BCB">
      <w:pPr>
        <w:pStyle w:val="SingleTxtG"/>
        <w:spacing w:line="240" w:lineRule="atLeast"/>
      </w:pPr>
      <w:r>
        <w:tab/>
      </w:r>
      <w:r w:rsidR="00263BCB" w:rsidRPr="005D213B">
        <w:t>(d)</w:t>
      </w:r>
      <w:r w:rsidR="00263BCB" w:rsidRPr="005D213B">
        <w:tab/>
        <w:t>If the crime referred to in this Article is committed by a legal entity, it shall be fined.</w:t>
      </w:r>
    </w:p>
    <w:p w14:paraId="06617F38" w14:textId="27F4EC08" w:rsidR="00263BCB" w:rsidRPr="005D213B" w:rsidRDefault="00570685" w:rsidP="00570685">
      <w:pPr>
        <w:pStyle w:val="ParaNoG"/>
        <w:numPr>
          <w:ilvl w:val="0"/>
          <w:numId w:val="0"/>
        </w:numPr>
        <w:tabs>
          <w:tab w:val="left" w:pos="0"/>
        </w:tabs>
        <w:ind w:left="1134"/>
      </w:pPr>
      <w:r w:rsidRPr="005D213B">
        <w:t>247.</w:t>
      </w:r>
      <w:r w:rsidRPr="005D213B">
        <w:tab/>
      </w:r>
      <w:r w:rsidR="00263BCB" w:rsidRPr="005D213B">
        <w:t xml:space="preserve">Article 21 of the Convention, pertaining to the incriminatory actions of including a child in pornographic performances, is integrated into Article 193: Displaying pornographic material to a child. Depending on the age of the child and the type of the criminal offence, Paragraphs 1 through 8 of the same Article foresee imprisonment from a minimum of 6 months to a maximum of 8 years, and a fine in case the perpetrator is a legal entity. </w:t>
      </w:r>
    </w:p>
    <w:p w14:paraId="655A4CCD" w14:textId="4A472F78" w:rsidR="00263BCB" w:rsidRPr="00401BB5" w:rsidRDefault="00570685" w:rsidP="00570685">
      <w:pPr>
        <w:pStyle w:val="ParaNoG"/>
        <w:numPr>
          <w:ilvl w:val="0"/>
          <w:numId w:val="0"/>
        </w:numPr>
        <w:tabs>
          <w:tab w:val="left" w:pos="0"/>
        </w:tabs>
        <w:ind w:left="1134"/>
      </w:pPr>
      <w:r w:rsidRPr="00401BB5">
        <w:t>248.</w:t>
      </w:r>
      <w:r w:rsidRPr="00401BB5">
        <w:tab/>
      </w:r>
      <w:r w:rsidR="00263BCB" w:rsidRPr="00401BB5">
        <w:t xml:space="preserve">The criminal act described in Article 190: Gratifying sexual urges in front of another, corresponds to Article 20 of the Convention, which incriminates acts that deprive children. In it, (Paragraphs 1 through 3), </w:t>
      </w:r>
      <w:r w:rsidR="00263BCB" w:rsidRPr="005D213B">
        <w:t xml:space="preserve">depending on the age of the child and the manner of enacting the criminal offence, the law foresees a fine or imprisonment from 1 to 8 years. </w:t>
      </w:r>
    </w:p>
    <w:p w14:paraId="54413CEC" w14:textId="77777777" w:rsidR="00263BCB" w:rsidRPr="005D213B" w:rsidRDefault="00263BCB" w:rsidP="00263BCB">
      <w:pPr>
        <w:pStyle w:val="H23G"/>
      </w:pPr>
      <w:r>
        <w:tab/>
      </w:r>
      <w:bookmarkStart w:id="94" w:name="_Toc56781490"/>
      <w:r>
        <w:t>(c)</w:t>
      </w:r>
      <w:r>
        <w:tab/>
      </w:r>
      <w:r w:rsidRPr="005D213B">
        <w:t>The criminal responsibility of legal entities has entered the Criminal Code in 2004, and is regulated by Articles 28-a, b and c. It is based on the principle of assumed responsibility of the legal entity, stemming from the action, or from the lapse in mandatory supervision by the organs of the management, the responsible person or another person authorized to act on behalf of the legal entity. The responsibility of the legal entity does not preclude the criminal responsibility of any individual person acting as a perpetrat</w:t>
      </w:r>
      <w:r>
        <w:t>or (Article 28-b, paragraph 1)</w:t>
      </w:r>
      <w:bookmarkEnd w:id="94"/>
    </w:p>
    <w:p w14:paraId="65CB0B84" w14:textId="71CFC1B5" w:rsidR="00263BCB" w:rsidRPr="005D213B" w:rsidRDefault="00570685" w:rsidP="00570685">
      <w:pPr>
        <w:pStyle w:val="ParaNoG"/>
        <w:numPr>
          <w:ilvl w:val="0"/>
          <w:numId w:val="0"/>
        </w:numPr>
        <w:tabs>
          <w:tab w:val="left" w:pos="0"/>
        </w:tabs>
        <w:ind w:left="1134"/>
      </w:pPr>
      <w:r w:rsidRPr="005D213B">
        <w:t>249.</w:t>
      </w:r>
      <w:r w:rsidRPr="005D213B">
        <w:tab/>
      </w:r>
      <w:r w:rsidR="00263BCB" w:rsidRPr="005D213B">
        <w:t>Furthermore, the legal entity is also held responsible for any criminal acts committed by an employee or another representative of the legal entity, in which the criminal act results in significant gain of property or inflicts significant harm to another entity as outlined in Article 28-2.</w:t>
      </w:r>
    </w:p>
    <w:p w14:paraId="3985A25E" w14:textId="22109924" w:rsidR="00263BCB" w:rsidRPr="00401BB5" w:rsidRDefault="00570685" w:rsidP="00570685">
      <w:pPr>
        <w:pStyle w:val="ParaNoG"/>
        <w:numPr>
          <w:ilvl w:val="0"/>
          <w:numId w:val="0"/>
        </w:numPr>
        <w:tabs>
          <w:tab w:val="left" w:pos="0"/>
        </w:tabs>
        <w:ind w:left="1134"/>
      </w:pPr>
      <w:r w:rsidRPr="00401BB5">
        <w:lastRenderedPageBreak/>
        <w:t>250.</w:t>
      </w:r>
      <w:r w:rsidRPr="00401BB5">
        <w:tab/>
      </w:r>
      <w:r w:rsidR="00263BCB" w:rsidRPr="005D213B">
        <w:t>In line with Articles 96-a and b of the Criminal Code, the main penalty for legal entities is a fine. Under the conditions stipulated in the Code, and depending on whether the legal entity may repeat the offence in the future, the court may pronounce one or more additional penalties, as follows: the prohibition for being issued a license in the future, the taking away of the license, concession, authorization; the prohibition to participate in public tenders, the prohibition to close contracts for public procurements, the prohibition to enter into public-private partnerships; the prohibition to establish new legal entities; the prohibition</w:t>
      </w:r>
      <w:r w:rsidR="00A21C4B">
        <w:t xml:space="preserve"> </w:t>
      </w:r>
      <w:r w:rsidR="00263BCB" w:rsidRPr="005D213B">
        <w:t xml:space="preserve">for using subsidies and other beneficial credit; prohibition for using state budget funds for the financing of political parties; or a temporary/permanent ban on performing a specific service </w:t>
      </w:r>
      <w:r w:rsidR="00263BCB" w:rsidRPr="00401BB5">
        <w:t xml:space="preserve">and even the termination of the legal entity. </w:t>
      </w:r>
    </w:p>
    <w:p w14:paraId="56B2BAB3" w14:textId="77777777" w:rsidR="00263BCB" w:rsidRPr="005D213B" w:rsidRDefault="00263BCB" w:rsidP="00263BCB">
      <w:pPr>
        <w:pStyle w:val="H23G"/>
      </w:pPr>
      <w:r>
        <w:tab/>
      </w:r>
      <w:bookmarkStart w:id="95" w:name="_Toc56781491"/>
      <w:r>
        <w:t>(</w:t>
      </w:r>
      <w:r w:rsidRPr="005D213B">
        <w:t>d)</w:t>
      </w:r>
      <w:r>
        <w:tab/>
      </w:r>
      <w:r w:rsidRPr="005D213B">
        <w:t>Measures of prevention and raising awareness</w:t>
      </w:r>
      <w:bookmarkEnd w:id="95"/>
    </w:p>
    <w:p w14:paraId="21B15AF7" w14:textId="2474709A" w:rsidR="00263BCB" w:rsidRPr="005D213B" w:rsidRDefault="00570685" w:rsidP="00570685">
      <w:pPr>
        <w:pStyle w:val="ParaNoG"/>
        <w:numPr>
          <w:ilvl w:val="0"/>
          <w:numId w:val="0"/>
        </w:numPr>
        <w:tabs>
          <w:tab w:val="left" w:pos="0"/>
        </w:tabs>
        <w:ind w:left="1134"/>
      </w:pPr>
      <w:r w:rsidRPr="005D213B">
        <w:t>251.</w:t>
      </w:r>
      <w:r w:rsidRPr="005D213B">
        <w:tab/>
      </w:r>
      <w:r w:rsidR="00263BCB" w:rsidRPr="005D213B">
        <w:t xml:space="preserve">In line with Recommendation 18 and in addition to the activities undertaken in accordance with Recommendation 14, a project for combating human trafficking with the purpose of labour exploitation has been initiated within the Horizontal Facility for South-East Europe and Turkey 2017, intended to support Southeast Europe and Turkey in their alignment with European standards and the acquis. </w:t>
      </w:r>
    </w:p>
    <w:p w14:paraId="2BFB8BD3" w14:textId="1C5FDB80" w:rsidR="00263BCB" w:rsidRPr="005D213B" w:rsidRDefault="00570685" w:rsidP="00570685">
      <w:pPr>
        <w:pStyle w:val="ParaNoG"/>
        <w:numPr>
          <w:ilvl w:val="0"/>
          <w:numId w:val="0"/>
        </w:numPr>
        <w:tabs>
          <w:tab w:val="left" w:pos="0"/>
        </w:tabs>
        <w:ind w:left="1134"/>
      </w:pPr>
      <w:r w:rsidRPr="005D213B">
        <w:t>252.</w:t>
      </w:r>
      <w:r w:rsidRPr="005D213B">
        <w:tab/>
      </w:r>
      <w:r w:rsidR="00263BCB" w:rsidRPr="005D213B">
        <w:t>In 2014, the MLSP, in cooperation with the Municipal SWC in Probishtip, organized a training session for the educational personnel and psychological and pedagogical counsellors for the purposes of</w:t>
      </w:r>
      <w:r w:rsidR="00A21C4B">
        <w:t xml:space="preserve"> “</w:t>
      </w:r>
      <w:r w:rsidR="00263BCB" w:rsidRPr="005D213B">
        <w:t>Preventing Social Risks and Human Trafficking</w:t>
      </w:r>
      <w:r w:rsidR="00A21C4B">
        <w:t>”</w:t>
      </w:r>
      <w:r w:rsidR="00CA480E">
        <w:t>.</w:t>
      </w:r>
    </w:p>
    <w:p w14:paraId="6C2FEC2D" w14:textId="22907EDE" w:rsidR="00263BCB" w:rsidRPr="005D213B" w:rsidRDefault="00570685" w:rsidP="00570685">
      <w:pPr>
        <w:pStyle w:val="ParaNoG"/>
        <w:numPr>
          <w:ilvl w:val="0"/>
          <w:numId w:val="0"/>
        </w:numPr>
        <w:tabs>
          <w:tab w:val="left" w:pos="0"/>
        </w:tabs>
        <w:ind w:left="1134"/>
      </w:pPr>
      <w:r w:rsidRPr="005D213B">
        <w:t>253.</w:t>
      </w:r>
      <w:r w:rsidRPr="005D213B">
        <w:tab/>
      </w:r>
      <w:r w:rsidR="00263BCB" w:rsidRPr="005D213B">
        <w:t>In May 2015, the MLSP organized a two-day training session for the purposes of prevention and protection of children intended for the employees of 4 institution for social protection: PI Children</w:t>
      </w:r>
      <w:r w:rsidR="00A21C4B">
        <w:t>’</w:t>
      </w:r>
      <w:r w:rsidR="00263BCB" w:rsidRPr="005D213B">
        <w:t>s Home</w:t>
      </w:r>
      <w:r w:rsidR="00A21C4B">
        <w:t xml:space="preserve"> “</w:t>
      </w:r>
      <w:r w:rsidR="00263BCB" w:rsidRPr="005D213B">
        <w:t>11 October</w:t>
      </w:r>
      <w:r w:rsidR="00A21C4B">
        <w:t>”</w:t>
      </w:r>
      <w:r w:rsidR="00263BCB" w:rsidRPr="005D213B">
        <w:t xml:space="preserve"> Skopje, PI Institute for Childcare, Upbringing and Education of Children and Minors</w:t>
      </w:r>
      <w:r w:rsidR="00A21C4B">
        <w:t xml:space="preserve"> “</w:t>
      </w:r>
      <w:r w:rsidR="00263BCB" w:rsidRPr="005D213B">
        <w:t>Ranka Milanovikj</w:t>
      </w:r>
      <w:r w:rsidR="00A21C4B">
        <w:t>”</w:t>
      </w:r>
      <w:r w:rsidR="00263BCB" w:rsidRPr="005D213B">
        <w:t xml:space="preserve"> Skopje, PI for the Care of Children with Educational and Social Problems</w:t>
      </w:r>
      <w:r w:rsidR="00A21C4B">
        <w:t xml:space="preserve"> “</w:t>
      </w:r>
      <w:r w:rsidR="00263BCB" w:rsidRPr="005D213B">
        <w:t>25 May</w:t>
      </w:r>
      <w:r w:rsidR="00A21C4B">
        <w:t>”</w:t>
      </w:r>
      <w:r w:rsidR="00263BCB" w:rsidRPr="005D213B">
        <w:t xml:space="preserve"> Skopje, and the SOS Children</w:t>
      </w:r>
      <w:r w:rsidR="00A21C4B">
        <w:t>’</w:t>
      </w:r>
      <w:r w:rsidR="00263BCB" w:rsidRPr="005D213B">
        <w:t xml:space="preserve">s Village. </w:t>
      </w:r>
    </w:p>
    <w:p w14:paraId="058461FA" w14:textId="23CDA06F" w:rsidR="00263BCB" w:rsidRPr="005D213B" w:rsidRDefault="00570685" w:rsidP="00570685">
      <w:pPr>
        <w:pStyle w:val="ParaNoG"/>
        <w:numPr>
          <w:ilvl w:val="0"/>
          <w:numId w:val="0"/>
        </w:numPr>
        <w:tabs>
          <w:tab w:val="left" w:pos="0"/>
        </w:tabs>
        <w:ind w:left="1134"/>
      </w:pPr>
      <w:r w:rsidRPr="005D213B">
        <w:t>254.</w:t>
      </w:r>
      <w:r w:rsidRPr="005D213B">
        <w:tab/>
      </w:r>
      <w:r w:rsidR="00263BCB" w:rsidRPr="005D213B">
        <w:t>A number of basic and specialized training sessions for the identification and referral of victims and child victims of human trafficking have been carried out for police officers and inspectors for juvenile delinquency as well.</w:t>
      </w:r>
    </w:p>
    <w:p w14:paraId="42AF6F63" w14:textId="6353E038" w:rsidR="00263BCB" w:rsidRPr="005D213B" w:rsidRDefault="00570685" w:rsidP="00570685">
      <w:pPr>
        <w:pStyle w:val="ParaNoG"/>
        <w:numPr>
          <w:ilvl w:val="0"/>
          <w:numId w:val="0"/>
        </w:numPr>
        <w:tabs>
          <w:tab w:val="left" w:pos="0"/>
        </w:tabs>
        <w:ind w:left="1134"/>
      </w:pPr>
      <w:r w:rsidRPr="005D213B">
        <w:t>255.</w:t>
      </w:r>
      <w:r w:rsidRPr="005D213B">
        <w:tab/>
      </w:r>
      <w:r w:rsidR="00263BCB" w:rsidRPr="005D213B">
        <w:t>In 2015, at the Police Academy Idrizovo, the MLSP, in collaboration with the Commission for Combating Human Trafficking, the MoI, the</w:t>
      </w:r>
      <w:r w:rsidR="00A21C4B">
        <w:t xml:space="preserve"> “</w:t>
      </w:r>
      <w:r w:rsidR="00263BCB" w:rsidRPr="005D213B">
        <w:t>Equal Access</w:t>
      </w:r>
      <w:r w:rsidR="00FD31A2">
        <w:t>”</w:t>
      </w:r>
      <w:r w:rsidR="00AE332F">
        <w:t xml:space="preserve"> </w:t>
      </w:r>
      <w:r w:rsidR="00263BCB" w:rsidRPr="005D213B">
        <w:t>NGO and with the support of GIZ, organized three daily training sessions for 75 individuals for the implementation of the indicators for identification of victims and child victims of human trafficking.</w:t>
      </w:r>
    </w:p>
    <w:p w14:paraId="5F511250" w14:textId="2281A998" w:rsidR="00263BCB" w:rsidRPr="005D213B" w:rsidRDefault="00570685" w:rsidP="00570685">
      <w:pPr>
        <w:pStyle w:val="ParaNoG"/>
        <w:numPr>
          <w:ilvl w:val="0"/>
          <w:numId w:val="0"/>
        </w:numPr>
        <w:tabs>
          <w:tab w:val="left" w:pos="0"/>
        </w:tabs>
        <w:ind w:left="1134"/>
      </w:pPr>
      <w:r w:rsidRPr="005D213B">
        <w:t>256.</w:t>
      </w:r>
      <w:r w:rsidRPr="005D213B">
        <w:tab/>
      </w:r>
      <w:r w:rsidR="00263BCB" w:rsidRPr="005D213B">
        <w:t>With the aim of upgrading the capacities of the country for developing alternative forms of protection and providing resources for the custody of child victims of human trafficking, the MLSP held special training sessions for foster families as well. A total of 9 guardians of foster families have been trained in Skopje and Veles with the cooperation of the</w:t>
      </w:r>
      <w:r w:rsidR="00A21C4B">
        <w:t xml:space="preserve"> “</w:t>
      </w:r>
      <w:r w:rsidR="00263BCB" w:rsidRPr="005D213B">
        <w:t>For a Happy Childhood</w:t>
      </w:r>
      <w:r w:rsidR="00FD31A2">
        <w:t>”</w:t>
      </w:r>
      <w:r w:rsidR="00AE332F">
        <w:t xml:space="preserve"> </w:t>
      </w:r>
      <w:r w:rsidR="00263BCB" w:rsidRPr="005D213B">
        <w:t>Organization and with the support of GIZ.</w:t>
      </w:r>
    </w:p>
    <w:p w14:paraId="44386FBD" w14:textId="40E4BF0A" w:rsidR="00263BCB" w:rsidRPr="005D213B" w:rsidRDefault="00570685" w:rsidP="00570685">
      <w:pPr>
        <w:pStyle w:val="ParaNoG"/>
        <w:numPr>
          <w:ilvl w:val="0"/>
          <w:numId w:val="0"/>
        </w:numPr>
        <w:tabs>
          <w:tab w:val="left" w:pos="0"/>
        </w:tabs>
        <w:ind w:left="1134"/>
      </w:pPr>
      <w:r w:rsidRPr="005D213B">
        <w:t>257.</w:t>
      </w:r>
      <w:r w:rsidRPr="005D213B">
        <w:tab/>
      </w:r>
      <w:r w:rsidR="00263BCB" w:rsidRPr="005D213B">
        <w:t>During 2016, with the cooperation of the OSCE Mission, the Sector for Equal Opportunities within the MLSP completed 2 training sessions for the following 60 professionals: social workers of the SWC, volunteers at the</w:t>
      </w:r>
      <w:r w:rsidR="00A21C4B">
        <w:t xml:space="preserve"> “</w:t>
      </w:r>
      <w:r w:rsidR="00263BCB" w:rsidRPr="005D213B">
        <w:t>Vinojug</w:t>
      </w:r>
      <w:r w:rsidR="00A21C4B">
        <w:t>”</w:t>
      </w:r>
      <w:r w:rsidR="00263BCB" w:rsidRPr="005D213B">
        <w:t xml:space="preserve"> and</w:t>
      </w:r>
      <w:r w:rsidR="00A21C4B">
        <w:t xml:space="preserve"> “</w:t>
      </w:r>
      <w:r w:rsidR="00263BCB" w:rsidRPr="005D213B">
        <w:t>Tabanovce</w:t>
      </w:r>
      <w:r w:rsidR="00A21C4B">
        <w:t>”</w:t>
      </w:r>
      <w:r w:rsidR="00263BCB" w:rsidRPr="005D213B">
        <w:t xml:space="preserve"> camps, as well as volunteers at the Reception Centre for Asylum-Seekers.</w:t>
      </w:r>
    </w:p>
    <w:p w14:paraId="442375FC" w14:textId="6EE0CB50" w:rsidR="00263BCB" w:rsidRPr="00401BB5" w:rsidRDefault="00570685" w:rsidP="00570685">
      <w:pPr>
        <w:pStyle w:val="ParaNoG"/>
        <w:numPr>
          <w:ilvl w:val="0"/>
          <w:numId w:val="0"/>
        </w:numPr>
        <w:tabs>
          <w:tab w:val="left" w:pos="0"/>
        </w:tabs>
        <w:ind w:left="1134"/>
      </w:pPr>
      <w:r w:rsidRPr="00401BB5">
        <w:t>258.</w:t>
      </w:r>
      <w:r w:rsidRPr="00401BB5">
        <w:tab/>
      </w:r>
      <w:r w:rsidR="00263BCB" w:rsidRPr="00401BB5">
        <w:t xml:space="preserve">The MLSP also organized educational sessions on the implementation of the SOPs for the identification of unaccompanied foreign children and vulnerable categories, as well as on the General indicators for the preliminary identification of assumed VTHB/children in the context of mixed migration movements. </w:t>
      </w:r>
    </w:p>
    <w:p w14:paraId="1F721399" w14:textId="0971D40E" w:rsidR="00263BCB" w:rsidRPr="00401BB5" w:rsidRDefault="00570685" w:rsidP="00570685">
      <w:pPr>
        <w:pStyle w:val="ParaNoG"/>
        <w:numPr>
          <w:ilvl w:val="0"/>
          <w:numId w:val="0"/>
        </w:numPr>
        <w:tabs>
          <w:tab w:val="left" w:pos="0"/>
        </w:tabs>
        <w:ind w:left="1134"/>
      </w:pPr>
      <w:r w:rsidRPr="00401BB5">
        <w:t>259.</w:t>
      </w:r>
      <w:r w:rsidRPr="00401BB5">
        <w:tab/>
      </w:r>
      <w:r w:rsidR="00263BCB" w:rsidRPr="00401BB5">
        <w:t>A two-day training session on the gender aspects of human trafficking was also held in Struga on September 27 and 28. It was intended for police officers, social workers and civil organizations. Representatives of the Sector for Equal Opportunities of the MLSP attended the training session, which was organized by the Macedonian Young Lawyers Association and the UN Women Office.</w:t>
      </w:r>
    </w:p>
    <w:p w14:paraId="7666A042" w14:textId="7653D726" w:rsidR="00263BCB" w:rsidRPr="005D213B" w:rsidRDefault="00570685" w:rsidP="00570685">
      <w:pPr>
        <w:pStyle w:val="ParaNoG"/>
        <w:numPr>
          <w:ilvl w:val="0"/>
          <w:numId w:val="0"/>
        </w:numPr>
        <w:tabs>
          <w:tab w:val="left" w:pos="0"/>
        </w:tabs>
        <w:ind w:left="1134"/>
      </w:pPr>
      <w:r w:rsidRPr="005D213B">
        <w:lastRenderedPageBreak/>
        <w:t>260.</w:t>
      </w:r>
      <w:r w:rsidRPr="005D213B">
        <w:tab/>
      </w:r>
      <w:r w:rsidR="00263BCB" w:rsidRPr="00401BB5">
        <w:t>In accordance with the Law on Free Legal Aid, the VTHB have a right to free legal protection. In 2017, the OSCE Mission supplied a list of attorneys who have completed their training on the free legal aid for VTHB in cooperation with the Macedonian Young Lawyers Association.</w:t>
      </w:r>
      <w:r w:rsidR="00263BCB" w:rsidRPr="005D213B">
        <w:t xml:space="preserve"> </w:t>
      </w:r>
    </w:p>
    <w:p w14:paraId="5A1EEF59" w14:textId="76069A21" w:rsidR="00263BCB" w:rsidRPr="005D213B" w:rsidRDefault="00570685" w:rsidP="00570685">
      <w:pPr>
        <w:pStyle w:val="ParaNoG"/>
        <w:numPr>
          <w:ilvl w:val="0"/>
          <w:numId w:val="0"/>
        </w:numPr>
        <w:tabs>
          <w:tab w:val="left" w:pos="0"/>
        </w:tabs>
        <w:ind w:left="1134"/>
      </w:pPr>
      <w:r w:rsidRPr="005D213B">
        <w:t>261.</w:t>
      </w:r>
      <w:r w:rsidRPr="005D213B">
        <w:tab/>
      </w:r>
      <w:r w:rsidR="00263BCB" w:rsidRPr="005D213B">
        <w:t xml:space="preserve">In line with Recommendation 19, there are continuous training sessions for vocational training on the topics of human rights and juvenile justice, human trafficking and the sale of children through the active participation of the institutions, the international and domestic civil organizations. </w:t>
      </w:r>
    </w:p>
    <w:p w14:paraId="6FD10E68" w14:textId="77777777" w:rsidR="00263BCB" w:rsidRPr="005D213B" w:rsidRDefault="00263BCB" w:rsidP="00263BCB">
      <w:pPr>
        <w:pStyle w:val="H23G"/>
      </w:pPr>
      <w:r>
        <w:tab/>
      </w:r>
      <w:bookmarkStart w:id="96" w:name="_Toc56781492"/>
      <w:r>
        <w:t>(e)</w:t>
      </w:r>
      <w:r>
        <w:tab/>
      </w:r>
      <w:r w:rsidRPr="005D213B">
        <w:t>In regards to undertaken measures for the social reintegration of child victims, as well as their physical and psychological recovery as outlined in the Optional Protocol, the MLSP and the Office of the NRM provide aid and protection for VTHB with the cooperation of the SWCs and NGOs. The Law on Social Protection foresees the right of VTHB to receive aid and protection in the Centre for VTHB and victims of sexual violence. A Programme for the Aid and Support in the Process of Reintegration of Child VTHB has been prepared, and acts as the basis for the development of customized plans for the individua</w:t>
      </w:r>
      <w:r>
        <w:t>l reintegration of the victims</w:t>
      </w:r>
      <w:bookmarkEnd w:id="96"/>
    </w:p>
    <w:p w14:paraId="4222AD42" w14:textId="114A9A1A" w:rsidR="00263BCB" w:rsidRPr="005D213B" w:rsidRDefault="00570685" w:rsidP="00570685">
      <w:pPr>
        <w:pStyle w:val="ParaNoG"/>
        <w:numPr>
          <w:ilvl w:val="0"/>
          <w:numId w:val="0"/>
        </w:numPr>
        <w:tabs>
          <w:tab w:val="left" w:pos="0"/>
        </w:tabs>
        <w:ind w:left="1134"/>
      </w:pPr>
      <w:r w:rsidRPr="005D213B">
        <w:t>262.</w:t>
      </w:r>
      <w:r w:rsidRPr="005D213B">
        <w:tab/>
      </w:r>
      <w:r w:rsidR="00263BCB" w:rsidRPr="005D213B">
        <w:t>In line with Recommendation 20, the MLSP allocates funding for overheads to the Centre for VTHB and victims of sexual violence each year, while the services themselves are provided by civil organizations with which the MLSP has signed a Memorandum of Cooperation.</w:t>
      </w:r>
    </w:p>
    <w:p w14:paraId="475D9205" w14:textId="33319C6C" w:rsidR="00263BCB" w:rsidRPr="005D213B" w:rsidRDefault="00570685" w:rsidP="00570685">
      <w:pPr>
        <w:pStyle w:val="ParaNoG"/>
        <w:numPr>
          <w:ilvl w:val="0"/>
          <w:numId w:val="0"/>
        </w:numPr>
        <w:tabs>
          <w:tab w:val="left" w:pos="0"/>
        </w:tabs>
        <w:ind w:left="1134"/>
      </w:pPr>
      <w:r w:rsidRPr="005D213B">
        <w:t>263.</w:t>
      </w:r>
      <w:r w:rsidRPr="005D213B">
        <w:tab/>
      </w:r>
      <w:r w:rsidR="00263BCB" w:rsidRPr="005D552F">
        <w:t xml:space="preserve">In accordance with Recommendation 21, </w:t>
      </w:r>
      <w:r w:rsidR="00263BCB" w:rsidRPr="005D213B">
        <w:t>Programmes for the Assistance and Support for the Reintegration of Children Victims of Human Trafficking are being implemented, through the preparation of a Reintegration Plan for each individual in accordance with their best interests, while also taking into account the age and the needs of the child and the specific psychophysical and social consequences.</w:t>
      </w:r>
    </w:p>
    <w:p w14:paraId="6BB7A9DF" w14:textId="30FE9F4A" w:rsidR="00263BCB" w:rsidRPr="005D552F" w:rsidRDefault="00570685" w:rsidP="00570685">
      <w:pPr>
        <w:pStyle w:val="ParaNoG"/>
        <w:numPr>
          <w:ilvl w:val="0"/>
          <w:numId w:val="0"/>
        </w:numPr>
        <w:tabs>
          <w:tab w:val="left" w:pos="0"/>
        </w:tabs>
        <w:ind w:left="1134"/>
      </w:pPr>
      <w:r w:rsidRPr="005D552F">
        <w:t>264.</w:t>
      </w:r>
      <w:r w:rsidRPr="005D552F">
        <w:tab/>
      </w:r>
      <w:r w:rsidR="00263BCB" w:rsidRPr="005D213B">
        <w:t>In line with Recommendation 22, the MLSP signed a Memorandum of Cooperation and has given its consent for the implementation of the Programme for the Assistance and Support for the Reintegration of Child VTHB and Victims of Sexual Violence at the Centre for VTHB and Victims of Sexual Violence of the civil organization</w:t>
      </w:r>
      <w:r w:rsidR="00A21C4B">
        <w:t xml:space="preserve"> “</w:t>
      </w:r>
      <w:r w:rsidR="00263BCB" w:rsidRPr="005D213B">
        <w:t>Open Gate / La Strada</w:t>
      </w:r>
      <w:r w:rsidR="00A21C4B">
        <w:t>”</w:t>
      </w:r>
      <w:r w:rsidR="00263BCB" w:rsidRPr="005D213B">
        <w:t>.</w:t>
      </w:r>
    </w:p>
    <w:p w14:paraId="7FFCCAF7" w14:textId="4BD1217D" w:rsidR="00263BCB" w:rsidRPr="005D552F" w:rsidRDefault="00570685" w:rsidP="00570685">
      <w:pPr>
        <w:pStyle w:val="ParaNoG"/>
        <w:numPr>
          <w:ilvl w:val="0"/>
          <w:numId w:val="0"/>
        </w:numPr>
        <w:tabs>
          <w:tab w:val="left" w:pos="0"/>
        </w:tabs>
        <w:ind w:left="1134"/>
      </w:pPr>
      <w:r w:rsidRPr="005D552F">
        <w:t>265.</w:t>
      </w:r>
      <w:r w:rsidRPr="005D552F">
        <w:tab/>
      </w:r>
      <w:r w:rsidR="00263BCB" w:rsidRPr="005D552F">
        <w:t>In regards to Recommendation 23, the list of social workers nominated at the NRM has been renewed in 2017, and an analysis for the needs for additional training has been performed.</w:t>
      </w:r>
      <w:r w:rsidR="00A21C4B">
        <w:t xml:space="preserve"> </w:t>
      </w:r>
      <w:r w:rsidR="00263BCB" w:rsidRPr="005D552F">
        <w:t xml:space="preserve">The analysis found that the social workers need training for identification as well as methods and techniques for interviewing child VTHB. </w:t>
      </w:r>
    </w:p>
    <w:p w14:paraId="200368C8" w14:textId="47F6380D" w:rsidR="00263BCB" w:rsidRPr="005D552F" w:rsidRDefault="00570685" w:rsidP="00570685">
      <w:pPr>
        <w:pStyle w:val="ParaNoG"/>
        <w:numPr>
          <w:ilvl w:val="0"/>
          <w:numId w:val="0"/>
        </w:numPr>
        <w:tabs>
          <w:tab w:val="left" w:pos="0"/>
        </w:tabs>
        <w:ind w:left="1134"/>
      </w:pPr>
      <w:r w:rsidRPr="005D552F">
        <w:t>266.</w:t>
      </w:r>
      <w:r w:rsidRPr="005D552F">
        <w:tab/>
      </w:r>
      <w:r w:rsidR="00263BCB" w:rsidRPr="005D552F">
        <w:t>In line with Recommendation 24, children are the most vulnerable population most susceptible to different types of abuse, of which child sale is the most severe. The greatest number of identified victims are female children between the ages of 11 and 17, most often Macedonian, Albanian, and Roma girls, both from the country and the region.</w:t>
      </w:r>
      <w:r w:rsidR="00A21C4B">
        <w:t xml:space="preserve"> </w:t>
      </w:r>
      <w:r w:rsidR="00263BCB" w:rsidRPr="005D552F">
        <w:t>The victims are without any means of sustenance and with a low level of education: elementary, high school and incomplete education. Most of the times, the victims fall prey to the chain of human trafficking under the misunderstanding that they will marry abroad, or that they will be legally employed.</w:t>
      </w:r>
    </w:p>
    <w:p w14:paraId="3DD78EA8" w14:textId="1845C729" w:rsidR="00263BCB" w:rsidRPr="005D552F" w:rsidRDefault="00570685" w:rsidP="00570685">
      <w:pPr>
        <w:pStyle w:val="ParaNoG"/>
        <w:numPr>
          <w:ilvl w:val="0"/>
          <w:numId w:val="0"/>
        </w:numPr>
        <w:tabs>
          <w:tab w:val="left" w:pos="0"/>
        </w:tabs>
        <w:ind w:left="1134"/>
      </w:pPr>
      <w:r w:rsidRPr="005D552F">
        <w:t>267.</w:t>
      </w:r>
      <w:r w:rsidRPr="005D552F">
        <w:tab/>
      </w:r>
      <w:r w:rsidR="00263BCB" w:rsidRPr="005D552F">
        <w:t>The common reasons for the occurrence of child sale are: poverty in the family, dysfunctional families, child victims of all sorts of violence – domestic violence; orphaned children or children without parental care; children with educational problems stemming from the institutions; children who are insecure in their future with a strong desire for a better life; children that have been excluded from the educational process; children on the streets (beggars, or children who provide various services on the streets); or children uninformed of the problem of child sale, human trafficking and their presence.</w:t>
      </w:r>
    </w:p>
    <w:p w14:paraId="1188A03F" w14:textId="6F4A810D" w:rsidR="00263BCB" w:rsidRPr="005D213B" w:rsidRDefault="00570685" w:rsidP="00570685">
      <w:pPr>
        <w:pStyle w:val="ParaNoG"/>
        <w:numPr>
          <w:ilvl w:val="0"/>
          <w:numId w:val="0"/>
        </w:numPr>
        <w:tabs>
          <w:tab w:val="left" w:pos="0"/>
        </w:tabs>
        <w:ind w:left="1134"/>
      </w:pPr>
      <w:r w:rsidRPr="005D213B">
        <w:t>268.</w:t>
      </w:r>
      <w:r w:rsidRPr="005D213B">
        <w:tab/>
      </w:r>
      <w:r w:rsidR="00263BCB" w:rsidRPr="005D552F">
        <w:t xml:space="preserve">The MLSP, with the cooperation of the </w:t>
      </w:r>
      <w:r w:rsidR="00263BCB" w:rsidRPr="005D213B">
        <w:t>Subgroup for Combating the Sale of Children, has drafted an Analysis on the State of Identification and Protection of child VTHB. This Analysis has the aim to determine the practical implementation of the national regulation and discover any shortages within it.</w:t>
      </w:r>
    </w:p>
    <w:p w14:paraId="417842DD" w14:textId="0B62FB2C" w:rsidR="00263BCB" w:rsidRPr="005D213B" w:rsidRDefault="00570685" w:rsidP="00570685">
      <w:pPr>
        <w:pStyle w:val="ParaNoG"/>
        <w:numPr>
          <w:ilvl w:val="0"/>
          <w:numId w:val="0"/>
        </w:numPr>
        <w:tabs>
          <w:tab w:val="left" w:pos="0"/>
        </w:tabs>
        <w:ind w:left="1134"/>
      </w:pPr>
      <w:r w:rsidRPr="005D213B">
        <w:lastRenderedPageBreak/>
        <w:t>269.</w:t>
      </w:r>
      <w:r w:rsidRPr="005D213B">
        <w:tab/>
      </w:r>
      <w:r w:rsidR="00263BCB" w:rsidRPr="005D213B">
        <w:t>The Analysis represents the implementation of the National Action Plan for Combating Child Slave 2013</w:t>
      </w:r>
      <w:r w:rsidR="00CA480E">
        <w:t>–</w:t>
      </w:r>
      <w:r w:rsidR="00263BCB" w:rsidRPr="005D213B">
        <w:t xml:space="preserve">2016, and the implementation of the Operative Programme for 2014 of the Subgroup for Combating the Sale of Children. In addition to following domestic laws, policies, institutional setup and the ratified international agreements, the Analysis is focused on the European Convention on Action against Trafficking in Human Beings, and the EU Anti-Trafficking Directive 36/2911, with a strong accent on the practical situation on the terrain. </w:t>
      </w:r>
    </w:p>
    <w:p w14:paraId="3DA9F80B" w14:textId="734DD14A" w:rsidR="00263BCB" w:rsidRPr="005D213B" w:rsidRDefault="00570685" w:rsidP="00570685">
      <w:pPr>
        <w:pStyle w:val="ParaNoG"/>
        <w:numPr>
          <w:ilvl w:val="0"/>
          <w:numId w:val="0"/>
        </w:numPr>
        <w:tabs>
          <w:tab w:val="left" w:pos="0"/>
        </w:tabs>
        <w:ind w:left="1134"/>
      </w:pPr>
      <w:r w:rsidRPr="005D213B">
        <w:t>270.</w:t>
      </w:r>
      <w:r w:rsidRPr="005D213B">
        <w:tab/>
      </w:r>
      <w:r w:rsidR="00263BCB" w:rsidRPr="005D213B">
        <w:t>In line with Recommendation 27, which is dedicated to the need for preventing endangered children from becoming victims of the crimes outlined in the Protocol, and having in mind the surge of migrant and refugee movements in 2015 which increased the risks of a possible rise in human trafficking as a result of the vulnerability of the migrants who were transiting through the country, the Government adopted several key documents:</w:t>
      </w:r>
    </w:p>
    <w:p w14:paraId="3C9D9D15" w14:textId="222FFF41" w:rsidR="00263BCB" w:rsidRPr="005D552F"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552F">
        <w:t>•</w:t>
      </w:r>
      <w:r w:rsidRPr="005D552F">
        <w:tab/>
      </w:r>
      <w:r w:rsidRPr="005D213B">
        <w:t>SOPs for the conduct with unaccompanied foreign children,</w:t>
      </w:r>
      <w:r w:rsidRPr="005D552F">
        <w:t xml:space="preserve"> which organizes the sum of methods, procedures and manners of actions that the relevant institutions can take with an unidentified unaccompanied foreign child.</w:t>
      </w:r>
    </w:p>
    <w:p w14:paraId="059FF55D" w14:textId="6C5F6198" w:rsidR="00263BCB" w:rsidRPr="005D552F"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552F">
        <w:t>•</w:t>
      </w:r>
      <w:r w:rsidRPr="005D552F">
        <w:tab/>
        <w:t xml:space="preserve">SOPs for treatment of vulnerable categories of foreign nationals, which promote a gender-sensitive approach oriented towards the vulnerability of these individuals, and enables a procedure that promotes their basic human rights. </w:t>
      </w:r>
    </w:p>
    <w:p w14:paraId="6494B63E" w14:textId="493E0C01" w:rsidR="00263BCB" w:rsidRPr="005D213B" w:rsidRDefault="00263BCB" w:rsidP="00263BCB">
      <w:pPr>
        <w:pStyle w:val="Bullet1G"/>
        <w:numPr>
          <w:ilvl w:val="0"/>
          <w:numId w:val="0"/>
        </w:numPr>
        <w:tabs>
          <w:tab w:val="left" w:pos="1701"/>
        </w:tabs>
        <w:kinsoku w:val="0"/>
        <w:overflowPunct w:val="0"/>
        <w:autoSpaceDE w:val="0"/>
        <w:autoSpaceDN w:val="0"/>
        <w:adjustRightInd w:val="0"/>
        <w:snapToGrid w:val="0"/>
        <w:ind w:left="1701" w:hanging="170"/>
      </w:pPr>
      <w:r w:rsidRPr="005D213B">
        <w:t>•</w:t>
      </w:r>
      <w:r w:rsidRPr="005D213B">
        <w:tab/>
        <w:t xml:space="preserve">The National Commission for Combating Human Trafficking and Illegal Migration, in cooperation with experts from the IOM, prepared the Indicators for the Identification of VTHB in the Case of Mixed Migration Movements. </w:t>
      </w:r>
    </w:p>
    <w:p w14:paraId="382050F9" w14:textId="451C8CAE" w:rsidR="00263BCB" w:rsidRPr="005D213B" w:rsidRDefault="00570685" w:rsidP="00570685">
      <w:pPr>
        <w:pStyle w:val="ParaNoG"/>
        <w:numPr>
          <w:ilvl w:val="0"/>
          <w:numId w:val="0"/>
        </w:numPr>
        <w:tabs>
          <w:tab w:val="left" w:pos="0"/>
        </w:tabs>
        <w:ind w:left="1134"/>
      </w:pPr>
      <w:r w:rsidRPr="005D213B">
        <w:t>271.</w:t>
      </w:r>
      <w:r w:rsidRPr="005D213B">
        <w:tab/>
      </w:r>
      <w:r w:rsidR="00263BCB" w:rsidRPr="005D213B">
        <w:t xml:space="preserve">Refugee children and children under subsidiary protection (in this case there were unaccompanied children who were granted international protection) are provided access to education and healthcare under the same conditions as Macedonian nationals. In 2012, the Law on Health Insurance was amended to ensure that any persons put under international protection are equal to Macedonian nationals in their access to health insurance. Furthermore, refugee families that have voluntarily entered the process for local integration are receiving mentorship and concrete assistance in their everyday lives by the Centre for Integration of Refugees and Foreigners, including the obligation of attending elementary and secondary school, which is mandatory. </w:t>
      </w:r>
    </w:p>
    <w:p w14:paraId="4ACF423D" w14:textId="4741DF33" w:rsidR="00263BCB" w:rsidRPr="005D213B" w:rsidRDefault="00570685" w:rsidP="00570685">
      <w:pPr>
        <w:pStyle w:val="ParaNoG"/>
        <w:numPr>
          <w:ilvl w:val="0"/>
          <w:numId w:val="0"/>
        </w:numPr>
        <w:tabs>
          <w:tab w:val="left" w:pos="0"/>
        </w:tabs>
        <w:ind w:left="1134"/>
      </w:pPr>
      <w:r w:rsidRPr="005D213B">
        <w:t>272.</w:t>
      </w:r>
      <w:r w:rsidRPr="005D213B">
        <w:tab/>
      </w:r>
      <w:r w:rsidR="00263BCB" w:rsidRPr="005D213B">
        <w:t>In regards to Roma integration, see Chapter IX, Special measures for protection under Item b).</w:t>
      </w:r>
    </w:p>
    <w:p w14:paraId="0C2CF993" w14:textId="54D33FC2" w:rsidR="00263BCB" w:rsidRPr="005D213B" w:rsidRDefault="00570685" w:rsidP="00570685">
      <w:pPr>
        <w:pStyle w:val="ParaNoG"/>
        <w:numPr>
          <w:ilvl w:val="0"/>
          <w:numId w:val="0"/>
        </w:numPr>
        <w:tabs>
          <w:tab w:val="left" w:pos="0"/>
        </w:tabs>
        <w:ind w:left="1134"/>
      </w:pPr>
      <w:r w:rsidRPr="005D213B">
        <w:t>273.</w:t>
      </w:r>
      <w:r w:rsidRPr="005D213B">
        <w:tab/>
      </w:r>
      <w:r w:rsidR="00263BCB" w:rsidRPr="005D213B">
        <w:t xml:space="preserve">In regards to Recommendation 33, dedicated to the priority of providing appropriate gender-sensitive assistance, and in line with the Law on Equal Opportunities for Women and Men intended to provide the aspect of gender on all levels, the training that the MLSP provides takes care to observe the concept of gender, as well as on making sure that the services that are being provided fit the specific needs of both girls and boys. </w:t>
      </w:r>
    </w:p>
    <w:p w14:paraId="346F46F5" w14:textId="6CFD848E" w:rsidR="00263BCB" w:rsidRPr="005D552F" w:rsidRDefault="00570685" w:rsidP="00570685">
      <w:pPr>
        <w:pStyle w:val="ParaNoG"/>
        <w:numPr>
          <w:ilvl w:val="0"/>
          <w:numId w:val="0"/>
        </w:numPr>
        <w:tabs>
          <w:tab w:val="left" w:pos="0"/>
        </w:tabs>
        <w:ind w:left="1134"/>
      </w:pPr>
      <w:r w:rsidRPr="005D552F">
        <w:t>274.</w:t>
      </w:r>
      <w:r w:rsidRPr="005D552F">
        <w:tab/>
      </w:r>
      <w:r w:rsidR="00263BCB" w:rsidRPr="005D213B">
        <w:t xml:space="preserve">In this context, a two-day training session on the gender dimensions of human trafficking was held in Struga, in 2016. It was organized by </w:t>
      </w:r>
      <w:r w:rsidR="00263BCB" w:rsidRPr="005D552F">
        <w:t xml:space="preserve">the Macedonian Young Lawyers Association and the UN Women Office, and it was aimed at police officers, social workers and civil organizations. Likewise, the concept of gender in human trafficking was covered in the training sessions organized by the NC with the support of the IOM (October 17 and 18, 2016), intended for the application of the SOPs for the identification of unaccompanied children – children foreigners and other vulnerable categories of foreigners. </w:t>
      </w:r>
    </w:p>
    <w:p w14:paraId="2C01F494" w14:textId="22F6B153" w:rsidR="00263BCB" w:rsidRPr="005D552F" w:rsidRDefault="00570685" w:rsidP="00570685">
      <w:pPr>
        <w:pStyle w:val="ParaNoG"/>
        <w:numPr>
          <w:ilvl w:val="0"/>
          <w:numId w:val="0"/>
        </w:numPr>
        <w:tabs>
          <w:tab w:val="left" w:pos="0"/>
        </w:tabs>
        <w:ind w:left="1134"/>
      </w:pPr>
      <w:r w:rsidRPr="005D552F">
        <w:t>275.</w:t>
      </w:r>
      <w:r w:rsidRPr="005D552F">
        <w:tab/>
      </w:r>
      <w:r w:rsidR="00263BCB" w:rsidRPr="005D552F">
        <w:t xml:space="preserve">In line with Recommendation 37, regarding the cooperation with NGOs and providing supporting for their activities in the sense of insuring access to the appropriate services for child victims of the practices outlined in the Protocol, each year, the </w:t>
      </w:r>
      <w:r w:rsidR="00263BCB" w:rsidRPr="005D213B">
        <w:t>MLSP allocates funding for overheads to the Centre for VTHB and victims of sexual violence, while the services themselves are provided by the civil organizations with whom the MLSP has signed a Memorandum of Cooperation (covered in the reply to Recommendation 22).</w:t>
      </w:r>
      <w:r w:rsidR="00263BCB" w:rsidRPr="005D552F">
        <w:t xml:space="preserve"> </w:t>
      </w:r>
    </w:p>
    <w:p w14:paraId="6210A7DB" w14:textId="385B55C8" w:rsidR="00263BCB" w:rsidRPr="005D213B" w:rsidRDefault="00570685" w:rsidP="00570685">
      <w:pPr>
        <w:pStyle w:val="ParaNoG"/>
        <w:numPr>
          <w:ilvl w:val="0"/>
          <w:numId w:val="0"/>
        </w:numPr>
        <w:tabs>
          <w:tab w:val="left" w:pos="0"/>
        </w:tabs>
        <w:ind w:left="1134"/>
      </w:pPr>
      <w:r w:rsidRPr="005D213B">
        <w:t>276.</w:t>
      </w:r>
      <w:r w:rsidRPr="005D213B">
        <w:tab/>
      </w:r>
      <w:r w:rsidR="00263BCB" w:rsidRPr="005D552F">
        <w:t xml:space="preserve">At the </w:t>
      </w:r>
      <w:r w:rsidR="00263BCB" w:rsidRPr="005D213B">
        <w:t>Centre for VTHB and victims of sexual violence there is a separate room for the accommodation of children, while the other rooms are shared with the adults.</w:t>
      </w:r>
    </w:p>
    <w:p w14:paraId="34047173" w14:textId="5C07F553" w:rsidR="00263BCB" w:rsidRPr="005D213B" w:rsidRDefault="00570685" w:rsidP="00570685">
      <w:pPr>
        <w:pStyle w:val="ParaNoG"/>
        <w:numPr>
          <w:ilvl w:val="0"/>
          <w:numId w:val="0"/>
        </w:numPr>
        <w:tabs>
          <w:tab w:val="left" w:pos="0"/>
        </w:tabs>
        <w:ind w:left="1134"/>
      </w:pPr>
      <w:r w:rsidRPr="005D213B">
        <w:lastRenderedPageBreak/>
        <w:t>277.</w:t>
      </w:r>
      <w:r w:rsidRPr="005D213B">
        <w:tab/>
      </w:r>
      <w:r w:rsidR="00263BCB" w:rsidRPr="005D213B">
        <w:t>Each of the 30 SWCs has two trained social workers who are nominated in part by the NRM for VTHB. These social workers are tasked with aiding and supporting the reintegration of child VTHB.</w:t>
      </w:r>
    </w:p>
    <w:p w14:paraId="29810A0B" w14:textId="705084EA" w:rsidR="00263BCB" w:rsidRPr="005D552F" w:rsidRDefault="00570685" w:rsidP="00570685">
      <w:pPr>
        <w:pStyle w:val="ParaNoG"/>
        <w:numPr>
          <w:ilvl w:val="0"/>
          <w:numId w:val="0"/>
        </w:numPr>
        <w:tabs>
          <w:tab w:val="left" w:pos="0"/>
        </w:tabs>
        <w:ind w:left="1134"/>
      </w:pPr>
      <w:r w:rsidRPr="005D552F">
        <w:t>278.</w:t>
      </w:r>
      <w:r w:rsidRPr="005D552F">
        <w:tab/>
      </w:r>
      <w:r w:rsidR="00263BCB" w:rsidRPr="005D552F">
        <w:t xml:space="preserve">2018 saw the drafting of internal documents, as well as the introduction of amendments to the Rulebook for norms and standards for premises, equipment, expert staff and resources required for the establishment and commencement of operation of social care institutions. </w:t>
      </w:r>
    </w:p>
    <w:p w14:paraId="566B037D" w14:textId="77777777" w:rsidR="00263BCB" w:rsidRPr="005D213B" w:rsidRDefault="00263BCB" w:rsidP="00263BCB">
      <w:pPr>
        <w:pStyle w:val="H1G"/>
      </w:pPr>
      <w:r>
        <w:tab/>
      </w:r>
      <w:bookmarkStart w:id="97" w:name="_Toc56781493"/>
      <w:r w:rsidRPr="005D213B">
        <w:t>11.</w:t>
      </w:r>
      <w:r>
        <w:tab/>
      </w:r>
      <w:r w:rsidRPr="005D213B">
        <w:t>Activities for the implementation of the Optional Protocol to the Convention on the Rights of the Child on the Involvement of Children in Armed Conflict</w:t>
      </w:r>
      <w:bookmarkEnd w:id="97"/>
    </w:p>
    <w:p w14:paraId="6271B4CA" w14:textId="37270DFD" w:rsidR="00263BCB" w:rsidRPr="005D552F" w:rsidRDefault="00570685" w:rsidP="00570685">
      <w:pPr>
        <w:pStyle w:val="ParaNoG"/>
        <w:numPr>
          <w:ilvl w:val="0"/>
          <w:numId w:val="0"/>
        </w:numPr>
        <w:tabs>
          <w:tab w:val="left" w:pos="0"/>
        </w:tabs>
        <w:ind w:left="1134"/>
      </w:pPr>
      <w:r w:rsidRPr="005D552F">
        <w:t>279.</w:t>
      </w:r>
      <w:r w:rsidRPr="005D552F">
        <w:tab/>
      </w:r>
      <w:r w:rsidR="00263BCB" w:rsidRPr="005D552F">
        <w:t>The recommendations of the Optional Protocol to the Convention on the Rights of the Child on the Involvement of Children in Armed Conflict have been integrated into the Criminal Code by amendments. Namely, Article 404: War crimes against the civil population incriminates the</w:t>
      </w:r>
      <w:r w:rsidR="00A21C4B">
        <w:t xml:space="preserve"> “</w:t>
      </w:r>
      <w:r w:rsidR="00263BCB" w:rsidRPr="005D552F">
        <w:t>recruitment of persons younger than 18 years of age in the armed forces that are not the armed forced of the state and their use by their active participation in armed activities contrary to the conditions determined by the international law.</w:t>
      </w:r>
      <w:r w:rsidR="00A21C4B">
        <w:t>”</w:t>
      </w:r>
    </w:p>
    <w:p w14:paraId="3F31962E" w14:textId="1D35E1E0" w:rsidR="00263BCB" w:rsidRPr="005D213B" w:rsidRDefault="00570685" w:rsidP="00570685">
      <w:pPr>
        <w:pStyle w:val="ParaNoG"/>
        <w:numPr>
          <w:ilvl w:val="0"/>
          <w:numId w:val="0"/>
        </w:numPr>
        <w:tabs>
          <w:tab w:val="left" w:pos="0"/>
        </w:tabs>
        <w:ind w:left="1134"/>
      </w:pPr>
      <w:r w:rsidRPr="005D213B">
        <w:t>280.</w:t>
      </w:r>
      <w:r w:rsidRPr="005D213B">
        <w:tab/>
      </w:r>
      <w:r w:rsidR="00263BCB" w:rsidRPr="005D213B">
        <w:t>With respect to Recommendation No. 14 of the Committee</w:t>
      </w:r>
      <w:r w:rsidR="00A21C4B">
        <w:t>’</w:t>
      </w:r>
      <w:r w:rsidR="00263BCB" w:rsidRPr="005D213B">
        <w:t xml:space="preserve">s Concluding Observations (regarding the Report submitted under Article 8 of the Optional Protocol to the Convention on the Rights of the Child on the involvement of children in armed conflict), i.e. a mechanism to follow up with unaccompanied and separated children once they leave the reception centres, children who have been recognized the right to international protection are covered by the Centre for Integration of Refugees and Foreigners, established in 2009, the task of which is to develop individualized integration plans and follow up on the pursuance of activities set forth under such integration plans. </w:t>
      </w:r>
    </w:p>
    <w:p w14:paraId="6C5B32A8" w14:textId="5DA1A4A3" w:rsidR="00263BCB" w:rsidRPr="005D213B" w:rsidRDefault="00570685" w:rsidP="00570685">
      <w:pPr>
        <w:pStyle w:val="ParaNoG"/>
        <w:numPr>
          <w:ilvl w:val="0"/>
          <w:numId w:val="0"/>
        </w:numPr>
        <w:tabs>
          <w:tab w:val="left" w:pos="0"/>
        </w:tabs>
        <w:ind w:left="1134"/>
      </w:pPr>
      <w:r w:rsidRPr="005D213B">
        <w:t>281.</w:t>
      </w:r>
      <w:r w:rsidRPr="005D213B">
        <w:tab/>
      </w:r>
      <w:r w:rsidR="00263BCB" w:rsidRPr="005D213B">
        <w:t xml:space="preserve">The MoI has been tasked with developing specific mechanisms to identify children who have been involved in armed conflict and to organize relevant training for staff that would work with this category of children (for more details see Part IX </w:t>
      </w:r>
      <w:r w:rsidR="00CA480E">
        <w:t>–</w:t>
      </w:r>
      <w:r w:rsidR="00263BCB" w:rsidRPr="005D213B">
        <w:t xml:space="preserve"> Special Protection Measures, item a).</w:t>
      </w:r>
    </w:p>
    <w:p w14:paraId="01B34FF8" w14:textId="05886BF1" w:rsidR="00263BCB" w:rsidRPr="005D213B" w:rsidRDefault="00570685" w:rsidP="00570685">
      <w:pPr>
        <w:pStyle w:val="ParaNoG"/>
        <w:numPr>
          <w:ilvl w:val="0"/>
          <w:numId w:val="0"/>
        </w:numPr>
        <w:tabs>
          <w:tab w:val="left" w:pos="0"/>
        </w:tabs>
        <w:ind w:left="1134"/>
      </w:pPr>
      <w:r w:rsidRPr="005D213B">
        <w:t>282.</w:t>
      </w:r>
      <w:r w:rsidRPr="005D213B">
        <w:tab/>
      </w:r>
      <w:r w:rsidR="00263BCB" w:rsidRPr="005D213B">
        <w:t>In the context of Recommendation 19 of the same Concluding Observations, according to the Law on Arms, only firearms, ammunition and their parts, which have been examined and marked in line with regulations governing the examination and marking of hand firearms and ammunition, may be traded.</w:t>
      </w:r>
      <w:r w:rsidR="00A21C4B">
        <w:t xml:space="preserve"> </w:t>
      </w:r>
    </w:p>
    <w:p w14:paraId="570F9729" w14:textId="304FEEC9" w:rsidR="00263BCB" w:rsidRPr="005D213B" w:rsidRDefault="00570685" w:rsidP="00570685">
      <w:pPr>
        <w:pStyle w:val="ParaNoG"/>
        <w:numPr>
          <w:ilvl w:val="0"/>
          <w:numId w:val="0"/>
        </w:numPr>
        <w:tabs>
          <w:tab w:val="left" w:pos="0"/>
        </w:tabs>
        <w:ind w:left="1134"/>
      </w:pPr>
      <w:r w:rsidRPr="005D213B">
        <w:t>283.</w:t>
      </w:r>
      <w:r w:rsidRPr="005D213B">
        <w:tab/>
      </w:r>
      <w:r w:rsidR="00263BCB" w:rsidRPr="005D213B">
        <w:t xml:space="preserve">Only companies, which have a registered seat in the territory of the country and which have been issued a permit to engage in such economic activity may trade in firearms, ammunition and their parts. </w:t>
      </w:r>
    </w:p>
    <w:p w14:paraId="0C26F756" w14:textId="3E71D6F3" w:rsidR="00263BCB" w:rsidRDefault="00570685" w:rsidP="00570685">
      <w:pPr>
        <w:pStyle w:val="ParaNoG"/>
        <w:numPr>
          <w:ilvl w:val="0"/>
          <w:numId w:val="0"/>
        </w:numPr>
        <w:tabs>
          <w:tab w:val="left" w:pos="0"/>
        </w:tabs>
        <w:ind w:left="1134"/>
      </w:pPr>
      <w:r>
        <w:t>284.</w:t>
      </w:r>
      <w:r>
        <w:tab/>
      </w:r>
      <w:r w:rsidR="00263BCB" w:rsidRPr="005D213B">
        <w:t>According to Article 396 of the Criminal Code (Unauthorized manufacture, possession, mediation and trade in weapons or explosive materials), whosoever without authorization manufactures, possesses, procures, mediates in trade or exchanges firearms, ammunition or explosive materials shall be sentenced to imprisonment of three to ten years.</w:t>
      </w:r>
    </w:p>
    <w:p w14:paraId="4DEB56E3" w14:textId="6ACC5B11" w:rsidR="00837F3B" w:rsidRDefault="00CA480E" w:rsidP="00CA480E">
      <w:pPr>
        <w:pStyle w:val="SingleTxtG"/>
        <w:spacing w:before="240" w:line="240" w:lineRule="atLeast"/>
        <w:jc w:val="center"/>
        <w:rPr>
          <w:u w:val="single"/>
        </w:rPr>
      </w:pPr>
      <w:r>
        <w:rPr>
          <w:u w:val="single"/>
        </w:rPr>
        <w:tab/>
      </w:r>
      <w:r>
        <w:rPr>
          <w:u w:val="single"/>
        </w:rPr>
        <w:tab/>
      </w:r>
      <w:r>
        <w:rPr>
          <w:u w:val="single"/>
        </w:rPr>
        <w:tab/>
      </w:r>
    </w:p>
    <w:sectPr w:rsidR="00837F3B" w:rsidSect="00ED625E">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DD5A" w14:textId="77777777" w:rsidR="006B0754" w:rsidRPr="00C60504" w:rsidRDefault="006B0754" w:rsidP="00C60504"/>
  </w:endnote>
  <w:endnote w:type="continuationSeparator" w:id="0">
    <w:p w14:paraId="600B8710" w14:textId="77777777" w:rsidR="006B0754" w:rsidRPr="00C60504" w:rsidRDefault="006B0754" w:rsidP="00C60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Regular">
    <w:altName w:val="Times New Roman"/>
    <w:panose1 w:val="00000000000000000000"/>
    <w:charset w:val="00"/>
    <w:family w:val="roman"/>
    <w:notTrueType/>
    <w:pitch w:val="default"/>
  </w:font>
  <w:font w:name="StobiSerif Regular">
    <w:altName w:val="Cambria"/>
    <w:panose1 w:val="00000000000000000000"/>
    <w:charset w:val="00"/>
    <w:family w:val="modern"/>
    <w:notTrueType/>
    <w:pitch w:val="variable"/>
    <w:sig w:usb0="A00002AF" w:usb1="5000204B"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CA03" w14:textId="3E8FFD57" w:rsidR="006B0754" w:rsidRDefault="006B0754" w:rsidP="00263BCB">
    <w:pPr>
      <w:tabs>
        <w:tab w:val="right" w:pos="9638"/>
      </w:tabs>
    </w:pPr>
    <w:r w:rsidRPr="00263BCB">
      <w:rPr>
        <w:b/>
        <w:bCs/>
        <w:sz w:val="18"/>
      </w:rPr>
      <w:fldChar w:fldCharType="begin"/>
    </w:r>
    <w:r w:rsidRPr="00263BCB">
      <w:rPr>
        <w:b/>
        <w:bCs/>
        <w:sz w:val="18"/>
      </w:rPr>
      <w:instrText xml:space="preserve"> PAGE  \* MERGEFORMAT </w:instrText>
    </w:r>
    <w:r w:rsidRPr="00263BCB">
      <w:rPr>
        <w:b/>
        <w:bCs/>
        <w:sz w:val="18"/>
      </w:rPr>
      <w:fldChar w:fldCharType="separate"/>
    </w:r>
    <w:r w:rsidR="004857FF">
      <w:rPr>
        <w:b/>
        <w:bCs/>
        <w:noProof/>
        <w:sz w:val="18"/>
      </w:rPr>
      <w:t>4</w:t>
    </w:r>
    <w:r w:rsidRPr="00263BC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B46A" w14:textId="79E31088" w:rsidR="006B0754" w:rsidRDefault="006B0754" w:rsidP="00263BCB">
    <w:pPr>
      <w:tabs>
        <w:tab w:val="right" w:pos="9638"/>
      </w:tabs>
    </w:pPr>
    <w:r>
      <w:tab/>
    </w:r>
    <w:r w:rsidRPr="00263BCB">
      <w:rPr>
        <w:b/>
        <w:bCs/>
        <w:sz w:val="18"/>
      </w:rPr>
      <w:fldChar w:fldCharType="begin"/>
    </w:r>
    <w:r w:rsidRPr="00263BCB">
      <w:rPr>
        <w:b/>
        <w:bCs/>
        <w:sz w:val="18"/>
      </w:rPr>
      <w:instrText xml:space="preserve"> PAGE  \* MERGEFORMAT </w:instrText>
    </w:r>
    <w:r w:rsidRPr="00263BCB">
      <w:rPr>
        <w:b/>
        <w:bCs/>
        <w:sz w:val="18"/>
      </w:rPr>
      <w:fldChar w:fldCharType="separate"/>
    </w:r>
    <w:r w:rsidR="004857FF">
      <w:rPr>
        <w:b/>
        <w:bCs/>
        <w:noProof/>
        <w:sz w:val="18"/>
      </w:rPr>
      <w:t>5</w:t>
    </w:r>
    <w:r w:rsidRPr="00263BC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4B49" w14:textId="3DCF36C9" w:rsidR="00570685" w:rsidRDefault="00570685" w:rsidP="00570685">
    <w:pPr>
      <w:pStyle w:val="Footer"/>
    </w:pPr>
    <w:r>
      <w:rPr>
        <w:rFonts w:ascii="C39T30Lfz" w:hAnsi="C39T30Lfz"/>
        <w:noProof/>
        <w:sz w:val="56"/>
      </w:rPr>
      <w:drawing>
        <wp:anchor distT="0" distB="0" distL="114300" distR="114300" simplePos="0" relativeHeight="251660288" behindDoc="0" locked="0" layoutInCell="1" allowOverlap="1" wp14:anchorId="5D0BBB0C" wp14:editId="7D303BC4">
          <wp:simplePos x="0" y="0"/>
          <wp:positionH relativeFrom="column">
            <wp:posOffset>5441315</wp:posOffset>
          </wp:positionH>
          <wp:positionV relativeFrom="paragraph">
            <wp:posOffset>-156210</wp:posOffset>
          </wp:positionV>
          <wp:extent cx="561975" cy="561975"/>
          <wp:effectExtent l="0" t="0" r="952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1" layoutInCell="1" allowOverlap="1" wp14:anchorId="41B98A0D" wp14:editId="3497076C">
          <wp:simplePos x="0" y="0"/>
          <wp:positionH relativeFrom="margin">
            <wp:posOffset>4404360</wp:posOffset>
          </wp:positionH>
          <wp:positionV relativeFrom="margin">
            <wp:posOffset>9267190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5EE2F65" w14:textId="42EB8451" w:rsidR="00570685" w:rsidRDefault="00570685" w:rsidP="00570685">
    <w:pPr>
      <w:pStyle w:val="Footer"/>
      <w:ind w:right="1134"/>
      <w:rPr>
        <w:sz w:val="20"/>
      </w:rPr>
    </w:pPr>
    <w:r>
      <w:rPr>
        <w:sz w:val="20"/>
      </w:rPr>
      <w:t>GE.20-15762(E)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99ACD" w14:textId="77777777" w:rsidR="006B0754" w:rsidRPr="00C60504" w:rsidRDefault="006B0754" w:rsidP="00C60504">
      <w:pPr>
        <w:tabs>
          <w:tab w:val="right" w:pos="2155"/>
        </w:tabs>
        <w:spacing w:after="80"/>
        <w:ind w:left="680"/>
      </w:pPr>
      <w:r>
        <w:rPr>
          <w:u w:val="single"/>
        </w:rPr>
        <w:tab/>
      </w:r>
    </w:p>
  </w:footnote>
  <w:footnote w:type="continuationSeparator" w:id="0">
    <w:p w14:paraId="3E5450C2" w14:textId="77777777" w:rsidR="006B0754" w:rsidRPr="00C60504" w:rsidRDefault="006B0754" w:rsidP="00C60504">
      <w:pPr>
        <w:tabs>
          <w:tab w:val="right" w:pos="2155"/>
        </w:tabs>
        <w:spacing w:after="80"/>
        <w:ind w:left="680"/>
      </w:pPr>
      <w:r>
        <w:rPr>
          <w:u w:val="single"/>
        </w:rPr>
        <w:tab/>
      </w:r>
    </w:p>
  </w:footnote>
  <w:footnote w:id="1">
    <w:p w14:paraId="16D9C4E5" w14:textId="77777777" w:rsidR="006B0754" w:rsidRPr="00763DB9" w:rsidRDefault="006B0754" w:rsidP="00263BCB">
      <w:pPr>
        <w:pStyle w:val="FootnoteText"/>
      </w:pPr>
      <w:r w:rsidRPr="00763DB9">
        <w:tab/>
      </w:r>
      <w:r w:rsidRPr="00263BCB">
        <w:rPr>
          <w:sz w:val="20"/>
          <w:szCs w:val="22"/>
        </w:rPr>
        <w:t>*</w:t>
      </w:r>
      <w:r w:rsidRPr="00763DB9">
        <w:tab/>
        <w:t>The present document is being issued without formal editing.</w:t>
      </w:r>
    </w:p>
  </w:footnote>
  <w:footnote w:id="2">
    <w:p w14:paraId="3B634DDF"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OG No. 148/2013.</w:t>
      </w:r>
    </w:p>
  </w:footnote>
  <w:footnote w:id="3">
    <w:p w14:paraId="6BAF4531" w14:textId="77777777" w:rsidR="006B0754" w:rsidRPr="00763DB9" w:rsidRDefault="006B0754" w:rsidP="00263BCB">
      <w:pPr>
        <w:pStyle w:val="FootnoteText"/>
      </w:pPr>
      <w:r w:rsidRPr="00763DB9">
        <w:rPr>
          <w:rFonts w:eastAsia="StobiSerifRegular"/>
        </w:rPr>
        <w:tab/>
      </w:r>
      <w:r w:rsidRPr="00A21C4B">
        <w:rPr>
          <w:rStyle w:val="FootnoteReference"/>
        </w:rPr>
        <w:footnoteRef/>
      </w:r>
      <w:r w:rsidRPr="00A21C4B">
        <w:rPr>
          <w:rStyle w:val="FootnoteReference"/>
        </w:rPr>
        <w:tab/>
      </w:r>
      <w:r w:rsidRPr="00763DB9">
        <w:rPr>
          <w:rFonts w:eastAsia="StobiSerifRegular"/>
        </w:rPr>
        <w:t xml:space="preserve">OG No. </w:t>
      </w:r>
      <w:r w:rsidRPr="00763DB9">
        <w:t>80/92, 9/96, 38/04, 33/06, 84/08, 67/10, 156/10, 39/12, 44/12, 38/14, 115/14, 104/15 and 150/15.</w:t>
      </w:r>
    </w:p>
  </w:footnote>
  <w:footnote w:id="4">
    <w:p w14:paraId="3DFE5932"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OG No. 148/13.</w:t>
      </w:r>
    </w:p>
  </w:footnote>
  <w:footnote w:id="5">
    <w:p w14:paraId="61B09852"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OG No. 23/13.</w:t>
      </w:r>
    </w:p>
  </w:footnote>
  <w:footnote w:id="6">
    <w:p w14:paraId="4ED074BA"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The Law is not in force.</w:t>
      </w:r>
    </w:p>
  </w:footnote>
  <w:footnote w:id="7">
    <w:p w14:paraId="2E1AF5D6" w14:textId="77777777" w:rsidR="006B0754" w:rsidRPr="006B0754" w:rsidRDefault="006B0754" w:rsidP="00263BCB">
      <w:pPr>
        <w:pStyle w:val="FootnoteText"/>
        <w:rPr>
          <w:rFonts w:eastAsia="StobiSerifRegular"/>
          <w:lang w:val="es-ES_tradnl"/>
        </w:rPr>
      </w:pPr>
      <w:r w:rsidRPr="00763DB9">
        <w:rPr>
          <w:bCs/>
        </w:rPr>
        <w:tab/>
      </w:r>
      <w:r w:rsidRPr="00A21C4B">
        <w:rPr>
          <w:rStyle w:val="FootnoteReference"/>
        </w:rPr>
        <w:footnoteRef/>
      </w:r>
      <w:r w:rsidRPr="006B0754">
        <w:rPr>
          <w:rStyle w:val="FootnoteReference"/>
          <w:lang w:val="es-ES_tradnl"/>
        </w:rPr>
        <w:tab/>
      </w:r>
      <w:r w:rsidRPr="006B0754">
        <w:rPr>
          <w:rFonts w:eastAsia="StobiSerifRegular"/>
          <w:lang w:val="es-ES_tradnl"/>
        </w:rPr>
        <w:t>OG No.52/1991, 1/1992, 31/1998, 91/2001, 84/2003, 107/2005).</w:t>
      </w:r>
    </w:p>
  </w:footnote>
  <w:footnote w:id="8">
    <w:p w14:paraId="5B55ECA8" w14:textId="77777777" w:rsidR="006B0754" w:rsidRPr="006B0754" w:rsidRDefault="006B0754" w:rsidP="00263BCB">
      <w:pPr>
        <w:pStyle w:val="FootnoteText"/>
        <w:rPr>
          <w:lang w:val="es-ES_tradnl"/>
        </w:rPr>
      </w:pPr>
      <w:r w:rsidRPr="006B0754">
        <w:rPr>
          <w:lang w:val="es-ES_tradnl"/>
        </w:rPr>
        <w:tab/>
      </w:r>
      <w:r w:rsidRPr="00A21C4B">
        <w:rPr>
          <w:rStyle w:val="FootnoteReference"/>
        </w:rPr>
        <w:footnoteRef/>
      </w:r>
      <w:r w:rsidRPr="006B0754">
        <w:rPr>
          <w:rStyle w:val="FootnoteReference"/>
          <w:lang w:val="es-ES_tradnl"/>
        </w:rPr>
        <w:tab/>
      </w:r>
      <w:r w:rsidRPr="006B0754">
        <w:rPr>
          <w:lang w:val="es-ES_tradnl"/>
        </w:rPr>
        <w:t>OG No. 148/13.</w:t>
      </w:r>
    </w:p>
  </w:footnote>
  <w:footnote w:id="9">
    <w:p w14:paraId="0A64C1AD" w14:textId="77777777" w:rsidR="006B0754" w:rsidRPr="006B0754" w:rsidRDefault="006B0754" w:rsidP="00263BCB">
      <w:pPr>
        <w:pStyle w:val="FootnoteText"/>
        <w:rPr>
          <w:lang w:val="es-ES_tradnl"/>
        </w:rPr>
      </w:pPr>
      <w:r w:rsidRPr="006B0754">
        <w:rPr>
          <w:lang w:val="es-ES_tradnl"/>
        </w:rPr>
        <w:tab/>
      </w:r>
      <w:r w:rsidRPr="00A21C4B">
        <w:rPr>
          <w:rStyle w:val="FootnoteReference"/>
        </w:rPr>
        <w:footnoteRef/>
      </w:r>
      <w:r w:rsidRPr="006B0754">
        <w:rPr>
          <w:rStyle w:val="FootnoteReference"/>
          <w:lang w:val="es-ES_tradnl"/>
        </w:rPr>
        <w:tab/>
      </w:r>
      <w:r w:rsidRPr="006B0754">
        <w:rPr>
          <w:lang w:val="es-ES_tradnl"/>
        </w:rPr>
        <w:t>OG No. 23/13.</w:t>
      </w:r>
    </w:p>
  </w:footnote>
  <w:footnote w:id="10">
    <w:p w14:paraId="5666B8C0" w14:textId="77777777" w:rsidR="006B0754" w:rsidRPr="00763DB9" w:rsidRDefault="006B0754" w:rsidP="00263BCB">
      <w:pPr>
        <w:pStyle w:val="FootnoteText"/>
      </w:pPr>
      <w:r w:rsidRPr="006B0754">
        <w:rPr>
          <w:lang w:val="es-ES_tradnl"/>
        </w:rPr>
        <w:tab/>
      </w:r>
      <w:r w:rsidRPr="00A21C4B">
        <w:rPr>
          <w:rStyle w:val="FootnoteReference"/>
        </w:rPr>
        <w:footnoteRef/>
      </w:r>
      <w:r w:rsidRPr="00A21C4B">
        <w:rPr>
          <w:rStyle w:val="FootnoteReference"/>
        </w:rPr>
        <w:tab/>
      </w:r>
      <w:r w:rsidRPr="00763DB9">
        <w:t>The Body is led by the MLSP, and is composed of representatives of all in-line ministries, civil society organizations and international organizations.</w:t>
      </w:r>
    </w:p>
  </w:footnote>
  <w:footnote w:id="11">
    <w:p w14:paraId="3DCA92B7"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Intersectoral Teams for protection of children against abuse and neglect have been established in the cities of Skopje, Gostivar, Stip, Bitola, Kumanovo, Veles, Gevgelija and Ohrid.</w:t>
      </w:r>
    </w:p>
  </w:footnote>
  <w:footnote w:id="12">
    <w:p w14:paraId="1F6B3EB7"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 Institute for Social Protection Affairs.</w:t>
      </w:r>
    </w:p>
  </w:footnote>
  <w:footnote w:id="13">
    <w:p w14:paraId="7051A9DA"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 xml:space="preserve"> </w:t>
      </w:r>
      <w:r w:rsidRPr="00763DB9">
        <w:tab/>
      </w:r>
      <w:r w:rsidRPr="00763DB9">
        <w:rPr>
          <w:bCs/>
        </w:rPr>
        <w:t>OG No. 135/2010.</w:t>
      </w:r>
    </w:p>
  </w:footnote>
  <w:footnote w:id="14">
    <w:p w14:paraId="07EDF2F4"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rPr>
          <w:lang w:eastAsia="mk-MK"/>
        </w:rPr>
        <w:t>OG No. 148 /2013.</w:t>
      </w:r>
    </w:p>
  </w:footnote>
  <w:footnote w:id="15">
    <w:p w14:paraId="4E8E3DB3" w14:textId="77777777" w:rsidR="006B0754" w:rsidRPr="006B0754" w:rsidRDefault="006B0754" w:rsidP="00263BCB">
      <w:pPr>
        <w:pStyle w:val="FootnoteText"/>
        <w:rPr>
          <w:lang w:val="es-ES_tradnl"/>
        </w:rPr>
      </w:pPr>
      <w:r w:rsidRPr="00763DB9">
        <w:tab/>
      </w:r>
      <w:r w:rsidRPr="00A21C4B">
        <w:rPr>
          <w:rStyle w:val="FootnoteReference"/>
        </w:rPr>
        <w:footnoteRef/>
      </w:r>
      <w:r w:rsidRPr="006B0754">
        <w:rPr>
          <w:rStyle w:val="FootnoteReference"/>
          <w:lang w:val="es-ES_tradnl"/>
        </w:rPr>
        <w:tab/>
      </w:r>
      <w:r w:rsidRPr="006B0754">
        <w:rPr>
          <w:lang w:val="es-ES_tradnl"/>
        </w:rPr>
        <w:t>OG No. 25/15.</w:t>
      </w:r>
    </w:p>
  </w:footnote>
  <w:footnote w:id="16">
    <w:p w14:paraId="41E1EBAC" w14:textId="77777777" w:rsidR="006B0754" w:rsidRPr="006B0754" w:rsidRDefault="006B0754" w:rsidP="00263BCB">
      <w:pPr>
        <w:pStyle w:val="FootnoteText"/>
        <w:rPr>
          <w:lang w:val="es-ES_tradnl"/>
        </w:rPr>
      </w:pPr>
      <w:r w:rsidRPr="006B0754">
        <w:rPr>
          <w:lang w:val="es-ES_tradnl"/>
        </w:rPr>
        <w:tab/>
      </w:r>
      <w:r w:rsidRPr="00A21C4B">
        <w:rPr>
          <w:rStyle w:val="FootnoteReference"/>
        </w:rPr>
        <w:footnoteRef/>
      </w:r>
      <w:r w:rsidRPr="006B0754">
        <w:rPr>
          <w:rStyle w:val="FootnoteReference"/>
          <w:lang w:val="es-ES_tradnl"/>
        </w:rPr>
        <w:tab/>
      </w:r>
      <w:r w:rsidRPr="006B0754">
        <w:rPr>
          <w:lang w:val="es-ES_tradnl"/>
        </w:rPr>
        <w:t>OG No. 71/15.</w:t>
      </w:r>
    </w:p>
  </w:footnote>
  <w:footnote w:id="17">
    <w:p w14:paraId="131AF1B1" w14:textId="77777777" w:rsidR="006B0754" w:rsidRPr="006B0754" w:rsidRDefault="006B0754" w:rsidP="00263BCB">
      <w:pPr>
        <w:pStyle w:val="FootnoteText"/>
        <w:rPr>
          <w:lang w:val="es-ES_tradnl"/>
        </w:rPr>
      </w:pPr>
      <w:r w:rsidRPr="006B0754">
        <w:rPr>
          <w:lang w:val="es-ES_tradnl"/>
        </w:rPr>
        <w:tab/>
      </w:r>
      <w:r w:rsidRPr="00A21C4B">
        <w:rPr>
          <w:rStyle w:val="FootnoteReference"/>
        </w:rPr>
        <w:footnoteRef/>
      </w:r>
      <w:r w:rsidRPr="006B0754">
        <w:rPr>
          <w:rStyle w:val="FootnoteReference"/>
          <w:lang w:val="es-ES_tradnl"/>
        </w:rPr>
        <w:tab/>
      </w:r>
      <w:r w:rsidRPr="006B0754">
        <w:rPr>
          <w:lang w:val="es-ES_tradnl"/>
        </w:rPr>
        <w:t>OG No. 48/18.</w:t>
      </w:r>
    </w:p>
  </w:footnote>
  <w:footnote w:id="18">
    <w:p w14:paraId="0BB6BC5D" w14:textId="77777777" w:rsidR="006B0754" w:rsidRPr="006B0754" w:rsidRDefault="006B0754" w:rsidP="00263BCB">
      <w:pPr>
        <w:pStyle w:val="FootnoteText"/>
        <w:rPr>
          <w:lang w:val="es-ES_tradnl"/>
        </w:rPr>
      </w:pPr>
      <w:r w:rsidRPr="006B0754">
        <w:rPr>
          <w:lang w:val="es-ES_tradnl"/>
        </w:rPr>
        <w:tab/>
      </w:r>
      <w:r w:rsidRPr="00A21C4B">
        <w:rPr>
          <w:rStyle w:val="FootnoteReference"/>
        </w:rPr>
        <w:footnoteRef/>
      </w:r>
      <w:r w:rsidRPr="006B0754">
        <w:rPr>
          <w:rStyle w:val="FootnoteReference"/>
          <w:lang w:val="es-ES_tradnl"/>
        </w:rPr>
        <w:tab/>
      </w:r>
      <w:r w:rsidRPr="006B0754">
        <w:rPr>
          <w:color w:val="000000"/>
          <w:lang w:val="es-ES_tradnl"/>
        </w:rPr>
        <w:t>OG No. 46/14.</w:t>
      </w:r>
    </w:p>
  </w:footnote>
  <w:footnote w:id="19">
    <w:p w14:paraId="7C6503F0" w14:textId="77777777" w:rsidR="006B0754" w:rsidRPr="006B0754" w:rsidRDefault="006B0754" w:rsidP="00263BCB">
      <w:pPr>
        <w:pStyle w:val="FootnoteText"/>
        <w:rPr>
          <w:lang w:val="es-ES_tradnl"/>
        </w:rPr>
      </w:pPr>
      <w:r w:rsidRPr="006B0754">
        <w:rPr>
          <w:lang w:val="es-ES_tradnl"/>
        </w:rPr>
        <w:tab/>
      </w:r>
      <w:r w:rsidRPr="00A21C4B">
        <w:rPr>
          <w:rStyle w:val="FootnoteReference"/>
        </w:rPr>
        <w:footnoteRef/>
      </w:r>
      <w:r w:rsidRPr="006B0754">
        <w:rPr>
          <w:rStyle w:val="FootnoteReference"/>
          <w:lang w:val="es-ES_tradnl"/>
        </w:rPr>
        <w:tab/>
      </w:r>
      <w:r w:rsidRPr="006B0754">
        <w:rPr>
          <w:color w:val="000000"/>
          <w:lang w:val="es-ES_tradnl"/>
        </w:rPr>
        <w:t>OG No. 98/14.</w:t>
      </w:r>
    </w:p>
  </w:footnote>
  <w:footnote w:id="20">
    <w:p w14:paraId="4A550B51" w14:textId="77777777" w:rsidR="006B0754" w:rsidRPr="006B0754" w:rsidRDefault="006B0754" w:rsidP="00263BCB">
      <w:pPr>
        <w:pStyle w:val="FootnoteText"/>
        <w:rPr>
          <w:lang w:val="es-ES_tradnl"/>
        </w:rPr>
      </w:pPr>
      <w:r w:rsidRPr="006B0754">
        <w:rPr>
          <w:lang w:val="es-ES_tradnl"/>
        </w:rPr>
        <w:tab/>
      </w:r>
      <w:r w:rsidRPr="00A21C4B">
        <w:rPr>
          <w:rStyle w:val="FootnoteReference"/>
        </w:rPr>
        <w:footnoteRef/>
      </w:r>
      <w:r w:rsidRPr="006B0754">
        <w:rPr>
          <w:rStyle w:val="FootnoteReference"/>
          <w:lang w:val="es-ES_tradnl"/>
        </w:rPr>
        <w:tab/>
      </w:r>
      <w:r w:rsidRPr="006B0754">
        <w:rPr>
          <w:lang w:val="es-ES_tradnl"/>
        </w:rPr>
        <w:t>OG No. 62/13.</w:t>
      </w:r>
    </w:p>
  </w:footnote>
  <w:footnote w:id="21">
    <w:p w14:paraId="3BA00974" w14:textId="77777777" w:rsidR="006B0754" w:rsidRPr="00763DB9" w:rsidRDefault="006B0754" w:rsidP="00263BCB">
      <w:pPr>
        <w:pStyle w:val="FootnoteText"/>
      </w:pPr>
      <w:r w:rsidRPr="006B0754">
        <w:rPr>
          <w:lang w:val="es-ES_tradnl"/>
        </w:rPr>
        <w:tab/>
      </w:r>
      <w:r w:rsidRPr="00A21C4B">
        <w:rPr>
          <w:rStyle w:val="FootnoteReference"/>
        </w:rPr>
        <w:footnoteRef/>
      </w:r>
      <w:r w:rsidRPr="00A21C4B">
        <w:rPr>
          <w:rStyle w:val="FootnoteReference"/>
        </w:rPr>
        <w:tab/>
      </w:r>
      <w:r w:rsidRPr="00763DB9">
        <w:t>OG No. 12/14.</w:t>
      </w:r>
    </w:p>
  </w:footnote>
  <w:footnote w:id="22">
    <w:p w14:paraId="0597779E"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 MoJ.</w:t>
      </w:r>
    </w:p>
  </w:footnote>
  <w:footnote w:id="23">
    <w:p w14:paraId="1ED49F06" w14:textId="09E7C68D"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w:t>
      </w:r>
      <w:r>
        <w:t xml:space="preserve"> </w:t>
      </w:r>
      <w:r w:rsidRPr="00763DB9">
        <w:t>MoJ.</w:t>
      </w:r>
    </w:p>
  </w:footnote>
  <w:footnote w:id="24">
    <w:p w14:paraId="5DE56C9D"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 MLSP.</w:t>
      </w:r>
    </w:p>
  </w:footnote>
  <w:footnote w:id="25">
    <w:p w14:paraId="4584AF28"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OG No</w:t>
      </w:r>
      <w:r w:rsidRPr="00763DB9">
        <w:rPr>
          <w:bCs/>
        </w:rPr>
        <w:t>. 115/14.</w:t>
      </w:r>
    </w:p>
  </w:footnote>
  <w:footnote w:id="26">
    <w:p w14:paraId="0E406F7F"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 MLSP.</w:t>
      </w:r>
    </w:p>
  </w:footnote>
  <w:footnote w:id="27">
    <w:p w14:paraId="59020612"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OG No. 10/15.</w:t>
      </w:r>
    </w:p>
  </w:footnote>
  <w:footnote w:id="28">
    <w:p w14:paraId="3DAFBD73"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OG No. 43/12, 145/12, 65/13, 87/13, 164/13, 39/14, 43/14, 69/12 ,101/14, 132/14, 188/14, 10/15, 61/15, 154/15, 192/15.</w:t>
      </w:r>
    </w:p>
  </w:footnote>
  <w:footnote w:id="29">
    <w:p w14:paraId="1A03C79C" w14:textId="199327A5"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w:t>
      </w:r>
      <w:r>
        <w:t xml:space="preserve"> </w:t>
      </w:r>
      <w:r w:rsidRPr="00763DB9">
        <w:t>IHMC, 2016.</w:t>
      </w:r>
    </w:p>
  </w:footnote>
  <w:footnote w:id="30">
    <w:p w14:paraId="1E0D758E" w14:textId="23A62A69" w:rsidR="006B0754" w:rsidRPr="00763DB9" w:rsidRDefault="006B0754" w:rsidP="00263BCB">
      <w:pPr>
        <w:pStyle w:val="FootnoteText"/>
      </w:pPr>
      <w:r w:rsidRPr="00763DB9">
        <w:tab/>
      </w:r>
      <w:r w:rsidRPr="00A21C4B">
        <w:rPr>
          <w:rStyle w:val="FootnoteReference"/>
        </w:rPr>
        <w:footnoteRef/>
      </w:r>
      <w:r w:rsidRPr="00763DB9">
        <w:tab/>
        <w:t>Source: 2013</w:t>
      </w:r>
      <w:r>
        <w:t>–</w:t>
      </w:r>
      <w:r w:rsidRPr="00763DB9">
        <w:t>2016 Perinatology Results, National Reproductive Health Centre.</w:t>
      </w:r>
    </w:p>
  </w:footnote>
  <w:footnote w:id="31">
    <w:p w14:paraId="05637FD0"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 xml:space="preserve">Source: PHI ,Skopje Health Centre. </w:t>
      </w:r>
    </w:p>
  </w:footnote>
  <w:footnote w:id="32">
    <w:p w14:paraId="552AFD04" w14:textId="1BB8B2BE"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w:t>
      </w:r>
      <w:r>
        <w:t xml:space="preserve"> </w:t>
      </w:r>
      <w:r w:rsidRPr="00763DB9">
        <w:t>IHMC, Skopje Health Centre.</w:t>
      </w:r>
    </w:p>
  </w:footnote>
  <w:footnote w:id="33">
    <w:p w14:paraId="6D3973F8"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 xml:space="preserve">Source: SSO and IHMC, Skopje Health Centre. </w:t>
      </w:r>
    </w:p>
  </w:footnote>
  <w:footnote w:id="34">
    <w:p w14:paraId="5022D20D"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 Multi-indicator Cluster Research, 2011.</w:t>
      </w:r>
    </w:p>
  </w:footnote>
  <w:footnote w:id="35">
    <w:p w14:paraId="62E1185C"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 SSO– Publications No. 2, 4, 16, 10/856, July 2016.</w:t>
      </w:r>
    </w:p>
  </w:footnote>
  <w:footnote w:id="36">
    <w:p w14:paraId="707060E1" w14:textId="41C48635"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 SSO and IHMC,</w:t>
      </w:r>
      <w:r>
        <w:t xml:space="preserve"> </w:t>
      </w:r>
      <w:r w:rsidRPr="00763DB9">
        <w:t>Skopje Health Centre.</w:t>
      </w:r>
    </w:p>
  </w:footnote>
  <w:footnote w:id="37">
    <w:p w14:paraId="22418150"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 of Tables 7, 8, 9, 10 and 11: SSO and the IHMC, Skopje Health Centre.</w:t>
      </w:r>
    </w:p>
  </w:footnote>
  <w:footnote w:id="38">
    <w:p w14:paraId="460AB15B"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OG No. 177/15.</w:t>
      </w:r>
    </w:p>
  </w:footnote>
  <w:footnote w:id="39">
    <w:p w14:paraId="2342BAFD"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 PHI.</w:t>
      </w:r>
    </w:p>
  </w:footnote>
  <w:footnote w:id="40">
    <w:p w14:paraId="520C47F6"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 IHMC.</w:t>
      </w:r>
    </w:p>
  </w:footnote>
  <w:footnote w:id="41">
    <w:p w14:paraId="3C319038"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 PHI.</w:t>
      </w:r>
    </w:p>
  </w:footnote>
  <w:footnote w:id="42">
    <w:p w14:paraId="547684BE" w14:textId="10FBAFDA"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HERA 2015: Peer Educators</w:t>
      </w:r>
      <w:r>
        <w:t>’</w:t>
      </w:r>
      <w:r w:rsidRPr="00763DB9">
        <w:t xml:space="preserve"> Manuals on Sexual and Reproductive Health and Rights Topics.</w:t>
      </w:r>
    </w:p>
  </w:footnote>
  <w:footnote w:id="43">
    <w:p w14:paraId="61CF430A"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 xml:space="preserve">UNICEF also concludes an annual agreement and this agreement has a section on refugees. </w:t>
      </w:r>
    </w:p>
  </w:footnote>
  <w:footnote w:id="44">
    <w:p w14:paraId="674BC48D" w14:textId="77777777" w:rsidR="006B0754" w:rsidRPr="00763DB9" w:rsidRDefault="006B0754" w:rsidP="00263BCB">
      <w:pPr>
        <w:pStyle w:val="FootnoteText"/>
        <w:rPr>
          <w:lang w:val="fr-CH"/>
        </w:rPr>
      </w:pPr>
      <w:r w:rsidRPr="00763DB9">
        <w:tab/>
      </w:r>
      <w:r w:rsidRPr="00A21C4B">
        <w:rPr>
          <w:rStyle w:val="FootnoteReference"/>
        </w:rPr>
        <w:footnoteRef/>
      </w:r>
      <w:r w:rsidRPr="006B0754">
        <w:rPr>
          <w:rStyle w:val="FootnoteReference"/>
          <w:lang w:val="fr-CH"/>
        </w:rPr>
        <w:tab/>
      </w:r>
      <w:r w:rsidRPr="00763DB9">
        <w:rPr>
          <w:lang w:val="fr-CH"/>
        </w:rPr>
        <w:t>Source: MoI.</w:t>
      </w:r>
    </w:p>
  </w:footnote>
  <w:footnote w:id="45">
    <w:p w14:paraId="60C040F8" w14:textId="77777777" w:rsidR="006B0754" w:rsidRPr="00763DB9" w:rsidRDefault="006B0754" w:rsidP="00263BCB">
      <w:pPr>
        <w:pStyle w:val="FootnoteText"/>
        <w:rPr>
          <w:lang w:val="fr-CH"/>
        </w:rPr>
      </w:pPr>
      <w:r w:rsidRPr="00763DB9">
        <w:rPr>
          <w:lang w:val="fr-CH"/>
        </w:rPr>
        <w:tab/>
      </w:r>
      <w:r w:rsidRPr="00A21C4B">
        <w:rPr>
          <w:rStyle w:val="FootnoteReference"/>
        </w:rPr>
        <w:footnoteRef/>
      </w:r>
      <w:r w:rsidRPr="006B0754">
        <w:rPr>
          <w:rStyle w:val="FootnoteReference"/>
          <w:lang w:val="fr-CH"/>
        </w:rPr>
        <w:tab/>
      </w:r>
      <w:r w:rsidRPr="00763DB9">
        <w:rPr>
          <w:color w:val="000000"/>
          <w:lang w:val="fr-CH"/>
        </w:rPr>
        <w:t>Source: SSO.</w:t>
      </w:r>
    </w:p>
  </w:footnote>
  <w:footnote w:id="46">
    <w:p w14:paraId="4A894B93" w14:textId="77777777" w:rsidR="006B0754" w:rsidRPr="00763DB9" w:rsidRDefault="006B0754" w:rsidP="00263BCB">
      <w:pPr>
        <w:pStyle w:val="FootnoteText"/>
        <w:rPr>
          <w:lang w:val="fr-CH"/>
        </w:rPr>
      </w:pPr>
      <w:r w:rsidRPr="00763DB9">
        <w:rPr>
          <w:lang w:val="fr-CH"/>
        </w:rPr>
        <w:tab/>
      </w:r>
      <w:r w:rsidRPr="00A21C4B">
        <w:rPr>
          <w:rStyle w:val="FootnoteReference"/>
        </w:rPr>
        <w:footnoteRef/>
      </w:r>
      <w:r w:rsidRPr="006B0754">
        <w:rPr>
          <w:rStyle w:val="FootnoteReference"/>
          <w:lang w:val="fr-CH"/>
        </w:rPr>
        <w:tab/>
      </w:r>
      <w:r w:rsidRPr="00763DB9">
        <w:rPr>
          <w:color w:val="000000"/>
          <w:lang w:val="fr-CH"/>
        </w:rPr>
        <w:t>Source: SSO.</w:t>
      </w:r>
    </w:p>
  </w:footnote>
  <w:footnote w:id="47">
    <w:p w14:paraId="10252C4F" w14:textId="77777777" w:rsidR="006B0754" w:rsidRPr="00763DB9" w:rsidRDefault="006B0754" w:rsidP="00263BCB">
      <w:pPr>
        <w:pStyle w:val="FootnoteText"/>
      </w:pPr>
      <w:r w:rsidRPr="00763DB9">
        <w:rPr>
          <w:lang w:val="fr-CH"/>
        </w:rPr>
        <w:tab/>
      </w:r>
      <w:r w:rsidRPr="00A21C4B">
        <w:rPr>
          <w:rStyle w:val="FootnoteReference"/>
        </w:rPr>
        <w:footnoteRef/>
      </w:r>
      <w:r w:rsidRPr="00A21C4B">
        <w:rPr>
          <w:rStyle w:val="FootnoteReference"/>
        </w:rPr>
        <w:tab/>
      </w:r>
      <w:r w:rsidRPr="00763DB9">
        <w:rPr>
          <w:color w:val="000000"/>
        </w:rPr>
        <w:t>Source: SSO.</w:t>
      </w:r>
    </w:p>
  </w:footnote>
  <w:footnote w:id="48">
    <w:p w14:paraId="7D21875F" w14:textId="77777777" w:rsidR="006B0754" w:rsidRDefault="006B0754" w:rsidP="00263BCB">
      <w:pPr>
        <w:pStyle w:val="FootnoteText"/>
      </w:pPr>
      <w:r>
        <w:tab/>
      </w:r>
      <w:r w:rsidRPr="00A21C4B">
        <w:rPr>
          <w:rStyle w:val="FootnoteReference"/>
        </w:rPr>
        <w:footnoteRef/>
      </w:r>
      <w:r w:rsidRPr="00A21C4B">
        <w:rPr>
          <w:rStyle w:val="FootnoteReference"/>
        </w:rPr>
        <w:tab/>
      </w:r>
      <w:r w:rsidRPr="00763DB9">
        <w:rPr>
          <w:color w:val="000000"/>
        </w:rPr>
        <w:t>Source: SSO.</w:t>
      </w:r>
    </w:p>
  </w:footnote>
  <w:footnote w:id="49">
    <w:p w14:paraId="0A533BF4" w14:textId="77777777" w:rsidR="006B0754" w:rsidRDefault="006B0754" w:rsidP="00263BCB">
      <w:pPr>
        <w:pStyle w:val="FootnoteText"/>
      </w:pPr>
      <w:r>
        <w:tab/>
      </w:r>
      <w:r w:rsidRPr="00A21C4B">
        <w:rPr>
          <w:rStyle w:val="FootnoteReference"/>
        </w:rPr>
        <w:footnoteRef/>
      </w:r>
      <w:r w:rsidRPr="00A21C4B">
        <w:rPr>
          <w:rStyle w:val="FootnoteReference"/>
        </w:rPr>
        <w:tab/>
      </w:r>
      <w:r w:rsidRPr="00763DB9">
        <w:rPr>
          <w:color w:val="000000"/>
        </w:rPr>
        <w:t>Source: SSO.</w:t>
      </w:r>
    </w:p>
  </w:footnote>
  <w:footnote w:id="50">
    <w:p w14:paraId="362FBD9B"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 MLSP.</w:t>
      </w:r>
    </w:p>
  </w:footnote>
  <w:footnote w:id="51">
    <w:p w14:paraId="6089C577"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Source: MLSP.</w:t>
      </w:r>
    </w:p>
  </w:footnote>
  <w:footnote w:id="52">
    <w:p w14:paraId="20693E20"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OG No. 226/15.</w:t>
      </w:r>
    </w:p>
  </w:footnote>
  <w:footnote w:id="53">
    <w:p w14:paraId="00810794"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OG No. 148/13.</w:t>
      </w:r>
    </w:p>
  </w:footnote>
  <w:footnote w:id="54">
    <w:p w14:paraId="710C63D9" w14:textId="706D423C"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t>Commission Members: MoI, MFA, Basic Public Prosecutor</w:t>
      </w:r>
      <w:r>
        <w:t>’</w:t>
      </w:r>
      <w:r w:rsidRPr="00763DB9">
        <w:t>s Office against Organized Crime and Corruption, MES, MH, MLSP, the State Labour Inspectorate, and a Judge from the First Instance Court Skopje 1.</w:t>
      </w:r>
    </w:p>
  </w:footnote>
  <w:footnote w:id="55">
    <w:p w14:paraId="035F66AF"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rPr>
          <w:bCs/>
        </w:rPr>
        <w:t>Source: National Commission for Combating Human Trafficking and Illegal Migration.</w:t>
      </w:r>
    </w:p>
  </w:footnote>
  <w:footnote w:id="56">
    <w:p w14:paraId="7DF30756" w14:textId="77777777" w:rsidR="006B0754" w:rsidRPr="00763DB9" w:rsidRDefault="006B0754" w:rsidP="00263BCB">
      <w:pPr>
        <w:pStyle w:val="FootnoteText"/>
      </w:pPr>
      <w:r w:rsidRPr="00763DB9">
        <w:tab/>
      </w:r>
      <w:r w:rsidRPr="00A21C4B">
        <w:rPr>
          <w:rStyle w:val="FootnoteReference"/>
        </w:rPr>
        <w:footnoteRef/>
      </w:r>
      <w:r w:rsidRPr="00A21C4B">
        <w:rPr>
          <w:rStyle w:val="FootnoteReference"/>
        </w:rPr>
        <w:tab/>
      </w:r>
      <w:r w:rsidRPr="00763DB9">
        <w:rPr>
          <w:lang w:eastAsia="mk-MK"/>
        </w:rPr>
        <w:t>OG No. 226/15.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9C47" w14:textId="77777777" w:rsidR="006B0754" w:rsidRDefault="006B0754" w:rsidP="00263BCB">
    <w:pPr>
      <w:pStyle w:val="Header"/>
    </w:pPr>
    <w:r>
      <w:t>CRC/C/MKD/3-6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75D2" w14:textId="77777777" w:rsidR="006B0754" w:rsidRDefault="006B0754" w:rsidP="00263BCB">
    <w:pPr>
      <w:pStyle w:val="Header"/>
      <w:jc w:val="right"/>
    </w:pPr>
    <w:r>
      <w:t>CRC/C/MKD/3-6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8_"/>
      </v:shape>
    </w:pict>
  </w:numPicBullet>
  <w:numPicBullet w:numPicBulletId="1">
    <w:pict>
      <v:shape id="_x0000_i1027" type="#_x0000_t75" style="width:11.4pt;height:11.4pt" o:bullet="t">
        <v:imagedata r:id="rId2" o:title="BD10264_"/>
      </v:shape>
    </w:pict>
  </w:numPicBullet>
  <w:abstractNum w:abstractNumId="0" w15:restartNumberingAfterBreak="0">
    <w:nsid w:val="010C49F8"/>
    <w:multiLevelType w:val="hybridMultilevel"/>
    <w:tmpl w:val="2C262728"/>
    <w:lvl w:ilvl="0" w:tplc="A0964646">
      <w:start w:val="1"/>
      <w:numFmt w:val="decimal"/>
      <w:pStyle w:val="ParaNoG"/>
      <w:lvlText w:val="%1."/>
      <w:lvlJc w:val="left"/>
      <w:pPr>
        <w:tabs>
          <w:tab w:val="num" w:pos="0"/>
        </w:tabs>
        <w:ind w:left="1134" w:firstLine="0"/>
      </w:pPr>
      <w:rPr>
        <w:rFonts w:ascii="Times New Roman" w:hAnsi="Times New Roman" w:hint="default"/>
        <w:b w:val="0"/>
        <w:i w:val="0"/>
        <w:sz w:val="2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214D0"/>
    <w:multiLevelType w:val="hybridMultilevel"/>
    <w:tmpl w:val="23F8686E"/>
    <w:lvl w:ilvl="0" w:tplc="FB7A23C2">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54887"/>
    <w:multiLevelType w:val="hybridMultilevel"/>
    <w:tmpl w:val="2B362816"/>
    <w:lvl w:ilvl="0" w:tplc="27D8ECEA">
      <w:start w:val="1"/>
      <w:numFmt w:val="decimal"/>
      <w:lvlText w:val="%1."/>
      <w:lvlJc w:val="left"/>
      <w:pPr>
        <w:tabs>
          <w:tab w:val="num" w:pos="1701"/>
        </w:tabs>
        <w:ind w:left="1134" w:firstLine="0"/>
      </w:pPr>
      <w:rPr>
        <w:rFonts w:ascii="Times New Roman" w:hAnsi="Times New Roman" w:hint="default"/>
        <w:b w:val="0"/>
        <w:i w:val="0"/>
        <w:sz w:val="20"/>
      </w:rPr>
    </w:lvl>
    <w:lvl w:ilvl="1" w:tplc="5D0061FA" w:tentative="1">
      <w:start w:val="1"/>
      <w:numFmt w:val="lowerLetter"/>
      <w:lvlText w:val="%2."/>
      <w:lvlJc w:val="left"/>
      <w:pPr>
        <w:tabs>
          <w:tab w:val="num" w:pos="1440"/>
        </w:tabs>
        <w:ind w:left="1440" w:hanging="360"/>
      </w:pPr>
    </w:lvl>
    <w:lvl w:ilvl="2" w:tplc="16F04A3E" w:tentative="1">
      <w:start w:val="1"/>
      <w:numFmt w:val="lowerRoman"/>
      <w:lvlText w:val="%3."/>
      <w:lvlJc w:val="right"/>
      <w:pPr>
        <w:tabs>
          <w:tab w:val="num" w:pos="2160"/>
        </w:tabs>
        <w:ind w:left="2160" w:hanging="180"/>
      </w:pPr>
    </w:lvl>
    <w:lvl w:ilvl="3" w:tplc="7DF83116" w:tentative="1">
      <w:start w:val="1"/>
      <w:numFmt w:val="decimal"/>
      <w:lvlText w:val="%4."/>
      <w:lvlJc w:val="left"/>
      <w:pPr>
        <w:tabs>
          <w:tab w:val="num" w:pos="2880"/>
        </w:tabs>
        <w:ind w:left="2880" w:hanging="360"/>
      </w:pPr>
    </w:lvl>
    <w:lvl w:ilvl="4" w:tplc="82462160" w:tentative="1">
      <w:start w:val="1"/>
      <w:numFmt w:val="lowerLetter"/>
      <w:lvlText w:val="%5."/>
      <w:lvlJc w:val="left"/>
      <w:pPr>
        <w:tabs>
          <w:tab w:val="num" w:pos="3600"/>
        </w:tabs>
        <w:ind w:left="3600" w:hanging="360"/>
      </w:pPr>
    </w:lvl>
    <w:lvl w:ilvl="5" w:tplc="C22EEE10" w:tentative="1">
      <w:start w:val="1"/>
      <w:numFmt w:val="lowerRoman"/>
      <w:lvlText w:val="%6."/>
      <w:lvlJc w:val="right"/>
      <w:pPr>
        <w:tabs>
          <w:tab w:val="num" w:pos="4320"/>
        </w:tabs>
        <w:ind w:left="4320" w:hanging="180"/>
      </w:pPr>
    </w:lvl>
    <w:lvl w:ilvl="6" w:tplc="9BE4E894" w:tentative="1">
      <w:start w:val="1"/>
      <w:numFmt w:val="decimal"/>
      <w:lvlText w:val="%7."/>
      <w:lvlJc w:val="left"/>
      <w:pPr>
        <w:tabs>
          <w:tab w:val="num" w:pos="5040"/>
        </w:tabs>
        <w:ind w:left="5040" w:hanging="360"/>
      </w:pPr>
    </w:lvl>
    <w:lvl w:ilvl="7" w:tplc="04EA0182" w:tentative="1">
      <w:start w:val="1"/>
      <w:numFmt w:val="lowerLetter"/>
      <w:lvlText w:val="%8."/>
      <w:lvlJc w:val="left"/>
      <w:pPr>
        <w:tabs>
          <w:tab w:val="num" w:pos="5760"/>
        </w:tabs>
        <w:ind w:left="5760" w:hanging="360"/>
      </w:pPr>
    </w:lvl>
    <w:lvl w:ilvl="8" w:tplc="224AB7DC"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E41E4B"/>
    <w:multiLevelType w:val="hybridMultilevel"/>
    <w:tmpl w:val="C45C71FE"/>
    <w:lvl w:ilvl="0" w:tplc="BE843D62">
      <w:start w:val="1"/>
      <w:numFmt w:val="bullet"/>
      <w:lvlText w:val=""/>
      <w:lvlPicBulletId w:val="1"/>
      <w:lvlJc w:val="left"/>
      <w:pPr>
        <w:ind w:left="12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F4EB2"/>
    <w:multiLevelType w:val="hybridMultilevel"/>
    <w:tmpl w:val="CB6C816A"/>
    <w:lvl w:ilvl="0" w:tplc="425AC676">
      <w:start w:val="1"/>
      <w:numFmt w:val="bullet"/>
      <w:lvlText w:val="•"/>
      <w:lvlJc w:val="left"/>
      <w:pPr>
        <w:tabs>
          <w:tab w:val="num" w:pos="2268"/>
        </w:tabs>
        <w:ind w:left="2268" w:hanging="170"/>
      </w:pPr>
      <w:rPr>
        <w:rFonts w:ascii="Times New Roman" w:hAnsi="Times New Roman" w:cs="Times New Roman" w:hint="default"/>
      </w:rPr>
    </w:lvl>
    <w:lvl w:ilvl="1" w:tplc="1F9A9FCA" w:tentative="1">
      <w:start w:val="1"/>
      <w:numFmt w:val="bullet"/>
      <w:lvlText w:val="o"/>
      <w:lvlJc w:val="left"/>
      <w:pPr>
        <w:tabs>
          <w:tab w:val="num" w:pos="3708"/>
        </w:tabs>
        <w:ind w:left="3708" w:hanging="360"/>
      </w:pPr>
      <w:rPr>
        <w:rFonts w:ascii="Courier New" w:hAnsi="Courier New" w:hint="default"/>
      </w:rPr>
    </w:lvl>
    <w:lvl w:ilvl="2" w:tplc="7A2E9B64" w:tentative="1">
      <w:start w:val="1"/>
      <w:numFmt w:val="bullet"/>
      <w:lvlText w:val=""/>
      <w:lvlJc w:val="left"/>
      <w:pPr>
        <w:tabs>
          <w:tab w:val="num" w:pos="4428"/>
        </w:tabs>
        <w:ind w:left="4428" w:hanging="360"/>
      </w:pPr>
      <w:rPr>
        <w:rFonts w:ascii="Wingdings" w:hAnsi="Wingdings" w:hint="default"/>
      </w:rPr>
    </w:lvl>
    <w:lvl w:ilvl="3" w:tplc="C3622F66" w:tentative="1">
      <w:start w:val="1"/>
      <w:numFmt w:val="bullet"/>
      <w:lvlText w:val=""/>
      <w:lvlJc w:val="left"/>
      <w:pPr>
        <w:tabs>
          <w:tab w:val="num" w:pos="5148"/>
        </w:tabs>
        <w:ind w:left="5148" w:hanging="360"/>
      </w:pPr>
      <w:rPr>
        <w:rFonts w:ascii="Symbol" w:hAnsi="Symbol" w:hint="default"/>
      </w:rPr>
    </w:lvl>
    <w:lvl w:ilvl="4" w:tplc="BCC0868E" w:tentative="1">
      <w:start w:val="1"/>
      <w:numFmt w:val="bullet"/>
      <w:lvlText w:val="o"/>
      <w:lvlJc w:val="left"/>
      <w:pPr>
        <w:tabs>
          <w:tab w:val="num" w:pos="5868"/>
        </w:tabs>
        <w:ind w:left="5868" w:hanging="360"/>
      </w:pPr>
      <w:rPr>
        <w:rFonts w:ascii="Courier New" w:hAnsi="Courier New" w:hint="default"/>
      </w:rPr>
    </w:lvl>
    <w:lvl w:ilvl="5" w:tplc="87CE68FC" w:tentative="1">
      <w:start w:val="1"/>
      <w:numFmt w:val="bullet"/>
      <w:lvlText w:val=""/>
      <w:lvlJc w:val="left"/>
      <w:pPr>
        <w:tabs>
          <w:tab w:val="num" w:pos="6588"/>
        </w:tabs>
        <w:ind w:left="6588" w:hanging="360"/>
      </w:pPr>
      <w:rPr>
        <w:rFonts w:ascii="Wingdings" w:hAnsi="Wingdings" w:hint="default"/>
      </w:rPr>
    </w:lvl>
    <w:lvl w:ilvl="6" w:tplc="F244C108" w:tentative="1">
      <w:start w:val="1"/>
      <w:numFmt w:val="bullet"/>
      <w:lvlText w:val=""/>
      <w:lvlJc w:val="left"/>
      <w:pPr>
        <w:tabs>
          <w:tab w:val="num" w:pos="7308"/>
        </w:tabs>
        <w:ind w:left="7308" w:hanging="360"/>
      </w:pPr>
      <w:rPr>
        <w:rFonts w:ascii="Symbol" w:hAnsi="Symbol" w:hint="default"/>
      </w:rPr>
    </w:lvl>
    <w:lvl w:ilvl="7" w:tplc="C6C86830" w:tentative="1">
      <w:start w:val="1"/>
      <w:numFmt w:val="bullet"/>
      <w:lvlText w:val="o"/>
      <w:lvlJc w:val="left"/>
      <w:pPr>
        <w:tabs>
          <w:tab w:val="num" w:pos="8028"/>
        </w:tabs>
        <w:ind w:left="8028" w:hanging="360"/>
      </w:pPr>
      <w:rPr>
        <w:rFonts w:ascii="Courier New" w:hAnsi="Courier New" w:hint="default"/>
      </w:rPr>
    </w:lvl>
    <w:lvl w:ilvl="8" w:tplc="778E22C8"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1103AD7"/>
    <w:multiLevelType w:val="hybridMultilevel"/>
    <w:tmpl w:val="A3EC095C"/>
    <w:lvl w:ilvl="0" w:tplc="90DA61A6">
      <w:start w:val="1"/>
      <w:numFmt w:val="decimal"/>
      <w:lvlText w:val="%1."/>
      <w:lvlJc w:val="left"/>
      <w:pPr>
        <w:ind w:left="1854" w:hanging="360"/>
      </w:pPr>
      <w:rPr>
        <w:rFonts w:hint="default"/>
        <w:b w:val="0"/>
      </w:rPr>
    </w:lvl>
    <w:lvl w:ilvl="1" w:tplc="918295FC">
      <w:start w:val="1"/>
      <w:numFmt w:val="lowerLetter"/>
      <w:lvlText w:val="%2)"/>
      <w:lvlJc w:val="left"/>
      <w:pPr>
        <w:ind w:left="3348" w:hanging="1134"/>
      </w:pPr>
      <w:rPr>
        <w:rFonts w:hint="default"/>
      </w:rPr>
    </w:lvl>
    <w:lvl w:ilvl="2" w:tplc="BC44F6F4">
      <w:start w:val="1"/>
      <w:numFmt w:val="decimal"/>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AD07B2"/>
    <w:multiLevelType w:val="hybridMultilevel"/>
    <w:tmpl w:val="7FEE3222"/>
    <w:lvl w:ilvl="0" w:tplc="BB8EB0B6">
      <w:start w:val="1"/>
      <w:numFmt w:val="bullet"/>
      <w:lvlText w:val="•"/>
      <w:lvlJc w:val="left"/>
      <w:pPr>
        <w:tabs>
          <w:tab w:val="num" w:pos="1701"/>
        </w:tabs>
        <w:ind w:left="1701" w:hanging="170"/>
      </w:pPr>
      <w:rPr>
        <w:rFonts w:ascii="Times New Roman" w:hAnsi="Times New Roman" w:cs="Times New Roman" w:hint="default"/>
      </w:rPr>
    </w:lvl>
    <w:lvl w:ilvl="1" w:tplc="A91ACD6A" w:tentative="1">
      <w:start w:val="1"/>
      <w:numFmt w:val="bullet"/>
      <w:lvlText w:val="o"/>
      <w:lvlJc w:val="left"/>
      <w:pPr>
        <w:tabs>
          <w:tab w:val="num" w:pos="3141"/>
        </w:tabs>
        <w:ind w:left="3141" w:hanging="360"/>
      </w:pPr>
      <w:rPr>
        <w:rFonts w:ascii="Courier New" w:hAnsi="Courier New" w:hint="default"/>
      </w:rPr>
    </w:lvl>
    <w:lvl w:ilvl="2" w:tplc="D110CB76" w:tentative="1">
      <w:start w:val="1"/>
      <w:numFmt w:val="bullet"/>
      <w:lvlText w:val=""/>
      <w:lvlJc w:val="left"/>
      <w:pPr>
        <w:tabs>
          <w:tab w:val="num" w:pos="3861"/>
        </w:tabs>
        <w:ind w:left="3861" w:hanging="360"/>
      </w:pPr>
      <w:rPr>
        <w:rFonts w:ascii="Wingdings" w:hAnsi="Wingdings" w:hint="default"/>
      </w:rPr>
    </w:lvl>
    <w:lvl w:ilvl="3" w:tplc="ED5ED338" w:tentative="1">
      <w:start w:val="1"/>
      <w:numFmt w:val="bullet"/>
      <w:lvlText w:val=""/>
      <w:lvlJc w:val="left"/>
      <w:pPr>
        <w:tabs>
          <w:tab w:val="num" w:pos="4581"/>
        </w:tabs>
        <w:ind w:left="4581" w:hanging="360"/>
      </w:pPr>
      <w:rPr>
        <w:rFonts w:ascii="Symbol" w:hAnsi="Symbol" w:hint="default"/>
      </w:rPr>
    </w:lvl>
    <w:lvl w:ilvl="4" w:tplc="B76E815C" w:tentative="1">
      <w:start w:val="1"/>
      <w:numFmt w:val="bullet"/>
      <w:lvlText w:val="o"/>
      <w:lvlJc w:val="left"/>
      <w:pPr>
        <w:tabs>
          <w:tab w:val="num" w:pos="5301"/>
        </w:tabs>
        <w:ind w:left="5301" w:hanging="360"/>
      </w:pPr>
      <w:rPr>
        <w:rFonts w:ascii="Courier New" w:hAnsi="Courier New" w:hint="default"/>
      </w:rPr>
    </w:lvl>
    <w:lvl w:ilvl="5" w:tplc="4E7682B8" w:tentative="1">
      <w:start w:val="1"/>
      <w:numFmt w:val="bullet"/>
      <w:lvlText w:val=""/>
      <w:lvlJc w:val="left"/>
      <w:pPr>
        <w:tabs>
          <w:tab w:val="num" w:pos="6021"/>
        </w:tabs>
        <w:ind w:left="6021" w:hanging="360"/>
      </w:pPr>
      <w:rPr>
        <w:rFonts w:ascii="Wingdings" w:hAnsi="Wingdings" w:hint="default"/>
      </w:rPr>
    </w:lvl>
    <w:lvl w:ilvl="6" w:tplc="2FAE6AEE" w:tentative="1">
      <w:start w:val="1"/>
      <w:numFmt w:val="bullet"/>
      <w:lvlText w:val=""/>
      <w:lvlJc w:val="left"/>
      <w:pPr>
        <w:tabs>
          <w:tab w:val="num" w:pos="6741"/>
        </w:tabs>
        <w:ind w:left="6741" w:hanging="360"/>
      </w:pPr>
      <w:rPr>
        <w:rFonts w:ascii="Symbol" w:hAnsi="Symbol" w:hint="default"/>
      </w:rPr>
    </w:lvl>
    <w:lvl w:ilvl="7" w:tplc="87C06BA8" w:tentative="1">
      <w:start w:val="1"/>
      <w:numFmt w:val="bullet"/>
      <w:lvlText w:val="o"/>
      <w:lvlJc w:val="left"/>
      <w:pPr>
        <w:tabs>
          <w:tab w:val="num" w:pos="7461"/>
        </w:tabs>
        <w:ind w:left="7461" w:hanging="360"/>
      </w:pPr>
      <w:rPr>
        <w:rFonts w:ascii="Courier New" w:hAnsi="Courier New" w:hint="default"/>
      </w:rPr>
    </w:lvl>
    <w:lvl w:ilvl="8" w:tplc="70BC45F2"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D2E5F58"/>
    <w:multiLevelType w:val="hybridMultilevel"/>
    <w:tmpl w:val="F6D2842E"/>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F4282500">
      <w:start w:val="1"/>
      <w:numFmt w:val="lowerLetter"/>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70C80BB6"/>
    <w:multiLevelType w:val="hybridMultilevel"/>
    <w:tmpl w:val="DF4291B8"/>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767238B8"/>
    <w:multiLevelType w:val="hybridMultilevel"/>
    <w:tmpl w:val="30B2916E"/>
    <w:lvl w:ilvl="0" w:tplc="F4282500">
      <w:start w:val="1"/>
      <w:numFmt w:val="lowerLetter"/>
      <w:lvlText w:val="(%1)"/>
      <w:lvlJc w:val="left"/>
      <w:pPr>
        <w:ind w:left="3474" w:hanging="360"/>
      </w:pPr>
      <w:rPr>
        <w:rFonts w:hint="default"/>
      </w:rPr>
    </w:lvl>
    <w:lvl w:ilvl="1" w:tplc="08090019" w:tentative="1">
      <w:start w:val="1"/>
      <w:numFmt w:val="lowerLetter"/>
      <w:lvlText w:val="%2."/>
      <w:lvlJc w:val="left"/>
      <w:pPr>
        <w:ind w:left="4194" w:hanging="360"/>
      </w:pPr>
    </w:lvl>
    <w:lvl w:ilvl="2" w:tplc="F4282500">
      <w:start w:val="1"/>
      <w:numFmt w:val="lowerLetter"/>
      <w:lvlText w:val="(%3)"/>
      <w:lvlJc w:val="left"/>
      <w:pPr>
        <w:ind w:left="4914" w:hanging="180"/>
      </w:pPr>
      <w:rPr>
        <w:rFonts w:hint="default"/>
      </w:rPr>
    </w:lvl>
    <w:lvl w:ilvl="3" w:tplc="0809000F" w:tentative="1">
      <w:start w:val="1"/>
      <w:numFmt w:val="decimal"/>
      <w:lvlText w:val="%4."/>
      <w:lvlJc w:val="left"/>
      <w:pPr>
        <w:ind w:left="5634" w:hanging="360"/>
      </w:pPr>
    </w:lvl>
    <w:lvl w:ilvl="4" w:tplc="08090019" w:tentative="1">
      <w:start w:val="1"/>
      <w:numFmt w:val="lowerLetter"/>
      <w:lvlText w:val="%5."/>
      <w:lvlJc w:val="left"/>
      <w:pPr>
        <w:ind w:left="6354" w:hanging="360"/>
      </w:pPr>
    </w:lvl>
    <w:lvl w:ilvl="5" w:tplc="0809001B" w:tentative="1">
      <w:start w:val="1"/>
      <w:numFmt w:val="lowerRoman"/>
      <w:lvlText w:val="%6."/>
      <w:lvlJc w:val="right"/>
      <w:pPr>
        <w:ind w:left="7074" w:hanging="180"/>
      </w:pPr>
    </w:lvl>
    <w:lvl w:ilvl="6" w:tplc="0809000F" w:tentative="1">
      <w:start w:val="1"/>
      <w:numFmt w:val="decimal"/>
      <w:lvlText w:val="%7."/>
      <w:lvlJc w:val="left"/>
      <w:pPr>
        <w:ind w:left="7794" w:hanging="360"/>
      </w:pPr>
    </w:lvl>
    <w:lvl w:ilvl="7" w:tplc="08090019" w:tentative="1">
      <w:start w:val="1"/>
      <w:numFmt w:val="lowerLetter"/>
      <w:lvlText w:val="%8."/>
      <w:lvlJc w:val="left"/>
      <w:pPr>
        <w:ind w:left="8514" w:hanging="360"/>
      </w:pPr>
    </w:lvl>
    <w:lvl w:ilvl="8" w:tplc="0809001B" w:tentative="1">
      <w:start w:val="1"/>
      <w:numFmt w:val="lowerRoman"/>
      <w:lvlText w:val="%9."/>
      <w:lvlJc w:val="right"/>
      <w:pPr>
        <w:ind w:left="9234" w:hanging="18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D539CB"/>
    <w:multiLevelType w:val="hybridMultilevel"/>
    <w:tmpl w:val="CB54F260"/>
    <w:lvl w:ilvl="0" w:tplc="F428250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F4282500">
      <w:start w:val="1"/>
      <w:numFmt w:val="lowerLetter"/>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6"/>
  </w:num>
  <w:num w:numId="2">
    <w:abstractNumId w:val="5"/>
  </w:num>
  <w:num w:numId="3">
    <w:abstractNumId w:val="0"/>
  </w:num>
  <w:num w:numId="4">
    <w:abstractNumId w:val="9"/>
  </w:num>
  <w:num w:numId="5">
    <w:abstractNumId w:val="10"/>
  </w:num>
  <w:num w:numId="6">
    <w:abstractNumId w:val="16"/>
  </w:num>
  <w:num w:numId="7">
    <w:abstractNumId w:val="3"/>
  </w:num>
  <w:num w:numId="8">
    <w:abstractNumId w:val="12"/>
  </w:num>
  <w:num w:numId="9">
    <w:abstractNumId w:val="7"/>
  </w:num>
  <w:num w:numId="10">
    <w:abstractNumId w:val="2"/>
  </w:num>
  <w:num w:numId="11">
    <w:abstractNumId w:val="1"/>
  </w:num>
  <w:num w:numId="12">
    <w:abstractNumId w:val="4"/>
  </w:num>
  <w:num w:numId="13">
    <w:abstractNumId w:val="8"/>
  </w:num>
  <w:num w:numId="14">
    <w:abstractNumId w:val="14"/>
  </w:num>
  <w:num w:numId="15">
    <w:abstractNumId w:val="17"/>
  </w:num>
  <w:num w:numId="16">
    <w:abstractNumId w:val="15"/>
  </w:num>
  <w:num w:numId="17">
    <w:abstractNumId w:val="13"/>
  </w:num>
  <w:num w:numId="18">
    <w:abstractNumId w:val="6"/>
  </w:num>
  <w:num w:numId="19">
    <w:abstractNumId w:val="5"/>
  </w:num>
  <w:num w:numId="20">
    <w:abstractNumId w:val="0"/>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38"/>
    <w:rsid w:val="0003575E"/>
    <w:rsid w:val="00037E83"/>
    <w:rsid w:val="00046E92"/>
    <w:rsid w:val="00073197"/>
    <w:rsid w:val="00076634"/>
    <w:rsid w:val="000A1F93"/>
    <w:rsid w:val="000B7818"/>
    <w:rsid w:val="000C07C3"/>
    <w:rsid w:val="000C43B0"/>
    <w:rsid w:val="001031DA"/>
    <w:rsid w:val="00103651"/>
    <w:rsid w:val="001212A1"/>
    <w:rsid w:val="001272C7"/>
    <w:rsid w:val="00146651"/>
    <w:rsid w:val="001472DC"/>
    <w:rsid w:val="00147646"/>
    <w:rsid w:val="00186F0B"/>
    <w:rsid w:val="00190E24"/>
    <w:rsid w:val="001917FF"/>
    <w:rsid w:val="001B7C17"/>
    <w:rsid w:val="001C0720"/>
    <w:rsid w:val="001D0FFC"/>
    <w:rsid w:val="001E1BD8"/>
    <w:rsid w:val="001E3874"/>
    <w:rsid w:val="001E7FB0"/>
    <w:rsid w:val="001F1BBC"/>
    <w:rsid w:val="00226ADD"/>
    <w:rsid w:val="00247E2C"/>
    <w:rsid w:val="002536B4"/>
    <w:rsid w:val="00263BCB"/>
    <w:rsid w:val="0026480D"/>
    <w:rsid w:val="00294698"/>
    <w:rsid w:val="002A09CA"/>
    <w:rsid w:val="002B100F"/>
    <w:rsid w:val="002D6C53"/>
    <w:rsid w:val="002E6112"/>
    <w:rsid w:val="002F0083"/>
    <w:rsid w:val="002F480F"/>
    <w:rsid w:val="002F5595"/>
    <w:rsid w:val="00312E15"/>
    <w:rsid w:val="003159F2"/>
    <w:rsid w:val="00323CC7"/>
    <w:rsid w:val="003244D2"/>
    <w:rsid w:val="00334F6A"/>
    <w:rsid w:val="00337C9B"/>
    <w:rsid w:val="00342AC8"/>
    <w:rsid w:val="00343029"/>
    <w:rsid w:val="003522C2"/>
    <w:rsid w:val="00395200"/>
    <w:rsid w:val="003A42CD"/>
    <w:rsid w:val="003B4550"/>
    <w:rsid w:val="003E477B"/>
    <w:rsid w:val="00422787"/>
    <w:rsid w:val="00423822"/>
    <w:rsid w:val="0042453E"/>
    <w:rsid w:val="004330B3"/>
    <w:rsid w:val="00456466"/>
    <w:rsid w:val="00461253"/>
    <w:rsid w:val="004629FE"/>
    <w:rsid w:val="0047545D"/>
    <w:rsid w:val="004857FF"/>
    <w:rsid w:val="0049342E"/>
    <w:rsid w:val="004B59E4"/>
    <w:rsid w:val="004E6A35"/>
    <w:rsid w:val="004E6AF5"/>
    <w:rsid w:val="005042C2"/>
    <w:rsid w:val="00504B61"/>
    <w:rsid w:val="00505449"/>
    <w:rsid w:val="00536AD2"/>
    <w:rsid w:val="00546F07"/>
    <w:rsid w:val="00570685"/>
    <w:rsid w:val="00592F58"/>
    <w:rsid w:val="00615939"/>
    <w:rsid w:val="00621FC3"/>
    <w:rsid w:val="006556B7"/>
    <w:rsid w:val="006614C2"/>
    <w:rsid w:val="00664D62"/>
    <w:rsid w:val="006704BA"/>
    <w:rsid w:val="00671529"/>
    <w:rsid w:val="006A5AEC"/>
    <w:rsid w:val="006B0754"/>
    <w:rsid w:val="006F0959"/>
    <w:rsid w:val="00711951"/>
    <w:rsid w:val="007268F9"/>
    <w:rsid w:val="00727339"/>
    <w:rsid w:val="007547D6"/>
    <w:rsid w:val="007709CE"/>
    <w:rsid w:val="007954EE"/>
    <w:rsid w:val="007A6092"/>
    <w:rsid w:val="007C52B0"/>
    <w:rsid w:val="007D5B1E"/>
    <w:rsid w:val="007E1595"/>
    <w:rsid w:val="00811F84"/>
    <w:rsid w:val="00837F3B"/>
    <w:rsid w:val="00850473"/>
    <w:rsid w:val="00867639"/>
    <w:rsid w:val="00893C89"/>
    <w:rsid w:val="008D1848"/>
    <w:rsid w:val="008E0AD7"/>
    <w:rsid w:val="00902B4E"/>
    <w:rsid w:val="00907751"/>
    <w:rsid w:val="0091270C"/>
    <w:rsid w:val="00927493"/>
    <w:rsid w:val="009411B4"/>
    <w:rsid w:val="00962F5D"/>
    <w:rsid w:val="00964853"/>
    <w:rsid w:val="00975F19"/>
    <w:rsid w:val="009A1A03"/>
    <w:rsid w:val="009B1DDA"/>
    <w:rsid w:val="009D0139"/>
    <w:rsid w:val="009F5CDC"/>
    <w:rsid w:val="00A05E57"/>
    <w:rsid w:val="00A06CED"/>
    <w:rsid w:val="00A21C4B"/>
    <w:rsid w:val="00A40EDA"/>
    <w:rsid w:val="00A6012C"/>
    <w:rsid w:val="00A66238"/>
    <w:rsid w:val="00A6762D"/>
    <w:rsid w:val="00A775CF"/>
    <w:rsid w:val="00A92567"/>
    <w:rsid w:val="00A9548D"/>
    <w:rsid w:val="00A96156"/>
    <w:rsid w:val="00AA2FC0"/>
    <w:rsid w:val="00AC70CC"/>
    <w:rsid w:val="00AD1AF0"/>
    <w:rsid w:val="00AE332F"/>
    <w:rsid w:val="00AF6BE7"/>
    <w:rsid w:val="00B06045"/>
    <w:rsid w:val="00B318B9"/>
    <w:rsid w:val="00B36CD7"/>
    <w:rsid w:val="00B47E60"/>
    <w:rsid w:val="00B91D8B"/>
    <w:rsid w:val="00BD275A"/>
    <w:rsid w:val="00BD33B6"/>
    <w:rsid w:val="00BE6090"/>
    <w:rsid w:val="00C0093C"/>
    <w:rsid w:val="00C073FD"/>
    <w:rsid w:val="00C35A27"/>
    <w:rsid w:val="00C60504"/>
    <w:rsid w:val="00C760E2"/>
    <w:rsid w:val="00CA480E"/>
    <w:rsid w:val="00CD0365"/>
    <w:rsid w:val="00CE7F85"/>
    <w:rsid w:val="00D00775"/>
    <w:rsid w:val="00D14E25"/>
    <w:rsid w:val="00D21089"/>
    <w:rsid w:val="00D272AA"/>
    <w:rsid w:val="00D71D29"/>
    <w:rsid w:val="00D7286A"/>
    <w:rsid w:val="00D73FE0"/>
    <w:rsid w:val="00D76B8A"/>
    <w:rsid w:val="00D9531F"/>
    <w:rsid w:val="00DF69AA"/>
    <w:rsid w:val="00E02C2B"/>
    <w:rsid w:val="00E70548"/>
    <w:rsid w:val="00E82BA6"/>
    <w:rsid w:val="00E91AF7"/>
    <w:rsid w:val="00E96D00"/>
    <w:rsid w:val="00EB2A06"/>
    <w:rsid w:val="00EB4CD6"/>
    <w:rsid w:val="00ED625E"/>
    <w:rsid w:val="00ED6C48"/>
    <w:rsid w:val="00F047F9"/>
    <w:rsid w:val="00F65F5D"/>
    <w:rsid w:val="00F86A3A"/>
    <w:rsid w:val="00F93C73"/>
    <w:rsid w:val="00FB57BB"/>
    <w:rsid w:val="00FD31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AF6095"/>
  <w15:docId w15:val="{0A118AD3-3628-4B75-AACF-D108F697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C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63BCB"/>
    <w:pPr>
      <w:spacing w:after="0"/>
      <w:ind w:right="0"/>
      <w:jc w:val="left"/>
      <w:outlineLvl w:val="0"/>
    </w:pPr>
  </w:style>
  <w:style w:type="paragraph" w:styleId="Heading2">
    <w:name w:val="heading 2"/>
    <w:basedOn w:val="Normal"/>
    <w:next w:val="Normal"/>
    <w:link w:val="Heading2Char"/>
    <w:rsid w:val="00263BCB"/>
    <w:pPr>
      <w:outlineLvl w:val="1"/>
    </w:pPr>
  </w:style>
  <w:style w:type="paragraph" w:styleId="Heading3">
    <w:name w:val="heading 3"/>
    <w:basedOn w:val="Normal"/>
    <w:next w:val="Normal"/>
    <w:link w:val="Heading3Char"/>
    <w:rsid w:val="00263BCB"/>
    <w:pPr>
      <w:outlineLvl w:val="2"/>
    </w:pPr>
  </w:style>
  <w:style w:type="paragraph" w:styleId="Heading4">
    <w:name w:val="heading 4"/>
    <w:basedOn w:val="Normal"/>
    <w:next w:val="Normal"/>
    <w:link w:val="Heading4Char"/>
    <w:rsid w:val="00263BCB"/>
    <w:pPr>
      <w:outlineLvl w:val="3"/>
    </w:pPr>
  </w:style>
  <w:style w:type="paragraph" w:styleId="Heading5">
    <w:name w:val="heading 5"/>
    <w:basedOn w:val="Normal"/>
    <w:next w:val="Normal"/>
    <w:link w:val="Heading5Char"/>
    <w:rsid w:val="00263BCB"/>
    <w:pPr>
      <w:outlineLvl w:val="4"/>
    </w:pPr>
  </w:style>
  <w:style w:type="paragraph" w:styleId="Heading6">
    <w:name w:val="heading 6"/>
    <w:basedOn w:val="Normal"/>
    <w:next w:val="Normal"/>
    <w:link w:val="Heading6Char"/>
    <w:rsid w:val="00263BCB"/>
    <w:pPr>
      <w:outlineLvl w:val="5"/>
    </w:pPr>
  </w:style>
  <w:style w:type="paragraph" w:styleId="Heading7">
    <w:name w:val="heading 7"/>
    <w:basedOn w:val="Normal"/>
    <w:next w:val="Normal"/>
    <w:link w:val="Heading7Char"/>
    <w:rsid w:val="00263BCB"/>
    <w:pPr>
      <w:outlineLvl w:val="6"/>
    </w:pPr>
  </w:style>
  <w:style w:type="paragraph" w:styleId="Heading8">
    <w:name w:val="heading 8"/>
    <w:basedOn w:val="Normal"/>
    <w:next w:val="Normal"/>
    <w:link w:val="Heading8Char"/>
    <w:rsid w:val="00263BCB"/>
    <w:pPr>
      <w:outlineLvl w:val="7"/>
    </w:pPr>
  </w:style>
  <w:style w:type="paragraph" w:styleId="Heading9">
    <w:name w:val="heading 9"/>
    <w:basedOn w:val="Normal"/>
    <w:next w:val="Normal"/>
    <w:link w:val="Heading9Char"/>
    <w:rsid w:val="00263B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BCB"/>
    <w:rPr>
      <w:rFonts w:ascii="Tahoma" w:hAnsi="Tahoma" w:cs="Tahoma"/>
      <w:sz w:val="16"/>
      <w:szCs w:val="16"/>
    </w:rPr>
  </w:style>
  <w:style w:type="character" w:customStyle="1" w:styleId="BalloonTextChar">
    <w:name w:val="Balloon Text Char"/>
    <w:basedOn w:val="DefaultParagraphFont"/>
    <w:link w:val="BalloonText"/>
    <w:uiPriority w:val="99"/>
    <w:semiHidden/>
    <w:rsid w:val="00263BCB"/>
    <w:rPr>
      <w:rFonts w:ascii="Tahoma" w:hAnsi="Tahoma" w:cs="Tahoma"/>
      <w:sz w:val="16"/>
      <w:szCs w:val="16"/>
    </w:rPr>
  </w:style>
  <w:style w:type="character" w:styleId="EndnoteReference">
    <w:name w:val="endnote reference"/>
    <w:aliases w:val="1_G"/>
    <w:rsid w:val="00263BCB"/>
    <w:rPr>
      <w:rFonts w:ascii="Times New Roman" w:hAnsi="Times New Roman"/>
      <w:sz w:val="18"/>
      <w:vertAlign w:val="superscript"/>
    </w:rPr>
  </w:style>
  <w:style w:type="paragraph" w:styleId="FootnoteText">
    <w:name w:val="footnote text"/>
    <w:aliases w:val="5_G"/>
    <w:basedOn w:val="Normal"/>
    <w:link w:val="FootnoteTextChar"/>
    <w:rsid w:val="00263BCB"/>
    <w:pPr>
      <w:tabs>
        <w:tab w:val="right" w:pos="1021"/>
      </w:tabs>
      <w:spacing w:line="220" w:lineRule="exact"/>
      <w:ind w:left="1134" w:right="1134" w:hanging="1134"/>
    </w:pPr>
    <w:rPr>
      <w:sz w:val="18"/>
    </w:rPr>
  </w:style>
  <w:style w:type="paragraph" w:customStyle="1" w:styleId="HMG">
    <w:name w:val="_ H __M_G"/>
    <w:basedOn w:val="Normal"/>
    <w:next w:val="Normal"/>
    <w:rsid w:val="00263BC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263BC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263BC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263BC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263BC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263BC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263BCB"/>
    <w:pPr>
      <w:spacing w:after="120"/>
      <w:ind w:left="1134" w:right="1134"/>
      <w:jc w:val="both"/>
    </w:pPr>
  </w:style>
  <w:style w:type="paragraph" w:customStyle="1" w:styleId="SLG">
    <w:name w:val="__S_L_G"/>
    <w:basedOn w:val="Normal"/>
    <w:next w:val="Normal"/>
    <w:rsid w:val="00263BCB"/>
    <w:pPr>
      <w:keepNext/>
      <w:keepLines/>
      <w:spacing w:before="240" w:after="240" w:line="580" w:lineRule="exact"/>
      <w:ind w:left="1134" w:right="1134"/>
    </w:pPr>
    <w:rPr>
      <w:b/>
      <w:sz w:val="56"/>
    </w:rPr>
  </w:style>
  <w:style w:type="paragraph" w:customStyle="1" w:styleId="SMG">
    <w:name w:val="__S_M_G"/>
    <w:basedOn w:val="Normal"/>
    <w:next w:val="Normal"/>
    <w:rsid w:val="00263BCB"/>
    <w:pPr>
      <w:keepNext/>
      <w:keepLines/>
      <w:spacing w:before="240" w:after="240" w:line="420" w:lineRule="exact"/>
      <w:ind w:left="1134" w:right="1134"/>
    </w:pPr>
    <w:rPr>
      <w:b/>
      <w:sz w:val="40"/>
    </w:rPr>
  </w:style>
  <w:style w:type="paragraph" w:customStyle="1" w:styleId="SSG">
    <w:name w:val="__S_S_G"/>
    <w:basedOn w:val="Normal"/>
    <w:next w:val="Normal"/>
    <w:rsid w:val="00263BCB"/>
    <w:pPr>
      <w:keepNext/>
      <w:keepLines/>
      <w:spacing w:before="240" w:after="240" w:line="300" w:lineRule="exact"/>
      <w:ind w:left="1134" w:right="1134"/>
    </w:pPr>
    <w:rPr>
      <w:b/>
      <w:sz w:val="28"/>
    </w:rPr>
  </w:style>
  <w:style w:type="paragraph" w:customStyle="1" w:styleId="XLargeG">
    <w:name w:val="__XLarge_G"/>
    <w:basedOn w:val="Normal"/>
    <w:next w:val="Normal"/>
    <w:rsid w:val="00263BCB"/>
    <w:pPr>
      <w:keepNext/>
      <w:keepLines/>
      <w:spacing w:before="240" w:after="240" w:line="420" w:lineRule="exact"/>
      <w:ind w:left="1134" w:right="1134"/>
    </w:pPr>
    <w:rPr>
      <w:b/>
      <w:sz w:val="40"/>
    </w:rPr>
  </w:style>
  <w:style w:type="paragraph" w:customStyle="1" w:styleId="Bullet1G">
    <w:name w:val="_Bullet 1_G"/>
    <w:basedOn w:val="Normal"/>
    <w:rsid w:val="00263BCB"/>
    <w:pPr>
      <w:numPr>
        <w:numId w:val="18"/>
      </w:numPr>
      <w:spacing w:after="120"/>
      <w:ind w:right="1134"/>
      <w:jc w:val="both"/>
    </w:pPr>
  </w:style>
  <w:style w:type="paragraph" w:customStyle="1" w:styleId="Bullet2G">
    <w:name w:val="_Bullet 2_G"/>
    <w:basedOn w:val="Normal"/>
    <w:rsid w:val="00263BCB"/>
    <w:pPr>
      <w:numPr>
        <w:numId w:val="19"/>
      </w:numPr>
      <w:spacing w:after="120"/>
      <w:ind w:right="1134"/>
      <w:jc w:val="both"/>
    </w:pPr>
  </w:style>
  <w:style w:type="paragraph" w:customStyle="1" w:styleId="ParaNoG">
    <w:name w:val="_ParaNo._G"/>
    <w:basedOn w:val="SingleTxtG"/>
    <w:rsid w:val="00867639"/>
    <w:pPr>
      <w:numPr>
        <w:numId w:val="20"/>
      </w:numPr>
      <w:spacing w:line="240" w:lineRule="atLeast"/>
    </w:pPr>
  </w:style>
  <w:style w:type="numbering" w:styleId="111111">
    <w:name w:val="Outline List 2"/>
    <w:basedOn w:val="NoList"/>
    <w:semiHidden/>
    <w:rsid w:val="00263BCB"/>
    <w:pPr>
      <w:numPr>
        <w:numId w:val="21"/>
      </w:numPr>
    </w:pPr>
  </w:style>
  <w:style w:type="numbering" w:styleId="1ai">
    <w:name w:val="Outline List 1"/>
    <w:basedOn w:val="NoList"/>
    <w:semiHidden/>
    <w:rsid w:val="00263BCB"/>
    <w:pPr>
      <w:numPr>
        <w:numId w:val="6"/>
      </w:numPr>
    </w:pPr>
  </w:style>
  <w:style w:type="character" w:customStyle="1" w:styleId="FootnoteTextChar">
    <w:name w:val="Footnote Text Char"/>
    <w:aliases w:val="5_G Char"/>
    <w:basedOn w:val="DefaultParagraphFont"/>
    <w:link w:val="FootnoteText"/>
    <w:rsid w:val="00263BCB"/>
    <w:rPr>
      <w:rFonts w:ascii="Times New Roman" w:hAnsi="Times New Roman" w:cs="Times New Roman"/>
      <w:sz w:val="18"/>
      <w:szCs w:val="20"/>
    </w:rPr>
  </w:style>
  <w:style w:type="paragraph" w:styleId="EndnoteText">
    <w:name w:val="endnote text"/>
    <w:aliases w:val="2_G"/>
    <w:basedOn w:val="FootnoteText"/>
    <w:link w:val="EndnoteTextChar"/>
    <w:rsid w:val="00263BCB"/>
  </w:style>
  <w:style w:type="character" w:customStyle="1" w:styleId="EndnoteTextChar">
    <w:name w:val="Endnote Text Char"/>
    <w:aliases w:val="2_G Char"/>
    <w:basedOn w:val="DefaultParagraphFont"/>
    <w:link w:val="EndnoteText"/>
    <w:rsid w:val="00263BCB"/>
    <w:rPr>
      <w:rFonts w:ascii="Times New Roman" w:hAnsi="Times New Roman" w:cs="Times New Roman"/>
      <w:sz w:val="18"/>
      <w:szCs w:val="20"/>
    </w:rPr>
  </w:style>
  <w:style w:type="paragraph" w:styleId="Footer">
    <w:name w:val="footer"/>
    <w:aliases w:val="3_G"/>
    <w:basedOn w:val="Normal"/>
    <w:link w:val="FooterChar"/>
    <w:rsid w:val="00263BCB"/>
    <w:rPr>
      <w:sz w:val="16"/>
    </w:rPr>
  </w:style>
  <w:style w:type="character" w:customStyle="1" w:styleId="FooterChar">
    <w:name w:val="Footer Char"/>
    <w:aliases w:val="3_G Char"/>
    <w:basedOn w:val="DefaultParagraphFont"/>
    <w:link w:val="Footer"/>
    <w:rsid w:val="00263BCB"/>
    <w:rPr>
      <w:rFonts w:ascii="Times New Roman" w:hAnsi="Times New Roman" w:cs="Times New Roman"/>
      <w:sz w:val="16"/>
      <w:szCs w:val="20"/>
    </w:rPr>
  </w:style>
  <w:style w:type="character" w:styleId="FootnoteReference">
    <w:name w:val="footnote reference"/>
    <w:aliases w:val="4_G"/>
    <w:rsid w:val="00263BC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63BCB"/>
    <w:rPr>
      <w:rFonts w:ascii="Times New Roman" w:hAnsi="Times New Roman" w:cs="Times New Roman"/>
      <w:sz w:val="20"/>
      <w:szCs w:val="20"/>
    </w:rPr>
  </w:style>
  <w:style w:type="character" w:customStyle="1" w:styleId="Heading2Char">
    <w:name w:val="Heading 2 Char"/>
    <w:basedOn w:val="DefaultParagraphFont"/>
    <w:link w:val="Heading2"/>
    <w:rsid w:val="00263BCB"/>
    <w:rPr>
      <w:rFonts w:ascii="Times New Roman" w:hAnsi="Times New Roman" w:cs="Times New Roman"/>
      <w:sz w:val="20"/>
      <w:szCs w:val="20"/>
    </w:rPr>
  </w:style>
  <w:style w:type="character" w:customStyle="1" w:styleId="Heading3Char">
    <w:name w:val="Heading 3 Char"/>
    <w:basedOn w:val="DefaultParagraphFont"/>
    <w:link w:val="Heading3"/>
    <w:rsid w:val="00263BCB"/>
    <w:rPr>
      <w:rFonts w:ascii="Times New Roman" w:hAnsi="Times New Roman" w:cs="Times New Roman"/>
      <w:sz w:val="20"/>
      <w:szCs w:val="20"/>
    </w:rPr>
  </w:style>
  <w:style w:type="character" w:customStyle="1" w:styleId="Heading4Char">
    <w:name w:val="Heading 4 Char"/>
    <w:basedOn w:val="DefaultParagraphFont"/>
    <w:link w:val="Heading4"/>
    <w:rsid w:val="00263BCB"/>
    <w:rPr>
      <w:rFonts w:ascii="Times New Roman" w:hAnsi="Times New Roman" w:cs="Times New Roman"/>
      <w:sz w:val="20"/>
      <w:szCs w:val="20"/>
    </w:rPr>
  </w:style>
  <w:style w:type="character" w:customStyle="1" w:styleId="Heading5Char">
    <w:name w:val="Heading 5 Char"/>
    <w:basedOn w:val="DefaultParagraphFont"/>
    <w:link w:val="Heading5"/>
    <w:rsid w:val="00263BCB"/>
    <w:rPr>
      <w:rFonts w:ascii="Times New Roman" w:hAnsi="Times New Roman" w:cs="Times New Roman"/>
      <w:sz w:val="20"/>
      <w:szCs w:val="20"/>
    </w:rPr>
  </w:style>
  <w:style w:type="character" w:customStyle="1" w:styleId="Heading6Char">
    <w:name w:val="Heading 6 Char"/>
    <w:basedOn w:val="DefaultParagraphFont"/>
    <w:link w:val="Heading6"/>
    <w:rsid w:val="00263BCB"/>
    <w:rPr>
      <w:rFonts w:ascii="Times New Roman" w:hAnsi="Times New Roman" w:cs="Times New Roman"/>
      <w:sz w:val="20"/>
      <w:szCs w:val="20"/>
    </w:rPr>
  </w:style>
  <w:style w:type="character" w:customStyle="1" w:styleId="Heading7Char">
    <w:name w:val="Heading 7 Char"/>
    <w:basedOn w:val="DefaultParagraphFont"/>
    <w:link w:val="Heading7"/>
    <w:rsid w:val="00263BCB"/>
    <w:rPr>
      <w:rFonts w:ascii="Times New Roman" w:hAnsi="Times New Roman" w:cs="Times New Roman"/>
      <w:sz w:val="20"/>
      <w:szCs w:val="20"/>
    </w:rPr>
  </w:style>
  <w:style w:type="character" w:customStyle="1" w:styleId="Heading8Char">
    <w:name w:val="Heading 8 Char"/>
    <w:basedOn w:val="DefaultParagraphFont"/>
    <w:link w:val="Heading8"/>
    <w:rsid w:val="00263BCB"/>
    <w:rPr>
      <w:rFonts w:ascii="Times New Roman" w:hAnsi="Times New Roman" w:cs="Times New Roman"/>
      <w:sz w:val="20"/>
      <w:szCs w:val="20"/>
    </w:rPr>
  </w:style>
  <w:style w:type="character" w:customStyle="1" w:styleId="Heading9Char">
    <w:name w:val="Heading 9 Char"/>
    <w:basedOn w:val="DefaultParagraphFont"/>
    <w:link w:val="Heading9"/>
    <w:rsid w:val="00263BCB"/>
    <w:rPr>
      <w:rFonts w:ascii="Times New Roman" w:hAnsi="Times New Roman" w:cs="Times New Roman"/>
      <w:sz w:val="20"/>
      <w:szCs w:val="20"/>
    </w:rPr>
  </w:style>
  <w:style w:type="paragraph" w:styleId="Header">
    <w:name w:val="header"/>
    <w:aliases w:val="6_G"/>
    <w:basedOn w:val="Normal"/>
    <w:link w:val="HeaderChar"/>
    <w:rsid w:val="00263BCB"/>
    <w:pPr>
      <w:pBdr>
        <w:bottom w:val="single" w:sz="4" w:space="4" w:color="auto"/>
      </w:pBdr>
    </w:pPr>
    <w:rPr>
      <w:b/>
      <w:sz w:val="18"/>
    </w:rPr>
  </w:style>
  <w:style w:type="character" w:styleId="BookTitle">
    <w:name w:val="Book Title"/>
    <w:basedOn w:val="DefaultParagraphFont"/>
    <w:uiPriority w:val="33"/>
    <w:semiHidden/>
    <w:rsid w:val="007268F9"/>
    <w:rPr>
      <w:b/>
      <w:bCs/>
      <w:smallCaps/>
      <w:spacing w:val="5"/>
    </w:rPr>
  </w:style>
  <w:style w:type="character" w:customStyle="1" w:styleId="HeaderChar">
    <w:name w:val="Header Char"/>
    <w:aliases w:val="6_G Char"/>
    <w:basedOn w:val="DefaultParagraphFont"/>
    <w:link w:val="Header"/>
    <w:rsid w:val="00263BCB"/>
    <w:rPr>
      <w:rFonts w:ascii="Times New Roman" w:hAnsi="Times New Roman" w:cs="Times New Roman"/>
      <w:b/>
      <w:sz w:val="18"/>
      <w:szCs w:val="20"/>
    </w:rPr>
  </w:style>
  <w:style w:type="character" w:styleId="PageNumber">
    <w:name w:val="page number"/>
    <w:aliases w:val="7_G"/>
    <w:semiHidden/>
    <w:rsid w:val="00263BCB"/>
    <w:rPr>
      <w:rFonts w:ascii="Times New Roman" w:hAnsi="Times New Roman"/>
      <w:b/>
      <w:sz w:val="18"/>
    </w:rPr>
  </w:style>
  <w:style w:type="table" w:styleId="TableGrid">
    <w:name w:val="Table Grid"/>
    <w:basedOn w:val="TableNormal"/>
    <w:rsid w:val="00263BC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263BCB"/>
    <w:rPr>
      <w:rFonts w:ascii="Times New Roman" w:hAnsi="Times New Roman" w:cs="Times New Roman"/>
      <w:sz w:val="20"/>
      <w:szCs w:val="20"/>
    </w:rPr>
  </w:style>
  <w:style w:type="paragraph" w:customStyle="1" w:styleId="Default">
    <w:name w:val="Default"/>
    <w:rsid w:val="00263BCB"/>
    <w:pPr>
      <w:widowControl w:val="0"/>
      <w:autoSpaceDE w:val="0"/>
      <w:autoSpaceDN w:val="0"/>
      <w:adjustRightInd w:val="0"/>
      <w:spacing w:after="0" w:line="240" w:lineRule="auto"/>
    </w:pPr>
    <w:rPr>
      <w:rFonts w:ascii="Tahoma" w:eastAsia="Calibri" w:hAnsi="Tahoma" w:cs="Tahoma"/>
      <w:color w:val="000000"/>
      <w:sz w:val="24"/>
      <w:szCs w:val="24"/>
      <w:lang w:val="en-US" w:eastAsia="en-US"/>
    </w:rPr>
  </w:style>
  <w:style w:type="character" w:styleId="CommentReference">
    <w:name w:val="annotation reference"/>
    <w:basedOn w:val="DefaultParagraphFont"/>
    <w:uiPriority w:val="99"/>
    <w:semiHidden/>
    <w:unhideWhenUsed/>
    <w:rsid w:val="00AA2FC0"/>
    <w:rPr>
      <w:sz w:val="16"/>
      <w:szCs w:val="16"/>
    </w:rPr>
  </w:style>
  <w:style w:type="paragraph" w:styleId="CommentText">
    <w:name w:val="annotation text"/>
    <w:basedOn w:val="Normal"/>
    <w:link w:val="CommentTextChar"/>
    <w:semiHidden/>
    <w:unhideWhenUsed/>
    <w:rsid w:val="00AA2FC0"/>
  </w:style>
  <w:style w:type="character" w:customStyle="1" w:styleId="CommentTextChar">
    <w:name w:val="Comment Text Char"/>
    <w:basedOn w:val="DefaultParagraphFont"/>
    <w:link w:val="CommentText"/>
    <w:semiHidden/>
    <w:rsid w:val="00AA2F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2FC0"/>
    <w:rPr>
      <w:b/>
      <w:bCs/>
    </w:rPr>
  </w:style>
  <w:style w:type="character" w:customStyle="1" w:styleId="CommentSubjectChar">
    <w:name w:val="Comment Subject Char"/>
    <w:basedOn w:val="CommentTextChar"/>
    <w:link w:val="CommentSubject"/>
    <w:uiPriority w:val="99"/>
    <w:semiHidden/>
    <w:rsid w:val="00AA2FC0"/>
    <w:rPr>
      <w:rFonts w:ascii="Times New Roman" w:hAnsi="Times New Roman" w:cs="Times New Roman"/>
      <w:b/>
      <w:bCs/>
      <w:sz w:val="20"/>
      <w:szCs w:val="20"/>
    </w:rPr>
  </w:style>
  <w:style w:type="paragraph" w:styleId="TOC1">
    <w:name w:val="toc 1"/>
    <w:basedOn w:val="Normal"/>
    <w:next w:val="Normal"/>
    <w:autoRedefine/>
    <w:uiPriority w:val="39"/>
    <w:unhideWhenUsed/>
    <w:rsid w:val="00837F3B"/>
    <w:pPr>
      <w:spacing w:after="100"/>
    </w:pPr>
  </w:style>
  <w:style w:type="paragraph" w:styleId="TOC2">
    <w:name w:val="toc 2"/>
    <w:basedOn w:val="Normal"/>
    <w:next w:val="Normal"/>
    <w:autoRedefine/>
    <w:uiPriority w:val="39"/>
    <w:unhideWhenUsed/>
    <w:rsid w:val="00837F3B"/>
    <w:pPr>
      <w:spacing w:after="100"/>
      <w:ind w:left="200"/>
    </w:pPr>
  </w:style>
  <w:style w:type="paragraph" w:styleId="TOC3">
    <w:name w:val="toc 3"/>
    <w:basedOn w:val="Normal"/>
    <w:next w:val="Normal"/>
    <w:autoRedefine/>
    <w:uiPriority w:val="39"/>
    <w:unhideWhenUsed/>
    <w:rsid w:val="00837F3B"/>
    <w:pPr>
      <w:spacing w:after="100"/>
      <w:ind w:left="400"/>
    </w:pPr>
  </w:style>
  <w:style w:type="paragraph" w:styleId="TOC4">
    <w:name w:val="toc 4"/>
    <w:basedOn w:val="Normal"/>
    <w:next w:val="Normal"/>
    <w:autoRedefine/>
    <w:uiPriority w:val="39"/>
    <w:unhideWhenUsed/>
    <w:rsid w:val="00837F3B"/>
    <w:pPr>
      <w:spacing w:after="100" w:line="259" w:lineRule="auto"/>
      <w:ind w:left="660"/>
    </w:pPr>
    <w:rPr>
      <w:rFonts w:asciiTheme="minorHAnsi" w:hAnsiTheme="minorHAnsi" w:cstheme="minorBidi"/>
      <w:sz w:val="22"/>
      <w:szCs w:val="22"/>
      <w:lang w:val="en-US"/>
    </w:rPr>
  </w:style>
  <w:style w:type="paragraph" w:styleId="TOC5">
    <w:name w:val="toc 5"/>
    <w:basedOn w:val="Normal"/>
    <w:next w:val="Normal"/>
    <w:autoRedefine/>
    <w:uiPriority w:val="39"/>
    <w:unhideWhenUsed/>
    <w:rsid w:val="00837F3B"/>
    <w:pPr>
      <w:spacing w:after="100" w:line="259" w:lineRule="auto"/>
      <w:ind w:left="880"/>
    </w:pPr>
    <w:rPr>
      <w:rFonts w:asciiTheme="minorHAnsi" w:hAnsiTheme="minorHAnsi" w:cstheme="minorBidi"/>
      <w:sz w:val="22"/>
      <w:szCs w:val="22"/>
      <w:lang w:val="en-US"/>
    </w:rPr>
  </w:style>
  <w:style w:type="paragraph" w:styleId="TOC6">
    <w:name w:val="toc 6"/>
    <w:basedOn w:val="Normal"/>
    <w:next w:val="Normal"/>
    <w:autoRedefine/>
    <w:uiPriority w:val="39"/>
    <w:unhideWhenUsed/>
    <w:rsid w:val="00837F3B"/>
    <w:pPr>
      <w:spacing w:after="100" w:line="259" w:lineRule="auto"/>
      <w:ind w:left="1100"/>
    </w:pPr>
    <w:rPr>
      <w:rFonts w:asciiTheme="minorHAnsi" w:hAnsiTheme="minorHAnsi" w:cstheme="minorBidi"/>
      <w:sz w:val="22"/>
      <w:szCs w:val="22"/>
      <w:lang w:val="en-US"/>
    </w:rPr>
  </w:style>
  <w:style w:type="paragraph" w:styleId="TOC7">
    <w:name w:val="toc 7"/>
    <w:basedOn w:val="Normal"/>
    <w:next w:val="Normal"/>
    <w:autoRedefine/>
    <w:uiPriority w:val="39"/>
    <w:unhideWhenUsed/>
    <w:rsid w:val="00837F3B"/>
    <w:pPr>
      <w:spacing w:after="100" w:line="259" w:lineRule="auto"/>
      <w:ind w:left="1320"/>
    </w:pPr>
    <w:rPr>
      <w:rFonts w:asciiTheme="minorHAnsi" w:hAnsiTheme="minorHAnsi" w:cstheme="minorBidi"/>
      <w:sz w:val="22"/>
      <w:szCs w:val="22"/>
      <w:lang w:val="en-US"/>
    </w:rPr>
  </w:style>
  <w:style w:type="paragraph" w:styleId="TOC8">
    <w:name w:val="toc 8"/>
    <w:basedOn w:val="Normal"/>
    <w:next w:val="Normal"/>
    <w:autoRedefine/>
    <w:uiPriority w:val="39"/>
    <w:unhideWhenUsed/>
    <w:rsid w:val="00837F3B"/>
    <w:pPr>
      <w:spacing w:after="100" w:line="259" w:lineRule="auto"/>
      <w:ind w:left="1540"/>
    </w:pPr>
    <w:rPr>
      <w:rFonts w:asciiTheme="minorHAnsi" w:hAnsiTheme="minorHAnsi" w:cstheme="minorBidi"/>
      <w:sz w:val="22"/>
      <w:szCs w:val="22"/>
      <w:lang w:val="en-US"/>
    </w:rPr>
  </w:style>
  <w:style w:type="paragraph" w:styleId="TOC9">
    <w:name w:val="toc 9"/>
    <w:basedOn w:val="Normal"/>
    <w:next w:val="Normal"/>
    <w:autoRedefine/>
    <w:uiPriority w:val="39"/>
    <w:unhideWhenUsed/>
    <w:rsid w:val="00837F3B"/>
    <w:pPr>
      <w:spacing w:after="100" w:line="259" w:lineRule="auto"/>
      <w:ind w:left="1760"/>
    </w:pPr>
    <w:rPr>
      <w:rFonts w:asciiTheme="minorHAnsi" w:hAnsiTheme="minorHAnsi" w:cstheme="minorBidi"/>
      <w:sz w:val="22"/>
      <w:szCs w:val="22"/>
      <w:lang w:val="en-US"/>
    </w:rPr>
  </w:style>
  <w:style w:type="character" w:styleId="Hyperlink">
    <w:name w:val="Hyperlink"/>
    <w:basedOn w:val="DefaultParagraphFont"/>
    <w:uiPriority w:val="99"/>
    <w:unhideWhenUsed/>
    <w:rsid w:val="00837F3B"/>
    <w:rPr>
      <w:color w:val="0000FF" w:themeColor="hyperlink"/>
      <w:u w:val="single"/>
    </w:rPr>
  </w:style>
  <w:style w:type="character" w:customStyle="1" w:styleId="UnresolvedMention1">
    <w:name w:val="Unresolved Mention1"/>
    <w:basedOn w:val="DefaultParagraphFont"/>
    <w:uiPriority w:val="99"/>
    <w:semiHidden/>
    <w:unhideWhenUsed/>
    <w:rsid w:val="00837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ughelp.e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tsp.gov.mk/content/pdf/Upatstvo%20za%20realizacija%20na%20programata%20za%20rano%20ucenje%20i%20razvoj%20i%20dostignuvanje%20na%20standardite%20za%20rano%20ucenje%20i%20razvoj%20preku%20vklucuvanje%20na%20tradicionalni%20igri%20vo%20ustanovit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tsp.gov.mk/content/pdf/Upatstvo%20za%20planiranje%20na%20aktivnosti%20od%20programata%20za%20rano%20ucenje%20i%20razvoj%20za%20steknuvanje%20na%20zdravi%20zivotni%20naviki%20i%20bezbedno%20odnesuvanje%20kaj%20decata.PDF"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8439-1B20-4DA8-B71A-593F85B1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42</Pages>
  <Words>21206</Words>
  <Characters>112457</Characters>
  <Application>Microsoft Office Word</Application>
  <DocSecurity>0</DocSecurity>
  <Lines>2681</Lines>
  <Paragraphs>1372</Paragraphs>
  <ScaleCrop>false</ScaleCrop>
  <HeadingPairs>
    <vt:vector size="2" baseType="variant">
      <vt:variant>
        <vt:lpstr>Title</vt:lpstr>
      </vt:variant>
      <vt:variant>
        <vt:i4>1</vt:i4>
      </vt:variant>
    </vt:vector>
  </HeadingPairs>
  <TitlesOfParts>
    <vt:vector size="1" baseType="lpstr">
      <vt:lpstr>CRC/C/MKD/3-6</vt:lpstr>
    </vt:vector>
  </TitlesOfParts>
  <Company>DCM</Company>
  <LinksUpToDate>false</LinksUpToDate>
  <CharactersWithSpaces>132654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CRC/C/MKD/3-6</dc:title>
  <dc:subject>2015762</dc:subject>
  <dc:creator>AVT</dc:creator>
  <cp:keywords/>
  <dc:description/>
  <cp:lastModifiedBy>Anni Vi TIROL</cp:lastModifiedBy>
  <cp:revision>2</cp:revision>
  <dcterms:created xsi:type="dcterms:W3CDTF">2020-11-23T13:42:00Z</dcterms:created>
  <dcterms:modified xsi:type="dcterms:W3CDTF">2020-11-23T13:42:00Z</dcterms:modified>
</cp:coreProperties>
</file>