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06267461" w14:textId="77777777" w:rsidTr="00B92948">
        <w:trPr>
          <w:trHeight w:hRule="exact" w:val="851"/>
        </w:trPr>
        <w:tc>
          <w:tcPr>
            <w:tcW w:w="1280" w:type="dxa"/>
            <w:tcBorders>
              <w:bottom w:val="single" w:sz="4" w:space="0" w:color="auto"/>
            </w:tcBorders>
          </w:tcPr>
          <w:p w14:paraId="5E48D441" w14:textId="77777777" w:rsidR="002D5AAC" w:rsidRDefault="002D5AAC" w:rsidP="00B92948">
            <w:pPr>
              <w:pStyle w:val="Sinespaciado"/>
              <w:kinsoku w:val="0"/>
              <w:overflowPunct w:val="0"/>
              <w:autoSpaceDE w:val="0"/>
              <w:autoSpaceDN w:val="0"/>
              <w:adjustRightInd w:val="0"/>
              <w:snapToGrid w:val="0"/>
            </w:pPr>
          </w:p>
        </w:tc>
        <w:tc>
          <w:tcPr>
            <w:tcW w:w="2273" w:type="dxa"/>
            <w:tcBorders>
              <w:bottom w:val="single" w:sz="4" w:space="0" w:color="auto"/>
            </w:tcBorders>
            <w:vAlign w:val="bottom"/>
          </w:tcPr>
          <w:p w14:paraId="2B03BB60" w14:textId="77777777" w:rsidR="002D5AAC" w:rsidRPr="00BD33EE" w:rsidRDefault="00BD33EE" w:rsidP="007F3812">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14:paraId="49380BB8" w14:textId="77777777" w:rsidR="002D5AAC" w:rsidRDefault="00B92948" w:rsidP="00B92948">
            <w:pPr>
              <w:jc w:val="right"/>
            </w:pPr>
            <w:r w:rsidRPr="00B92948">
              <w:rPr>
                <w:sz w:val="40"/>
              </w:rPr>
              <w:t>CRC</w:t>
            </w:r>
            <w:r>
              <w:t>/C/MKD/3-6</w:t>
            </w:r>
          </w:p>
        </w:tc>
      </w:tr>
      <w:tr w:rsidR="002D5AAC" w14:paraId="654B963B" w14:textId="77777777" w:rsidTr="00B92948">
        <w:trPr>
          <w:trHeight w:hRule="exact" w:val="2835"/>
        </w:trPr>
        <w:tc>
          <w:tcPr>
            <w:tcW w:w="1280" w:type="dxa"/>
            <w:tcBorders>
              <w:top w:val="single" w:sz="4" w:space="0" w:color="auto"/>
              <w:bottom w:val="single" w:sz="12" w:space="0" w:color="auto"/>
            </w:tcBorders>
          </w:tcPr>
          <w:p w14:paraId="0C4B5B3F" w14:textId="77777777" w:rsidR="002D5AAC" w:rsidRDefault="007D431B" w:rsidP="007F3812">
            <w:pPr>
              <w:spacing w:before="120"/>
              <w:jc w:val="center"/>
            </w:pPr>
            <w:r>
              <w:rPr>
                <w:noProof/>
              </w:rPr>
              <w:drawing>
                <wp:inline distT="0" distB="0" distL="0" distR="0" wp14:anchorId="4150E0B3" wp14:editId="56C91329">
                  <wp:extent cx="714375" cy="590550"/>
                  <wp:effectExtent l="0" t="0" r="0" b="0"/>
                  <wp:docPr id="2" name="Imagen 1" descr="Naciones Uni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41F84798" w14:textId="77777777" w:rsidR="002D5AAC" w:rsidRPr="00FB2D3D" w:rsidRDefault="004D45DB" w:rsidP="007F3812">
            <w:pPr>
              <w:spacing w:before="120" w:line="440" w:lineRule="exact"/>
              <w:rPr>
                <w:b/>
                <w:sz w:val="40"/>
                <w:szCs w:val="40"/>
              </w:rPr>
            </w:pPr>
            <w:r w:rsidRPr="00FB2D3D">
              <w:rPr>
                <w:b/>
                <w:sz w:val="40"/>
                <w:szCs w:val="40"/>
              </w:rPr>
              <w:t>Convención sobre los</w:t>
            </w:r>
            <w:r w:rsidR="00FB2D3D">
              <w:rPr>
                <w:b/>
                <w:sz w:val="40"/>
                <w:szCs w:val="40"/>
              </w:rPr>
              <w:br/>
            </w:r>
            <w:r w:rsidRPr="00FB2D3D">
              <w:rPr>
                <w:b/>
                <w:sz w:val="40"/>
                <w:szCs w:val="40"/>
              </w:rPr>
              <w:t>Derechos</w:t>
            </w:r>
            <w:r w:rsidR="00FB2D3D">
              <w:rPr>
                <w:b/>
                <w:sz w:val="40"/>
                <w:szCs w:val="40"/>
              </w:rPr>
              <w:t xml:space="preserve"> </w:t>
            </w:r>
            <w:r w:rsidRPr="00FB2D3D">
              <w:rPr>
                <w:b/>
                <w:sz w:val="40"/>
                <w:szCs w:val="40"/>
              </w:rPr>
              <w:t>del Niño</w:t>
            </w:r>
          </w:p>
        </w:tc>
        <w:tc>
          <w:tcPr>
            <w:tcW w:w="2819" w:type="dxa"/>
            <w:tcBorders>
              <w:top w:val="single" w:sz="4" w:space="0" w:color="auto"/>
              <w:bottom w:val="single" w:sz="12" w:space="0" w:color="auto"/>
            </w:tcBorders>
          </w:tcPr>
          <w:p w14:paraId="6CDF6589" w14:textId="77777777" w:rsidR="002D5AAC" w:rsidRDefault="00B92948" w:rsidP="007F3812">
            <w:pPr>
              <w:spacing w:before="240"/>
            </w:pPr>
            <w:proofErr w:type="spellStart"/>
            <w:r>
              <w:t>Distr</w:t>
            </w:r>
            <w:proofErr w:type="spellEnd"/>
            <w:r>
              <w:t>. general</w:t>
            </w:r>
          </w:p>
          <w:p w14:paraId="5147385F" w14:textId="77777777" w:rsidR="00B92948" w:rsidRDefault="00B92948" w:rsidP="00B92948">
            <w:pPr>
              <w:spacing w:line="240" w:lineRule="exact"/>
            </w:pPr>
            <w:r>
              <w:t>23 de noviembre de 2020</w:t>
            </w:r>
          </w:p>
          <w:p w14:paraId="344A7B3D" w14:textId="77777777" w:rsidR="00B92948" w:rsidRDefault="00B92948" w:rsidP="00B92948">
            <w:pPr>
              <w:spacing w:line="240" w:lineRule="exact"/>
            </w:pPr>
            <w:r>
              <w:t>Español</w:t>
            </w:r>
          </w:p>
          <w:p w14:paraId="2866AE20" w14:textId="77777777" w:rsidR="00B92948" w:rsidRDefault="00B92948" w:rsidP="00B92948">
            <w:pPr>
              <w:spacing w:line="240" w:lineRule="exact"/>
            </w:pPr>
            <w:r>
              <w:t>Original: inglés</w:t>
            </w:r>
          </w:p>
          <w:p w14:paraId="0632C8BC" w14:textId="77777777" w:rsidR="00B92948" w:rsidRDefault="00B92948" w:rsidP="00B92948">
            <w:pPr>
              <w:spacing w:line="240" w:lineRule="exact"/>
            </w:pPr>
            <w:r w:rsidRPr="009B187A">
              <w:t>Español, francés e inglés únicamente</w:t>
            </w:r>
          </w:p>
        </w:tc>
      </w:tr>
    </w:tbl>
    <w:p w14:paraId="1FCF4FA5" w14:textId="77777777" w:rsidR="00B92948" w:rsidRPr="00B92948" w:rsidRDefault="00B92948" w:rsidP="00B92948">
      <w:pPr>
        <w:spacing w:before="120"/>
        <w:rPr>
          <w:b/>
          <w:sz w:val="24"/>
          <w:szCs w:val="24"/>
        </w:rPr>
      </w:pPr>
      <w:r w:rsidRPr="00B92948">
        <w:rPr>
          <w:b/>
          <w:bCs/>
          <w:sz w:val="24"/>
          <w:szCs w:val="24"/>
        </w:rPr>
        <w:t>Comité de los Derechos del Niño</w:t>
      </w:r>
    </w:p>
    <w:p w14:paraId="6F2F2A3B" w14:textId="77777777" w:rsidR="00B92948" w:rsidRDefault="00B92948" w:rsidP="00B92948">
      <w:pPr>
        <w:pStyle w:val="HMG"/>
      </w:pPr>
      <w:r w:rsidRPr="00B92948">
        <w:tab/>
      </w:r>
      <w:r>
        <w:tab/>
      </w:r>
      <w:r w:rsidRPr="009B187A">
        <w:t>Informes periódicos tercero a sexto combinados que Macedonia del Norte debía presentar en 2017 en virtud del artículo 44 de la Convención</w:t>
      </w:r>
      <w:r w:rsidRPr="00B92948">
        <w:rPr>
          <w:rStyle w:val="Refdenotaalpie"/>
          <w:b w:val="0"/>
          <w:bCs/>
          <w:sz w:val="20"/>
          <w:vertAlign w:val="baseline"/>
        </w:rPr>
        <w:footnoteReference w:customMarkFollows="1" w:id="1"/>
        <w:t>*</w:t>
      </w:r>
    </w:p>
    <w:p w14:paraId="7F740999" w14:textId="77777777" w:rsidR="00381C24" w:rsidRDefault="00B92948" w:rsidP="00B92948">
      <w:pPr>
        <w:pStyle w:val="SingleTxtG"/>
        <w:jc w:val="right"/>
      </w:pPr>
      <w:r w:rsidRPr="009B187A">
        <w:t>[Fecha de recepción: 12 de marzo de 2019]</w:t>
      </w:r>
    </w:p>
    <w:p w14:paraId="21A12FA4" w14:textId="77777777" w:rsidR="00B92948" w:rsidRDefault="00B92948">
      <w:pPr>
        <w:spacing w:line="240" w:lineRule="auto"/>
      </w:pPr>
      <w:r>
        <w:br w:type="page"/>
      </w:r>
    </w:p>
    <w:p w14:paraId="3FAD6033" w14:textId="77777777" w:rsidR="00B92948" w:rsidRDefault="00B92948" w:rsidP="00B92948">
      <w:pPr>
        <w:pStyle w:val="HChG"/>
      </w:pPr>
      <w:r w:rsidRPr="00B92948">
        <w:lastRenderedPageBreak/>
        <w:tab/>
      </w:r>
      <w:r w:rsidR="009B520C">
        <w:tab/>
      </w:r>
      <w:r w:rsidRPr="00B92948">
        <w:t>Abreviaciones</w:t>
      </w:r>
      <w:bookmarkStart w:id="0" w:name="_Toc56781403"/>
      <w:bookmarkEnd w:id="0"/>
    </w:p>
    <w:tbl>
      <w:tblPr>
        <w:tblStyle w:val="Tablaconcuadrcula"/>
        <w:tblW w:w="3791" w:type="pct"/>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232"/>
        <w:gridCol w:w="6076"/>
      </w:tblGrid>
      <w:tr w:rsidR="00C0409C" w14:paraId="72E69E93" w14:textId="77777777" w:rsidTr="00C0409C">
        <w:tc>
          <w:tcPr>
            <w:tcW w:w="843" w:type="pct"/>
            <w:hideMark/>
          </w:tcPr>
          <w:p w14:paraId="79505226" w14:textId="77777777" w:rsidR="00C0409C" w:rsidRDefault="00C0409C">
            <w:pPr>
              <w:spacing w:after="120"/>
            </w:pPr>
            <w:r w:rsidRPr="00B92948">
              <w:t>ACNUR</w:t>
            </w:r>
          </w:p>
        </w:tc>
        <w:tc>
          <w:tcPr>
            <w:tcW w:w="4157" w:type="pct"/>
            <w:hideMark/>
          </w:tcPr>
          <w:p w14:paraId="196C82E7" w14:textId="77777777" w:rsidR="00C0409C" w:rsidRDefault="00C0409C" w:rsidP="00C0409C">
            <w:pPr>
              <w:pStyle w:val="SingleTxtG"/>
              <w:ind w:left="0"/>
              <w:jc w:val="left"/>
            </w:pPr>
            <w:r w:rsidRPr="00B92948">
              <w:t>Oficina del Alto Comisionado de las Naciones Unidas para los Refugiados</w:t>
            </w:r>
          </w:p>
        </w:tc>
      </w:tr>
      <w:tr w:rsidR="00C0409C" w14:paraId="1E29D03A" w14:textId="77777777" w:rsidTr="00C0409C">
        <w:tc>
          <w:tcPr>
            <w:tcW w:w="843" w:type="pct"/>
            <w:hideMark/>
          </w:tcPr>
          <w:p w14:paraId="145E5242" w14:textId="77777777" w:rsidR="00C0409C" w:rsidRDefault="00C0409C" w:rsidP="00C0409C">
            <w:pPr>
              <w:spacing w:after="120"/>
            </w:pPr>
            <w:r w:rsidRPr="00C0409C">
              <w:t>CIF</w:t>
            </w:r>
          </w:p>
        </w:tc>
        <w:tc>
          <w:tcPr>
            <w:tcW w:w="4157" w:type="pct"/>
            <w:hideMark/>
          </w:tcPr>
          <w:p w14:paraId="01867457" w14:textId="77777777" w:rsidR="00C0409C" w:rsidRDefault="00C0409C" w:rsidP="00C0409C">
            <w:pPr>
              <w:spacing w:after="120"/>
            </w:pPr>
            <w:r w:rsidRPr="00C0409C">
              <w:t>Clasificación Internacional del Funcionamiento, de la Discapacidad y de la Salud</w:t>
            </w:r>
          </w:p>
        </w:tc>
      </w:tr>
      <w:tr w:rsidR="00C0409C" w14:paraId="40CCC780" w14:textId="77777777" w:rsidTr="00C0409C">
        <w:tc>
          <w:tcPr>
            <w:tcW w:w="843" w:type="pct"/>
            <w:hideMark/>
          </w:tcPr>
          <w:p w14:paraId="4525F166" w14:textId="77777777" w:rsidR="00C0409C" w:rsidRDefault="00C0409C">
            <w:pPr>
              <w:spacing w:after="120"/>
            </w:pPr>
            <w:proofErr w:type="spellStart"/>
            <w:r w:rsidRPr="00B92948">
              <w:t>CoE</w:t>
            </w:r>
            <w:proofErr w:type="spellEnd"/>
          </w:p>
        </w:tc>
        <w:tc>
          <w:tcPr>
            <w:tcW w:w="4157" w:type="pct"/>
            <w:hideMark/>
          </w:tcPr>
          <w:p w14:paraId="5BAAC177" w14:textId="77777777" w:rsidR="00C0409C" w:rsidRDefault="00C0409C">
            <w:pPr>
              <w:spacing w:after="120"/>
            </w:pPr>
            <w:r w:rsidRPr="00B92948">
              <w:t>Consejo de Europa</w:t>
            </w:r>
          </w:p>
        </w:tc>
      </w:tr>
      <w:tr w:rsidR="00C0409C" w14:paraId="5B422B95" w14:textId="77777777" w:rsidTr="00C0409C">
        <w:tc>
          <w:tcPr>
            <w:tcW w:w="843" w:type="pct"/>
          </w:tcPr>
          <w:p w14:paraId="0B0E481A" w14:textId="77777777" w:rsidR="00C0409C" w:rsidRPr="00B92948" w:rsidRDefault="00C0409C">
            <w:pPr>
              <w:spacing w:after="120"/>
            </w:pPr>
            <w:proofErr w:type="spellStart"/>
            <w:r w:rsidRPr="00B92948">
              <w:t>GIZ</w:t>
            </w:r>
            <w:proofErr w:type="spellEnd"/>
          </w:p>
        </w:tc>
        <w:tc>
          <w:tcPr>
            <w:tcW w:w="4157" w:type="pct"/>
          </w:tcPr>
          <w:p w14:paraId="3DF0D5AD" w14:textId="77777777" w:rsidR="00C0409C" w:rsidRPr="00B92948" w:rsidRDefault="00C0409C">
            <w:pPr>
              <w:spacing w:after="120"/>
            </w:pPr>
            <w:r w:rsidRPr="00B92948">
              <w:t>Agencia Alemana de Cooperación Internacional</w:t>
            </w:r>
          </w:p>
        </w:tc>
      </w:tr>
      <w:tr w:rsidR="00C0409C" w14:paraId="6F09CC94" w14:textId="77777777" w:rsidTr="00C0409C">
        <w:tc>
          <w:tcPr>
            <w:tcW w:w="843" w:type="pct"/>
          </w:tcPr>
          <w:p w14:paraId="148ED5E3" w14:textId="77777777" w:rsidR="00C0409C" w:rsidRPr="00B92948" w:rsidRDefault="00C0409C">
            <w:pPr>
              <w:spacing w:after="120"/>
            </w:pPr>
            <w:proofErr w:type="spellStart"/>
            <w:r w:rsidRPr="00B92948">
              <w:t>IHMC</w:t>
            </w:r>
            <w:proofErr w:type="spellEnd"/>
          </w:p>
        </w:tc>
        <w:tc>
          <w:tcPr>
            <w:tcW w:w="4157" w:type="pct"/>
          </w:tcPr>
          <w:p w14:paraId="46B02860" w14:textId="77777777" w:rsidR="00C0409C" w:rsidRPr="00B92948" w:rsidRDefault="00C0409C">
            <w:pPr>
              <w:spacing w:after="120"/>
            </w:pPr>
            <w:r w:rsidRPr="00B92948">
              <w:t>Instituto para la Salud de la Madre y el Niño</w:t>
            </w:r>
          </w:p>
        </w:tc>
      </w:tr>
      <w:tr w:rsidR="00C0409C" w14:paraId="3431D056" w14:textId="77777777" w:rsidTr="00C0409C">
        <w:tc>
          <w:tcPr>
            <w:tcW w:w="843" w:type="pct"/>
          </w:tcPr>
          <w:p w14:paraId="65FA4492" w14:textId="77777777" w:rsidR="00C0409C" w:rsidRPr="00B92948" w:rsidRDefault="00C0409C">
            <w:pPr>
              <w:spacing w:after="120"/>
            </w:pPr>
            <w:proofErr w:type="spellStart"/>
            <w:r w:rsidRPr="00B92948">
              <w:t>OIM</w:t>
            </w:r>
            <w:proofErr w:type="spellEnd"/>
          </w:p>
        </w:tc>
        <w:tc>
          <w:tcPr>
            <w:tcW w:w="4157" w:type="pct"/>
          </w:tcPr>
          <w:p w14:paraId="4D258A27" w14:textId="77777777" w:rsidR="00C0409C" w:rsidRPr="00B92948" w:rsidRDefault="00C0409C">
            <w:pPr>
              <w:spacing w:after="120"/>
            </w:pPr>
            <w:r w:rsidRPr="00B92948">
              <w:t>Organización Internacional para las Migraciones</w:t>
            </w:r>
          </w:p>
        </w:tc>
      </w:tr>
      <w:tr w:rsidR="00C0409C" w14:paraId="7CD295B3" w14:textId="77777777" w:rsidTr="00C0409C">
        <w:tc>
          <w:tcPr>
            <w:tcW w:w="843" w:type="pct"/>
          </w:tcPr>
          <w:p w14:paraId="761248BB" w14:textId="77777777" w:rsidR="00C0409C" w:rsidRPr="00B92948" w:rsidRDefault="00C0409C">
            <w:pPr>
              <w:spacing w:after="120"/>
            </w:pPr>
            <w:r w:rsidRPr="00B92948">
              <w:t>OMS</w:t>
            </w:r>
          </w:p>
        </w:tc>
        <w:tc>
          <w:tcPr>
            <w:tcW w:w="4157" w:type="pct"/>
          </w:tcPr>
          <w:p w14:paraId="367D37CD" w14:textId="77777777" w:rsidR="00C0409C" w:rsidRPr="00B92948" w:rsidRDefault="00C0409C">
            <w:pPr>
              <w:spacing w:after="120"/>
            </w:pPr>
            <w:r w:rsidRPr="00B92948">
              <w:t>Organización Mundial de la Salud</w:t>
            </w:r>
          </w:p>
        </w:tc>
      </w:tr>
      <w:tr w:rsidR="00C0409C" w14:paraId="6F09549C" w14:textId="77777777" w:rsidTr="00C0409C">
        <w:tc>
          <w:tcPr>
            <w:tcW w:w="843" w:type="pct"/>
          </w:tcPr>
          <w:p w14:paraId="35C5F940" w14:textId="77777777" w:rsidR="00C0409C" w:rsidRPr="00B92948" w:rsidRDefault="00C0409C">
            <w:pPr>
              <w:spacing w:after="120"/>
            </w:pPr>
            <w:r w:rsidRPr="00B92948">
              <w:t>ONG</w:t>
            </w:r>
          </w:p>
        </w:tc>
        <w:tc>
          <w:tcPr>
            <w:tcW w:w="4157" w:type="pct"/>
          </w:tcPr>
          <w:p w14:paraId="06F7E498" w14:textId="77777777" w:rsidR="00C0409C" w:rsidRPr="00B92948" w:rsidRDefault="009B520C">
            <w:pPr>
              <w:spacing w:after="120"/>
            </w:pPr>
            <w:r>
              <w:t>O</w:t>
            </w:r>
            <w:r w:rsidR="00C0409C" w:rsidRPr="00B92948">
              <w:t>rganización no gubernamental</w:t>
            </w:r>
          </w:p>
        </w:tc>
      </w:tr>
      <w:tr w:rsidR="00C0409C" w14:paraId="001C74F8" w14:textId="77777777" w:rsidTr="00C0409C">
        <w:tc>
          <w:tcPr>
            <w:tcW w:w="843" w:type="pct"/>
          </w:tcPr>
          <w:p w14:paraId="53FFEA1E" w14:textId="77777777" w:rsidR="00C0409C" w:rsidRPr="00B92948" w:rsidRDefault="00C0409C">
            <w:pPr>
              <w:spacing w:after="120"/>
            </w:pPr>
            <w:r w:rsidRPr="00B92948">
              <w:t>OSCE</w:t>
            </w:r>
          </w:p>
        </w:tc>
        <w:tc>
          <w:tcPr>
            <w:tcW w:w="4157" w:type="pct"/>
          </w:tcPr>
          <w:p w14:paraId="1BC56E12" w14:textId="77777777" w:rsidR="00C0409C" w:rsidRPr="00B92948" w:rsidRDefault="00C0409C">
            <w:pPr>
              <w:spacing w:after="120"/>
            </w:pPr>
            <w:r w:rsidRPr="00B92948">
              <w:t>Organización para la Seguridad y la Cooperación en Europa</w:t>
            </w:r>
          </w:p>
        </w:tc>
      </w:tr>
      <w:tr w:rsidR="00C0409C" w14:paraId="502E8996" w14:textId="77777777" w:rsidTr="00C0409C">
        <w:tc>
          <w:tcPr>
            <w:tcW w:w="843" w:type="pct"/>
          </w:tcPr>
          <w:p w14:paraId="5EC00C0F" w14:textId="77777777" w:rsidR="00C0409C" w:rsidRPr="00B92948" w:rsidRDefault="00C0409C">
            <w:pPr>
              <w:spacing w:after="120"/>
            </w:pPr>
            <w:proofErr w:type="spellStart"/>
            <w:r w:rsidRPr="00B92948">
              <w:t>UNFPA</w:t>
            </w:r>
            <w:proofErr w:type="spellEnd"/>
          </w:p>
        </w:tc>
        <w:tc>
          <w:tcPr>
            <w:tcW w:w="4157" w:type="pct"/>
          </w:tcPr>
          <w:p w14:paraId="089B7D9C" w14:textId="77777777" w:rsidR="00C0409C" w:rsidRPr="00B92948" w:rsidRDefault="00C0409C">
            <w:pPr>
              <w:spacing w:after="120"/>
            </w:pPr>
            <w:r w:rsidRPr="00B92948">
              <w:t>Fondo de Población de las Naciones Unidas</w:t>
            </w:r>
          </w:p>
        </w:tc>
      </w:tr>
      <w:tr w:rsidR="00C0409C" w14:paraId="4AA95F00" w14:textId="77777777" w:rsidTr="00C0409C">
        <w:tc>
          <w:tcPr>
            <w:tcW w:w="843" w:type="pct"/>
          </w:tcPr>
          <w:p w14:paraId="24611703" w14:textId="77777777" w:rsidR="00C0409C" w:rsidRPr="00B92948" w:rsidRDefault="00C0409C">
            <w:pPr>
              <w:spacing w:after="120"/>
            </w:pPr>
            <w:r w:rsidRPr="009B187A">
              <w:t>UNICEF</w:t>
            </w:r>
          </w:p>
        </w:tc>
        <w:tc>
          <w:tcPr>
            <w:tcW w:w="4157" w:type="pct"/>
          </w:tcPr>
          <w:p w14:paraId="3BBC878F" w14:textId="77777777" w:rsidR="00C0409C" w:rsidRPr="00B92948" w:rsidRDefault="00C0409C">
            <w:pPr>
              <w:spacing w:after="120"/>
            </w:pPr>
            <w:r w:rsidRPr="009B187A">
              <w:t>Fondo de las Naciones Unidas para la Infancia</w:t>
            </w:r>
          </w:p>
        </w:tc>
      </w:tr>
    </w:tbl>
    <w:p w14:paraId="5EAE6BF9" w14:textId="77777777" w:rsidR="00B92948" w:rsidRDefault="00B92948" w:rsidP="00C0409C">
      <w:pPr>
        <w:pStyle w:val="SingleTxtG"/>
      </w:pPr>
      <w:r>
        <w:br w:type="page"/>
      </w:r>
    </w:p>
    <w:p w14:paraId="64711BA7" w14:textId="77777777" w:rsidR="00B92948" w:rsidRPr="00B92948" w:rsidRDefault="00B92948" w:rsidP="00B92948">
      <w:pPr>
        <w:pStyle w:val="HChG"/>
      </w:pPr>
      <w:bookmarkStart w:id="1" w:name="_GoBack"/>
      <w:bookmarkEnd w:id="1"/>
      <w:r>
        <w:lastRenderedPageBreak/>
        <w:tab/>
      </w:r>
      <w:r w:rsidRPr="00B92948">
        <w:tab/>
        <w:t>Introducción</w:t>
      </w:r>
    </w:p>
    <w:p w14:paraId="623EBA98" w14:textId="77777777" w:rsidR="00B92948" w:rsidRPr="00B92948" w:rsidRDefault="00B92948" w:rsidP="00B92948">
      <w:pPr>
        <w:pStyle w:val="SingleTxtG"/>
      </w:pPr>
      <w:r w:rsidRPr="00B92948">
        <w:t>1.</w:t>
      </w:r>
      <w:r w:rsidRPr="00B92948">
        <w:tab/>
        <w:t>Tras la adhesión a la Convención sobre los Derechos del Niño en calidad de sucesora de la ex República Socialista Federativa de Yugoslavia, la República de Macedonia del Norte, de conformidad con las obligaciones de presentación de informes establecidas en el artículo 44 de la Convención, y tras haber presentado su informe inicial en 1997 y su segundo informe periódico en 2010, preparó sus informes periódicos tercero a sexto combinados en virtud de la Convención, que presenta al Comité.</w:t>
      </w:r>
    </w:p>
    <w:p w14:paraId="1B894CC3" w14:textId="77777777" w:rsidR="00B92948" w:rsidRPr="00B92948" w:rsidRDefault="00B92948" w:rsidP="00B92948">
      <w:pPr>
        <w:pStyle w:val="SingleTxtG"/>
      </w:pPr>
      <w:r w:rsidRPr="00B92948">
        <w:t>2.</w:t>
      </w:r>
      <w:r w:rsidRPr="00B92948">
        <w:tab/>
        <w:t xml:space="preserve">El presente informe se ha preparado de conformidad con las Directrices específicas respecto de la forma y el contenido de los informes periódicos que han de presentar los </w:t>
      </w:r>
      <w:proofErr w:type="gramStart"/>
      <w:r w:rsidRPr="00B92948">
        <w:t>Estados partes</w:t>
      </w:r>
      <w:proofErr w:type="gramEnd"/>
      <w:r w:rsidRPr="00B92948">
        <w:t xml:space="preserve"> en virtud del artículo 44, párrafo 1 b), de la Convención sobre los Derechos del Niño (CRC/C/5), aprobadas por el Comité en su 65º período de sesiones (13 a 31 de enero de 2014). Las recomendaciones contenidas en las observaciones finales del Comité de los Derechos del Niño aprobadas el 11 de junio de 2010 (CRC/C/MKD/CO/2) también se han tenido en cuenta en la preparación del presente informe periódico combinado. </w:t>
      </w:r>
    </w:p>
    <w:p w14:paraId="7D528BC2" w14:textId="77777777" w:rsidR="00B92948" w:rsidRPr="00B92948" w:rsidRDefault="00B92948" w:rsidP="00B92948">
      <w:pPr>
        <w:pStyle w:val="SingleTxtG"/>
      </w:pPr>
      <w:r w:rsidRPr="00B92948">
        <w:t>3.</w:t>
      </w:r>
      <w:r w:rsidRPr="00B92948">
        <w:tab/>
        <w:t>Participaron en la preparación del informe el Ministerio de Trabajo y Política Social, el Ministerio de Justicia, el Ministerio del Interior, el Ministerio de Educación y Ciencia, el Ministerio de Defensa, el Ministerio de Salud y la Oficina Estatal de Estadística. El presente informe abarca el período comprendido entre 2010 y 2018.</w:t>
      </w:r>
    </w:p>
    <w:p w14:paraId="62C89726" w14:textId="77777777" w:rsidR="00B92948" w:rsidRPr="00B92948" w:rsidRDefault="00B92948" w:rsidP="00B92948">
      <w:pPr>
        <w:pStyle w:val="SingleTxtG"/>
        <w:rPr>
          <w:bCs/>
        </w:rPr>
      </w:pPr>
      <w:r w:rsidRPr="00B92948">
        <w:t>4.</w:t>
      </w:r>
      <w:r w:rsidRPr="00B92948">
        <w:tab/>
        <w:t>Antes de que el proyecto de informe se presentara para su aprobación por el Gobierno, se distribuyó a las organizaciones de la sociedad civil y se solicitaron sus observaciones. Además, el proyecto se había presentado a la oficina del Fondo de las Naciones Unidas para la Infancia (UNICEF) en la República de Macedonia del Norte.</w:t>
      </w:r>
    </w:p>
    <w:p w14:paraId="445B6871" w14:textId="77777777" w:rsidR="00B92948" w:rsidRPr="00B92948" w:rsidRDefault="00B92948" w:rsidP="00B92948">
      <w:pPr>
        <w:pStyle w:val="H1G"/>
      </w:pPr>
      <w:r w:rsidRPr="00B92948">
        <w:tab/>
        <w:t>1.</w:t>
      </w:r>
      <w:r w:rsidRPr="00B92948">
        <w:tab/>
        <w:t>Medidas generales de aplicación (arts. 4, 42 y 44 (párr. 6)</w:t>
      </w:r>
      <w:bookmarkStart w:id="2" w:name="_Toc56781405"/>
      <w:bookmarkEnd w:id="2"/>
      <w:r w:rsidRPr="00B92948">
        <w:t>)</w:t>
      </w:r>
    </w:p>
    <w:p w14:paraId="01C29683" w14:textId="77777777" w:rsidR="00B92948" w:rsidRPr="00B92948" w:rsidRDefault="00B92948" w:rsidP="00B92948">
      <w:pPr>
        <w:pStyle w:val="SingleTxtG"/>
      </w:pPr>
      <w:r w:rsidRPr="00B92948">
        <w:t>5.</w:t>
      </w:r>
      <w:r w:rsidRPr="00B92948">
        <w:tab/>
        <w:t>Con arreglo a la Ley del Defensor del Pueblo, la Oficina del Defensor del Pueblo tiene una dependencia especial que supervisa la situación de los derechos del niño y trabaja en la protección de estos. Esta dependencia tiene el mandato de recibir y tramitar las solicitudes presentadas por los niños o sus representantes. Con miras a cumplir los criterios para adquirir la condición de institución nacional de derechos humanos de categoría A, en 2016 se aprobaron modificaciones y adiciones de la Ley del Defensor del Pueblo, que fueron decisivas para lograr los siguientes resultados:</w:t>
      </w:r>
    </w:p>
    <w:p w14:paraId="2114E2CE" w14:textId="77777777" w:rsidR="00B92948" w:rsidRPr="00B92948" w:rsidRDefault="00B92948" w:rsidP="00B92948">
      <w:pPr>
        <w:pStyle w:val="Bullet1G"/>
      </w:pPr>
      <w:r w:rsidRPr="00B92948">
        <w:t>Armonización de la Ley con los principios relativos al estatuto de las instituciones nacionales de promoción y protección de los derechos humanos (Principios de París) mediante la introducción del segmento de promoción de los derechos humanos, así como un enfoque pluralista en el nombramiento de los cargos directivos y la independencia financiera de la institución</w:t>
      </w:r>
      <w:r w:rsidR="0022038F">
        <w:t>.</w:t>
      </w:r>
    </w:p>
    <w:p w14:paraId="394DA9B1" w14:textId="77777777" w:rsidR="00B92948" w:rsidRPr="00B92948" w:rsidRDefault="00B92948" w:rsidP="00B92948">
      <w:pPr>
        <w:pStyle w:val="Bullet1G"/>
      </w:pPr>
      <w:r w:rsidRPr="00B92948">
        <w:tab/>
        <w:t>Incorporación del segmento de prevención, centrado en la protección especial de los derechos del niño</w:t>
      </w:r>
      <w:r w:rsidR="0022038F">
        <w:t>.</w:t>
      </w:r>
    </w:p>
    <w:p w14:paraId="7373C643" w14:textId="77777777" w:rsidR="00B92948" w:rsidRPr="00B92948" w:rsidRDefault="00B92948" w:rsidP="00B92948">
      <w:pPr>
        <w:pStyle w:val="Bullet1G"/>
      </w:pPr>
      <w:r w:rsidRPr="00B92948">
        <w:tab/>
        <w:t>Adaptación a las disposiciones del Protocolo Facultativo de la Convención contra la Tortura y Otros Tratos o Penas Crueles, Inhumanos o Degradantes, que facilita el fortalecimiento del mandato del Defensor del Pueblo como Mecanismo Nacional de Prevención en esta materia</w:t>
      </w:r>
      <w:r w:rsidR="0022038F">
        <w:t>.</w:t>
      </w:r>
    </w:p>
    <w:p w14:paraId="3B89E5D0" w14:textId="77777777" w:rsidR="00B92948" w:rsidRPr="00B92948" w:rsidRDefault="00B92948" w:rsidP="00B92948">
      <w:pPr>
        <w:pStyle w:val="Bullet1G"/>
      </w:pPr>
      <w:r w:rsidRPr="00B92948">
        <w:tab/>
        <w:t>Introducción de la obligación de que el Informe Anual del Defensor del Pueblo contenga recomendaciones para superar las deficiencias determinadas, así como para que el Parlamento y el Gobierno asuman su responsabilidad, cumplan las recomendaciones del Defensor del Pueblo y proporcionen información sobre las medidas específicas adoptadas a este respecto</w:t>
      </w:r>
      <w:r w:rsidR="0022038F">
        <w:t>.</w:t>
      </w:r>
      <w:r w:rsidRPr="00B92948">
        <w:t xml:space="preserve"> </w:t>
      </w:r>
    </w:p>
    <w:p w14:paraId="34421E93" w14:textId="77777777" w:rsidR="00B92948" w:rsidRPr="00B92948" w:rsidRDefault="00B92948" w:rsidP="00B92948">
      <w:pPr>
        <w:pStyle w:val="Bullet1G"/>
      </w:pPr>
      <w:r w:rsidRPr="00B92948">
        <w:tab/>
        <w:t>Otorgamiento al Defensor del Pueblo de la facultad para presentar una solicitud a la Comisión Permanente de Examen para la Protección de los Derechos Humanos y las Libertades Fundamentales del Parlamento con objeto de que se examinen los casos de violación de los derechos constitucionales y reconocidos en la legislación, así como de que se adopten las medidas pertinentes</w:t>
      </w:r>
      <w:r w:rsidR="0022038F">
        <w:t>.</w:t>
      </w:r>
      <w:r w:rsidRPr="00B92948">
        <w:t xml:space="preserve"> </w:t>
      </w:r>
    </w:p>
    <w:p w14:paraId="679BC837" w14:textId="77777777" w:rsidR="00B92948" w:rsidRPr="00B92948" w:rsidRDefault="00B92948" w:rsidP="00B92948">
      <w:pPr>
        <w:pStyle w:val="Bullet1G"/>
      </w:pPr>
      <w:r w:rsidRPr="00B92948">
        <w:lastRenderedPageBreak/>
        <w:tab/>
        <w:t>Establecimiento de un mecanismo adicional que permita adoptar medidas en relación con los informes especiales sobre los obstáculos a la labor del Defensor del Pueblo y sobre la falta de atención y acción respecto de sus solicitudes, propuestas, dictámenes, recomendaciones y consideraciones.</w:t>
      </w:r>
    </w:p>
    <w:p w14:paraId="5E5CC583" w14:textId="77777777" w:rsidR="00B92948" w:rsidRPr="00B92948" w:rsidRDefault="00B92948" w:rsidP="00B92948">
      <w:pPr>
        <w:pStyle w:val="SingleTxtG"/>
      </w:pPr>
      <w:r w:rsidRPr="00B92948">
        <w:t>6.</w:t>
      </w:r>
      <w:r w:rsidRPr="00B92948">
        <w:tab/>
        <w:t xml:space="preserve">Se han organizado los siguientes cursos de capacitación para los profesionales que trabajan con y para los niños en relación con la Convención: </w:t>
      </w:r>
    </w:p>
    <w:p w14:paraId="28122322" w14:textId="77777777" w:rsidR="00B92948" w:rsidRPr="00B92948" w:rsidRDefault="00B92948" w:rsidP="00B92948">
      <w:pPr>
        <w:pStyle w:val="Bullet1G"/>
      </w:pPr>
      <w:r w:rsidRPr="00B92948">
        <w:tab/>
        <w:t>Formación de formadores de inspectores del trabajo: utilización de indicadores para la detección de los niños víctimas de la trata de personas con fines de explotación laboral</w:t>
      </w:r>
      <w:r w:rsidR="0022038F">
        <w:t>.</w:t>
      </w:r>
    </w:p>
    <w:p w14:paraId="5ADAA272" w14:textId="77777777" w:rsidR="00B92948" w:rsidRPr="00B92948" w:rsidRDefault="00B92948" w:rsidP="00B92948">
      <w:pPr>
        <w:pStyle w:val="Bullet1G"/>
      </w:pPr>
      <w:r w:rsidRPr="00B92948">
        <w:tab/>
        <w:t>Formación especializada para 75 agentes de policía (principalmente inspectores de delincuencia juvenil): reconocimiento, detección y remisión de los niños que podrían ser víctimas de la trata de personas</w:t>
      </w:r>
      <w:r w:rsidR="0022038F">
        <w:t>.</w:t>
      </w:r>
      <w:r w:rsidRPr="00B92948">
        <w:t xml:space="preserve"> </w:t>
      </w:r>
    </w:p>
    <w:p w14:paraId="1096DA1D" w14:textId="77777777" w:rsidR="00B92948" w:rsidRPr="00B92948" w:rsidRDefault="00B92948" w:rsidP="00B92948">
      <w:pPr>
        <w:pStyle w:val="Bullet1G"/>
      </w:pPr>
      <w:r w:rsidRPr="00B92948">
        <w:tab/>
        <w:t>Formación sobre la dimensión de género de la trata de personas para agentes de policía, trabajadores sociales y organizaciones no gubernamentales (ONG)</w:t>
      </w:r>
      <w:r w:rsidR="0022038F">
        <w:t>.</w:t>
      </w:r>
      <w:r w:rsidRPr="00B92948">
        <w:t xml:space="preserve"> </w:t>
      </w:r>
    </w:p>
    <w:p w14:paraId="063A5731" w14:textId="77777777" w:rsidR="00B92948" w:rsidRPr="00B92948" w:rsidRDefault="00B92948" w:rsidP="00B92948">
      <w:pPr>
        <w:pStyle w:val="Bullet1G"/>
      </w:pPr>
      <w:r w:rsidRPr="00B92948">
        <w:tab/>
        <w:t xml:space="preserve">Formación de trabajadores sociales sobre los indicadores para la detección de niños víctimas de la trata de personas; los trabajadores sociales capacitados continuarán desempeñándose como personas de contacto en sus instituciones para cuestiones relacionadas con la trata. </w:t>
      </w:r>
    </w:p>
    <w:p w14:paraId="072F9F50" w14:textId="77777777" w:rsidR="00B92948" w:rsidRPr="00B92948" w:rsidRDefault="00B92948" w:rsidP="00B92948">
      <w:pPr>
        <w:pStyle w:val="SingleTxtG"/>
      </w:pPr>
      <w:r w:rsidRPr="00B92948">
        <w:t>7.</w:t>
      </w:r>
      <w:r w:rsidRPr="00B92948">
        <w:tab/>
        <w:t xml:space="preserve">De conformidad con la Convención, el tema de los derechos del niño se ha incluido en mayor detalle en el programa de estudios de la enseñanza primaria. El objetivo es aumentar el conocimiento y la comprensión de los niños sobre la Convención y su aplicación, así como concienciar a los niños sobre la importancia de los derechos que tienen como personas. Este tema se ha incorporado en el programa de estudios de las asignaturas de ciencias sociales y educación civil de la enseñanza primaria. </w:t>
      </w:r>
    </w:p>
    <w:p w14:paraId="48FF6F7E" w14:textId="77777777" w:rsidR="00B92948" w:rsidRPr="00B92948" w:rsidRDefault="00B92948" w:rsidP="00B92948">
      <w:pPr>
        <w:pStyle w:val="SingleTxtG"/>
      </w:pPr>
      <w:r w:rsidRPr="00B92948">
        <w:t>8.</w:t>
      </w:r>
      <w:r w:rsidRPr="00B92948">
        <w:tab/>
        <w:t>En el presente documento se incluye información sobre la armonización de la legislación y la práctica nacionales con las disposiciones de los correspondientes artículos de la Convención y sus Protocolos.</w:t>
      </w:r>
    </w:p>
    <w:p w14:paraId="0A650DCB" w14:textId="77777777" w:rsidR="00B92948" w:rsidRPr="00B92948" w:rsidRDefault="00B92948" w:rsidP="00B92948">
      <w:pPr>
        <w:pStyle w:val="H1G"/>
      </w:pPr>
      <w:r w:rsidRPr="00B92948">
        <w:tab/>
        <w:t>2.</w:t>
      </w:r>
      <w:r w:rsidRPr="00B92948">
        <w:tab/>
        <w:t>Definición de niño (art. 1)</w:t>
      </w:r>
      <w:bookmarkStart w:id="3" w:name="_Toc56781406"/>
      <w:bookmarkEnd w:id="3"/>
    </w:p>
    <w:p w14:paraId="61CED021" w14:textId="77777777" w:rsidR="00B92948" w:rsidRPr="00B92948" w:rsidRDefault="00B92948" w:rsidP="00B92948">
      <w:pPr>
        <w:pStyle w:val="SingleTxtG"/>
      </w:pPr>
      <w:r w:rsidRPr="00B92948">
        <w:t>9.</w:t>
      </w:r>
      <w:r w:rsidRPr="00B92948">
        <w:tab/>
        <w:t>Según el artículo 19 de la Ley de Justicia para Niños</w:t>
      </w:r>
      <w:r w:rsidRPr="00B92948">
        <w:rPr>
          <w:rStyle w:val="Refdenotaalpie"/>
        </w:rPr>
        <w:footnoteReference w:id="2"/>
      </w:r>
      <w:r w:rsidRPr="00B92948">
        <w:t xml:space="preserve">, se entiende por niño toda persona menor de 18 años. </w:t>
      </w:r>
    </w:p>
    <w:p w14:paraId="56136258" w14:textId="77777777" w:rsidR="00B92948" w:rsidRPr="00B92948" w:rsidRDefault="00B92948" w:rsidP="00B92948">
      <w:pPr>
        <w:pStyle w:val="SingleTxtG"/>
      </w:pPr>
      <w:r w:rsidRPr="00B92948">
        <w:t>10.</w:t>
      </w:r>
      <w:r w:rsidRPr="00B92948">
        <w:tab/>
        <w:t>En el contexto de la edad mínima para contraer matrimonio, tanto para las niñas como para los niños, de acuerdo con la Ley de la Familia</w:t>
      </w:r>
      <w:r w:rsidRPr="00B92948">
        <w:rPr>
          <w:rStyle w:val="Refdenotaalpie"/>
        </w:rPr>
        <w:footnoteReference w:id="3"/>
      </w:r>
      <w:r w:rsidRPr="00B92948">
        <w:t xml:space="preserve">, una persona que no haya cumplido los 18 </w:t>
      </w:r>
      <w:proofErr w:type="gramStart"/>
      <w:r w:rsidRPr="00B92948">
        <w:t>años de edad</w:t>
      </w:r>
      <w:proofErr w:type="gramEnd"/>
      <w:r w:rsidRPr="00B92948">
        <w:t xml:space="preserve"> no podrá contraer matrimonio. Las personas que hayan cumplido los 16 años podrán obtener permiso para contraer matrimonio en virtud de una decisión de un tribunal competente, adoptada en un procedimiento no contencioso, siempre que se haya establecido que la persona ha alcanzado la madurez física y mental necesaria para el cumplimiento de los derechos y deberes derivados del matrimonio.</w:t>
      </w:r>
    </w:p>
    <w:p w14:paraId="40B0BA70" w14:textId="77777777" w:rsidR="00B92948" w:rsidRPr="00B92948" w:rsidRDefault="00B92948" w:rsidP="00B92948">
      <w:pPr>
        <w:pStyle w:val="H1G"/>
      </w:pPr>
      <w:r w:rsidRPr="00B92948">
        <w:tab/>
        <w:t>3.</w:t>
      </w:r>
      <w:r w:rsidRPr="00B92948">
        <w:tab/>
        <w:t>Principios generales (arts. 2, 3, 6 y 12)</w:t>
      </w:r>
      <w:bookmarkStart w:id="4" w:name="_Toc56781407"/>
      <w:bookmarkEnd w:id="4"/>
    </w:p>
    <w:p w14:paraId="56ED26D0" w14:textId="77777777" w:rsidR="00B92948" w:rsidRPr="00B92948" w:rsidRDefault="00B92948" w:rsidP="00B92948">
      <w:pPr>
        <w:pStyle w:val="H23G"/>
      </w:pPr>
      <w:r w:rsidRPr="00B92948">
        <w:tab/>
        <w:t>a)</w:t>
      </w:r>
      <w:r w:rsidRPr="00B92948">
        <w:tab/>
        <w:t>No discriminación (art. 2)</w:t>
      </w:r>
      <w:bookmarkStart w:id="5" w:name="_Toc56781408"/>
      <w:bookmarkEnd w:id="5"/>
    </w:p>
    <w:p w14:paraId="62F6E861" w14:textId="77777777" w:rsidR="00B92948" w:rsidRPr="00B92948" w:rsidRDefault="00B92948" w:rsidP="00B92948">
      <w:pPr>
        <w:pStyle w:val="SingleTxtG"/>
      </w:pPr>
      <w:r w:rsidRPr="00B92948">
        <w:t>11.</w:t>
      </w:r>
      <w:r w:rsidRPr="00B92948">
        <w:tab/>
        <w:t>El principio de no discriminación se ha incorporado en el artículo 8 de la nueva Ley de Justicia para Niños</w:t>
      </w:r>
      <w:r w:rsidRPr="00B92948">
        <w:rPr>
          <w:rStyle w:val="Refdenotaalpie"/>
        </w:rPr>
        <w:footnoteReference w:id="4"/>
      </w:r>
      <w:r w:rsidRPr="00B92948">
        <w:t xml:space="preserve">. De conformidad con dicho artículo, los tribunales y otras instituciones respetarán y garantizarán los derechos del niño sin discriminación alguna por motivos de sexo, raza, color de la piel, género, pertenencia a un grupo marginado, origen </w:t>
      </w:r>
      <w:r w:rsidRPr="00B92948">
        <w:lastRenderedPageBreak/>
        <w:t xml:space="preserve">étnico, idioma, nacionalidad, condición social, religión o creencia religiosa, o cualquier otro motivo establecido por ley o en un tratado internacional ratificado. </w:t>
      </w:r>
    </w:p>
    <w:p w14:paraId="353DC3E1" w14:textId="77777777" w:rsidR="00B92948" w:rsidRPr="00B92948" w:rsidRDefault="00B92948" w:rsidP="00B92948">
      <w:pPr>
        <w:pStyle w:val="SingleTxtG"/>
      </w:pPr>
      <w:r w:rsidRPr="00B92948">
        <w:t>12.</w:t>
      </w:r>
      <w:r w:rsidRPr="00B92948">
        <w:tab/>
        <w:t xml:space="preserve">La Ley de Prevención y Protección contra la Discriminación prohíbe la discriminación contra todas las personas físicas y jurídicas en el ejercicio de los derechos y las libertades amparados por la Constitución y las leyes (art. 2). La edad como motivo de discriminación se menciona en el artículo 3 de esta Ley y la prohibición de la discriminación por motivos de edad ha de ser respetada por todos los órganos estatales, las dependencias de los gobiernos autónomos locales, las entidades jurídicas con mandato público y otras personas jurídicas y físicas. </w:t>
      </w:r>
    </w:p>
    <w:p w14:paraId="1D906522" w14:textId="77777777" w:rsidR="00B92948" w:rsidRPr="00B92948" w:rsidRDefault="00B92948" w:rsidP="00B92948">
      <w:pPr>
        <w:pStyle w:val="SingleTxtG"/>
      </w:pPr>
      <w:r w:rsidRPr="00B92948">
        <w:t>13.</w:t>
      </w:r>
      <w:r w:rsidRPr="00B92948">
        <w:tab/>
        <w:t xml:space="preserve">En consonancia con la Estrategia sobre la Igualdad y la No Discriminación 2016-2020 y los informes de la Comisión Europea que contienen recomendaciones para el fomento de la legislación pertinente con miras al logro de una prevención y protección más eficaz contra la discriminación, en 2016 el Ministerio de Trabajo y Política Social preparó las modificaciones de la Ley de Prevención y Protección contra la Discriminación. Estas están siendo objeto de trámite parlamentario y se centran en una protección más eficaz contra la discriminación y procedimientos para abordar los casos de discriminación por cualquier motivo. </w:t>
      </w:r>
    </w:p>
    <w:p w14:paraId="47848D63" w14:textId="77777777" w:rsidR="00B92948" w:rsidRPr="00B92948" w:rsidRDefault="00B92948" w:rsidP="00B92948">
      <w:pPr>
        <w:pStyle w:val="H23G"/>
      </w:pPr>
      <w:r w:rsidRPr="00B92948">
        <w:tab/>
        <w:t>b)</w:t>
      </w:r>
      <w:r w:rsidRPr="00B92948">
        <w:tab/>
        <w:t>El interés superior del niño (art. 3)</w:t>
      </w:r>
      <w:bookmarkStart w:id="6" w:name="_Toc56781409"/>
      <w:bookmarkEnd w:id="6"/>
    </w:p>
    <w:p w14:paraId="4330E61B" w14:textId="77777777" w:rsidR="00B92948" w:rsidRPr="00B92948" w:rsidRDefault="00B92948" w:rsidP="00B92948">
      <w:pPr>
        <w:pStyle w:val="SingleTxtG"/>
      </w:pPr>
      <w:r w:rsidRPr="00B92948">
        <w:t>14.</w:t>
      </w:r>
      <w:r w:rsidRPr="00B92948">
        <w:tab/>
        <w:t>De conformidad con el artículo 3 de la Ley de Protección de la Infancia</w:t>
      </w:r>
      <w:r w:rsidRPr="00B92948">
        <w:rPr>
          <w:rStyle w:val="Refdenotaalpie"/>
        </w:rPr>
        <w:footnoteReference w:id="5"/>
      </w:r>
      <w:r w:rsidRPr="00B92948">
        <w:t>, se garantiza a los niños el ejercicio de sus derechos y la aplicación de diversas formas y medios de protección.</w:t>
      </w:r>
    </w:p>
    <w:p w14:paraId="45F87D2A" w14:textId="77777777" w:rsidR="00B92948" w:rsidRPr="00B92948" w:rsidRDefault="00B92948" w:rsidP="00B92948">
      <w:pPr>
        <w:pStyle w:val="SingleTxtG"/>
      </w:pPr>
      <w:r w:rsidRPr="00B92948">
        <w:t>15.</w:t>
      </w:r>
      <w:r w:rsidRPr="00B92948">
        <w:tab/>
        <w:t>De conformidad con el artículo 9 de esta Ley, la protección ha de ser proporcionada por los progenitores, la familia, los tutores y las familias de acogida, así como por las instituciones para niños, las entidades y profesionales educacionales, sociales, sanitarios y culturales, los órganos del Gobierno central y las dependencias de los gobiernos autónomos locales, y las organizaciones y otras personas físicas y jurídicas cuyas actividades estén relacionadas con la prestación de apoyo y asistencia a los niños.</w:t>
      </w:r>
    </w:p>
    <w:p w14:paraId="68E6888D" w14:textId="77777777" w:rsidR="00B92948" w:rsidRPr="00B92948" w:rsidRDefault="00B92948" w:rsidP="00B92948">
      <w:pPr>
        <w:pStyle w:val="SingleTxtG"/>
      </w:pPr>
      <w:r w:rsidRPr="00B92948">
        <w:t>16.</w:t>
      </w:r>
      <w:r w:rsidRPr="00B92948">
        <w:tab/>
        <w:t xml:space="preserve">El principio del interés superior del niño se ha incorporado en todos los documentos y procedimientos legislativos, estratégicos y administrativos relativos a los niños. </w:t>
      </w:r>
    </w:p>
    <w:p w14:paraId="6F117052" w14:textId="77777777" w:rsidR="00B92948" w:rsidRPr="00B92948" w:rsidRDefault="00B92948" w:rsidP="00B92948">
      <w:pPr>
        <w:pStyle w:val="SingleTxtG"/>
      </w:pPr>
      <w:r w:rsidRPr="00B92948">
        <w:t>17.</w:t>
      </w:r>
      <w:r w:rsidRPr="00B92948">
        <w:tab/>
        <w:t>La Ley de Justicia Juvenil, aprobada en 2009, establecía un sistema de justicia para los niños basado en las normas internacionales</w:t>
      </w:r>
      <w:r w:rsidRPr="00B92948">
        <w:rPr>
          <w:rStyle w:val="Refdenotaalpie"/>
        </w:rPr>
        <w:footnoteReference w:id="6"/>
      </w:r>
      <w:r w:rsidRPr="00B92948">
        <w:t xml:space="preserve">. La nueva Ley de Justicia para Niños, aprobada en 2013, promueve aún más los derechos del niño, de conformidad con las disposiciones de la Convención. </w:t>
      </w:r>
    </w:p>
    <w:p w14:paraId="0B0EF799" w14:textId="77777777" w:rsidR="00B92948" w:rsidRPr="00B92948" w:rsidRDefault="00B92948" w:rsidP="00B92948">
      <w:pPr>
        <w:pStyle w:val="H23G"/>
      </w:pPr>
      <w:r w:rsidRPr="00B92948">
        <w:tab/>
        <w:t>c)</w:t>
      </w:r>
      <w:r w:rsidRPr="00B92948">
        <w:tab/>
        <w:t>Derecho a la vida, a la supervivencia y al desarrollo (art. 6)</w:t>
      </w:r>
      <w:bookmarkStart w:id="7" w:name="_Toc56781410"/>
      <w:bookmarkEnd w:id="7"/>
    </w:p>
    <w:p w14:paraId="583D5B28" w14:textId="77777777" w:rsidR="00B92948" w:rsidRPr="00B92948" w:rsidRDefault="00B92948" w:rsidP="00B92948">
      <w:pPr>
        <w:pStyle w:val="SingleTxtG"/>
      </w:pPr>
      <w:r w:rsidRPr="00B92948">
        <w:t>18.</w:t>
      </w:r>
      <w:r w:rsidRPr="00B92948">
        <w:tab/>
        <w:t xml:space="preserve">Según el artículo 10 de la Constitución, la pena de muerte no se impondrá por ningún motivo. </w:t>
      </w:r>
    </w:p>
    <w:p w14:paraId="44DEFEAC" w14:textId="77777777" w:rsidR="00B92948" w:rsidRPr="00B92948" w:rsidRDefault="00B92948" w:rsidP="00B92948">
      <w:pPr>
        <w:pStyle w:val="SingleTxtG"/>
      </w:pPr>
      <w:r w:rsidRPr="00B92948">
        <w:t>19.</w:t>
      </w:r>
      <w:r w:rsidRPr="00B92948">
        <w:tab/>
        <w:t xml:space="preserve">Con el fin de garantizar en la mayor medida posible la supervivencia y el desarrollo adecuado de los niños, el Estado prevé el cuidado y la protección especiales de la familia, la maternidad, los niños, los niños huérfanos y los niños carentes del cuidado parental. La Constitución establece los derechos y deberes de los progenitores de cuidar y criar a sus hijos, así como el derecho a la atención de la salud, la </w:t>
      </w:r>
      <w:proofErr w:type="gramStart"/>
      <w:r w:rsidRPr="00B92948">
        <w:t>seguridad social y el seguro social</w:t>
      </w:r>
      <w:proofErr w:type="gramEnd"/>
      <w:r w:rsidRPr="00B92948">
        <w:rPr>
          <w:rStyle w:val="Refdenotaalpie"/>
        </w:rPr>
        <w:footnoteReference w:id="7"/>
      </w:r>
      <w:r w:rsidRPr="00B92948">
        <w:t>.</w:t>
      </w:r>
    </w:p>
    <w:p w14:paraId="39DCF0F7" w14:textId="77777777" w:rsidR="00B92948" w:rsidRPr="00B92948" w:rsidRDefault="00B92948" w:rsidP="00B92948">
      <w:pPr>
        <w:pStyle w:val="H23G"/>
      </w:pPr>
      <w:r w:rsidRPr="00B92948">
        <w:tab/>
        <w:t>d)</w:t>
      </w:r>
      <w:r w:rsidRPr="00B92948">
        <w:tab/>
        <w:t xml:space="preserve">Respeto de las opiniones del niño (art. 12) </w:t>
      </w:r>
      <w:bookmarkStart w:id="8" w:name="_Toc56781411"/>
      <w:bookmarkEnd w:id="8"/>
    </w:p>
    <w:p w14:paraId="6C14FD75" w14:textId="77777777" w:rsidR="00B92948" w:rsidRPr="00B92948" w:rsidRDefault="00B92948" w:rsidP="00B92948">
      <w:pPr>
        <w:pStyle w:val="SingleTxtG"/>
      </w:pPr>
      <w:r w:rsidRPr="00B92948">
        <w:t>20.</w:t>
      </w:r>
      <w:r w:rsidRPr="00B92948">
        <w:tab/>
        <w:t>El artículo 4 de la Ley de Justicia para Niños</w:t>
      </w:r>
      <w:r w:rsidRPr="00B92948">
        <w:rPr>
          <w:rStyle w:val="Refdenotaalpie"/>
        </w:rPr>
        <w:footnoteReference w:id="8"/>
      </w:r>
      <w:r w:rsidRPr="00B92948">
        <w:t xml:space="preserve"> dispone que el niño tiene derecho a ser informado por todas las instituciones que entren en contacto con él acerca de sus derechos, así como de los deberes y responsabilidades derivados de la Convención y otros instrumentos </w:t>
      </w:r>
      <w:r w:rsidRPr="00B92948">
        <w:lastRenderedPageBreak/>
        <w:t>internacionales sobre los derechos del niño, así como de los derechos y deberes dimanados de esta Ley y de otras leyes.</w:t>
      </w:r>
    </w:p>
    <w:p w14:paraId="7C4C6783" w14:textId="77777777" w:rsidR="00B92948" w:rsidRPr="00B92948" w:rsidRDefault="00B92948" w:rsidP="00B92948">
      <w:pPr>
        <w:pStyle w:val="SingleTxtG"/>
      </w:pPr>
      <w:r w:rsidRPr="00B92948">
        <w:t>21.</w:t>
      </w:r>
      <w:r w:rsidRPr="00B92948">
        <w:tab/>
        <w:t>El artículo 5 de la Ley de Protección de la Infancia</w:t>
      </w:r>
      <w:r w:rsidR="00147E0E" w:rsidRPr="00B92948">
        <w:rPr>
          <w:rStyle w:val="Refdenotaalpie"/>
        </w:rPr>
        <w:footnoteReference w:id="9"/>
      </w:r>
      <w:r w:rsidRPr="00B92948">
        <w:t xml:space="preserve"> establece con precisión que </w:t>
      </w:r>
      <w:r w:rsidR="00147E0E">
        <w:t>“</w:t>
      </w:r>
      <w:r w:rsidRPr="00B92948">
        <w:t>el Estado garantizará el derecho del niño a expresar su opinión sobre las cuestiones que lo afecten y que se prestará la debida atención a esas opiniones en función de la madurez y la edad del niño</w:t>
      </w:r>
      <w:r w:rsidR="00147E0E">
        <w:t>”</w:t>
      </w:r>
      <w:r w:rsidRPr="00B92948">
        <w:t>.</w:t>
      </w:r>
    </w:p>
    <w:p w14:paraId="1A2C1017" w14:textId="77777777" w:rsidR="00B92948" w:rsidRPr="00B92948" w:rsidRDefault="00B92948" w:rsidP="00B92948">
      <w:pPr>
        <w:pStyle w:val="SingleTxtG"/>
      </w:pPr>
      <w:r w:rsidRPr="00B92948">
        <w:t>22.</w:t>
      </w:r>
      <w:r w:rsidRPr="00B92948">
        <w:tab/>
        <w:t xml:space="preserve">Los profesionales que trabajan en instituciones estatales y en el sector de la sociedad civil actúan de conformidad con las leyes pertinentes aplicables, así como en cumplimiento de los tratados internacionales ratificados que forman parte integrante del ordenamiento jurídico interno. Se da prioridad a los niños y se respetan sus derechos humanos fundamentales independientemente de su origen étnico o su pertenencia a un grupo determinado. </w:t>
      </w:r>
    </w:p>
    <w:p w14:paraId="277213CE" w14:textId="77777777" w:rsidR="00B92948" w:rsidRPr="00B92948" w:rsidRDefault="00B92948" w:rsidP="00B92948">
      <w:pPr>
        <w:pStyle w:val="H1G"/>
      </w:pPr>
      <w:r w:rsidRPr="00B92948">
        <w:tab/>
        <w:t>4.</w:t>
      </w:r>
      <w:r w:rsidRPr="00B92948">
        <w:tab/>
        <w:t>Derechos y libertades civiles (arts. 7, 8 y 13 a 17)</w:t>
      </w:r>
      <w:bookmarkStart w:id="9" w:name="_Toc56781412"/>
      <w:bookmarkEnd w:id="9"/>
    </w:p>
    <w:p w14:paraId="5E6E8A52" w14:textId="77777777" w:rsidR="00B92948" w:rsidRPr="00B92948" w:rsidRDefault="00B92948" w:rsidP="00B92948">
      <w:pPr>
        <w:pStyle w:val="H23G"/>
      </w:pPr>
      <w:r w:rsidRPr="00B92948">
        <w:tab/>
        <w:t>a)</w:t>
      </w:r>
      <w:r w:rsidRPr="00B92948">
        <w:tab/>
        <w:t xml:space="preserve">Inscripción de los nacimientos, el nombre y la nacionalidad (art. 7) </w:t>
      </w:r>
      <w:bookmarkStart w:id="10" w:name="_Toc56781413"/>
      <w:bookmarkEnd w:id="10"/>
    </w:p>
    <w:p w14:paraId="51BD4660" w14:textId="77777777" w:rsidR="00B92948" w:rsidRPr="00B92948" w:rsidRDefault="00B92948" w:rsidP="00B92948">
      <w:pPr>
        <w:pStyle w:val="SingleTxtG"/>
      </w:pPr>
      <w:r w:rsidRPr="00B92948">
        <w:t>23.</w:t>
      </w:r>
      <w:r w:rsidRPr="00B92948">
        <w:tab/>
        <w:t>No ha habido cambios en el período transcurrido desde la presentación del segundo informe periódico.</w:t>
      </w:r>
    </w:p>
    <w:p w14:paraId="6541C1DD" w14:textId="77777777" w:rsidR="00B92948" w:rsidRPr="00B92948" w:rsidRDefault="00B92948" w:rsidP="00B92948">
      <w:pPr>
        <w:pStyle w:val="H23G"/>
      </w:pPr>
      <w:r w:rsidRPr="00B92948">
        <w:tab/>
        <w:t>b)</w:t>
      </w:r>
      <w:r w:rsidRPr="00B92948">
        <w:tab/>
        <w:t>Preservación de la identidad (art. 8)</w:t>
      </w:r>
      <w:bookmarkStart w:id="11" w:name="_Toc56781414"/>
      <w:bookmarkEnd w:id="11"/>
    </w:p>
    <w:p w14:paraId="26B73831" w14:textId="77777777" w:rsidR="00B92948" w:rsidRPr="00B92948" w:rsidRDefault="00B92948" w:rsidP="00B92948">
      <w:pPr>
        <w:pStyle w:val="SingleTxtG"/>
      </w:pPr>
      <w:r w:rsidRPr="00B92948">
        <w:t>24.</w:t>
      </w:r>
      <w:r w:rsidRPr="00B92948">
        <w:tab/>
        <w:t>No ha habido cambios en el período transcurrido desde la presentación del informe inicial.</w:t>
      </w:r>
    </w:p>
    <w:p w14:paraId="5DF381C5" w14:textId="77777777" w:rsidR="00B92948" w:rsidRPr="00B92948" w:rsidRDefault="00B92948" w:rsidP="00B92948">
      <w:pPr>
        <w:pStyle w:val="H23G"/>
      </w:pPr>
      <w:r w:rsidRPr="00B92948">
        <w:tab/>
        <w:t>c)</w:t>
      </w:r>
      <w:r w:rsidRPr="00B92948">
        <w:tab/>
        <w:t>Libertad de expresión (art. 13)</w:t>
      </w:r>
      <w:bookmarkStart w:id="12" w:name="_Toc56781415"/>
      <w:bookmarkEnd w:id="12"/>
    </w:p>
    <w:p w14:paraId="61C657D4" w14:textId="77777777" w:rsidR="00B92948" w:rsidRPr="00B92948" w:rsidRDefault="00B92948" w:rsidP="00B92948">
      <w:pPr>
        <w:pStyle w:val="SingleTxtG"/>
      </w:pPr>
      <w:r w:rsidRPr="00B92948">
        <w:t>25.</w:t>
      </w:r>
      <w:r w:rsidRPr="00B92948">
        <w:tab/>
        <w:t>No ha habido cambios en el período transcurrido desde la presentación del informe inicial.</w:t>
      </w:r>
    </w:p>
    <w:p w14:paraId="1124441F" w14:textId="77777777" w:rsidR="00B92948" w:rsidRPr="00B92948" w:rsidRDefault="00B92948" w:rsidP="00B92948">
      <w:pPr>
        <w:pStyle w:val="H23G"/>
      </w:pPr>
      <w:r w:rsidRPr="00B92948">
        <w:tab/>
        <w:t>d)</w:t>
      </w:r>
      <w:r w:rsidRPr="00B92948">
        <w:tab/>
        <w:t>Libertad de pensamiento, de conciencia y de religión (</w:t>
      </w:r>
      <w:proofErr w:type="spellStart"/>
      <w:r w:rsidRPr="00B92948">
        <w:t>art.14</w:t>
      </w:r>
      <w:proofErr w:type="spellEnd"/>
      <w:r w:rsidRPr="00B92948">
        <w:t>)</w:t>
      </w:r>
      <w:bookmarkStart w:id="13" w:name="_Toc56781416"/>
      <w:bookmarkEnd w:id="13"/>
    </w:p>
    <w:p w14:paraId="37562683" w14:textId="77777777" w:rsidR="00B92948" w:rsidRPr="00B92948" w:rsidRDefault="00B92948" w:rsidP="00B92948">
      <w:pPr>
        <w:pStyle w:val="SingleTxtG"/>
      </w:pPr>
      <w:r w:rsidRPr="00B92948">
        <w:t>26.</w:t>
      </w:r>
      <w:r w:rsidRPr="00B92948">
        <w:tab/>
        <w:t>No ha habido cambios en el período transcurrido desde la presentación del segundo informe periódico.</w:t>
      </w:r>
    </w:p>
    <w:p w14:paraId="7F1053D7" w14:textId="77777777" w:rsidR="00B92948" w:rsidRPr="00B92948" w:rsidRDefault="00B92948" w:rsidP="00B92948">
      <w:pPr>
        <w:pStyle w:val="H23G"/>
      </w:pPr>
      <w:r w:rsidRPr="00B92948">
        <w:tab/>
        <w:t>e)</w:t>
      </w:r>
      <w:r w:rsidRPr="00B92948">
        <w:tab/>
        <w:t>Libertad de asociación (art. 15)</w:t>
      </w:r>
      <w:bookmarkStart w:id="14" w:name="_Toc56781417"/>
      <w:bookmarkEnd w:id="14"/>
    </w:p>
    <w:p w14:paraId="306D60A8" w14:textId="77777777" w:rsidR="00B92948" w:rsidRPr="00B92948" w:rsidRDefault="00B92948" w:rsidP="00B92948">
      <w:pPr>
        <w:pStyle w:val="SingleTxtG"/>
      </w:pPr>
      <w:r w:rsidRPr="00B92948">
        <w:t>27.</w:t>
      </w:r>
      <w:r w:rsidRPr="00B92948">
        <w:tab/>
        <w:t>El marco jurídico que regula el ejercicio del derecho de asociación garantizado por la Constitución se establece en la Ley de Asociaciones y Fundaciones y en la Ley de Partidos Políticos.</w:t>
      </w:r>
    </w:p>
    <w:p w14:paraId="6F21E91E" w14:textId="77777777" w:rsidR="00B92948" w:rsidRPr="00B92948" w:rsidRDefault="00B92948" w:rsidP="00B92948">
      <w:pPr>
        <w:pStyle w:val="SingleTxtG"/>
      </w:pPr>
      <w:r w:rsidRPr="00B92948">
        <w:t>28.</w:t>
      </w:r>
      <w:r w:rsidRPr="00B92948">
        <w:tab/>
        <w:t xml:space="preserve">Según el artículo 4 de la Ley de Asociaciones y Fundaciones, los ciudadanos ejercen este derecho formando asociaciones, fundaciones y alianzas y dependencias orgánicas de organizaciones extranjeras, que trabajan en la consecución de sus objetivos, realizan actividades y protegen sus derechos, intereses y convicciones de conformidad con la Constitución y la ley. </w:t>
      </w:r>
    </w:p>
    <w:p w14:paraId="02F906CF" w14:textId="77777777" w:rsidR="00B92948" w:rsidRPr="00B92948" w:rsidRDefault="00B92948" w:rsidP="00B92948">
      <w:pPr>
        <w:pStyle w:val="SingleTxtG"/>
      </w:pPr>
      <w:r w:rsidRPr="00B92948">
        <w:t>29.</w:t>
      </w:r>
      <w:r w:rsidRPr="00B92948">
        <w:tab/>
        <w:t>Las organizaciones adquieren la condición de personas jurídicas una vez que se inscriben en el Registro Central.</w:t>
      </w:r>
    </w:p>
    <w:p w14:paraId="2686DDAF" w14:textId="77777777" w:rsidR="00B92948" w:rsidRPr="00B92948" w:rsidRDefault="00B92948" w:rsidP="00B92948">
      <w:pPr>
        <w:pStyle w:val="SingleTxtG"/>
      </w:pPr>
      <w:r w:rsidRPr="00B92948">
        <w:t>30.</w:t>
      </w:r>
      <w:r w:rsidRPr="00B92948">
        <w:tab/>
        <w:t>Tanto las personas físicas como jurídicas pueden establecer una asociación; debe haber por lo menos cinco miembros fundadores, tres de los cuales deben tener residencia o estancia permanente, es decir, estar asentados en el territorio del país. Los menores de edad que hayan cumplido los 15 años pueden fundar asociaciones, siempre que tengan una declaración certificada por un notario en la que su representante legal haya dado su consentimiento para que establezcan una asociación.</w:t>
      </w:r>
    </w:p>
    <w:p w14:paraId="1EF35C0B" w14:textId="77777777" w:rsidR="00B92948" w:rsidRPr="00B92948" w:rsidRDefault="00B92948" w:rsidP="00B92948">
      <w:pPr>
        <w:pStyle w:val="SingleTxtG"/>
      </w:pPr>
      <w:r w:rsidRPr="00B92948">
        <w:t>31.</w:t>
      </w:r>
      <w:r w:rsidRPr="00B92948">
        <w:tab/>
        <w:t xml:space="preserve">La asociación establecida puede inscribirse en el Registro presentando una solicitud de inscripción en un plazo de organización extranjera 30 días a partir de la fecha de </w:t>
      </w:r>
      <w:r w:rsidRPr="00B92948">
        <w:lastRenderedPageBreak/>
        <w:t>aprobación de los estatutos fundacionales; en el caso de una</w:t>
      </w:r>
      <w:r w:rsidRPr="00B92948">
        <w:rPr>
          <w:lang w:val="en-GB"/>
        </w:rPr>
        <w:t xml:space="preserve"> </w:t>
      </w:r>
      <w:r w:rsidRPr="00B92948">
        <w:t xml:space="preserve">organización extranjera, a partir de la fecha de su decisión de establecer una dependencia orgánica en el país. </w:t>
      </w:r>
    </w:p>
    <w:p w14:paraId="791ED7D3" w14:textId="77777777" w:rsidR="00B92948" w:rsidRPr="00B92948" w:rsidRDefault="00B92948" w:rsidP="00B92948">
      <w:pPr>
        <w:pStyle w:val="H23G"/>
      </w:pPr>
      <w:r w:rsidRPr="00B92948">
        <w:tab/>
        <w:t>f)</w:t>
      </w:r>
      <w:r w:rsidRPr="00B92948">
        <w:tab/>
        <w:t xml:space="preserve">Protección de la vida privada (art. 16) </w:t>
      </w:r>
      <w:bookmarkStart w:id="15" w:name="_Toc56781418"/>
      <w:bookmarkEnd w:id="15"/>
    </w:p>
    <w:p w14:paraId="2F4AC4F2" w14:textId="77777777" w:rsidR="00B92948" w:rsidRPr="00B92948" w:rsidRDefault="00B92948" w:rsidP="00B92948">
      <w:pPr>
        <w:pStyle w:val="SingleTxtG"/>
      </w:pPr>
      <w:r w:rsidRPr="00B92948">
        <w:t>32.</w:t>
      </w:r>
      <w:r w:rsidRPr="00B92948">
        <w:tab/>
        <w:t xml:space="preserve">Con arreglo al </w:t>
      </w:r>
      <w:r w:rsidRPr="003538E7">
        <w:t>artículo 91 1)</w:t>
      </w:r>
      <w:r w:rsidRPr="00B92948">
        <w:t xml:space="preserve"> de la Ley de Justicia para Niños, los tribunales y otros órganos que participan en los trámites judiciales tendrán el deber de garantizar la protección de la intimidad del niño y de su familia, en tanto que, conforme al párrafo 2 del mismo artículo, cuando se somete a juicio a un niño en un tribunal, las audiencias se celebran siempre a puerta cerrada, sin la presencia del público. </w:t>
      </w:r>
    </w:p>
    <w:p w14:paraId="6272452A" w14:textId="77777777" w:rsidR="00B92948" w:rsidRPr="00B92948" w:rsidRDefault="00B92948" w:rsidP="00B92948">
      <w:pPr>
        <w:pStyle w:val="SingleTxtG"/>
      </w:pPr>
      <w:r w:rsidRPr="00B92948">
        <w:t>33.</w:t>
      </w:r>
      <w:r w:rsidRPr="00B92948">
        <w:tab/>
        <w:t xml:space="preserve">En el artículo 145 1) 3) se dispone que el niño tiene derecho a ser informado de sus derechos en un idioma comprensible y adecuado a su edad. </w:t>
      </w:r>
    </w:p>
    <w:p w14:paraId="54D44083" w14:textId="77777777" w:rsidR="00B92948" w:rsidRPr="00B92948" w:rsidRDefault="00B92948" w:rsidP="00B92948">
      <w:pPr>
        <w:pStyle w:val="SingleTxtG"/>
      </w:pPr>
      <w:r w:rsidRPr="00B92948">
        <w:t>34.</w:t>
      </w:r>
      <w:r w:rsidRPr="00B92948">
        <w:tab/>
        <w:t xml:space="preserve">En el artículo 147 1) 10) se establece que el tribunal puede ordenar protección procesal especial, es decir, la protección de la intimidad del niño y de su familia. </w:t>
      </w:r>
    </w:p>
    <w:p w14:paraId="6DBBBCC6" w14:textId="77777777" w:rsidR="00B92948" w:rsidRPr="00B92948" w:rsidRDefault="00B92948" w:rsidP="00B92948">
      <w:pPr>
        <w:pStyle w:val="H23G"/>
      </w:pPr>
      <w:r w:rsidRPr="00B92948">
        <w:tab/>
        <w:t>g)</w:t>
      </w:r>
      <w:r w:rsidRPr="00B92948">
        <w:tab/>
        <w:t xml:space="preserve">Función de los medios de comunicación y acceso del niño a la información </w:t>
      </w:r>
      <w:r>
        <w:br/>
      </w:r>
      <w:r w:rsidRPr="00B92948">
        <w:t xml:space="preserve">(art. 17) </w:t>
      </w:r>
      <w:bookmarkStart w:id="16" w:name="_Toc56781419"/>
      <w:bookmarkEnd w:id="16"/>
    </w:p>
    <w:p w14:paraId="5645FA4E" w14:textId="77777777" w:rsidR="00B92948" w:rsidRPr="00B92948" w:rsidRDefault="00B92948" w:rsidP="00B92948">
      <w:pPr>
        <w:pStyle w:val="SingleTxtG"/>
      </w:pPr>
      <w:r w:rsidRPr="00B92948">
        <w:t>35.</w:t>
      </w:r>
      <w:r w:rsidRPr="00B92948">
        <w:tab/>
        <w:t>No ha habido cambios en el período transcurrido desde la presentación del segundo informe periódico.</w:t>
      </w:r>
    </w:p>
    <w:p w14:paraId="55A05E46" w14:textId="77777777" w:rsidR="00B92948" w:rsidRPr="00B92948" w:rsidRDefault="00B92948" w:rsidP="00B92948">
      <w:pPr>
        <w:pStyle w:val="H1G"/>
      </w:pPr>
      <w:r w:rsidRPr="00B92948">
        <w:tab/>
        <w:t>5.</w:t>
      </w:r>
      <w:r w:rsidRPr="00B92948">
        <w:tab/>
        <w:t xml:space="preserve">Violencia contra los niños (arts. 19, 24 (párr. 3), 28(párr. 2), 34, </w:t>
      </w:r>
      <w:r>
        <w:br/>
      </w:r>
      <w:r w:rsidRPr="00B92948">
        <w:t xml:space="preserve">37 a) y 39) </w:t>
      </w:r>
      <w:bookmarkStart w:id="17" w:name="_Toc56781420"/>
      <w:bookmarkEnd w:id="17"/>
    </w:p>
    <w:p w14:paraId="044D7867" w14:textId="77777777" w:rsidR="00B92948" w:rsidRPr="00B92948" w:rsidRDefault="00B92948" w:rsidP="00B92948">
      <w:pPr>
        <w:pStyle w:val="H23G"/>
      </w:pPr>
      <w:r w:rsidRPr="00B92948">
        <w:tab/>
        <w:t>a)</w:t>
      </w:r>
      <w:r w:rsidRPr="00B92948">
        <w:tab/>
        <w:t>Malos tratos y descuido (art. 19)</w:t>
      </w:r>
      <w:bookmarkStart w:id="18" w:name="_Toc56781421"/>
      <w:bookmarkEnd w:id="18"/>
    </w:p>
    <w:p w14:paraId="2B10BA25" w14:textId="77777777" w:rsidR="00B92948" w:rsidRPr="00B92948" w:rsidRDefault="00B92948" w:rsidP="00B92948">
      <w:pPr>
        <w:pStyle w:val="SingleTxtG"/>
      </w:pPr>
      <w:r w:rsidRPr="00B92948">
        <w:t>36.</w:t>
      </w:r>
      <w:r w:rsidRPr="00B92948">
        <w:tab/>
        <w:t>Ante la necesidad de aplicar un enfoque multisectorial, el Gobierno adoptó una decisión por la que estableció un órgano nacional de coordinación para la protección de los niños contra los malos tratos y el descuido, encargado de supervisar y coordinar las actividades pertinentes</w:t>
      </w:r>
      <w:r w:rsidRPr="00B92948">
        <w:rPr>
          <w:rStyle w:val="Refdenotaalpie"/>
        </w:rPr>
        <w:footnoteReference w:id="10"/>
      </w:r>
      <w:r w:rsidRPr="00B92948">
        <w:t>.</w:t>
      </w:r>
    </w:p>
    <w:p w14:paraId="3BC1F628" w14:textId="77777777" w:rsidR="00B92948" w:rsidRPr="00B92948" w:rsidRDefault="00B92948" w:rsidP="00B92948">
      <w:pPr>
        <w:pStyle w:val="SingleTxtG"/>
      </w:pPr>
      <w:r w:rsidRPr="00B92948">
        <w:t>37.</w:t>
      </w:r>
      <w:r w:rsidRPr="00B92948">
        <w:tab/>
        <w:t>En 2013 se aprobó el Plan de Acción Nacional para la Prevención y la Lucha contra los Malos Tratos y el Descuido de Niños 2013-2015, así como planes operativos para la ejecución de las actividades establecidas para 2013 y 2014. Se aprobó un protocolo conjunto que regula los procedimientos que deben seguir las instituciones al detectar casos de malos tratos y descuido de niños y reglamenta el trato de los niños víctimas de estos, con el fin de garantizar la coordinación de las medidas y la protección del interés superior del niño.</w:t>
      </w:r>
    </w:p>
    <w:p w14:paraId="1B0D38C5" w14:textId="77777777" w:rsidR="00B92948" w:rsidRPr="00B92948" w:rsidRDefault="00B92948" w:rsidP="00B92948">
      <w:pPr>
        <w:pStyle w:val="SingleTxtG"/>
      </w:pPr>
      <w:r w:rsidRPr="00B92948">
        <w:t>38.</w:t>
      </w:r>
      <w:r w:rsidRPr="00B92948">
        <w:tab/>
        <w:t xml:space="preserve">El Ministerio de Trabajo y Política Social ha llevado a cabo una serie de actividades para la protección de los niños contra la violencia y los malos tratos, con el apoyo del UNICEF y la Comisión Europea y la participación de organizaciones de la sociedad civil. </w:t>
      </w:r>
    </w:p>
    <w:p w14:paraId="6547A80B" w14:textId="77777777" w:rsidR="00B92948" w:rsidRPr="00B92948" w:rsidRDefault="00B92948" w:rsidP="00B92948">
      <w:pPr>
        <w:pStyle w:val="SingleTxtG"/>
      </w:pPr>
      <w:r w:rsidRPr="00B92948">
        <w:t>39.</w:t>
      </w:r>
      <w:r w:rsidRPr="00B92948">
        <w:tab/>
        <w:t>Se ha establecido un sistema de recopilación de datos para reunir información sobre los casos de violencia contra los niños que ha contribuido a fortalecer la capacidad de las instituciones competentes para vigilar la situación. En el contexto de esta actividad, en 2017 se elaboraron indicadores para hacer el seguimiento de la situación de los niños víctimas, en respuesta a las necesidades del órgano nacional de coordinación. Una vez que se han recogido datos de todas las instituciones competentes (Centro de Trabajo Social, Ministerio de Educación y Ciencia, ONG, Ministerio de Salud, Ministerio del Interior), se llevan a cabo actividades para redactar el informe final sobre la situación establecida sobre la base de los datos recogidos.</w:t>
      </w:r>
    </w:p>
    <w:p w14:paraId="09069CF8" w14:textId="77777777" w:rsidR="00B92948" w:rsidRPr="00B92948" w:rsidRDefault="00B92948" w:rsidP="00B92948">
      <w:pPr>
        <w:pStyle w:val="SingleTxtG"/>
      </w:pPr>
      <w:r w:rsidRPr="00B92948">
        <w:t>40.</w:t>
      </w:r>
      <w:r w:rsidRPr="00B92948">
        <w:tab/>
        <w:t>En noviembre y diciembre de 2017, se celebraron cuatro cursos de capacitación de dos días para 13 participantes de los Centros de Trabajo Social.</w:t>
      </w:r>
    </w:p>
    <w:p w14:paraId="5DC089F1" w14:textId="77777777" w:rsidR="00B92948" w:rsidRPr="00B92948" w:rsidRDefault="00B92948" w:rsidP="00B92948">
      <w:pPr>
        <w:pStyle w:val="SingleTxtG"/>
      </w:pPr>
      <w:r w:rsidRPr="00B92948">
        <w:t>41.</w:t>
      </w:r>
      <w:r w:rsidRPr="00B92948">
        <w:tab/>
        <w:t xml:space="preserve">En 2017 y en 2018 se impartió capacitación a los profesionales que trabajan en los sectores de la protección social, la atención de la salud, la educación, la justicia y la policía </w:t>
      </w:r>
      <w:r w:rsidRPr="00B92948">
        <w:lastRenderedPageBreak/>
        <w:t>sobre los procedimientos intersectoriales que deben seguirse para proteger a los niños contra los malos tratos y el descuido</w:t>
      </w:r>
      <w:r w:rsidRPr="00B92948">
        <w:rPr>
          <w:rStyle w:val="Refdenotaalpie"/>
        </w:rPr>
        <w:footnoteReference w:id="11"/>
      </w:r>
      <w:r w:rsidRPr="00B92948">
        <w:t>.</w:t>
      </w:r>
    </w:p>
    <w:p w14:paraId="3E78D711" w14:textId="77777777" w:rsidR="00B92948" w:rsidRPr="00B92948" w:rsidRDefault="00B92948" w:rsidP="00B92948">
      <w:pPr>
        <w:pStyle w:val="SingleTxtG"/>
      </w:pPr>
      <w:r w:rsidRPr="00B92948">
        <w:t>42.</w:t>
      </w:r>
      <w:r w:rsidRPr="00B92948">
        <w:tab/>
        <w:t xml:space="preserve">Se ha realizado una campaña de promoción de la paternidad responsable, con miras a mejorar la capacidad de los progenitores en la crianza de los hijos. </w:t>
      </w:r>
    </w:p>
    <w:p w14:paraId="3CDF6BF6" w14:textId="77777777" w:rsidR="00B92948" w:rsidRPr="00B92948" w:rsidRDefault="00B92948" w:rsidP="00B92948">
      <w:pPr>
        <w:pStyle w:val="SingleTxtG"/>
      </w:pPr>
      <w:r w:rsidRPr="00B92948">
        <w:t>43.</w:t>
      </w:r>
      <w:r w:rsidRPr="00B92948">
        <w:tab/>
        <w:t xml:space="preserve">En los casos de malos tratos y descuido de niños, teniendo debidamente en cuenta los intereses del niño, los Centros de Trabajo Social adoptan medidas para proporcionar cuidado a los niños afectados que requieren atención, así como medidas para la recuperación y la reintegración social de los niños. En la mayoría de los casos, los niños víctimas se asignan a familias de acogida o se les proporcionan otras formas de atención y se les garantizan condiciones apropiadas para su recuperación y reintegración social. </w:t>
      </w:r>
    </w:p>
    <w:p w14:paraId="623D8C77" w14:textId="77777777" w:rsidR="00B92948" w:rsidRPr="00B92948" w:rsidRDefault="00B92948" w:rsidP="00B92948">
      <w:pPr>
        <w:pStyle w:val="SingleTxtG"/>
      </w:pPr>
      <w:r w:rsidRPr="00B92948">
        <w:t>44.</w:t>
      </w:r>
      <w:r w:rsidRPr="00B92948">
        <w:tab/>
        <w:t xml:space="preserve">Se formularon Procedimientos para la Protección de Niños Víctimas y se los aprobó con el apoyo del UNICEF en 2014. </w:t>
      </w:r>
    </w:p>
    <w:p w14:paraId="6E4291BC" w14:textId="77777777" w:rsidR="00B92948" w:rsidRPr="00B92948" w:rsidRDefault="00B92948" w:rsidP="00B92948">
      <w:pPr>
        <w:pStyle w:val="SingleTxtG"/>
      </w:pPr>
      <w:r w:rsidRPr="00B92948">
        <w:t>45.</w:t>
      </w:r>
      <w:r w:rsidRPr="00B92948">
        <w:tab/>
        <w:t>Con el fin de garantizar una formación adecuada en materia de programas de prevención, los profesionales que trabajan en todas las instituciones que ofrecen protección social reciben formación continua, entre otras cosas como parte del procedimiento para la obtención de su licencia. Esta formación cuenta con un módulo sobre la protección de los niños contra la violencia.</w:t>
      </w:r>
    </w:p>
    <w:p w14:paraId="0ADDD7B4" w14:textId="77777777" w:rsidR="00B92948" w:rsidRPr="0033201C" w:rsidRDefault="00B92948" w:rsidP="00B92948">
      <w:pPr>
        <w:pStyle w:val="H23G"/>
      </w:pPr>
      <w:r>
        <w:tab/>
      </w:r>
      <w:r w:rsidRPr="00B92948">
        <w:tab/>
        <w:t>Estadísticas sobre los niños víctimas que reciben tratamiento en los Centros de</w:t>
      </w:r>
      <w:r w:rsidR="00EA66DE">
        <w:t> </w:t>
      </w:r>
      <w:r w:rsidRPr="00B92948">
        <w:t xml:space="preserve">Trabajo Social, desglosadas por tipo de violencia, malos tratos </w:t>
      </w:r>
      <w:r w:rsidR="00EA66DE">
        <w:br/>
      </w:r>
      <w:r w:rsidRPr="00B92948">
        <w:t>o descuido, 2017</w:t>
      </w:r>
      <w:r w:rsidRPr="002D4970">
        <w:rPr>
          <w:rStyle w:val="Refdenotaalpie"/>
          <w:b w:val="0"/>
          <w:bCs/>
        </w:rPr>
        <w:footnoteReference w:id="12"/>
      </w:r>
      <w:bookmarkStart w:id="19" w:name="_Toc56781422"/>
      <w:bookmarkEnd w:id="19"/>
    </w:p>
    <w:tbl>
      <w:tblPr>
        <w:tblW w:w="7370" w:type="dxa"/>
        <w:tblInd w:w="1134" w:type="dxa"/>
        <w:tblBorders>
          <w:top w:val="single" w:sz="4" w:space="0" w:color="auto"/>
        </w:tblBorders>
        <w:tblCellMar>
          <w:left w:w="0" w:type="dxa"/>
          <w:right w:w="0" w:type="dxa"/>
        </w:tblCellMar>
        <w:tblLook w:val="00A0" w:firstRow="1" w:lastRow="0" w:firstColumn="1" w:lastColumn="0" w:noHBand="0" w:noVBand="0"/>
      </w:tblPr>
      <w:tblGrid>
        <w:gridCol w:w="4136"/>
        <w:gridCol w:w="3234"/>
      </w:tblGrid>
      <w:tr w:rsidR="002D4970" w:rsidRPr="002D4970" w14:paraId="420D6046" w14:textId="77777777" w:rsidTr="002D4970">
        <w:trPr>
          <w:trHeight w:val="240"/>
          <w:tblHeader/>
        </w:trPr>
        <w:tc>
          <w:tcPr>
            <w:tcW w:w="4136" w:type="dxa"/>
            <w:tcBorders>
              <w:top w:val="single" w:sz="4" w:space="0" w:color="auto"/>
              <w:bottom w:val="single" w:sz="12" w:space="0" w:color="auto"/>
            </w:tcBorders>
            <w:shd w:val="clear" w:color="auto" w:fill="auto"/>
            <w:vAlign w:val="bottom"/>
          </w:tcPr>
          <w:p w14:paraId="7BA8D859" w14:textId="77777777" w:rsidR="00B92948" w:rsidRPr="00B92948" w:rsidRDefault="00B92948" w:rsidP="002D4970">
            <w:pPr>
              <w:pStyle w:val="SingleTxtG"/>
              <w:tabs>
                <w:tab w:val="clear" w:pos="1701"/>
                <w:tab w:val="clear" w:pos="2268"/>
                <w:tab w:val="clear" w:pos="2835"/>
              </w:tabs>
              <w:spacing w:before="80" w:after="80" w:line="200" w:lineRule="exact"/>
              <w:ind w:left="0" w:right="0"/>
              <w:jc w:val="left"/>
              <w:rPr>
                <w:i/>
                <w:sz w:val="16"/>
              </w:rPr>
            </w:pPr>
            <w:r w:rsidRPr="00B92948">
              <w:rPr>
                <w:i/>
                <w:iCs/>
                <w:sz w:val="16"/>
              </w:rPr>
              <w:t>Tipo de violencia (descuido y malos tratos)</w:t>
            </w:r>
          </w:p>
        </w:tc>
        <w:tc>
          <w:tcPr>
            <w:tcW w:w="3234" w:type="dxa"/>
            <w:tcBorders>
              <w:top w:val="single" w:sz="4" w:space="0" w:color="auto"/>
              <w:bottom w:val="single" w:sz="12" w:space="0" w:color="auto"/>
            </w:tcBorders>
            <w:shd w:val="clear" w:color="auto" w:fill="auto"/>
            <w:vAlign w:val="bottom"/>
          </w:tcPr>
          <w:p w14:paraId="1780C4DF" w14:textId="77777777" w:rsidR="00B92948" w:rsidRPr="00B92948" w:rsidRDefault="00B92948" w:rsidP="0022038F">
            <w:pPr>
              <w:pStyle w:val="SingleTxtG"/>
              <w:tabs>
                <w:tab w:val="clear" w:pos="1701"/>
                <w:tab w:val="clear" w:pos="2268"/>
                <w:tab w:val="clear" w:pos="2835"/>
              </w:tabs>
              <w:spacing w:before="80" w:after="80" w:line="200" w:lineRule="exact"/>
              <w:ind w:left="113" w:right="28"/>
              <w:jc w:val="right"/>
              <w:rPr>
                <w:i/>
                <w:sz w:val="16"/>
              </w:rPr>
            </w:pPr>
            <w:r w:rsidRPr="00B92948">
              <w:rPr>
                <w:i/>
                <w:iCs/>
                <w:sz w:val="16"/>
              </w:rPr>
              <w:t>Núm</w:t>
            </w:r>
            <w:r w:rsidR="0022038F">
              <w:rPr>
                <w:i/>
                <w:iCs/>
                <w:sz w:val="16"/>
              </w:rPr>
              <w:t>ero</w:t>
            </w:r>
            <w:r w:rsidRPr="00B92948">
              <w:rPr>
                <w:i/>
                <w:iCs/>
                <w:sz w:val="16"/>
              </w:rPr>
              <w:t xml:space="preserve"> de niños víctimas</w:t>
            </w:r>
          </w:p>
        </w:tc>
      </w:tr>
      <w:tr w:rsidR="002D4970" w:rsidRPr="00B92948" w14:paraId="40C2255A" w14:textId="77777777" w:rsidTr="002D4970">
        <w:trPr>
          <w:trHeight w:val="240"/>
        </w:trPr>
        <w:tc>
          <w:tcPr>
            <w:tcW w:w="4136" w:type="dxa"/>
            <w:tcBorders>
              <w:top w:val="single" w:sz="12" w:space="0" w:color="auto"/>
            </w:tcBorders>
            <w:shd w:val="clear" w:color="auto" w:fill="auto"/>
          </w:tcPr>
          <w:p w14:paraId="16333F4A" w14:textId="77777777" w:rsidR="00B92948" w:rsidRPr="00B92948" w:rsidRDefault="00B92948" w:rsidP="002D4970">
            <w:pPr>
              <w:pStyle w:val="SingleTxtG"/>
              <w:tabs>
                <w:tab w:val="clear" w:pos="1701"/>
                <w:tab w:val="clear" w:pos="2268"/>
                <w:tab w:val="clear" w:pos="2835"/>
              </w:tabs>
              <w:spacing w:before="40" w:after="40" w:line="220" w:lineRule="exact"/>
              <w:ind w:left="0" w:right="0"/>
              <w:jc w:val="left"/>
              <w:rPr>
                <w:sz w:val="18"/>
              </w:rPr>
            </w:pPr>
            <w:r w:rsidRPr="00B92948">
              <w:rPr>
                <w:sz w:val="18"/>
              </w:rPr>
              <w:t xml:space="preserve">Descuido </w:t>
            </w:r>
          </w:p>
        </w:tc>
        <w:tc>
          <w:tcPr>
            <w:tcW w:w="3234" w:type="dxa"/>
            <w:tcBorders>
              <w:top w:val="single" w:sz="12" w:space="0" w:color="auto"/>
            </w:tcBorders>
            <w:shd w:val="clear" w:color="auto" w:fill="auto"/>
            <w:vAlign w:val="bottom"/>
          </w:tcPr>
          <w:p w14:paraId="470FB5E6" w14:textId="77777777" w:rsidR="00B92948" w:rsidRPr="00B92948" w:rsidRDefault="00B92948" w:rsidP="0022038F">
            <w:pPr>
              <w:pStyle w:val="SingleTxtG"/>
              <w:tabs>
                <w:tab w:val="clear" w:pos="1701"/>
                <w:tab w:val="clear" w:pos="2268"/>
                <w:tab w:val="clear" w:pos="2835"/>
              </w:tabs>
              <w:spacing w:before="40" w:after="40" w:line="220" w:lineRule="exact"/>
              <w:ind w:left="113" w:right="28"/>
              <w:jc w:val="right"/>
              <w:rPr>
                <w:sz w:val="18"/>
              </w:rPr>
            </w:pPr>
            <w:r w:rsidRPr="00B92948">
              <w:rPr>
                <w:sz w:val="18"/>
              </w:rPr>
              <w:t>70</w:t>
            </w:r>
          </w:p>
        </w:tc>
      </w:tr>
      <w:tr w:rsidR="00B92948" w:rsidRPr="00B92948" w14:paraId="6000C305" w14:textId="77777777" w:rsidTr="002D4970">
        <w:trPr>
          <w:trHeight w:val="240"/>
        </w:trPr>
        <w:tc>
          <w:tcPr>
            <w:tcW w:w="4136" w:type="dxa"/>
            <w:shd w:val="clear" w:color="auto" w:fill="auto"/>
          </w:tcPr>
          <w:p w14:paraId="731FBDA4" w14:textId="77777777" w:rsidR="00B92948" w:rsidRPr="00B92948" w:rsidRDefault="00B92948" w:rsidP="002D4970">
            <w:pPr>
              <w:pStyle w:val="SingleTxtG"/>
              <w:tabs>
                <w:tab w:val="clear" w:pos="1701"/>
                <w:tab w:val="clear" w:pos="2268"/>
                <w:tab w:val="clear" w:pos="2835"/>
              </w:tabs>
              <w:spacing w:before="40" w:after="40" w:line="220" w:lineRule="exact"/>
              <w:ind w:left="0" w:right="0"/>
              <w:jc w:val="left"/>
              <w:rPr>
                <w:sz w:val="18"/>
              </w:rPr>
            </w:pPr>
            <w:r w:rsidRPr="00B92948">
              <w:rPr>
                <w:sz w:val="18"/>
              </w:rPr>
              <w:t xml:space="preserve">Malos tratos físicos </w:t>
            </w:r>
          </w:p>
        </w:tc>
        <w:tc>
          <w:tcPr>
            <w:tcW w:w="3234" w:type="dxa"/>
            <w:shd w:val="clear" w:color="auto" w:fill="auto"/>
            <w:vAlign w:val="bottom"/>
          </w:tcPr>
          <w:p w14:paraId="23BB3584" w14:textId="77777777" w:rsidR="00B92948" w:rsidRPr="00B92948" w:rsidRDefault="00B92948" w:rsidP="0022038F">
            <w:pPr>
              <w:pStyle w:val="SingleTxtG"/>
              <w:tabs>
                <w:tab w:val="clear" w:pos="1701"/>
                <w:tab w:val="clear" w:pos="2268"/>
                <w:tab w:val="clear" w:pos="2835"/>
              </w:tabs>
              <w:spacing w:before="40" w:after="40" w:line="220" w:lineRule="exact"/>
              <w:ind w:left="113" w:right="28"/>
              <w:jc w:val="right"/>
              <w:rPr>
                <w:sz w:val="18"/>
              </w:rPr>
            </w:pPr>
            <w:r w:rsidRPr="00B92948">
              <w:rPr>
                <w:sz w:val="18"/>
              </w:rPr>
              <w:t>71</w:t>
            </w:r>
          </w:p>
        </w:tc>
      </w:tr>
      <w:tr w:rsidR="00B92948" w:rsidRPr="00B92948" w14:paraId="624C6B97" w14:textId="77777777" w:rsidTr="002D4970">
        <w:trPr>
          <w:trHeight w:val="240"/>
        </w:trPr>
        <w:tc>
          <w:tcPr>
            <w:tcW w:w="4136" w:type="dxa"/>
            <w:shd w:val="clear" w:color="auto" w:fill="auto"/>
          </w:tcPr>
          <w:p w14:paraId="18468E41" w14:textId="77777777" w:rsidR="00B92948" w:rsidRPr="00B92948" w:rsidRDefault="00B92948" w:rsidP="002D4970">
            <w:pPr>
              <w:pStyle w:val="SingleTxtG"/>
              <w:tabs>
                <w:tab w:val="clear" w:pos="1701"/>
                <w:tab w:val="clear" w:pos="2268"/>
                <w:tab w:val="clear" w:pos="2835"/>
              </w:tabs>
              <w:spacing w:before="40" w:after="40" w:line="220" w:lineRule="exact"/>
              <w:ind w:left="0" w:right="0"/>
              <w:jc w:val="left"/>
              <w:rPr>
                <w:sz w:val="18"/>
              </w:rPr>
            </w:pPr>
            <w:r w:rsidRPr="00B92948">
              <w:rPr>
                <w:sz w:val="18"/>
              </w:rPr>
              <w:t xml:space="preserve">Malos tratos psicológicos </w:t>
            </w:r>
          </w:p>
        </w:tc>
        <w:tc>
          <w:tcPr>
            <w:tcW w:w="3234" w:type="dxa"/>
            <w:shd w:val="clear" w:color="auto" w:fill="auto"/>
            <w:vAlign w:val="bottom"/>
          </w:tcPr>
          <w:p w14:paraId="65CC1B9E" w14:textId="77777777" w:rsidR="00B92948" w:rsidRPr="00B92948" w:rsidRDefault="00B92948" w:rsidP="0022038F">
            <w:pPr>
              <w:pStyle w:val="SingleTxtG"/>
              <w:tabs>
                <w:tab w:val="clear" w:pos="1701"/>
                <w:tab w:val="clear" w:pos="2268"/>
                <w:tab w:val="clear" w:pos="2835"/>
              </w:tabs>
              <w:spacing w:before="40" w:after="40" w:line="220" w:lineRule="exact"/>
              <w:ind w:left="113" w:right="28"/>
              <w:jc w:val="right"/>
              <w:rPr>
                <w:sz w:val="18"/>
              </w:rPr>
            </w:pPr>
            <w:r w:rsidRPr="00B92948">
              <w:rPr>
                <w:sz w:val="18"/>
              </w:rPr>
              <w:t>143</w:t>
            </w:r>
          </w:p>
        </w:tc>
      </w:tr>
      <w:tr w:rsidR="00B92948" w:rsidRPr="00B92948" w14:paraId="0146DC96" w14:textId="77777777" w:rsidTr="002D4970">
        <w:trPr>
          <w:trHeight w:val="240"/>
        </w:trPr>
        <w:tc>
          <w:tcPr>
            <w:tcW w:w="4136" w:type="dxa"/>
            <w:shd w:val="clear" w:color="auto" w:fill="auto"/>
          </w:tcPr>
          <w:p w14:paraId="28C86EFA" w14:textId="77777777" w:rsidR="00B92948" w:rsidRPr="00B92948" w:rsidRDefault="00B92948" w:rsidP="002D4970">
            <w:pPr>
              <w:pStyle w:val="SingleTxtG"/>
              <w:tabs>
                <w:tab w:val="clear" w:pos="1701"/>
                <w:tab w:val="clear" w:pos="2268"/>
                <w:tab w:val="clear" w:pos="2835"/>
              </w:tabs>
              <w:spacing w:before="40" w:after="40" w:line="220" w:lineRule="exact"/>
              <w:ind w:left="0" w:right="0"/>
              <w:jc w:val="left"/>
              <w:rPr>
                <w:sz w:val="18"/>
              </w:rPr>
            </w:pPr>
            <w:r w:rsidRPr="00B92948">
              <w:rPr>
                <w:sz w:val="18"/>
              </w:rPr>
              <w:t xml:space="preserve">Abuso sexual </w:t>
            </w:r>
          </w:p>
        </w:tc>
        <w:tc>
          <w:tcPr>
            <w:tcW w:w="3234" w:type="dxa"/>
            <w:shd w:val="clear" w:color="auto" w:fill="auto"/>
            <w:vAlign w:val="bottom"/>
          </w:tcPr>
          <w:p w14:paraId="2C562E9C" w14:textId="77777777" w:rsidR="00B92948" w:rsidRPr="00B92948" w:rsidRDefault="00B92948" w:rsidP="0022038F">
            <w:pPr>
              <w:pStyle w:val="SingleTxtG"/>
              <w:tabs>
                <w:tab w:val="clear" w:pos="1701"/>
                <w:tab w:val="clear" w:pos="2268"/>
                <w:tab w:val="clear" w:pos="2835"/>
              </w:tabs>
              <w:spacing w:before="40" w:after="40" w:line="220" w:lineRule="exact"/>
              <w:ind w:left="113" w:right="28"/>
              <w:jc w:val="right"/>
              <w:rPr>
                <w:sz w:val="18"/>
              </w:rPr>
            </w:pPr>
            <w:r w:rsidRPr="00B92948">
              <w:rPr>
                <w:sz w:val="18"/>
              </w:rPr>
              <w:t>26</w:t>
            </w:r>
          </w:p>
        </w:tc>
      </w:tr>
      <w:tr w:rsidR="002D4970" w:rsidRPr="00B92948" w14:paraId="3B23FBBA" w14:textId="77777777" w:rsidTr="002D4970">
        <w:trPr>
          <w:trHeight w:val="240"/>
        </w:trPr>
        <w:tc>
          <w:tcPr>
            <w:tcW w:w="4136" w:type="dxa"/>
            <w:tcBorders>
              <w:bottom w:val="single" w:sz="12" w:space="0" w:color="auto"/>
            </w:tcBorders>
            <w:shd w:val="clear" w:color="auto" w:fill="auto"/>
          </w:tcPr>
          <w:p w14:paraId="168905AA" w14:textId="77777777" w:rsidR="00B92948" w:rsidRPr="00B92948" w:rsidRDefault="00B92948" w:rsidP="002D4970">
            <w:pPr>
              <w:pStyle w:val="SingleTxtG"/>
              <w:tabs>
                <w:tab w:val="clear" w:pos="1701"/>
                <w:tab w:val="clear" w:pos="2268"/>
                <w:tab w:val="clear" w:pos="2835"/>
              </w:tabs>
              <w:spacing w:before="40" w:after="40" w:line="220" w:lineRule="exact"/>
              <w:ind w:left="0" w:right="0"/>
              <w:jc w:val="left"/>
              <w:rPr>
                <w:sz w:val="18"/>
              </w:rPr>
            </w:pPr>
            <w:r w:rsidRPr="00B92948">
              <w:rPr>
                <w:sz w:val="18"/>
              </w:rPr>
              <w:t>Otro tipo de violencia</w:t>
            </w:r>
          </w:p>
        </w:tc>
        <w:tc>
          <w:tcPr>
            <w:tcW w:w="3234" w:type="dxa"/>
            <w:tcBorders>
              <w:bottom w:val="single" w:sz="12" w:space="0" w:color="auto"/>
            </w:tcBorders>
            <w:shd w:val="clear" w:color="auto" w:fill="auto"/>
            <w:vAlign w:val="bottom"/>
          </w:tcPr>
          <w:p w14:paraId="21AB13D1" w14:textId="77777777" w:rsidR="00B92948" w:rsidRPr="00B92948" w:rsidRDefault="00B92948" w:rsidP="0022038F">
            <w:pPr>
              <w:pStyle w:val="SingleTxtG"/>
              <w:tabs>
                <w:tab w:val="clear" w:pos="1701"/>
                <w:tab w:val="clear" w:pos="2268"/>
                <w:tab w:val="clear" w:pos="2835"/>
              </w:tabs>
              <w:spacing w:before="40" w:after="40" w:line="220" w:lineRule="exact"/>
              <w:ind w:left="113" w:right="28"/>
              <w:jc w:val="right"/>
              <w:rPr>
                <w:sz w:val="18"/>
              </w:rPr>
            </w:pPr>
            <w:r w:rsidRPr="00B92948">
              <w:rPr>
                <w:sz w:val="18"/>
              </w:rPr>
              <w:t>17</w:t>
            </w:r>
          </w:p>
        </w:tc>
      </w:tr>
    </w:tbl>
    <w:p w14:paraId="6E7CD2A4" w14:textId="77777777" w:rsidR="00B92948" w:rsidRPr="00B92948" w:rsidRDefault="00B92948" w:rsidP="002D4970">
      <w:pPr>
        <w:pStyle w:val="SingleTxtG"/>
        <w:spacing w:before="240"/>
      </w:pPr>
      <w:r w:rsidRPr="00B92948">
        <w:t>46.</w:t>
      </w:r>
      <w:r w:rsidRPr="00B92948">
        <w:tab/>
        <w:t>En lo que respecta a los incidentes que implican un castigo físico en cualquier entorno (guarderías, la familia, familias de acogida, instituciones y otras entidades que prestan servicios a la infancia) y al número de casos de intimidación y malos tratos, en 2017 los Centros de Trabajo Social registraron 72 casos de niños que sufrían este tipo de violencia. La mayoría de los casos de violencia física contra niños se consignaron como riesgo social de violencia doméstica. En la mayoría de los casos, los autores de violencia física contra niños son los progenitores, y esos casos de malos tratos han sido denunciados por el Ministerio del Interior ante los Centros de Trabajo Social. Casi el 22</w:t>
      </w:r>
      <w:r w:rsidR="000C0C75">
        <w:t> %</w:t>
      </w:r>
      <w:r w:rsidRPr="00B92948">
        <w:t xml:space="preserve"> del número total de niños afectados en los casos denunciados fueron objeto de violencia en el seno de la familia, por parte de personas que supuestamente debían cuidarlos.</w:t>
      </w:r>
    </w:p>
    <w:p w14:paraId="45A9CB6C" w14:textId="77777777" w:rsidR="00B92948" w:rsidRPr="00B92948" w:rsidRDefault="00B92948" w:rsidP="002D4970">
      <w:pPr>
        <w:pStyle w:val="H23G"/>
      </w:pPr>
      <w:r w:rsidRPr="00B92948">
        <w:tab/>
        <w:t>b)</w:t>
      </w:r>
      <w:r w:rsidRPr="00B92948">
        <w:tab/>
        <w:t xml:space="preserve">Medidas para prohibir y eliminar todas las formas de prácticas nocivas, </w:t>
      </w:r>
      <w:r w:rsidR="002D4970">
        <w:br/>
      </w:r>
      <w:r w:rsidRPr="00B92948">
        <w:t xml:space="preserve">incluidas, entre otras, la mutilación genital femenina y los matrimonios </w:t>
      </w:r>
      <w:r w:rsidR="002D4970">
        <w:br/>
      </w:r>
      <w:r w:rsidRPr="00B92948">
        <w:t>precoces y forzados (art. 24 (párr. 3))</w:t>
      </w:r>
      <w:bookmarkStart w:id="20" w:name="_Toc56781423"/>
      <w:bookmarkEnd w:id="20"/>
    </w:p>
    <w:p w14:paraId="1DEDD32A" w14:textId="77777777" w:rsidR="00B92948" w:rsidRPr="00B92948" w:rsidRDefault="00B92948" w:rsidP="00B92948">
      <w:pPr>
        <w:pStyle w:val="SingleTxtG"/>
      </w:pPr>
      <w:r w:rsidRPr="00B92948">
        <w:t>47.</w:t>
      </w:r>
      <w:r w:rsidRPr="00B92948">
        <w:tab/>
        <w:t xml:space="preserve">El 30 de diciembre de 2017, la República de Macedonia del Norte ratificó el Convenio del Consejo de Europa sobre Prevención y Lucha contra la Violencia contra las Mujeres y la Violencia Doméstica (Convenio de Estambul). Además, se ha elaborado un plan de acción para la aplicación de la Convención. </w:t>
      </w:r>
    </w:p>
    <w:p w14:paraId="47CABF6F" w14:textId="77777777" w:rsidR="00B92948" w:rsidRPr="00B92948" w:rsidRDefault="00B92948" w:rsidP="00B92948">
      <w:pPr>
        <w:pStyle w:val="SingleTxtG"/>
      </w:pPr>
      <w:r w:rsidRPr="00B92948">
        <w:t>48.</w:t>
      </w:r>
      <w:r w:rsidRPr="00B92948">
        <w:tab/>
        <w:t xml:space="preserve">No se han registrado casos ni prácticas de mutilación genital. Sin embargo, a la luz de la crisis de los migrantes, debido al gran número de ellos en tránsito por el país, se elaboraron procedimientos operativos estándar sobre la violencia de género en las crisis. Las personas </w:t>
      </w:r>
      <w:r w:rsidRPr="00B92948">
        <w:lastRenderedPageBreak/>
        <w:t>que trabajan en el Centro de Acogida para Extranjeros, en el Centro de Recepción de Solicitantes de Asilo y en el Centro de Acogida y Tránsito recibieron capacitación sobre las cuestiones de la violencia de género y de la mutilación genital como forma de violencia de género.</w:t>
      </w:r>
    </w:p>
    <w:p w14:paraId="481EE29C" w14:textId="77777777" w:rsidR="00B92948" w:rsidRPr="00B92948" w:rsidRDefault="00B92948" w:rsidP="002D4970">
      <w:pPr>
        <w:pStyle w:val="H23G"/>
      </w:pPr>
      <w:r w:rsidRPr="00B92948">
        <w:tab/>
        <w:t>c)</w:t>
      </w:r>
      <w:r w:rsidRPr="00B92948">
        <w:tab/>
        <w:t>Explotación y abuso sexuales (art. 34)</w:t>
      </w:r>
      <w:bookmarkStart w:id="21" w:name="_Toc56781424"/>
      <w:bookmarkEnd w:id="21"/>
    </w:p>
    <w:p w14:paraId="63E859FB" w14:textId="77777777" w:rsidR="00B92948" w:rsidRPr="00B92948" w:rsidRDefault="00B92948" w:rsidP="00B92948">
      <w:pPr>
        <w:pStyle w:val="SingleTxtG"/>
      </w:pPr>
      <w:r w:rsidRPr="00B92948">
        <w:t>49.</w:t>
      </w:r>
      <w:r w:rsidRPr="00B92948">
        <w:tab/>
        <w:t xml:space="preserve">Se han aplicado respuestas sociales de amplio alcance para hacer frente al problema del abuso sexual de los niños y la pedofilia, incluidas actividades realizadas a varios niveles, dirigidas tanto a las víctimas como a los autores. La situación en este ámbito se determina detectando las deficiencias y las esferas que deben mejorarse. Esto ha dado lugar a enmiendas legislativas por las que se establece un registro y penas de prisión más prolongadas, más estrictas, así como la introducción de tratamiento psiquiátrico, médico y farmacológico para los autores. </w:t>
      </w:r>
    </w:p>
    <w:p w14:paraId="63D0CDD2" w14:textId="77777777" w:rsidR="00B92948" w:rsidRPr="00B92948" w:rsidRDefault="00B92948" w:rsidP="00B92948">
      <w:pPr>
        <w:pStyle w:val="SingleTxtG"/>
      </w:pPr>
      <w:r w:rsidRPr="00B92948">
        <w:t>50.</w:t>
      </w:r>
      <w:r w:rsidRPr="00B92948">
        <w:tab/>
        <w:t>En octubre de 2010 el Parlamento aprobó la Ley sobre la Ratificación del Convenio del Consejo de Europa para la Protección de los Niños contra la Explotación y el Abuso Sexual</w:t>
      </w:r>
      <w:r w:rsidRPr="00B92948">
        <w:rPr>
          <w:rStyle w:val="Refdenotaalpie"/>
        </w:rPr>
        <w:footnoteReference w:id="13"/>
      </w:r>
      <w:r w:rsidRPr="00B92948">
        <w:t>. Antes y después de la ratificación del Convenio, se aprobaron enmiendas legislativas del Código Penal con miras a seguir armonizando ese Código con el mencionado Convenio. Las modificaciones introdujeron castigos más estrictos.</w:t>
      </w:r>
    </w:p>
    <w:p w14:paraId="5C74D0BF" w14:textId="77777777" w:rsidR="00B92948" w:rsidRPr="00B92948" w:rsidRDefault="00B92948" w:rsidP="00B92948">
      <w:pPr>
        <w:pStyle w:val="SingleTxtG"/>
      </w:pPr>
      <w:r w:rsidRPr="00B92948">
        <w:t>51.</w:t>
      </w:r>
      <w:r w:rsidRPr="00B92948">
        <w:tab/>
        <w:t xml:space="preserve">Los delitos de abuso sexual de niños están sancionados en el capítulo 19 del Código Penal sobre delitos contra la </w:t>
      </w:r>
      <w:proofErr w:type="gramStart"/>
      <w:r w:rsidRPr="00B92948">
        <w:t>libertad sexual y la moral sexual</w:t>
      </w:r>
      <w:proofErr w:type="gramEnd"/>
      <w:r w:rsidRPr="00B92948">
        <w:t>, y en el capítulo 34 sobre crímenes de lesa humanidad y derecho internacional.</w:t>
      </w:r>
    </w:p>
    <w:p w14:paraId="087918F7" w14:textId="77777777" w:rsidR="00B92948" w:rsidRPr="00B92948" w:rsidRDefault="00B92948" w:rsidP="00B92948">
      <w:pPr>
        <w:pStyle w:val="SingleTxtG"/>
      </w:pPr>
      <w:r w:rsidRPr="00B92948">
        <w:t>52.</w:t>
      </w:r>
      <w:r w:rsidRPr="00B92948">
        <w:tab/>
        <w:t>De conformidad con el artículo 18 de dicho Convenio, en el Código Penal se tipifican como agresión sexual los actos de abuso sexual cuando la víctima es un niño menor de 14</w:t>
      </w:r>
      <w:r w:rsidR="000C0C75">
        <w:t> </w:t>
      </w:r>
      <w:proofErr w:type="gramStart"/>
      <w:r w:rsidRPr="00B92948">
        <w:t>años de edad</w:t>
      </w:r>
      <w:proofErr w:type="gramEnd"/>
      <w:r w:rsidRPr="00B92948">
        <w:t xml:space="preserve"> (artículo 188) y como agresión sexual con abuso de poder (artículo 189). </w:t>
      </w:r>
    </w:p>
    <w:p w14:paraId="28BF6C96" w14:textId="77777777" w:rsidR="00B92948" w:rsidRPr="00B92948" w:rsidRDefault="00B92948" w:rsidP="00B92948">
      <w:pPr>
        <w:pStyle w:val="SingleTxtG"/>
      </w:pPr>
      <w:r w:rsidRPr="00B92948">
        <w:t>53.</w:t>
      </w:r>
      <w:r w:rsidRPr="00B92948">
        <w:tab/>
        <w:t>En el artículo 188 se penalizan los siguientes actos:</w:t>
      </w:r>
    </w:p>
    <w:p w14:paraId="52B57A74" w14:textId="77777777" w:rsidR="00B92948" w:rsidRPr="00B92948" w:rsidRDefault="00B92948" w:rsidP="00B92948">
      <w:pPr>
        <w:pStyle w:val="SingleTxtG"/>
      </w:pPr>
      <w:r w:rsidRPr="00B92948">
        <w:tab/>
        <w:t>a)</w:t>
      </w:r>
      <w:r w:rsidRPr="00B92948">
        <w:tab/>
        <w:t>Mantener relaciones sexuales o realizar otras actividades sexuales con un niño menor de 14 años será castigado con una pena de prisión de al menos 20 años;</w:t>
      </w:r>
    </w:p>
    <w:p w14:paraId="17278451" w14:textId="77777777" w:rsidR="00B92948" w:rsidRPr="00B92948" w:rsidRDefault="00B92948" w:rsidP="00B92948">
      <w:pPr>
        <w:pStyle w:val="SingleTxtG"/>
      </w:pPr>
      <w:r w:rsidRPr="00B92948">
        <w:tab/>
        <w:t>b)</w:t>
      </w:r>
      <w:r w:rsidRPr="00B92948">
        <w:tab/>
        <w:t>Si como resultado del delito previsto en el párrafo a) se produjeran lesiones corporales graves, la muerte u otra consecuencia grave, o si el delito fuera perpetrado por varias personas, o de manera especialmente cruel y degradante, el autor será castigado con una pena de prisión de al menos 15 años;</w:t>
      </w:r>
    </w:p>
    <w:p w14:paraId="620BD889" w14:textId="77777777" w:rsidR="00B92948" w:rsidRPr="00B92948" w:rsidRDefault="00B92948" w:rsidP="00B92948">
      <w:pPr>
        <w:pStyle w:val="SingleTxtG"/>
      </w:pPr>
      <w:r w:rsidRPr="00B92948">
        <w:tab/>
        <w:t>c)</w:t>
      </w:r>
      <w:r w:rsidRPr="00B92948">
        <w:tab/>
        <w:t xml:space="preserve">Se impondrá al autor del delito previsto en el párrafo b) del presente artículo una orden judicial por la que se le prohíbe ejercer una profesión, una actividad económica o un cargo, en las condiciones establecidas en el artículo 38-b del Código. </w:t>
      </w:r>
    </w:p>
    <w:p w14:paraId="7B7EFA0D" w14:textId="77777777" w:rsidR="00B92948" w:rsidRPr="00B92948" w:rsidRDefault="00B92948" w:rsidP="00B92948">
      <w:pPr>
        <w:pStyle w:val="SingleTxtG"/>
      </w:pPr>
      <w:r w:rsidRPr="00B92948">
        <w:t>54.</w:t>
      </w:r>
      <w:r w:rsidRPr="00B92948">
        <w:tab/>
        <w:t xml:space="preserve">El artículo 189 tipifica como delito los siguientes actos: </w:t>
      </w:r>
    </w:p>
    <w:p w14:paraId="514BAF58" w14:textId="77777777" w:rsidR="00B92948" w:rsidRPr="00B92948" w:rsidRDefault="00B92948" w:rsidP="00B92948">
      <w:pPr>
        <w:pStyle w:val="SingleTxtG"/>
      </w:pPr>
      <w:r w:rsidRPr="00B92948">
        <w:tab/>
        <w:t>a)</w:t>
      </w:r>
      <w:r w:rsidRPr="00B92948">
        <w:tab/>
        <w:t>Inducir, abusando de una posición de autoridad, a otra persona subordinada o a cargo de ella a mantener relaciones sexuales o a realizar otras actividades sexuales, o maltratar, intimidar o tratar a otra persona de manera denigrante para su dignidad y personalidad humanas, con la misma intención de inducirla a mantener relaciones sexuales o a realizar otra actividad sexual, será castigado con una pena de prisión de cinco años como mínimo;</w:t>
      </w:r>
    </w:p>
    <w:p w14:paraId="5F92AF17" w14:textId="77777777" w:rsidR="00B92948" w:rsidRPr="00B92948" w:rsidRDefault="00B92948" w:rsidP="00B92948">
      <w:pPr>
        <w:pStyle w:val="SingleTxtG"/>
      </w:pPr>
      <w:r w:rsidRPr="00B92948">
        <w:tab/>
        <w:t>b)</w:t>
      </w:r>
      <w:r w:rsidRPr="00B92948">
        <w:tab/>
        <w:t>Si el delito previsto en el párrafo a) es perpetrado por un pariente consanguíneo en primer grado, un hermano o una hermana, un docente, un educador, un progenitor adoptivo, un tutor, un padrastro, una madrastra, un médico u otra persona abusando de su posición o en el contexto de un acto de violencia doméstica y el autor mantiene relaciones sexuales o realiza otras actividades sexuales con un niño menor de 14 años de edad y que le ha sido confiado con fines de estudio, educación, tutela o cuidado, será castigado con una pena de prisión de al menos diez años;</w:t>
      </w:r>
    </w:p>
    <w:p w14:paraId="1953E351" w14:textId="77777777" w:rsidR="00B92948" w:rsidRPr="00B92948" w:rsidRDefault="00B92948" w:rsidP="00B92948">
      <w:pPr>
        <w:pStyle w:val="SingleTxtG"/>
      </w:pPr>
      <w:r w:rsidRPr="00B92948">
        <w:lastRenderedPageBreak/>
        <w:tab/>
        <w:t>c)</w:t>
      </w:r>
      <w:r w:rsidRPr="00B92948">
        <w:tab/>
        <w:t>Se impondrá al autor del delito previsto en el párrafo b) una orden judicial por la que se le prohíbe ejercer una profesión, una actividad económica o un cargo, en las condiciones establecidas en el artículo 38-b del Código.</w:t>
      </w:r>
    </w:p>
    <w:p w14:paraId="42446BB9" w14:textId="77777777" w:rsidR="00B92948" w:rsidRPr="00B92948" w:rsidRDefault="00B92948" w:rsidP="00B92948">
      <w:pPr>
        <w:pStyle w:val="SingleTxtG"/>
      </w:pPr>
      <w:r w:rsidRPr="00B92948">
        <w:t>55.</w:t>
      </w:r>
      <w:r w:rsidRPr="00B92948">
        <w:tab/>
        <w:t>La facilitación de niños con fines sexuales (</w:t>
      </w:r>
      <w:r w:rsidR="00147E0E">
        <w:t>“</w:t>
      </w:r>
      <w:r w:rsidRPr="00B92948">
        <w:t>mediación con fines de prostitución</w:t>
      </w:r>
      <w:r w:rsidR="00147E0E">
        <w:t>”</w:t>
      </w:r>
      <w:r w:rsidRPr="00B92948">
        <w:t xml:space="preserve">) se tipifica como delito en el artículo 193-b, sobre la incitación de un niño menor de 14 </w:t>
      </w:r>
      <w:proofErr w:type="gramStart"/>
      <w:r w:rsidRPr="00B92948">
        <w:t>años de edad</w:t>
      </w:r>
      <w:proofErr w:type="gramEnd"/>
      <w:r w:rsidRPr="00B92948">
        <w:t xml:space="preserve"> a mantener relaciones sexuales o realizar otras actividades sexuales. Así pues, quien, por medios de comunicación informática, organice una reunión o de cualquier otra manera induzca a un niño menor de 14 años a mantener relaciones sexuales u realizar otras actividades sexuales o a producir pornografía infantil, y con tal intención se reúna directamente con el niño, será condenado a una pena de prisión de uno a cinco años.</w:t>
      </w:r>
    </w:p>
    <w:p w14:paraId="55E5751E" w14:textId="77777777" w:rsidR="00B92948" w:rsidRPr="00B92948" w:rsidRDefault="00B92948" w:rsidP="00B92948">
      <w:pPr>
        <w:pStyle w:val="SingleTxtG"/>
      </w:pPr>
      <w:r w:rsidRPr="00B92948">
        <w:t>56.</w:t>
      </w:r>
      <w:r w:rsidRPr="00B92948">
        <w:tab/>
        <w:t>La explotación sexual de un niño está tipificada como delito en el artículo 418-d sobre la trata de niños. Por tanto:</w:t>
      </w:r>
    </w:p>
    <w:p w14:paraId="5ECAE2BA" w14:textId="77777777" w:rsidR="00B92948" w:rsidRPr="00B92948" w:rsidRDefault="00B92948" w:rsidP="00B92948">
      <w:pPr>
        <w:pStyle w:val="SingleTxtG"/>
      </w:pPr>
      <w:r w:rsidRPr="00B92948">
        <w:tab/>
        <w:t>a)</w:t>
      </w:r>
      <w:r w:rsidRPr="00B92948">
        <w:tab/>
        <w:t>Toda persona que induzca a un niño a realizar actividades sexuales o facilite la realización de actividades sexuales con un niño o persuada, transporte, transfiera, compre, venda u ofrezca en venta, obtenga, suministre, acoja o acepte a un niño con el fin de explotarlo mediante actividades sexuales a cambio de dinero u otras formas de compensación o de explotación sexual, pornografía, trabajo o servicio forzoso, ejercicio de la mendicidad o explotación para una actividad prohibida por la ley, esclavitud, matrimonio forzado, fecundación forzada, adopción ilegal, o fuerce el consentimiento como mediador para la adopción de un niño, o trasplante ilegalmente órganos humanos, será condenada a una pena de prisión de al menos ocho años;</w:t>
      </w:r>
    </w:p>
    <w:p w14:paraId="2868E9D1" w14:textId="77777777" w:rsidR="00B92948" w:rsidRPr="00B92948" w:rsidRDefault="00B92948" w:rsidP="00B92948">
      <w:pPr>
        <w:pStyle w:val="SingleTxtG"/>
      </w:pPr>
      <w:r w:rsidRPr="00B92948">
        <w:tab/>
        <w:t>b)</w:t>
      </w:r>
      <w:r w:rsidRPr="00B92948">
        <w:tab/>
        <w:t>Toda persona que cometa el delito previsto en el párrafo a)</w:t>
      </w:r>
      <w:r w:rsidR="00950538">
        <w:t xml:space="preserve"> </w:t>
      </w:r>
      <w:r w:rsidRPr="00B92948">
        <w:t>mediante el uso de la fuerza, amenaza grave, engaño u otra forma de coacción, secuestro, fraude, abuso de posición o embarazo, indefensión o discapacidad física o mental de otra persona, o mediante la entrega y recepción de dinero u otro beneficio con el fin de obtener el consentimiento de una persona que controla a otra, o si el acto es cometido contra un niño menor de 14 años, será condenada a una pena de prisión de diez años como mínimo;</w:t>
      </w:r>
    </w:p>
    <w:p w14:paraId="5BDEAE26" w14:textId="77777777" w:rsidR="00B92948" w:rsidRPr="00B92948" w:rsidRDefault="00B92948" w:rsidP="00B92948">
      <w:pPr>
        <w:pStyle w:val="SingleTxtG"/>
      </w:pPr>
      <w:r w:rsidRPr="00B92948">
        <w:tab/>
        <w:t>c)</w:t>
      </w:r>
      <w:r w:rsidRPr="00B92948">
        <w:tab/>
        <w:t>Toda persona que utilice o permita a otra utilizar servicios sexuales u otro tipo de explotación de un niño a sabiendas u obligado a saber que es víctima de la trata de personas, será condenada a una pena de prisión de ocho años como mínimo;</w:t>
      </w:r>
    </w:p>
    <w:p w14:paraId="08CBBCA1" w14:textId="77777777" w:rsidR="00B92948" w:rsidRPr="00B92948" w:rsidRDefault="00B92948" w:rsidP="00B92948">
      <w:pPr>
        <w:pStyle w:val="SingleTxtG"/>
      </w:pPr>
      <w:r w:rsidRPr="00B92948">
        <w:tab/>
        <w:t>d)</w:t>
      </w:r>
      <w:r w:rsidRPr="00B92948">
        <w:tab/>
        <w:t>El usuario de servicios sexuales prestados por un niño menor de 14 años será condenado a una pena de prisión de al menos 12 años;</w:t>
      </w:r>
    </w:p>
    <w:p w14:paraId="0B101148" w14:textId="77777777" w:rsidR="00B92948" w:rsidRPr="00B92948" w:rsidRDefault="00B92948" w:rsidP="00B92948">
      <w:pPr>
        <w:pStyle w:val="SingleTxtG"/>
      </w:pPr>
      <w:r w:rsidRPr="00B92948">
        <w:tab/>
        <w:t>e)</w:t>
      </w:r>
      <w:r w:rsidRPr="00B92948">
        <w:tab/>
        <w:t xml:space="preserve">Toda persona que incaute o destruya un documento de identidad, pasaporte o documento de identificación personal de otra persona con el fin de cometer el delito mencionado en los párrafos a) y b), será condenado a una pena de prisión de cuatro años como mínimo; </w:t>
      </w:r>
    </w:p>
    <w:p w14:paraId="0273B1C1" w14:textId="77777777" w:rsidR="00B92948" w:rsidRPr="00B92948" w:rsidRDefault="00B92948" w:rsidP="00B92948">
      <w:pPr>
        <w:pStyle w:val="SingleTxtG"/>
      </w:pPr>
      <w:r w:rsidRPr="00B92948">
        <w:tab/>
        <w:t>f)</w:t>
      </w:r>
      <w:r w:rsidRPr="00B92948">
        <w:tab/>
        <w:t>Si el delito a que se refieren los párrafos a), b), c) y d) del presente artículo es cometido por un funcionario en el desempeño de su cargo, será condenado a una pena de prisión de diez años como mínimo;</w:t>
      </w:r>
    </w:p>
    <w:p w14:paraId="2B76EE3D" w14:textId="77777777" w:rsidR="00B92948" w:rsidRPr="00B92948" w:rsidRDefault="00B92948" w:rsidP="00B92948">
      <w:pPr>
        <w:pStyle w:val="SingleTxtG"/>
      </w:pPr>
      <w:r w:rsidRPr="00B92948">
        <w:tab/>
        <w:t>g)</w:t>
      </w:r>
      <w:r w:rsidRPr="00B92948">
        <w:tab/>
        <w:t>Los actos previstos en el párrafo a) se considerarán delitos independientemente de que el niño haya dado su consentimiento a ellos;</w:t>
      </w:r>
    </w:p>
    <w:p w14:paraId="0C9E6BB0" w14:textId="77777777" w:rsidR="00B92948" w:rsidRPr="00B92948" w:rsidRDefault="00B92948" w:rsidP="00B92948">
      <w:pPr>
        <w:pStyle w:val="SingleTxtG"/>
      </w:pPr>
      <w:r w:rsidRPr="00B92948">
        <w:tab/>
        <w:t>h)</w:t>
      </w:r>
      <w:r w:rsidRPr="00B92948">
        <w:tab/>
        <w:t>Si el delito a que se refiere el presente artículo es cometido por una persona jurídica, se le impondrá una multa;</w:t>
      </w:r>
    </w:p>
    <w:p w14:paraId="3495FB08" w14:textId="77777777" w:rsidR="00B92948" w:rsidRPr="00B92948" w:rsidRDefault="00B92948" w:rsidP="00B92948">
      <w:pPr>
        <w:pStyle w:val="SingleTxtG"/>
      </w:pPr>
      <w:r w:rsidRPr="00B92948">
        <w:tab/>
        <w:t>i)</w:t>
      </w:r>
      <w:r w:rsidRPr="00B92948">
        <w:tab/>
        <w:t>Los bienes inmuebles, objetos y medios de transporte utilizados para la comisión del delito serán incautados.</w:t>
      </w:r>
    </w:p>
    <w:p w14:paraId="78CC2F4E" w14:textId="77777777" w:rsidR="00B92948" w:rsidRPr="00B92948" w:rsidRDefault="00B92948" w:rsidP="00B92948">
      <w:pPr>
        <w:pStyle w:val="SingleTxtG"/>
      </w:pPr>
      <w:r w:rsidRPr="00B92948">
        <w:t>57.</w:t>
      </w:r>
      <w:r w:rsidRPr="00B92948">
        <w:tab/>
        <w:t xml:space="preserve">Según el Código Penal, los delitos de abuso sexual de niños pueden castigarse con una pena de prisión y la prohibición de ejercer una profesión, una actividad económica o un cargo. La pena de prisión puede imponerse únicamente como pena principal, mientras que la prohibición de ejercer una profesión, una actividad económica o un cargo puede disponerse únicamente como pena accesoria, junto con la pena de prisión o la remisión condicional de la pena. </w:t>
      </w:r>
    </w:p>
    <w:p w14:paraId="4C3FB587" w14:textId="77777777" w:rsidR="00B92948" w:rsidRPr="00B92948" w:rsidRDefault="00B92948" w:rsidP="00B92948">
      <w:pPr>
        <w:pStyle w:val="SingleTxtG"/>
      </w:pPr>
      <w:r w:rsidRPr="00B92948">
        <w:lastRenderedPageBreak/>
        <w:t>58.</w:t>
      </w:r>
      <w:r w:rsidRPr="00B92948">
        <w:tab/>
        <w:t xml:space="preserve">La pena de prisión no podrá ser inferior a 30 días ni superior a 20 años. Los delitos castigados con una posible sentencia establecida de cadena perpetua pueden ser castigados con una pena de hasta 40 años. </w:t>
      </w:r>
    </w:p>
    <w:p w14:paraId="4323CEFD" w14:textId="77777777" w:rsidR="00B92948" w:rsidRPr="00B92948" w:rsidRDefault="00B92948" w:rsidP="00B92948">
      <w:pPr>
        <w:pStyle w:val="SingleTxtG"/>
      </w:pPr>
      <w:r w:rsidRPr="00B92948">
        <w:t>59.</w:t>
      </w:r>
      <w:r w:rsidRPr="00B92948">
        <w:tab/>
        <w:t xml:space="preserve">Los autores de estos delitos también pueden ser objeto de las siguientes medidas cautelares: tratamiento psiquiátrico obligatorio e internamiento en un centro de salud, tratamiento obligatorio en libertad, tratamiento obligatorio de alcohólicos y toxicómanos y tratamiento médico y farmacológico de los autores de agresiones sexuales a un niño menor de 14 </w:t>
      </w:r>
      <w:proofErr w:type="gramStart"/>
      <w:r w:rsidRPr="00B92948">
        <w:t>años de edad</w:t>
      </w:r>
      <w:proofErr w:type="gramEnd"/>
      <w:r w:rsidRPr="00B92948">
        <w:t xml:space="preserve"> (artículo 65). </w:t>
      </w:r>
    </w:p>
    <w:p w14:paraId="4FC89CAC" w14:textId="77777777" w:rsidR="00B92948" w:rsidRPr="00B92948" w:rsidRDefault="00B92948" w:rsidP="00B92948">
      <w:pPr>
        <w:pStyle w:val="SingleTxtG"/>
      </w:pPr>
      <w:r w:rsidRPr="00B92948">
        <w:t>60.</w:t>
      </w:r>
      <w:r w:rsidRPr="00B92948">
        <w:tab/>
        <w:t xml:space="preserve">Los delitos de abuso y explotación sexual de los niños se enjuician de oficio. En virtud del artículo 18 de la Ley de Procedimiento Penal, el fiscal está obligado a iniciar un proceso penal si hay pruebas de que se ha cometido un delito que se persigue de oficio. </w:t>
      </w:r>
    </w:p>
    <w:p w14:paraId="5E2F4760" w14:textId="77777777" w:rsidR="00B92948" w:rsidRPr="00B92948" w:rsidRDefault="00B92948" w:rsidP="00B92948">
      <w:pPr>
        <w:pStyle w:val="SingleTxtG"/>
      </w:pPr>
      <w:r w:rsidRPr="00B92948">
        <w:t>61.</w:t>
      </w:r>
      <w:r w:rsidRPr="00B92948">
        <w:tab/>
        <w:t xml:space="preserve">Además, el artículo 106-a del Código Penal contiene disposiciones sobre un registro especial y especifica que: </w:t>
      </w:r>
      <w:r w:rsidR="00147E0E">
        <w:t>“</w:t>
      </w:r>
      <w:r w:rsidRPr="00B92948">
        <w:t>El tribunal remitirá los datos sobre una decisión judicial definitiva respecto de una medida de seguridad a los órganos de la administración del Estado encargados de los asuntos relativos a la atención de la salud y la política laboral y social a los efectos de la inscripción en los registros sanitarios y especiales</w:t>
      </w:r>
      <w:r w:rsidR="00147E0E">
        <w:t>”</w:t>
      </w:r>
      <w:r w:rsidRPr="00B92948">
        <w:t xml:space="preserve">. </w:t>
      </w:r>
    </w:p>
    <w:p w14:paraId="56D2265C" w14:textId="77777777" w:rsidR="00B92948" w:rsidRPr="00B92948" w:rsidRDefault="00B92948" w:rsidP="00B92948">
      <w:pPr>
        <w:pStyle w:val="SingleTxtG"/>
      </w:pPr>
      <w:r w:rsidRPr="00B92948">
        <w:t>62.</w:t>
      </w:r>
      <w:r w:rsidRPr="00B92948">
        <w:tab/>
        <w:t xml:space="preserve">En el párrafo b) se especifica que: </w:t>
      </w:r>
      <w:r w:rsidR="00147E0E">
        <w:t>“</w:t>
      </w:r>
      <w:r w:rsidRPr="00B92948">
        <w:t>El tribunal también remitirá al órgano de la administración estatal encargado de los asuntos relativos al trabajo y la política social datos sobre las personas condenadas con sentencia firme por delitos contra la libertad y la moral sexuales y el delito mencionado en el artículo 418-d del presente Código cometidos contra niños, que se inscribirán en un registro especial</w:t>
      </w:r>
      <w:r w:rsidR="00147E0E">
        <w:t>”</w:t>
      </w:r>
      <w:r w:rsidRPr="00B92948">
        <w:t>.</w:t>
      </w:r>
    </w:p>
    <w:p w14:paraId="57167442" w14:textId="77777777" w:rsidR="00B92948" w:rsidRPr="00B92948" w:rsidRDefault="00B92948" w:rsidP="00B92948">
      <w:pPr>
        <w:pStyle w:val="SingleTxtG"/>
      </w:pPr>
      <w:r w:rsidRPr="00B92948">
        <w:t>63.</w:t>
      </w:r>
      <w:r w:rsidRPr="00B92948">
        <w:tab/>
        <w:t xml:space="preserve">El párrafo c) estipula: </w:t>
      </w:r>
      <w:r w:rsidR="00147E0E">
        <w:t>“</w:t>
      </w:r>
      <w:r w:rsidRPr="00B92948">
        <w:t>Los datos a que se refieren los párrafos a) y b) del presente artículo se utilizarán exclusivamente con el fin de proteger la salud de las personas que hayan sido objeto de medidas de seguridad o con el fin de proteger los derechos de los niños, en las condiciones y el procedimiento establecidos por la ley</w:t>
      </w:r>
      <w:r w:rsidR="00147E0E">
        <w:t>”</w:t>
      </w:r>
      <w:r w:rsidRPr="00B92948">
        <w:t xml:space="preserve">. </w:t>
      </w:r>
    </w:p>
    <w:p w14:paraId="1376E3D7" w14:textId="77777777" w:rsidR="00B92948" w:rsidRPr="00B92948" w:rsidRDefault="00B92948" w:rsidP="00B92948">
      <w:pPr>
        <w:pStyle w:val="SingleTxtG"/>
      </w:pPr>
      <w:r w:rsidRPr="00B92948">
        <w:t>64.</w:t>
      </w:r>
      <w:r w:rsidRPr="00B92948">
        <w:tab/>
        <w:t>Teniendo en cuenta estas disposiciones, se ha aprobado la Ley sobre el Registro Especial de Personas Condenadas con Sentencia Firme por Delitos de Abuso Sexual de Niños y Pedofilia. El Ministerio de Trabajo y Política Social lleva el Registro a través del Instituto Público de Trabajo Social. Los datos sobre las personas condenadas inscritas en el Registro están a disposición del público. Desde el establecimiento del Registro (junio de 2012) hasta</w:t>
      </w:r>
      <w:r w:rsidR="00950538">
        <w:t> </w:t>
      </w:r>
      <w:r w:rsidRPr="00B92948">
        <w:t xml:space="preserve">2018, se publicaron datos sobre un total de 236 personas. </w:t>
      </w:r>
    </w:p>
    <w:p w14:paraId="530F7D1B" w14:textId="77777777" w:rsidR="00B92948" w:rsidRPr="00B92948" w:rsidRDefault="00B92948" w:rsidP="002D4970">
      <w:pPr>
        <w:pStyle w:val="H23G"/>
      </w:pPr>
      <w:r w:rsidRPr="00B92948">
        <w:tab/>
        <w:t>d)</w:t>
      </w:r>
      <w:r w:rsidRPr="00B92948">
        <w:tab/>
        <w:t>Derecho del niño a no ser sometido a tortura ni a otros tratos o penas crueles,</w:t>
      </w:r>
      <w:r w:rsidR="003525B7">
        <w:t> </w:t>
      </w:r>
      <w:r w:rsidRPr="00B92948">
        <w:t xml:space="preserve">inhumanos o degradantes, incluido el castigo corporal </w:t>
      </w:r>
      <w:r w:rsidR="002D4970">
        <w:br/>
      </w:r>
      <w:r w:rsidRPr="00B92948">
        <w:t>(arts. 37 a) y 28 (párr. 2))</w:t>
      </w:r>
      <w:bookmarkStart w:id="22" w:name="_Toc56781425"/>
      <w:bookmarkEnd w:id="22"/>
    </w:p>
    <w:p w14:paraId="143F5206" w14:textId="77777777" w:rsidR="00B92948" w:rsidRPr="00B92948" w:rsidRDefault="00B92948" w:rsidP="00B92948">
      <w:pPr>
        <w:pStyle w:val="SingleTxtG"/>
      </w:pPr>
      <w:r w:rsidRPr="00B92948">
        <w:t>65.</w:t>
      </w:r>
      <w:r w:rsidRPr="00B92948">
        <w:tab/>
        <w:t>Los artículos 86 a 143 de la Ley de Justicia para Niños</w:t>
      </w:r>
      <w:r w:rsidRPr="00B92948">
        <w:rPr>
          <w:rStyle w:val="Refdenotaalpie"/>
        </w:rPr>
        <w:footnoteReference w:id="14"/>
      </w:r>
      <w:r w:rsidRPr="00B92948">
        <w:t xml:space="preserve"> establecen el procedimiento judicial para los niños en relación con las actividades que la ley define como delitos.</w:t>
      </w:r>
    </w:p>
    <w:p w14:paraId="5C3A6228" w14:textId="77777777" w:rsidR="00B92948" w:rsidRPr="00B92948" w:rsidRDefault="00B92948" w:rsidP="00B92948">
      <w:pPr>
        <w:pStyle w:val="SingleTxtG"/>
      </w:pPr>
      <w:r w:rsidRPr="00B92948">
        <w:t>66.</w:t>
      </w:r>
      <w:r w:rsidRPr="00B92948">
        <w:tab/>
        <w:t xml:space="preserve">Las características básicas del procedimiento son: mantener al niño en una comisaría de policía durante un máximo de 12 horas; realizar el interrogatorio del Ministerio del Interior en locales especiales adecuados para la edad del niño sospechoso de haber cometido un delito durante 4 horas como máximo; el derecho a un juicio justo en un plazo razonable ante un tribunal independiente e imparcial; el fiscal es el demandante autorizado en el procedimiento; el derecho del niño a ser interrogado únicamente en presencia de su abogado; el derecho del Centro de Trabajo Social a ser informado del procedimiento, a presentar propuestas y a señalar hechos sobre la personalidad y las circunstancias en las que vive el niño; el derecho a recursos jurídicos ordinarios y extraordinarios; el procedimiento de admisión de culpabilidad y la negociación del alcance de la pena con el consentimiento previo del niño, la parte damnificada, el fiscal, el abogado y el Centro de Trabajo Social; la imposición de la detención preventiva previa consulta con el Centro de Trabajo Social; el interrogatorio del niño tras la evaluación del juez con la asistencia de un pedagogo, un psicólogo u otro profesional; la aplicación de un procedimiento preparatorio por parte del juez de menores </w:t>
      </w:r>
      <w:r w:rsidRPr="00B92948">
        <w:lastRenderedPageBreak/>
        <w:t xml:space="preserve">con el fin de establecer todas las circunstancias en torno del delito y la personalidad del niño; y el procedimiento ante un consejo de la infancia. </w:t>
      </w:r>
    </w:p>
    <w:p w14:paraId="46D4784A" w14:textId="77777777" w:rsidR="00B92948" w:rsidRPr="00B92948" w:rsidRDefault="00B92948" w:rsidP="00B92948">
      <w:pPr>
        <w:pStyle w:val="SingleTxtG"/>
      </w:pPr>
      <w:r w:rsidRPr="00B92948">
        <w:t>67.</w:t>
      </w:r>
      <w:r w:rsidRPr="00B92948">
        <w:tab/>
        <w:t xml:space="preserve">El Centro Educativo y Penitenciario de Tetovo es la única institución que acoge a niños en la que es necesario aplicar medidas más permanentes y firmes de educación y reeducación, separándolos totalmente del entorno anterior. Los niños permanecen en este centro al menos un año, pero hasta cinco años, o hasta cumplir los 23 años. </w:t>
      </w:r>
    </w:p>
    <w:p w14:paraId="60178DF7" w14:textId="77777777" w:rsidR="00B92948" w:rsidRPr="00B92948" w:rsidRDefault="00B92948" w:rsidP="00B92948">
      <w:pPr>
        <w:pStyle w:val="SingleTxtG"/>
      </w:pPr>
      <w:r w:rsidRPr="00B92948">
        <w:t>68.</w:t>
      </w:r>
      <w:r w:rsidRPr="00B92948">
        <w:tab/>
        <w:t xml:space="preserve">El Centro Educativo y Penitenciario de Tetovo no se ha estado utilizado desde la crisis de 2001 en el país. Actualmente los niños que cumplen medidas de remisión en un centro educativo y penitenciario están alojados en el Centro de Detención de Menores de </w:t>
      </w:r>
      <w:proofErr w:type="spellStart"/>
      <w:r w:rsidRPr="00B92948">
        <w:t>Ohrid</w:t>
      </w:r>
      <w:proofErr w:type="spellEnd"/>
      <w:r w:rsidRPr="00B92948">
        <w:t xml:space="preserve">. Se han adoptado todas las medidas necesarias para separar físicamente a los niños que han sido remitidos a un centro educativo y penitenciario de los niños que cumplen penas de prisión de menores y de las personas recluidas en la dependencia de detención preventiva de la cárcel de </w:t>
      </w:r>
      <w:proofErr w:type="spellStart"/>
      <w:r w:rsidRPr="00B92948">
        <w:t>Ohrid</w:t>
      </w:r>
      <w:proofErr w:type="spellEnd"/>
      <w:r w:rsidRPr="00B92948">
        <w:t>.</w:t>
      </w:r>
    </w:p>
    <w:p w14:paraId="02AE29D5" w14:textId="77777777" w:rsidR="00B92948" w:rsidRPr="00B92948" w:rsidRDefault="00B92948" w:rsidP="00B92948">
      <w:pPr>
        <w:pStyle w:val="SingleTxtG"/>
      </w:pPr>
      <w:r w:rsidRPr="00B92948">
        <w:t>69.</w:t>
      </w:r>
      <w:r w:rsidRPr="00B92948">
        <w:tab/>
        <w:t xml:space="preserve">En 2014 comenzó la construcción de un nuevo establecimiento diseñado para acoger las remisiones en un centro educativo y penitenciario. Tiene capacidad para 110 niños y se encuentra en </w:t>
      </w:r>
      <w:proofErr w:type="spellStart"/>
      <w:r w:rsidRPr="00B92948">
        <w:t>Volkovija</w:t>
      </w:r>
      <w:proofErr w:type="spellEnd"/>
      <w:r w:rsidRPr="00B92948">
        <w:t xml:space="preserve">, municipio de </w:t>
      </w:r>
      <w:proofErr w:type="spellStart"/>
      <w:r w:rsidRPr="00B92948">
        <w:t>Brvenica</w:t>
      </w:r>
      <w:proofErr w:type="spellEnd"/>
      <w:r w:rsidRPr="00B92948">
        <w:t>, sobre una superficie de dos hectáreas. Incluye varios edificios para alojamiento, estancia, educación y trabajo, de conformidad con las normas y reglamentos europeos. Se han preparado reglamentos internos y un breve programa preventivo para concienciar a los niños sobre las consecuencias negativas del consumo de drogas y la prevención de las enfermedades transmisibles.</w:t>
      </w:r>
    </w:p>
    <w:p w14:paraId="6E876F79" w14:textId="77777777" w:rsidR="00B92948" w:rsidRPr="00B92948" w:rsidRDefault="00B92948" w:rsidP="00B92948">
      <w:pPr>
        <w:pStyle w:val="SingleTxtG"/>
      </w:pPr>
      <w:r w:rsidRPr="00B92948">
        <w:t>70.</w:t>
      </w:r>
      <w:r w:rsidRPr="00B92948">
        <w:tab/>
        <w:t xml:space="preserve">En el marco de la estrategia nacional correspondiente, también se prevé otra serie de actividades, como la aplicación del programa </w:t>
      </w:r>
      <w:proofErr w:type="spellStart"/>
      <w:r w:rsidRPr="00B92948">
        <w:t>YOU</w:t>
      </w:r>
      <w:proofErr w:type="spellEnd"/>
      <w:r w:rsidRPr="00B92948">
        <w:t xml:space="preserve"> </w:t>
      </w:r>
      <w:proofErr w:type="spellStart"/>
      <w:r w:rsidRPr="00B92948">
        <w:t>TURN</w:t>
      </w:r>
      <w:proofErr w:type="spellEnd"/>
      <w:r w:rsidRPr="00B92948">
        <w:t>/</w:t>
      </w:r>
      <w:proofErr w:type="spellStart"/>
      <w:r w:rsidRPr="00B92948">
        <w:t>EQUIP</w:t>
      </w:r>
      <w:proofErr w:type="spellEnd"/>
      <w:r w:rsidRPr="00B92948">
        <w:t xml:space="preserve"> para el trabajo con niños y la introducción a la formación profesional, entre otras cosas.</w:t>
      </w:r>
    </w:p>
    <w:p w14:paraId="5CCC5D68" w14:textId="77777777" w:rsidR="00B92948" w:rsidRPr="00B92948" w:rsidRDefault="00B92948" w:rsidP="00B92948">
      <w:pPr>
        <w:pStyle w:val="SingleTxtG"/>
      </w:pPr>
      <w:r w:rsidRPr="00B92948">
        <w:t>71.</w:t>
      </w:r>
      <w:r w:rsidRPr="00B92948">
        <w:tab/>
        <w:t>En cuanto a las pruebas de consumo de drogas, cabe señalar que no son obligatorias y se realizan solo si hay indicios de que un niño ha consumido sustancias sicotrópicas ilícitas.</w:t>
      </w:r>
    </w:p>
    <w:p w14:paraId="272857A4" w14:textId="77777777" w:rsidR="00B92948" w:rsidRPr="00B92948" w:rsidRDefault="00B92948" w:rsidP="002D4970">
      <w:pPr>
        <w:pStyle w:val="H23G"/>
      </w:pPr>
      <w:r w:rsidRPr="00B92948">
        <w:tab/>
        <w:t>e)</w:t>
      </w:r>
      <w:r w:rsidRPr="00B92948">
        <w:tab/>
        <w:t xml:space="preserve">Medidas para promover la recuperación física y psicológica y la reintegración </w:t>
      </w:r>
      <w:r w:rsidR="002D4970">
        <w:br/>
      </w:r>
      <w:r w:rsidRPr="00B92948">
        <w:t>social de los niños víctimas (art. 39)</w:t>
      </w:r>
      <w:bookmarkStart w:id="23" w:name="_Toc56781426"/>
      <w:bookmarkEnd w:id="23"/>
    </w:p>
    <w:p w14:paraId="51B707E4" w14:textId="77777777" w:rsidR="00B92948" w:rsidRPr="00B92948" w:rsidRDefault="00B92948" w:rsidP="00B92948">
      <w:pPr>
        <w:pStyle w:val="SingleTxtG"/>
      </w:pPr>
      <w:r w:rsidRPr="00B92948">
        <w:t>72.</w:t>
      </w:r>
      <w:r w:rsidRPr="00B92948">
        <w:tab/>
        <w:t xml:space="preserve">En el marco de sus obligaciones, el Ministerio de Trabajo y Política Social presta especial atención a las cuestiones relacionadas con la asistencia y el apoyo para la reintegración de los niños víctimas según las consecuencias físicas, psicológicas y sociales especiales que han sufrido como resultado de diversos tipos de abuso. </w:t>
      </w:r>
    </w:p>
    <w:p w14:paraId="75B6A372" w14:textId="77777777" w:rsidR="00B92948" w:rsidRPr="00B92948" w:rsidRDefault="00B92948" w:rsidP="00B92948">
      <w:pPr>
        <w:pStyle w:val="SingleTxtG"/>
      </w:pPr>
      <w:r w:rsidRPr="00B92948">
        <w:t>73.</w:t>
      </w:r>
      <w:r w:rsidRPr="00B92948">
        <w:tab/>
        <w:t xml:space="preserve">Los servicios son prestados por el Centro de Trabajo Social, con el apoyo de organizaciones asociadas que trabajan con niños víctimas. El período de reintegración es un proceso largo y multifacético, que dura hasta que el niño víctima vuelve a convertirse en un miembro activo de la sociedad. </w:t>
      </w:r>
    </w:p>
    <w:p w14:paraId="7AA942A6" w14:textId="77777777" w:rsidR="00B92948" w:rsidRPr="00B92948" w:rsidRDefault="00B92948" w:rsidP="00B92948">
      <w:pPr>
        <w:pStyle w:val="SingleTxtG"/>
      </w:pPr>
      <w:r w:rsidRPr="00B92948">
        <w:t>74.</w:t>
      </w:r>
      <w:r w:rsidRPr="00B92948">
        <w:tab/>
        <w:t>Los niños víctimas y testigos tienen acceso a asistencia y apoyo, como servicios financieros, jurídicos, sanitarios, sociales, educativos, de asesoramiento, de recuperación física y fisiológica y todos los que se necesitan para su reintegración prestados por organizaciones gubernamentales, de voluntarios o de otro tipo. Además, los niños tienen la opción de recibir una indemnización del Fondo de Indemnizaciones a los efectos de una reintegración y rehabilitación satisfactorias.</w:t>
      </w:r>
    </w:p>
    <w:p w14:paraId="4A6ECC6C" w14:textId="77777777" w:rsidR="00B92948" w:rsidRPr="00B92948" w:rsidRDefault="00B92948" w:rsidP="002D4970">
      <w:pPr>
        <w:pStyle w:val="H23G"/>
      </w:pPr>
      <w:r w:rsidRPr="00B92948">
        <w:tab/>
        <w:t>f)</w:t>
      </w:r>
      <w:r w:rsidRPr="00B92948">
        <w:tab/>
        <w:t>Servicios de asistencia telefónica para niños</w:t>
      </w:r>
      <w:bookmarkStart w:id="24" w:name="_Toc56781427"/>
      <w:bookmarkEnd w:id="24"/>
    </w:p>
    <w:p w14:paraId="17A5174A" w14:textId="77777777" w:rsidR="00B92948" w:rsidRPr="00B92948" w:rsidRDefault="00B92948" w:rsidP="00B92948">
      <w:pPr>
        <w:pStyle w:val="SingleTxtG"/>
      </w:pPr>
      <w:r w:rsidRPr="00B92948">
        <w:t>75.</w:t>
      </w:r>
      <w:r w:rsidRPr="00B92948">
        <w:tab/>
        <w:t xml:space="preserve">Con el fin de que se denuncien los casos de maltrato infantil, el Ministerio de Trabajo y Política Social ha introducido el servicio de asistencia telefónica, el número 15 505. Además, hay otro servicio de asistencia telefónica, el número 0800 1 22 22, mantenido por la </w:t>
      </w:r>
      <w:proofErr w:type="spellStart"/>
      <w:r w:rsidRPr="00B92948">
        <w:t>First</w:t>
      </w:r>
      <w:proofErr w:type="spellEnd"/>
      <w:r w:rsidRPr="00B92948">
        <w:t xml:space="preserve"> </w:t>
      </w:r>
      <w:proofErr w:type="spellStart"/>
      <w:r w:rsidRPr="00B92948">
        <w:t>Children’s</w:t>
      </w:r>
      <w:proofErr w:type="spellEnd"/>
      <w:r w:rsidRPr="00B92948">
        <w:t xml:space="preserve"> Embassy in </w:t>
      </w:r>
      <w:proofErr w:type="spellStart"/>
      <w:r w:rsidRPr="00B92948">
        <w:t>the</w:t>
      </w:r>
      <w:proofErr w:type="spellEnd"/>
      <w:r w:rsidRPr="00B92948">
        <w:t xml:space="preserve"> </w:t>
      </w:r>
      <w:proofErr w:type="spellStart"/>
      <w:r w:rsidRPr="00B92948">
        <w:t>World</w:t>
      </w:r>
      <w:proofErr w:type="spellEnd"/>
      <w:r w:rsidRPr="00B92948">
        <w:t xml:space="preserve"> </w:t>
      </w:r>
      <w:proofErr w:type="spellStart"/>
      <w:r w:rsidRPr="00B92948">
        <w:t>Megjashi</w:t>
      </w:r>
      <w:proofErr w:type="spellEnd"/>
      <w:r w:rsidRPr="00B92948">
        <w:t xml:space="preserve">. </w:t>
      </w:r>
    </w:p>
    <w:p w14:paraId="337B335F" w14:textId="77777777" w:rsidR="00B92948" w:rsidRPr="00B92948" w:rsidRDefault="00B92948" w:rsidP="002D4970">
      <w:pPr>
        <w:pStyle w:val="H1G"/>
      </w:pPr>
      <w:r w:rsidRPr="00B92948">
        <w:lastRenderedPageBreak/>
        <w:tab/>
        <w:t>6.</w:t>
      </w:r>
      <w:r w:rsidRPr="00B92948">
        <w:tab/>
        <w:t xml:space="preserve">Entorno familiar y modalidades alternativas de cuidado </w:t>
      </w:r>
      <w:r w:rsidR="002D4970">
        <w:br/>
      </w:r>
      <w:r w:rsidRPr="00B92948">
        <w:t>(arts. 5, 9 a 11, 18 (</w:t>
      </w:r>
      <w:proofErr w:type="spellStart"/>
      <w:r w:rsidRPr="00B92948">
        <w:t>párrs</w:t>
      </w:r>
      <w:proofErr w:type="spellEnd"/>
      <w:r w:rsidRPr="00B92948">
        <w:t>. 1 y 2), 20, 21, 25 y 27(párr. 4)</w:t>
      </w:r>
      <w:bookmarkStart w:id="25" w:name="_Toc56781428"/>
      <w:bookmarkEnd w:id="25"/>
      <w:r w:rsidRPr="00B92948">
        <w:t>)</w:t>
      </w:r>
    </w:p>
    <w:p w14:paraId="186E93EA" w14:textId="77777777" w:rsidR="00B92948" w:rsidRPr="00B92948" w:rsidRDefault="00B92948" w:rsidP="002D4970">
      <w:pPr>
        <w:pStyle w:val="H23G"/>
      </w:pPr>
      <w:r w:rsidRPr="00B92948">
        <w:tab/>
        <w:t>a)</w:t>
      </w:r>
      <w:r w:rsidRPr="00B92948">
        <w:tab/>
        <w:t xml:space="preserve">Entorno familiar y orientación impartida por los padres en consonancia </w:t>
      </w:r>
      <w:r w:rsidR="002D4970">
        <w:br/>
      </w:r>
      <w:r w:rsidRPr="00B92948">
        <w:t>con la evolución de las facultades del niño (art. 5)</w:t>
      </w:r>
      <w:bookmarkStart w:id="26" w:name="_Toc56781429"/>
      <w:bookmarkEnd w:id="26"/>
    </w:p>
    <w:p w14:paraId="652D27A9" w14:textId="77777777" w:rsidR="00B92948" w:rsidRPr="00B92948" w:rsidRDefault="00B92948" w:rsidP="00B92948">
      <w:pPr>
        <w:pStyle w:val="SingleTxtG"/>
      </w:pPr>
      <w:r w:rsidRPr="00B92948">
        <w:t>76.</w:t>
      </w:r>
      <w:r w:rsidRPr="00B92948">
        <w:tab/>
        <w:t>La Ley de 16 de febrero de 2015 por la que se Modifica la Ley de Protección de la Infancia</w:t>
      </w:r>
      <w:r w:rsidRPr="00B92948">
        <w:rPr>
          <w:rStyle w:val="Refdenotaalpie"/>
        </w:rPr>
        <w:footnoteReference w:id="15"/>
      </w:r>
      <w:r w:rsidRPr="00B92948">
        <w:t xml:space="preserve"> ofrece la oportunidad de cuidar y educar a los niños en un jardín de infancia o un centro de desarrollo infantil en la primera infancia, en entidades jurídicas que responden a las necesidades de los empleados o de una institución educativa para la formación de profesionales de educación preescolar, así como la posibilidad de establecer un centro de desarrollo infantil en la primera infancia integrado en un jardín de infancia de propiedad pública o privada.</w:t>
      </w:r>
    </w:p>
    <w:p w14:paraId="10576C51" w14:textId="77777777" w:rsidR="00B92948" w:rsidRPr="00B92948" w:rsidRDefault="00B92948" w:rsidP="00B92948">
      <w:pPr>
        <w:pStyle w:val="SingleTxtG"/>
      </w:pPr>
      <w:r w:rsidRPr="00B92948">
        <w:t>77.</w:t>
      </w:r>
      <w:r w:rsidRPr="00B92948">
        <w:tab/>
        <w:t>Con el fin de promover una dieta saludable y de mejorar la alimentación de los niños en las instituciones infantiles, el Reglamento por el que se Modifica el Reglamento sobre Normas y Principios para el Desempeño de Actividades en las Instituciones Infantiles</w:t>
      </w:r>
      <w:r w:rsidRPr="00B92948">
        <w:rPr>
          <w:rStyle w:val="Refdenotaalpie"/>
        </w:rPr>
        <w:footnoteReference w:id="16"/>
      </w:r>
      <w:r w:rsidRPr="00B92948">
        <w:t xml:space="preserve"> define con más precisión las normas de la dieta y relativas a la alimentación y las comidas de los niños en los jardines de infancia.</w:t>
      </w:r>
    </w:p>
    <w:p w14:paraId="04E324D0" w14:textId="77777777" w:rsidR="00B92948" w:rsidRPr="00B92948" w:rsidRDefault="00B92948" w:rsidP="00B92948">
      <w:pPr>
        <w:pStyle w:val="SingleTxtG"/>
      </w:pPr>
      <w:r w:rsidRPr="00B92948">
        <w:t>78.</w:t>
      </w:r>
      <w:r w:rsidRPr="00B92948">
        <w:tab/>
        <w:t xml:space="preserve">Las modificaciones de la Ley definen la forma de presentar los manuales y los cuadernillos infantiles y su selección por los progenitores en las instituciones para niños. Estas tienen la obligación de presentar a los padres los manuales y los cuadernillos aprobados por decisión del </w:t>
      </w:r>
      <w:proofErr w:type="gramStart"/>
      <w:r w:rsidRPr="00B92948">
        <w:t>Ministro</w:t>
      </w:r>
      <w:proofErr w:type="gramEnd"/>
      <w:r w:rsidRPr="00B92948">
        <w:t xml:space="preserve"> a más tardar en octubre del año en curso en las reuniones de padres y maestros, en los tablones de anuncios o en el sitio web de la institución.</w:t>
      </w:r>
    </w:p>
    <w:p w14:paraId="1907FAAF" w14:textId="77777777" w:rsidR="00B92948" w:rsidRPr="00B92948" w:rsidRDefault="00B92948" w:rsidP="00B92948">
      <w:pPr>
        <w:pStyle w:val="SingleTxtG"/>
      </w:pPr>
      <w:r w:rsidRPr="00B92948">
        <w:t>79.</w:t>
      </w:r>
      <w:r w:rsidRPr="00B92948">
        <w:tab/>
        <w:t>El Reglamento sobre las Condiciones, los Criterios y las Modalidades Específicos para el Ejercicio del Derecho a la Participación en los Gastos de Atención, Educación, Vacaciones y Esparcimiento de los Niños en las Instituciones Públicas para Niños</w:t>
      </w:r>
      <w:r w:rsidRPr="00B92948">
        <w:rPr>
          <w:rStyle w:val="Refdenotaalpie"/>
        </w:rPr>
        <w:footnoteReference w:id="17"/>
      </w:r>
      <w:r w:rsidRPr="00B92948">
        <w:t xml:space="preserve"> garantiza el derecho a la participación en una institución pública para niños (jardín de infancia) a los niños de familias monoparentales cuyo salario y otros ingresos mensuales no superen el salario mínimo definido por ley.</w:t>
      </w:r>
    </w:p>
    <w:p w14:paraId="6228CB1D" w14:textId="77777777" w:rsidR="00B92948" w:rsidRPr="00B92948" w:rsidRDefault="00B92948" w:rsidP="00B92948">
      <w:pPr>
        <w:pStyle w:val="SingleTxtG"/>
      </w:pPr>
      <w:r w:rsidRPr="00B92948">
        <w:t>80.</w:t>
      </w:r>
      <w:r w:rsidRPr="00B92948">
        <w:tab/>
        <w:t xml:space="preserve">A fin de incluir un mayor número de niños con discapacidad del desarrollo en instituciones infantiles, en 2015 se aprobó el Programa de Aprendizaje y Desarrollo Tempranos para Niños con Discapacidad del Desarrollo. </w:t>
      </w:r>
    </w:p>
    <w:p w14:paraId="5204F292" w14:textId="77777777" w:rsidR="00B92948" w:rsidRPr="00B92948" w:rsidRDefault="00B92948" w:rsidP="00B92948">
      <w:pPr>
        <w:pStyle w:val="SingleTxtG"/>
        <w:rPr>
          <w:b/>
        </w:rPr>
      </w:pPr>
      <w:r w:rsidRPr="00B92948">
        <w:t>81.</w:t>
      </w:r>
      <w:r w:rsidRPr="00B92948">
        <w:tab/>
        <w:t>Se han aprobado los siguientes programas: Programa de Aprendizaje y Desarrollo Tempranos</w:t>
      </w:r>
      <w:r w:rsidRPr="00B92948">
        <w:rPr>
          <w:rStyle w:val="Refdenotaalpie"/>
        </w:rPr>
        <w:footnoteReference w:id="18"/>
      </w:r>
      <w:r w:rsidRPr="00B92948">
        <w:t>, Programa de Educación de Niños en Edad Preescolar en Instituciones de Atención y Educación de Niños y Proceso de Crecimiento y Consumo de Alimentos Saludables</w:t>
      </w:r>
      <w:r w:rsidRPr="00B92948">
        <w:rPr>
          <w:rStyle w:val="Refdenotaalpie"/>
        </w:rPr>
        <w:footnoteReference w:id="19"/>
      </w:r>
      <w:r w:rsidRPr="00B92948">
        <w:t>, Directrices para la Planificación de Actividades en el Marco del Programa de Aprendizaje y Desarrollo Tempranos para la Adquisición de Hábitos de Vida Saludables y Comportamientos Seguros de Niños que Reciben Educación Preescolar en Instituciones de Atención y Educación de Niños, aprobadas el 5 de junio de 2015, y Directrices para la Ejecución del Programa de Aprendizaje y Desarrollo Tempranos.</w:t>
      </w:r>
    </w:p>
    <w:p w14:paraId="22DABF7B" w14:textId="77777777" w:rsidR="00B92948" w:rsidRPr="00B92948" w:rsidRDefault="00B92948" w:rsidP="00B92948">
      <w:pPr>
        <w:pStyle w:val="SingleTxtG"/>
      </w:pPr>
      <w:r w:rsidRPr="00B92948">
        <w:t>82.</w:t>
      </w:r>
      <w:r w:rsidRPr="00B92948">
        <w:tab/>
        <w:t>Se ha hecho hincapié en el establecimiento de oficinas de asesoramiento para niños y progenitores en los jardines de infancia y centros de desarrollo temprano públicos. Un reglamento aprobado por el Ministerio define los criterios específicos para el establecimiento y funcionamiento de las oficinas de asesoramiento</w:t>
      </w:r>
      <w:r w:rsidRPr="00B92948">
        <w:rPr>
          <w:rStyle w:val="Refdenotaalpie"/>
        </w:rPr>
        <w:footnoteReference w:id="20"/>
      </w:r>
      <w:r w:rsidRPr="00B92948">
        <w:t>.</w:t>
      </w:r>
    </w:p>
    <w:p w14:paraId="3CF08F80" w14:textId="77777777" w:rsidR="00B92948" w:rsidRPr="00B92948" w:rsidRDefault="00B92948" w:rsidP="00B92948">
      <w:pPr>
        <w:pStyle w:val="SingleTxtG"/>
      </w:pPr>
      <w:r w:rsidRPr="00B92948">
        <w:t>83.</w:t>
      </w:r>
      <w:r w:rsidRPr="00B92948">
        <w:tab/>
        <w:t xml:space="preserve">En el período comprendido entre 2014 y julio de 2018, se ampliaron las capacidades de atención y educación de niños de 0 a 6 </w:t>
      </w:r>
      <w:proofErr w:type="gramStart"/>
      <w:r w:rsidRPr="00B92948">
        <w:t>años de edad</w:t>
      </w:r>
      <w:proofErr w:type="gramEnd"/>
      <w:r w:rsidRPr="00B92948">
        <w:t xml:space="preserve"> mediante la apertura de 8 jardines de</w:t>
      </w:r>
      <w:r w:rsidR="0022038F">
        <w:t> </w:t>
      </w:r>
      <w:r w:rsidRPr="00B92948">
        <w:t xml:space="preserve">infancia públicos municipales y 21 privados, 24 nuevas instalaciones dentro de los jardines de infancia, 29 centros de desarrollo temprano, 4 de los cuales son públicos y </w:t>
      </w:r>
      <w:r w:rsidRPr="00B92948">
        <w:lastRenderedPageBreak/>
        <w:t>los</w:t>
      </w:r>
      <w:r w:rsidR="0022038F">
        <w:t> </w:t>
      </w:r>
      <w:r w:rsidRPr="00B92948">
        <w:t>otros 25 funcionan dentro de jardines de infancia públicos, y 6 dependencias orgánicas dentro de entidades jurídicas.</w:t>
      </w:r>
    </w:p>
    <w:p w14:paraId="73BDF5B7" w14:textId="77777777" w:rsidR="00B92948" w:rsidRPr="00B92948" w:rsidRDefault="00B92948" w:rsidP="002D4970">
      <w:pPr>
        <w:pStyle w:val="H23G"/>
      </w:pPr>
      <w:r w:rsidRPr="00B92948">
        <w:tab/>
        <w:t>b)</w:t>
      </w:r>
      <w:r w:rsidRPr="00B92948">
        <w:tab/>
        <w:t xml:space="preserve">Obligaciones comunes de ambos progenitores, asistencia a los progenitores </w:t>
      </w:r>
      <w:r w:rsidR="002D4970">
        <w:br/>
      </w:r>
      <w:r w:rsidRPr="00B92948">
        <w:t>y garantía de los servicios para el cuidado de los niños (art. 18)</w:t>
      </w:r>
      <w:bookmarkStart w:id="27" w:name="_Toc56781430"/>
      <w:bookmarkEnd w:id="27"/>
    </w:p>
    <w:p w14:paraId="598873FA" w14:textId="77777777" w:rsidR="00B92948" w:rsidRPr="00B92948" w:rsidRDefault="00B92948" w:rsidP="00B92948">
      <w:pPr>
        <w:pStyle w:val="SingleTxtG"/>
      </w:pPr>
      <w:r w:rsidRPr="00B92948">
        <w:t>84.</w:t>
      </w:r>
      <w:r w:rsidRPr="00B92948">
        <w:tab/>
        <w:t>La Ley por la que se Modifica la Ley de Protección de la Infancia</w:t>
      </w:r>
      <w:r w:rsidRPr="00B92948">
        <w:rPr>
          <w:rStyle w:val="Refdenotaalpie"/>
        </w:rPr>
        <w:footnoteReference w:id="21"/>
      </w:r>
      <w:r w:rsidRPr="00B92948">
        <w:t xml:space="preserve"> introdujo modificaciones y adiciones destinadas a mejorar la situación financiera de los progenitores solos que reciben una prestación especial por un niño con necesidades específicas, con discapacidad del desarrollo físico o mental o con discapacidades combinadas hasta los 26</w:t>
      </w:r>
      <w:r w:rsidR="0097018D">
        <w:t> </w:t>
      </w:r>
      <w:proofErr w:type="gramStart"/>
      <w:r w:rsidRPr="00B92948">
        <w:t>años de edad</w:t>
      </w:r>
      <w:proofErr w:type="gramEnd"/>
      <w:r w:rsidRPr="00B92948">
        <w:t>. Esta prestación especial se incrementó en un 50</w:t>
      </w:r>
      <w:r w:rsidR="000C0C75">
        <w:t> %</w:t>
      </w:r>
      <w:r w:rsidRPr="00B92948">
        <w:t>; la Ley especifica un importe nominal de 6.303 denar. También define en qué casos el progenitor solo de un niño goza del derecho a una prestación especial aumentada, que se aplica a partir del 1 de enero de 2014.</w:t>
      </w:r>
    </w:p>
    <w:p w14:paraId="62D61975" w14:textId="77777777" w:rsidR="00B92948" w:rsidRPr="00B92948" w:rsidRDefault="00B92948" w:rsidP="00B92948">
      <w:pPr>
        <w:pStyle w:val="SingleTxtG"/>
      </w:pPr>
      <w:r w:rsidRPr="00B92948">
        <w:t>85.</w:t>
      </w:r>
      <w:r w:rsidRPr="00B92948">
        <w:tab/>
        <w:t xml:space="preserve">En 2014 y 2015 se realizaron actividades encaminadas al establecimiento de oficinas de asesoramiento en los Centros de Trabajo Social a fin de ofrecer servicios a los ciudadanos con problemas matrimoniales y familiares, a víctimas de la violencia doméstica y a matrimonios infantiles, con miras al fortalecimiento de la capacidad de los progenitores. A finales de 2015 se habían abierto en total 30 oficinas de asesoramiento. </w:t>
      </w:r>
    </w:p>
    <w:p w14:paraId="4A9B7CF6" w14:textId="77777777" w:rsidR="00B92948" w:rsidRPr="00B92948" w:rsidRDefault="00B92948" w:rsidP="00B92948">
      <w:pPr>
        <w:pStyle w:val="SingleTxtG"/>
      </w:pPr>
      <w:r w:rsidRPr="00B92948">
        <w:t>86.</w:t>
      </w:r>
      <w:r w:rsidRPr="00B92948">
        <w:tab/>
        <w:t>La oficina de asesoramiento especializado Primer Centro Familiar también está funcionando con éxito. Está gestionada por una organización de ciudadanos y ofrece apoyo y asesoramiento psicosocial a las familias con relaciones conflictivas, en las que se ejerce la violencia de manera aguda o en las que han ocurrido casos de violencia doméstica. Los servicios son prestados por un equipo profesional de psicoterapeutas, que prestan apoyo a todos los miembros de la familia en forma individual mediante tratamiento psicosocial.</w:t>
      </w:r>
    </w:p>
    <w:p w14:paraId="4A15D2F1" w14:textId="77777777" w:rsidR="00B92948" w:rsidRPr="00B92948" w:rsidRDefault="00B92948" w:rsidP="002D4970">
      <w:pPr>
        <w:pStyle w:val="H23G"/>
      </w:pPr>
      <w:r w:rsidRPr="00B92948">
        <w:tab/>
        <w:t>c)</w:t>
      </w:r>
      <w:r w:rsidRPr="00B92948">
        <w:tab/>
        <w:t>Niños privados del cuidado de los progenitores (arts. 9 (</w:t>
      </w:r>
      <w:proofErr w:type="spellStart"/>
      <w:r w:rsidRPr="00B92948">
        <w:t>párrs</w:t>
      </w:r>
      <w:proofErr w:type="spellEnd"/>
      <w:r w:rsidRPr="00B92948">
        <w:t>. 1 a 4), 21 y 25)</w:t>
      </w:r>
      <w:bookmarkStart w:id="28" w:name="_Toc56781431"/>
      <w:bookmarkEnd w:id="28"/>
    </w:p>
    <w:p w14:paraId="424A3EC4" w14:textId="77777777" w:rsidR="00B92948" w:rsidRPr="002D4970" w:rsidRDefault="00B92948" w:rsidP="002D4970">
      <w:pPr>
        <w:pStyle w:val="H23G"/>
      </w:pPr>
      <w:r w:rsidRPr="00B92948">
        <w:tab/>
      </w:r>
      <w:r w:rsidR="002D4970">
        <w:tab/>
      </w:r>
      <w:r w:rsidRPr="00B92948">
        <w:t xml:space="preserve">Número de niños privados del cuidado de los progenitores, desglosado </w:t>
      </w:r>
      <w:r w:rsidR="002D4970">
        <w:br/>
      </w:r>
      <w:r w:rsidRPr="00B92948">
        <w:t xml:space="preserve">por causa (conflicto armado, pobreza, abandono motivado </w:t>
      </w:r>
      <w:r w:rsidR="002D4970">
        <w:br/>
      </w:r>
      <w:r w:rsidRPr="00B92948">
        <w:t>por la discriminación)</w:t>
      </w:r>
      <w:r w:rsidRPr="002D4970">
        <w:rPr>
          <w:rStyle w:val="Refdenotaalpie"/>
          <w:b w:val="0"/>
          <w:bCs/>
        </w:rPr>
        <w:footnoteReference w:id="22"/>
      </w:r>
      <w:bookmarkStart w:id="29" w:name="_Toc56781432"/>
      <w:bookmarkEnd w:id="29"/>
    </w:p>
    <w:tbl>
      <w:tblPr>
        <w:tblW w:w="7370" w:type="dxa"/>
        <w:tblInd w:w="1134" w:type="dxa"/>
        <w:tblBorders>
          <w:top w:val="single" w:sz="4" w:space="0" w:color="auto"/>
        </w:tblBorders>
        <w:tblCellMar>
          <w:left w:w="0" w:type="dxa"/>
          <w:right w:w="0" w:type="dxa"/>
        </w:tblCellMar>
        <w:tblLook w:val="00A0" w:firstRow="1" w:lastRow="0" w:firstColumn="1" w:lastColumn="0" w:noHBand="0" w:noVBand="0"/>
      </w:tblPr>
      <w:tblGrid>
        <w:gridCol w:w="1701"/>
        <w:gridCol w:w="1133"/>
        <w:gridCol w:w="1134"/>
        <w:gridCol w:w="1134"/>
        <w:gridCol w:w="1134"/>
        <w:gridCol w:w="1134"/>
      </w:tblGrid>
      <w:tr w:rsidR="005A0383" w:rsidRPr="005A0383" w14:paraId="2713A22C" w14:textId="77777777" w:rsidTr="0022038F">
        <w:trPr>
          <w:trHeight w:val="240"/>
          <w:tblHeader/>
        </w:trPr>
        <w:tc>
          <w:tcPr>
            <w:tcW w:w="1701" w:type="dxa"/>
            <w:tcBorders>
              <w:top w:val="single" w:sz="4" w:space="0" w:color="auto"/>
              <w:bottom w:val="single" w:sz="12" w:space="0" w:color="auto"/>
            </w:tcBorders>
            <w:shd w:val="clear" w:color="auto" w:fill="auto"/>
            <w:vAlign w:val="bottom"/>
          </w:tcPr>
          <w:p w14:paraId="3556CF87" w14:textId="77777777" w:rsidR="00B92948" w:rsidRPr="00B92948" w:rsidRDefault="00B92948" w:rsidP="005A0383">
            <w:pPr>
              <w:pStyle w:val="SingleTxtG"/>
              <w:tabs>
                <w:tab w:val="clear" w:pos="1701"/>
                <w:tab w:val="clear" w:pos="2268"/>
                <w:tab w:val="clear" w:pos="2835"/>
              </w:tabs>
              <w:spacing w:before="80" w:after="80" w:line="200" w:lineRule="exact"/>
              <w:ind w:left="0" w:right="0"/>
              <w:jc w:val="left"/>
              <w:rPr>
                <w:i/>
                <w:sz w:val="16"/>
              </w:rPr>
            </w:pPr>
          </w:p>
        </w:tc>
        <w:tc>
          <w:tcPr>
            <w:tcW w:w="1133" w:type="dxa"/>
            <w:tcBorders>
              <w:top w:val="single" w:sz="4" w:space="0" w:color="auto"/>
              <w:bottom w:val="single" w:sz="12" w:space="0" w:color="auto"/>
            </w:tcBorders>
            <w:shd w:val="clear" w:color="auto" w:fill="auto"/>
            <w:vAlign w:val="bottom"/>
          </w:tcPr>
          <w:p w14:paraId="5E643E37" w14:textId="77777777" w:rsidR="00B92948" w:rsidRPr="00B92948" w:rsidRDefault="00B92948" w:rsidP="0022038F">
            <w:pPr>
              <w:pStyle w:val="SingleTxtG"/>
              <w:tabs>
                <w:tab w:val="clear" w:pos="1701"/>
                <w:tab w:val="clear" w:pos="2268"/>
                <w:tab w:val="clear" w:pos="2835"/>
              </w:tabs>
              <w:spacing w:before="80" w:after="80" w:line="200" w:lineRule="exact"/>
              <w:ind w:left="113" w:right="28"/>
              <w:jc w:val="right"/>
              <w:rPr>
                <w:i/>
                <w:sz w:val="16"/>
              </w:rPr>
            </w:pPr>
            <w:r w:rsidRPr="00B92948">
              <w:rPr>
                <w:i/>
                <w:iCs/>
                <w:sz w:val="16"/>
              </w:rPr>
              <w:t>2014</w:t>
            </w:r>
          </w:p>
        </w:tc>
        <w:tc>
          <w:tcPr>
            <w:tcW w:w="1134" w:type="dxa"/>
            <w:tcBorders>
              <w:top w:val="single" w:sz="4" w:space="0" w:color="auto"/>
              <w:bottom w:val="single" w:sz="12" w:space="0" w:color="auto"/>
            </w:tcBorders>
            <w:shd w:val="clear" w:color="auto" w:fill="auto"/>
            <w:vAlign w:val="bottom"/>
          </w:tcPr>
          <w:p w14:paraId="46B3AB75" w14:textId="77777777" w:rsidR="00B92948" w:rsidRPr="00B92948" w:rsidRDefault="00B92948" w:rsidP="0022038F">
            <w:pPr>
              <w:pStyle w:val="SingleTxtG"/>
              <w:tabs>
                <w:tab w:val="clear" w:pos="1701"/>
                <w:tab w:val="clear" w:pos="2268"/>
                <w:tab w:val="clear" w:pos="2835"/>
              </w:tabs>
              <w:spacing w:before="80" w:after="80" w:line="200" w:lineRule="exact"/>
              <w:ind w:left="113" w:right="28"/>
              <w:jc w:val="right"/>
              <w:rPr>
                <w:i/>
                <w:sz w:val="16"/>
              </w:rPr>
            </w:pPr>
            <w:r w:rsidRPr="00B92948">
              <w:rPr>
                <w:i/>
                <w:iCs/>
                <w:sz w:val="16"/>
              </w:rPr>
              <w:t>2015</w:t>
            </w:r>
          </w:p>
        </w:tc>
        <w:tc>
          <w:tcPr>
            <w:tcW w:w="1134" w:type="dxa"/>
            <w:tcBorders>
              <w:top w:val="single" w:sz="4" w:space="0" w:color="auto"/>
              <w:bottom w:val="single" w:sz="12" w:space="0" w:color="auto"/>
            </w:tcBorders>
            <w:shd w:val="clear" w:color="auto" w:fill="auto"/>
            <w:vAlign w:val="bottom"/>
          </w:tcPr>
          <w:p w14:paraId="75C57B6C" w14:textId="77777777" w:rsidR="00B92948" w:rsidRPr="00B92948" w:rsidRDefault="00B92948" w:rsidP="0022038F">
            <w:pPr>
              <w:pStyle w:val="SingleTxtG"/>
              <w:tabs>
                <w:tab w:val="clear" w:pos="1701"/>
                <w:tab w:val="clear" w:pos="2268"/>
                <w:tab w:val="clear" w:pos="2835"/>
              </w:tabs>
              <w:spacing w:before="80" w:after="80" w:line="200" w:lineRule="exact"/>
              <w:ind w:left="113" w:right="28"/>
              <w:jc w:val="right"/>
              <w:rPr>
                <w:i/>
                <w:sz w:val="16"/>
              </w:rPr>
            </w:pPr>
            <w:r w:rsidRPr="00B92948">
              <w:rPr>
                <w:i/>
                <w:iCs/>
                <w:sz w:val="16"/>
              </w:rPr>
              <w:t>2016</w:t>
            </w:r>
          </w:p>
        </w:tc>
        <w:tc>
          <w:tcPr>
            <w:tcW w:w="1134" w:type="dxa"/>
            <w:tcBorders>
              <w:top w:val="single" w:sz="4" w:space="0" w:color="auto"/>
              <w:bottom w:val="single" w:sz="12" w:space="0" w:color="auto"/>
            </w:tcBorders>
            <w:shd w:val="clear" w:color="auto" w:fill="auto"/>
            <w:vAlign w:val="bottom"/>
          </w:tcPr>
          <w:p w14:paraId="341CC8DC" w14:textId="77777777" w:rsidR="00B92948" w:rsidRPr="00B92948" w:rsidRDefault="00B92948" w:rsidP="0022038F">
            <w:pPr>
              <w:pStyle w:val="SingleTxtG"/>
              <w:tabs>
                <w:tab w:val="clear" w:pos="1701"/>
                <w:tab w:val="clear" w:pos="2268"/>
                <w:tab w:val="clear" w:pos="2835"/>
              </w:tabs>
              <w:spacing w:before="80" w:after="80" w:line="200" w:lineRule="exact"/>
              <w:ind w:left="113" w:right="28"/>
              <w:jc w:val="right"/>
              <w:rPr>
                <w:i/>
                <w:sz w:val="16"/>
              </w:rPr>
            </w:pPr>
            <w:r w:rsidRPr="00B92948">
              <w:rPr>
                <w:i/>
                <w:iCs/>
                <w:sz w:val="16"/>
              </w:rPr>
              <w:t>2017</w:t>
            </w:r>
          </w:p>
        </w:tc>
        <w:tc>
          <w:tcPr>
            <w:tcW w:w="1134" w:type="dxa"/>
            <w:tcBorders>
              <w:top w:val="single" w:sz="4" w:space="0" w:color="auto"/>
              <w:bottom w:val="single" w:sz="12" w:space="0" w:color="auto"/>
            </w:tcBorders>
            <w:shd w:val="clear" w:color="auto" w:fill="auto"/>
            <w:vAlign w:val="bottom"/>
          </w:tcPr>
          <w:p w14:paraId="4F5265AE" w14:textId="77777777" w:rsidR="00B92948" w:rsidRPr="00B92948" w:rsidRDefault="00B92948" w:rsidP="0022038F">
            <w:pPr>
              <w:pStyle w:val="SingleTxtG"/>
              <w:tabs>
                <w:tab w:val="clear" w:pos="1701"/>
                <w:tab w:val="clear" w:pos="2268"/>
                <w:tab w:val="clear" w:pos="2835"/>
              </w:tabs>
              <w:spacing w:before="80" w:after="80" w:line="200" w:lineRule="exact"/>
              <w:ind w:left="113" w:right="28"/>
              <w:jc w:val="right"/>
              <w:rPr>
                <w:i/>
                <w:sz w:val="16"/>
              </w:rPr>
            </w:pPr>
            <w:r w:rsidRPr="00B92948">
              <w:rPr>
                <w:i/>
                <w:iCs/>
                <w:sz w:val="16"/>
              </w:rPr>
              <w:t xml:space="preserve">Enero a junio </w:t>
            </w:r>
            <w:r w:rsidR="005A0383">
              <w:rPr>
                <w:i/>
                <w:iCs/>
                <w:sz w:val="16"/>
              </w:rPr>
              <w:br/>
            </w:r>
            <w:r w:rsidRPr="00B92948">
              <w:rPr>
                <w:i/>
                <w:iCs/>
                <w:sz w:val="16"/>
              </w:rPr>
              <w:t>de 2018</w:t>
            </w:r>
          </w:p>
        </w:tc>
      </w:tr>
      <w:tr w:rsidR="005A0383" w:rsidRPr="00B92948" w14:paraId="5BA2C68A" w14:textId="77777777" w:rsidTr="0022038F">
        <w:trPr>
          <w:cantSplit/>
          <w:trHeight w:val="240"/>
        </w:trPr>
        <w:tc>
          <w:tcPr>
            <w:tcW w:w="1701" w:type="dxa"/>
            <w:tcBorders>
              <w:top w:val="single" w:sz="12" w:space="0" w:color="auto"/>
            </w:tcBorders>
            <w:shd w:val="clear" w:color="auto" w:fill="auto"/>
          </w:tcPr>
          <w:p w14:paraId="37414348" w14:textId="77777777" w:rsidR="00B92948" w:rsidRPr="00B92948" w:rsidRDefault="00B92948" w:rsidP="005A0383">
            <w:pPr>
              <w:pStyle w:val="SingleTxtG"/>
              <w:tabs>
                <w:tab w:val="clear" w:pos="1701"/>
                <w:tab w:val="clear" w:pos="2268"/>
                <w:tab w:val="clear" w:pos="2835"/>
              </w:tabs>
              <w:spacing w:before="40" w:after="40" w:line="220" w:lineRule="exact"/>
              <w:ind w:left="0" w:right="0"/>
              <w:jc w:val="left"/>
              <w:rPr>
                <w:sz w:val="18"/>
              </w:rPr>
            </w:pPr>
            <w:r w:rsidRPr="00B92948">
              <w:rPr>
                <w:sz w:val="18"/>
              </w:rPr>
              <w:t>Niños en situación de</w:t>
            </w:r>
            <w:r w:rsidR="0022038F">
              <w:rPr>
                <w:sz w:val="18"/>
              </w:rPr>
              <w:t> </w:t>
            </w:r>
            <w:r w:rsidRPr="00B92948">
              <w:rPr>
                <w:sz w:val="18"/>
              </w:rPr>
              <w:t>riesgo</w:t>
            </w:r>
          </w:p>
        </w:tc>
        <w:tc>
          <w:tcPr>
            <w:tcW w:w="1133" w:type="dxa"/>
            <w:tcBorders>
              <w:top w:val="single" w:sz="12" w:space="0" w:color="auto"/>
            </w:tcBorders>
            <w:shd w:val="clear" w:color="auto" w:fill="auto"/>
            <w:vAlign w:val="bottom"/>
          </w:tcPr>
          <w:p w14:paraId="5DBEFE11" w14:textId="77777777" w:rsidR="00B92948" w:rsidRPr="00B92948" w:rsidRDefault="00B92948" w:rsidP="0022038F">
            <w:pPr>
              <w:pStyle w:val="SingleTxtG"/>
              <w:tabs>
                <w:tab w:val="clear" w:pos="1701"/>
                <w:tab w:val="clear" w:pos="2268"/>
                <w:tab w:val="clear" w:pos="2835"/>
              </w:tabs>
              <w:spacing w:before="40" w:after="40" w:line="220" w:lineRule="exact"/>
              <w:ind w:left="113" w:right="28"/>
              <w:jc w:val="right"/>
              <w:rPr>
                <w:sz w:val="18"/>
              </w:rPr>
            </w:pPr>
            <w:r w:rsidRPr="00B92948">
              <w:rPr>
                <w:sz w:val="18"/>
              </w:rPr>
              <w:t>1 212</w:t>
            </w:r>
          </w:p>
        </w:tc>
        <w:tc>
          <w:tcPr>
            <w:tcW w:w="1134" w:type="dxa"/>
            <w:tcBorders>
              <w:top w:val="single" w:sz="12" w:space="0" w:color="auto"/>
            </w:tcBorders>
            <w:shd w:val="clear" w:color="auto" w:fill="auto"/>
            <w:vAlign w:val="bottom"/>
          </w:tcPr>
          <w:p w14:paraId="0325B503" w14:textId="77777777" w:rsidR="00B92948" w:rsidRPr="00B92948" w:rsidRDefault="00B92948" w:rsidP="0022038F">
            <w:pPr>
              <w:pStyle w:val="SingleTxtG"/>
              <w:tabs>
                <w:tab w:val="clear" w:pos="1701"/>
                <w:tab w:val="clear" w:pos="2268"/>
                <w:tab w:val="clear" w:pos="2835"/>
              </w:tabs>
              <w:spacing w:before="40" w:after="40" w:line="220" w:lineRule="exact"/>
              <w:ind w:left="113" w:right="28"/>
              <w:jc w:val="right"/>
              <w:rPr>
                <w:sz w:val="18"/>
              </w:rPr>
            </w:pPr>
            <w:r w:rsidRPr="00B92948">
              <w:rPr>
                <w:sz w:val="18"/>
              </w:rPr>
              <w:t>1 076</w:t>
            </w:r>
          </w:p>
        </w:tc>
        <w:tc>
          <w:tcPr>
            <w:tcW w:w="1134" w:type="dxa"/>
            <w:tcBorders>
              <w:top w:val="single" w:sz="12" w:space="0" w:color="auto"/>
            </w:tcBorders>
            <w:shd w:val="clear" w:color="auto" w:fill="auto"/>
            <w:vAlign w:val="bottom"/>
          </w:tcPr>
          <w:p w14:paraId="589DD79B" w14:textId="77777777" w:rsidR="00B92948" w:rsidRPr="00B92948" w:rsidRDefault="00B92948" w:rsidP="0022038F">
            <w:pPr>
              <w:pStyle w:val="SingleTxtG"/>
              <w:tabs>
                <w:tab w:val="clear" w:pos="1701"/>
                <w:tab w:val="clear" w:pos="2268"/>
                <w:tab w:val="clear" w:pos="2835"/>
              </w:tabs>
              <w:spacing w:before="40" w:after="40" w:line="220" w:lineRule="exact"/>
              <w:ind w:left="113" w:right="28"/>
              <w:jc w:val="right"/>
              <w:rPr>
                <w:sz w:val="18"/>
              </w:rPr>
            </w:pPr>
            <w:r w:rsidRPr="00B92948">
              <w:rPr>
                <w:sz w:val="18"/>
              </w:rPr>
              <w:t>810</w:t>
            </w:r>
          </w:p>
        </w:tc>
        <w:tc>
          <w:tcPr>
            <w:tcW w:w="1134" w:type="dxa"/>
            <w:tcBorders>
              <w:top w:val="single" w:sz="12" w:space="0" w:color="auto"/>
            </w:tcBorders>
            <w:shd w:val="clear" w:color="auto" w:fill="auto"/>
            <w:vAlign w:val="bottom"/>
          </w:tcPr>
          <w:p w14:paraId="3A6532E6" w14:textId="77777777" w:rsidR="00B92948" w:rsidRPr="00B92948" w:rsidRDefault="00B92948" w:rsidP="0022038F">
            <w:pPr>
              <w:pStyle w:val="SingleTxtG"/>
              <w:tabs>
                <w:tab w:val="clear" w:pos="1701"/>
                <w:tab w:val="clear" w:pos="2268"/>
                <w:tab w:val="clear" w:pos="2835"/>
              </w:tabs>
              <w:spacing w:before="40" w:after="40" w:line="220" w:lineRule="exact"/>
              <w:ind w:left="113" w:right="28"/>
              <w:jc w:val="right"/>
              <w:rPr>
                <w:sz w:val="18"/>
              </w:rPr>
            </w:pPr>
            <w:r w:rsidRPr="00B92948">
              <w:rPr>
                <w:sz w:val="18"/>
              </w:rPr>
              <w:t>1 014</w:t>
            </w:r>
          </w:p>
        </w:tc>
        <w:tc>
          <w:tcPr>
            <w:tcW w:w="1134" w:type="dxa"/>
            <w:tcBorders>
              <w:top w:val="single" w:sz="12" w:space="0" w:color="auto"/>
            </w:tcBorders>
            <w:shd w:val="clear" w:color="auto" w:fill="auto"/>
            <w:vAlign w:val="bottom"/>
          </w:tcPr>
          <w:p w14:paraId="575E6703" w14:textId="77777777" w:rsidR="00B92948" w:rsidRPr="00B92948" w:rsidRDefault="00B92948" w:rsidP="0022038F">
            <w:pPr>
              <w:pStyle w:val="SingleTxtG"/>
              <w:tabs>
                <w:tab w:val="clear" w:pos="1701"/>
                <w:tab w:val="clear" w:pos="2268"/>
                <w:tab w:val="clear" w:pos="2835"/>
              </w:tabs>
              <w:spacing w:before="40" w:after="40" w:line="220" w:lineRule="exact"/>
              <w:ind w:left="113" w:right="28"/>
              <w:jc w:val="right"/>
              <w:rPr>
                <w:sz w:val="18"/>
              </w:rPr>
            </w:pPr>
            <w:r w:rsidRPr="00B92948">
              <w:rPr>
                <w:sz w:val="18"/>
              </w:rPr>
              <w:t>602</w:t>
            </w:r>
          </w:p>
        </w:tc>
      </w:tr>
      <w:tr w:rsidR="005A0383" w:rsidRPr="00B92948" w14:paraId="56FC6DEF" w14:textId="77777777" w:rsidTr="0022038F">
        <w:trPr>
          <w:cantSplit/>
          <w:trHeight w:val="240"/>
        </w:trPr>
        <w:tc>
          <w:tcPr>
            <w:tcW w:w="1701" w:type="dxa"/>
            <w:tcBorders>
              <w:bottom w:val="single" w:sz="4" w:space="0" w:color="auto"/>
            </w:tcBorders>
            <w:shd w:val="clear" w:color="auto" w:fill="auto"/>
          </w:tcPr>
          <w:p w14:paraId="0EA77DEB" w14:textId="77777777" w:rsidR="00B92948" w:rsidRPr="00B92948" w:rsidRDefault="00B92948" w:rsidP="005A0383">
            <w:pPr>
              <w:pStyle w:val="SingleTxtG"/>
              <w:tabs>
                <w:tab w:val="clear" w:pos="1701"/>
                <w:tab w:val="clear" w:pos="2268"/>
                <w:tab w:val="clear" w:pos="2835"/>
              </w:tabs>
              <w:spacing w:before="40" w:after="40" w:line="220" w:lineRule="exact"/>
              <w:ind w:left="0" w:right="0"/>
              <w:jc w:val="left"/>
              <w:rPr>
                <w:sz w:val="18"/>
              </w:rPr>
            </w:pPr>
            <w:r w:rsidRPr="00B92948">
              <w:rPr>
                <w:sz w:val="18"/>
              </w:rPr>
              <w:t>Niños en conflicto con</w:t>
            </w:r>
            <w:r w:rsidR="0022038F">
              <w:rPr>
                <w:sz w:val="18"/>
              </w:rPr>
              <w:t> </w:t>
            </w:r>
            <w:r w:rsidRPr="00B92948">
              <w:rPr>
                <w:sz w:val="18"/>
              </w:rPr>
              <w:t>la ley</w:t>
            </w:r>
          </w:p>
        </w:tc>
        <w:tc>
          <w:tcPr>
            <w:tcW w:w="1133" w:type="dxa"/>
            <w:tcBorders>
              <w:bottom w:val="single" w:sz="4" w:space="0" w:color="auto"/>
            </w:tcBorders>
            <w:shd w:val="clear" w:color="auto" w:fill="auto"/>
            <w:vAlign w:val="bottom"/>
          </w:tcPr>
          <w:p w14:paraId="4A96556C" w14:textId="77777777" w:rsidR="00B92948" w:rsidRPr="00B92948" w:rsidRDefault="00B92948" w:rsidP="0022038F">
            <w:pPr>
              <w:pStyle w:val="SingleTxtG"/>
              <w:tabs>
                <w:tab w:val="clear" w:pos="1701"/>
                <w:tab w:val="clear" w:pos="2268"/>
                <w:tab w:val="clear" w:pos="2835"/>
              </w:tabs>
              <w:spacing w:before="40" w:after="40" w:line="220" w:lineRule="exact"/>
              <w:ind w:left="113" w:right="28"/>
              <w:jc w:val="right"/>
              <w:rPr>
                <w:sz w:val="18"/>
              </w:rPr>
            </w:pPr>
            <w:r w:rsidRPr="00B92948">
              <w:rPr>
                <w:sz w:val="18"/>
              </w:rPr>
              <w:t>9</w:t>
            </w:r>
            <w:r w:rsidR="0097018D">
              <w:rPr>
                <w:sz w:val="18"/>
              </w:rPr>
              <w:t xml:space="preserve"> </w:t>
            </w:r>
            <w:r w:rsidRPr="00B92948">
              <w:rPr>
                <w:sz w:val="18"/>
              </w:rPr>
              <w:t>507</w:t>
            </w:r>
          </w:p>
        </w:tc>
        <w:tc>
          <w:tcPr>
            <w:tcW w:w="1134" w:type="dxa"/>
            <w:tcBorders>
              <w:bottom w:val="single" w:sz="4" w:space="0" w:color="auto"/>
            </w:tcBorders>
            <w:shd w:val="clear" w:color="auto" w:fill="auto"/>
            <w:vAlign w:val="bottom"/>
          </w:tcPr>
          <w:p w14:paraId="0457DACB" w14:textId="77777777" w:rsidR="00B92948" w:rsidRPr="00B92948" w:rsidRDefault="00B92948" w:rsidP="0022038F">
            <w:pPr>
              <w:pStyle w:val="SingleTxtG"/>
              <w:tabs>
                <w:tab w:val="clear" w:pos="1701"/>
                <w:tab w:val="clear" w:pos="2268"/>
                <w:tab w:val="clear" w:pos="2835"/>
              </w:tabs>
              <w:spacing w:before="40" w:after="40" w:line="220" w:lineRule="exact"/>
              <w:ind w:left="113" w:right="28"/>
              <w:jc w:val="right"/>
              <w:rPr>
                <w:sz w:val="18"/>
              </w:rPr>
            </w:pPr>
            <w:r w:rsidRPr="00B92948">
              <w:rPr>
                <w:sz w:val="18"/>
              </w:rPr>
              <w:t>7</w:t>
            </w:r>
            <w:r w:rsidR="0097018D">
              <w:rPr>
                <w:sz w:val="18"/>
              </w:rPr>
              <w:t xml:space="preserve"> </w:t>
            </w:r>
            <w:r w:rsidRPr="00B92948">
              <w:rPr>
                <w:sz w:val="18"/>
              </w:rPr>
              <w:t>719</w:t>
            </w:r>
          </w:p>
        </w:tc>
        <w:tc>
          <w:tcPr>
            <w:tcW w:w="1134" w:type="dxa"/>
            <w:tcBorders>
              <w:bottom w:val="single" w:sz="4" w:space="0" w:color="auto"/>
            </w:tcBorders>
            <w:shd w:val="clear" w:color="auto" w:fill="auto"/>
            <w:vAlign w:val="bottom"/>
          </w:tcPr>
          <w:p w14:paraId="397146F5" w14:textId="77777777" w:rsidR="00B92948" w:rsidRPr="00B92948" w:rsidRDefault="00B92948" w:rsidP="0022038F">
            <w:pPr>
              <w:pStyle w:val="SingleTxtG"/>
              <w:tabs>
                <w:tab w:val="clear" w:pos="1701"/>
                <w:tab w:val="clear" w:pos="2268"/>
                <w:tab w:val="clear" w:pos="2835"/>
              </w:tabs>
              <w:spacing w:before="40" w:after="40" w:line="220" w:lineRule="exact"/>
              <w:ind w:left="113" w:right="28"/>
              <w:jc w:val="right"/>
              <w:rPr>
                <w:sz w:val="18"/>
              </w:rPr>
            </w:pPr>
            <w:r w:rsidRPr="00B92948">
              <w:rPr>
                <w:sz w:val="18"/>
              </w:rPr>
              <w:t>7 190</w:t>
            </w:r>
          </w:p>
        </w:tc>
        <w:tc>
          <w:tcPr>
            <w:tcW w:w="1134" w:type="dxa"/>
            <w:tcBorders>
              <w:bottom w:val="single" w:sz="4" w:space="0" w:color="auto"/>
            </w:tcBorders>
            <w:shd w:val="clear" w:color="auto" w:fill="auto"/>
            <w:vAlign w:val="bottom"/>
          </w:tcPr>
          <w:p w14:paraId="49BBFB19" w14:textId="77777777" w:rsidR="00B92948" w:rsidRPr="00B92948" w:rsidRDefault="00B92948" w:rsidP="0022038F">
            <w:pPr>
              <w:pStyle w:val="SingleTxtG"/>
              <w:tabs>
                <w:tab w:val="clear" w:pos="1701"/>
                <w:tab w:val="clear" w:pos="2268"/>
                <w:tab w:val="clear" w:pos="2835"/>
              </w:tabs>
              <w:spacing w:before="40" w:after="40" w:line="220" w:lineRule="exact"/>
              <w:ind w:left="113" w:right="28"/>
              <w:jc w:val="right"/>
              <w:rPr>
                <w:sz w:val="18"/>
              </w:rPr>
            </w:pPr>
            <w:r w:rsidRPr="00B92948">
              <w:rPr>
                <w:sz w:val="18"/>
              </w:rPr>
              <w:t>6</w:t>
            </w:r>
            <w:r w:rsidR="0097018D">
              <w:rPr>
                <w:sz w:val="18"/>
              </w:rPr>
              <w:t xml:space="preserve"> </w:t>
            </w:r>
            <w:r w:rsidRPr="00B92948">
              <w:rPr>
                <w:sz w:val="18"/>
              </w:rPr>
              <w:t>857</w:t>
            </w:r>
          </w:p>
        </w:tc>
        <w:tc>
          <w:tcPr>
            <w:tcW w:w="1134" w:type="dxa"/>
            <w:tcBorders>
              <w:bottom w:val="single" w:sz="4" w:space="0" w:color="auto"/>
            </w:tcBorders>
            <w:shd w:val="clear" w:color="auto" w:fill="auto"/>
            <w:vAlign w:val="bottom"/>
          </w:tcPr>
          <w:p w14:paraId="4B9CBC9B" w14:textId="77777777" w:rsidR="00B92948" w:rsidRPr="00B92948" w:rsidRDefault="00B92948" w:rsidP="0022038F">
            <w:pPr>
              <w:pStyle w:val="SingleTxtG"/>
              <w:tabs>
                <w:tab w:val="clear" w:pos="1701"/>
                <w:tab w:val="clear" w:pos="2268"/>
                <w:tab w:val="clear" w:pos="2835"/>
              </w:tabs>
              <w:spacing w:before="40" w:after="40" w:line="220" w:lineRule="exact"/>
              <w:ind w:left="113" w:right="28"/>
              <w:jc w:val="right"/>
              <w:rPr>
                <w:sz w:val="18"/>
              </w:rPr>
            </w:pPr>
            <w:r w:rsidRPr="00B92948">
              <w:rPr>
                <w:sz w:val="18"/>
              </w:rPr>
              <w:t>3 174</w:t>
            </w:r>
          </w:p>
        </w:tc>
      </w:tr>
      <w:tr w:rsidR="005A0383" w:rsidRPr="0033201C" w14:paraId="7A94145F" w14:textId="77777777" w:rsidTr="0022038F">
        <w:trPr>
          <w:cantSplit/>
          <w:trHeight w:val="240"/>
        </w:trPr>
        <w:tc>
          <w:tcPr>
            <w:tcW w:w="1701" w:type="dxa"/>
            <w:tcBorders>
              <w:top w:val="single" w:sz="4" w:space="0" w:color="auto"/>
              <w:bottom w:val="single" w:sz="12" w:space="0" w:color="auto"/>
            </w:tcBorders>
            <w:shd w:val="clear" w:color="auto" w:fill="auto"/>
          </w:tcPr>
          <w:p w14:paraId="2D124BAF" w14:textId="77777777" w:rsidR="00B92948" w:rsidRPr="0033201C" w:rsidRDefault="00B92948" w:rsidP="0033201C">
            <w:pPr>
              <w:pStyle w:val="SingleTxtG"/>
              <w:tabs>
                <w:tab w:val="clear" w:pos="1701"/>
                <w:tab w:val="clear" w:pos="2268"/>
                <w:tab w:val="clear" w:pos="2835"/>
              </w:tabs>
              <w:spacing w:before="80" w:after="80" w:line="220" w:lineRule="exact"/>
              <w:ind w:left="283" w:right="0"/>
              <w:jc w:val="left"/>
              <w:rPr>
                <w:b/>
                <w:sz w:val="18"/>
              </w:rPr>
            </w:pPr>
            <w:r w:rsidRPr="0033201C">
              <w:rPr>
                <w:b/>
                <w:bCs/>
                <w:sz w:val="18"/>
              </w:rPr>
              <w:t>Total</w:t>
            </w:r>
          </w:p>
        </w:tc>
        <w:tc>
          <w:tcPr>
            <w:tcW w:w="1133" w:type="dxa"/>
            <w:tcBorders>
              <w:top w:val="single" w:sz="4" w:space="0" w:color="auto"/>
              <w:bottom w:val="single" w:sz="12" w:space="0" w:color="auto"/>
            </w:tcBorders>
            <w:shd w:val="clear" w:color="auto" w:fill="auto"/>
            <w:vAlign w:val="bottom"/>
          </w:tcPr>
          <w:p w14:paraId="31EE3498" w14:textId="77777777" w:rsidR="00B92948" w:rsidRPr="0033201C" w:rsidRDefault="00B92948" w:rsidP="0022038F">
            <w:pPr>
              <w:pStyle w:val="SingleTxtG"/>
              <w:tabs>
                <w:tab w:val="clear" w:pos="1701"/>
                <w:tab w:val="clear" w:pos="2268"/>
                <w:tab w:val="clear" w:pos="2835"/>
              </w:tabs>
              <w:spacing w:before="80" w:after="80" w:line="220" w:lineRule="exact"/>
              <w:ind w:left="0" w:right="28"/>
              <w:jc w:val="right"/>
              <w:rPr>
                <w:b/>
                <w:sz w:val="18"/>
              </w:rPr>
            </w:pPr>
            <w:r w:rsidRPr="0033201C">
              <w:rPr>
                <w:b/>
                <w:bCs/>
                <w:sz w:val="18"/>
              </w:rPr>
              <w:t>10 719</w:t>
            </w:r>
          </w:p>
        </w:tc>
        <w:tc>
          <w:tcPr>
            <w:tcW w:w="1134" w:type="dxa"/>
            <w:tcBorders>
              <w:top w:val="single" w:sz="4" w:space="0" w:color="auto"/>
              <w:bottom w:val="single" w:sz="12" w:space="0" w:color="auto"/>
            </w:tcBorders>
            <w:shd w:val="clear" w:color="auto" w:fill="auto"/>
            <w:vAlign w:val="bottom"/>
          </w:tcPr>
          <w:p w14:paraId="1A6471A7" w14:textId="77777777" w:rsidR="00B92948" w:rsidRPr="0033201C" w:rsidRDefault="00B92948" w:rsidP="0022038F">
            <w:pPr>
              <w:pStyle w:val="SingleTxtG"/>
              <w:tabs>
                <w:tab w:val="clear" w:pos="1701"/>
                <w:tab w:val="clear" w:pos="2268"/>
                <w:tab w:val="clear" w:pos="2835"/>
              </w:tabs>
              <w:spacing w:before="80" w:after="80" w:line="220" w:lineRule="exact"/>
              <w:ind w:left="0" w:right="28"/>
              <w:jc w:val="right"/>
              <w:rPr>
                <w:b/>
                <w:sz w:val="18"/>
              </w:rPr>
            </w:pPr>
            <w:r w:rsidRPr="0033201C">
              <w:rPr>
                <w:b/>
                <w:bCs/>
                <w:sz w:val="18"/>
              </w:rPr>
              <w:t>8 795</w:t>
            </w:r>
          </w:p>
        </w:tc>
        <w:tc>
          <w:tcPr>
            <w:tcW w:w="1134" w:type="dxa"/>
            <w:tcBorders>
              <w:top w:val="single" w:sz="4" w:space="0" w:color="auto"/>
              <w:bottom w:val="single" w:sz="12" w:space="0" w:color="auto"/>
            </w:tcBorders>
            <w:shd w:val="clear" w:color="auto" w:fill="auto"/>
            <w:vAlign w:val="bottom"/>
          </w:tcPr>
          <w:p w14:paraId="1A68E39E" w14:textId="77777777" w:rsidR="00B92948" w:rsidRPr="0033201C" w:rsidRDefault="00B92948" w:rsidP="0022038F">
            <w:pPr>
              <w:pStyle w:val="SingleTxtG"/>
              <w:tabs>
                <w:tab w:val="clear" w:pos="1701"/>
                <w:tab w:val="clear" w:pos="2268"/>
                <w:tab w:val="clear" w:pos="2835"/>
              </w:tabs>
              <w:spacing w:before="80" w:after="80" w:line="220" w:lineRule="exact"/>
              <w:ind w:left="0" w:right="28"/>
              <w:jc w:val="right"/>
              <w:rPr>
                <w:b/>
                <w:sz w:val="18"/>
              </w:rPr>
            </w:pPr>
            <w:r w:rsidRPr="0033201C">
              <w:rPr>
                <w:b/>
                <w:bCs/>
                <w:sz w:val="18"/>
              </w:rPr>
              <w:t>8 000</w:t>
            </w:r>
          </w:p>
        </w:tc>
        <w:tc>
          <w:tcPr>
            <w:tcW w:w="1134" w:type="dxa"/>
            <w:tcBorders>
              <w:top w:val="single" w:sz="4" w:space="0" w:color="auto"/>
              <w:bottom w:val="single" w:sz="12" w:space="0" w:color="auto"/>
            </w:tcBorders>
            <w:shd w:val="clear" w:color="auto" w:fill="auto"/>
            <w:vAlign w:val="bottom"/>
          </w:tcPr>
          <w:p w14:paraId="44F0F6F8" w14:textId="77777777" w:rsidR="00B92948" w:rsidRPr="0033201C" w:rsidRDefault="00B92948" w:rsidP="0022038F">
            <w:pPr>
              <w:pStyle w:val="SingleTxtG"/>
              <w:tabs>
                <w:tab w:val="clear" w:pos="1701"/>
                <w:tab w:val="clear" w:pos="2268"/>
                <w:tab w:val="clear" w:pos="2835"/>
              </w:tabs>
              <w:spacing w:before="80" w:after="80" w:line="220" w:lineRule="exact"/>
              <w:ind w:left="0" w:right="28"/>
              <w:jc w:val="right"/>
              <w:rPr>
                <w:b/>
                <w:sz w:val="18"/>
              </w:rPr>
            </w:pPr>
            <w:r w:rsidRPr="0033201C">
              <w:rPr>
                <w:b/>
                <w:bCs/>
                <w:sz w:val="18"/>
              </w:rPr>
              <w:t>7 871</w:t>
            </w:r>
          </w:p>
        </w:tc>
        <w:tc>
          <w:tcPr>
            <w:tcW w:w="1134" w:type="dxa"/>
            <w:tcBorders>
              <w:top w:val="single" w:sz="4" w:space="0" w:color="auto"/>
              <w:bottom w:val="single" w:sz="12" w:space="0" w:color="auto"/>
            </w:tcBorders>
            <w:shd w:val="clear" w:color="auto" w:fill="auto"/>
            <w:vAlign w:val="bottom"/>
          </w:tcPr>
          <w:p w14:paraId="6B3F6860" w14:textId="77777777" w:rsidR="00B92948" w:rsidRPr="0033201C" w:rsidRDefault="00B92948" w:rsidP="0022038F">
            <w:pPr>
              <w:pStyle w:val="SingleTxtG"/>
              <w:tabs>
                <w:tab w:val="clear" w:pos="1701"/>
                <w:tab w:val="clear" w:pos="2268"/>
                <w:tab w:val="clear" w:pos="2835"/>
              </w:tabs>
              <w:spacing w:before="80" w:after="80" w:line="220" w:lineRule="exact"/>
              <w:ind w:left="0" w:right="28"/>
              <w:jc w:val="right"/>
              <w:rPr>
                <w:b/>
                <w:sz w:val="18"/>
              </w:rPr>
            </w:pPr>
            <w:r w:rsidRPr="0033201C">
              <w:rPr>
                <w:b/>
                <w:bCs/>
                <w:sz w:val="18"/>
              </w:rPr>
              <w:t>3 776</w:t>
            </w:r>
          </w:p>
        </w:tc>
      </w:tr>
    </w:tbl>
    <w:p w14:paraId="1DDE7720" w14:textId="77777777" w:rsidR="00B92948" w:rsidRPr="0097018D" w:rsidRDefault="005A0383" w:rsidP="005A0383">
      <w:pPr>
        <w:pStyle w:val="H23G"/>
      </w:pPr>
      <w:r>
        <w:tab/>
      </w:r>
      <w:r w:rsidR="00B92948" w:rsidRPr="00B92948">
        <w:tab/>
        <w:t xml:space="preserve">Número de niños separados de sus progenitores como consecuencia </w:t>
      </w:r>
      <w:r w:rsidR="00131715">
        <w:br/>
      </w:r>
      <w:r w:rsidR="00B92948" w:rsidRPr="00B92948">
        <w:t xml:space="preserve">de decisiones judiciales (entre otras cosas, en relación con situaciones </w:t>
      </w:r>
      <w:r w:rsidR="00131715">
        <w:br/>
      </w:r>
      <w:r w:rsidR="00B92948" w:rsidRPr="00B92948">
        <w:t xml:space="preserve">de maltrato o descuido de los progenitores, detención, encarcelamiento, </w:t>
      </w:r>
      <w:r w:rsidR="00131715">
        <w:br/>
      </w:r>
      <w:r w:rsidR="00B92948" w:rsidRPr="00B92948">
        <w:t>migración laboral, exilio o</w:t>
      </w:r>
      <w:r w:rsidR="00131715">
        <w:t xml:space="preserve"> </w:t>
      </w:r>
      <w:r w:rsidR="00B92948" w:rsidRPr="00B92948">
        <w:t>expulsión)</w:t>
      </w:r>
      <w:r w:rsidR="00B92948" w:rsidRPr="0022038F">
        <w:rPr>
          <w:rStyle w:val="Refdenotaalpie"/>
          <w:b w:val="0"/>
          <w:bCs/>
        </w:rPr>
        <w:footnoteReference w:id="23"/>
      </w:r>
      <w:bookmarkStart w:id="30" w:name="_Toc56781433"/>
      <w:bookmarkEnd w:id="30"/>
    </w:p>
    <w:tbl>
      <w:tblPr>
        <w:tblW w:w="7370" w:type="dxa"/>
        <w:tblInd w:w="1134" w:type="dxa"/>
        <w:tblBorders>
          <w:top w:val="single" w:sz="4" w:space="0" w:color="auto"/>
        </w:tblBorders>
        <w:tblCellMar>
          <w:left w:w="0" w:type="dxa"/>
          <w:right w:w="0" w:type="dxa"/>
        </w:tblCellMar>
        <w:tblLook w:val="01E0" w:firstRow="1" w:lastRow="1" w:firstColumn="1" w:lastColumn="1" w:noHBand="0" w:noVBand="0"/>
      </w:tblPr>
      <w:tblGrid>
        <w:gridCol w:w="2268"/>
        <w:gridCol w:w="1020"/>
        <w:gridCol w:w="1020"/>
        <w:gridCol w:w="1021"/>
        <w:gridCol w:w="1020"/>
        <w:gridCol w:w="1021"/>
      </w:tblGrid>
      <w:tr w:rsidR="008D1450" w:rsidRPr="008D1450" w14:paraId="21E92E28" w14:textId="77777777" w:rsidTr="0022038F">
        <w:trPr>
          <w:trHeight w:val="240"/>
          <w:tblHeader/>
        </w:trPr>
        <w:tc>
          <w:tcPr>
            <w:tcW w:w="2268" w:type="dxa"/>
            <w:tcBorders>
              <w:top w:val="single" w:sz="4" w:space="0" w:color="auto"/>
              <w:bottom w:val="single" w:sz="12" w:space="0" w:color="auto"/>
            </w:tcBorders>
            <w:shd w:val="clear" w:color="auto" w:fill="auto"/>
            <w:vAlign w:val="bottom"/>
          </w:tcPr>
          <w:p w14:paraId="7A8CCEC7" w14:textId="77777777" w:rsidR="00B92948" w:rsidRPr="00B92948" w:rsidRDefault="00B92948" w:rsidP="008D1450">
            <w:pPr>
              <w:pStyle w:val="SingleTxtG"/>
              <w:tabs>
                <w:tab w:val="clear" w:pos="1701"/>
                <w:tab w:val="clear" w:pos="2268"/>
                <w:tab w:val="clear" w:pos="2835"/>
              </w:tabs>
              <w:spacing w:before="80" w:after="80" w:line="200" w:lineRule="exact"/>
              <w:ind w:left="0" w:right="0"/>
              <w:jc w:val="left"/>
              <w:rPr>
                <w:i/>
                <w:sz w:val="16"/>
              </w:rPr>
            </w:pPr>
          </w:p>
        </w:tc>
        <w:tc>
          <w:tcPr>
            <w:tcW w:w="1020" w:type="dxa"/>
            <w:tcBorders>
              <w:top w:val="single" w:sz="4" w:space="0" w:color="auto"/>
              <w:bottom w:val="single" w:sz="12" w:space="0" w:color="auto"/>
            </w:tcBorders>
            <w:shd w:val="clear" w:color="auto" w:fill="auto"/>
            <w:vAlign w:val="bottom"/>
          </w:tcPr>
          <w:p w14:paraId="06E5A56D" w14:textId="77777777" w:rsidR="00B92948" w:rsidRPr="00B92948" w:rsidRDefault="00B92948" w:rsidP="0022038F">
            <w:pPr>
              <w:pStyle w:val="SingleTxtG"/>
              <w:tabs>
                <w:tab w:val="clear" w:pos="1701"/>
                <w:tab w:val="clear" w:pos="2268"/>
                <w:tab w:val="clear" w:pos="2835"/>
              </w:tabs>
              <w:spacing w:before="80" w:after="80" w:line="200" w:lineRule="exact"/>
              <w:ind w:left="113" w:right="28"/>
              <w:jc w:val="right"/>
              <w:rPr>
                <w:i/>
                <w:sz w:val="16"/>
              </w:rPr>
            </w:pPr>
            <w:r w:rsidRPr="00B92948">
              <w:rPr>
                <w:i/>
                <w:iCs/>
                <w:sz w:val="16"/>
              </w:rPr>
              <w:t>2014</w:t>
            </w:r>
          </w:p>
        </w:tc>
        <w:tc>
          <w:tcPr>
            <w:tcW w:w="1020" w:type="dxa"/>
            <w:tcBorders>
              <w:top w:val="single" w:sz="4" w:space="0" w:color="auto"/>
              <w:bottom w:val="single" w:sz="12" w:space="0" w:color="auto"/>
            </w:tcBorders>
            <w:shd w:val="clear" w:color="auto" w:fill="auto"/>
            <w:vAlign w:val="bottom"/>
          </w:tcPr>
          <w:p w14:paraId="33080743" w14:textId="77777777" w:rsidR="00B92948" w:rsidRPr="00B92948" w:rsidRDefault="00B92948" w:rsidP="0022038F">
            <w:pPr>
              <w:pStyle w:val="SingleTxtG"/>
              <w:tabs>
                <w:tab w:val="clear" w:pos="1701"/>
                <w:tab w:val="clear" w:pos="2268"/>
                <w:tab w:val="clear" w:pos="2835"/>
              </w:tabs>
              <w:spacing w:before="80" w:after="80" w:line="200" w:lineRule="exact"/>
              <w:ind w:left="113" w:right="28"/>
              <w:jc w:val="right"/>
              <w:rPr>
                <w:i/>
                <w:sz w:val="16"/>
              </w:rPr>
            </w:pPr>
            <w:r w:rsidRPr="00B92948">
              <w:rPr>
                <w:i/>
                <w:iCs/>
                <w:sz w:val="16"/>
              </w:rPr>
              <w:t>2015</w:t>
            </w:r>
          </w:p>
        </w:tc>
        <w:tc>
          <w:tcPr>
            <w:tcW w:w="1021" w:type="dxa"/>
            <w:tcBorders>
              <w:top w:val="single" w:sz="4" w:space="0" w:color="auto"/>
              <w:bottom w:val="single" w:sz="12" w:space="0" w:color="auto"/>
            </w:tcBorders>
            <w:shd w:val="clear" w:color="auto" w:fill="auto"/>
            <w:vAlign w:val="bottom"/>
          </w:tcPr>
          <w:p w14:paraId="560B65D0" w14:textId="77777777" w:rsidR="00B92948" w:rsidRPr="00B92948" w:rsidRDefault="00B92948" w:rsidP="0022038F">
            <w:pPr>
              <w:pStyle w:val="SingleTxtG"/>
              <w:tabs>
                <w:tab w:val="clear" w:pos="1701"/>
                <w:tab w:val="clear" w:pos="2268"/>
                <w:tab w:val="clear" w:pos="2835"/>
              </w:tabs>
              <w:spacing w:before="80" w:after="80" w:line="200" w:lineRule="exact"/>
              <w:ind w:left="113" w:right="28"/>
              <w:jc w:val="right"/>
              <w:rPr>
                <w:i/>
                <w:sz w:val="16"/>
              </w:rPr>
            </w:pPr>
            <w:r w:rsidRPr="00B92948">
              <w:rPr>
                <w:i/>
                <w:iCs/>
                <w:sz w:val="16"/>
              </w:rPr>
              <w:t>2016</w:t>
            </w:r>
          </w:p>
        </w:tc>
        <w:tc>
          <w:tcPr>
            <w:tcW w:w="1020" w:type="dxa"/>
            <w:tcBorders>
              <w:top w:val="single" w:sz="4" w:space="0" w:color="auto"/>
              <w:bottom w:val="single" w:sz="12" w:space="0" w:color="auto"/>
            </w:tcBorders>
            <w:shd w:val="clear" w:color="auto" w:fill="auto"/>
            <w:vAlign w:val="bottom"/>
          </w:tcPr>
          <w:p w14:paraId="0E4DB98D" w14:textId="77777777" w:rsidR="00B92948" w:rsidRPr="00B92948" w:rsidRDefault="00B92948" w:rsidP="0022038F">
            <w:pPr>
              <w:pStyle w:val="SingleTxtG"/>
              <w:tabs>
                <w:tab w:val="clear" w:pos="1701"/>
                <w:tab w:val="clear" w:pos="2268"/>
                <w:tab w:val="clear" w:pos="2835"/>
              </w:tabs>
              <w:spacing w:before="80" w:after="80" w:line="200" w:lineRule="exact"/>
              <w:ind w:left="113" w:right="28"/>
              <w:jc w:val="right"/>
              <w:rPr>
                <w:i/>
                <w:sz w:val="16"/>
              </w:rPr>
            </w:pPr>
            <w:r w:rsidRPr="00B92948">
              <w:rPr>
                <w:i/>
                <w:iCs/>
                <w:sz w:val="16"/>
              </w:rPr>
              <w:t>2017</w:t>
            </w:r>
          </w:p>
        </w:tc>
        <w:tc>
          <w:tcPr>
            <w:tcW w:w="1021" w:type="dxa"/>
            <w:tcBorders>
              <w:top w:val="single" w:sz="4" w:space="0" w:color="auto"/>
              <w:bottom w:val="single" w:sz="12" w:space="0" w:color="auto"/>
            </w:tcBorders>
            <w:shd w:val="clear" w:color="auto" w:fill="auto"/>
            <w:vAlign w:val="bottom"/>
          </w:tcPr>
          <w:p w14:paraId="56D419A8" w14:textId="77777777" w:rsidR="00B92948" w:rsidRPr="00B92948" w:rsidRDefault="00B92948" w:rsidP="0022038F">
            <w:pPr>
              <w:pStyle w:val="SingleTxtG"/>
              <w:tabs>
                <w:tab w:val="clear" w:pos="1701"/>
                <w:tab w:val="clear" w:pos="2268"/>
                <w:tab w:val="clear" w:pos="2835"/>
              </w:tabs>
              <w:spacing w:before="80" w:after="80" w:line="200" w:lineRule="exact"/>
              <w:ind w:left="113" w:right="28"/>
              <w:jc w:val="right"/>
              <w:rPr>
                <w:i/>
                <w:sz w:val="16"/>
              </w:rPr>
            </w:pPr>
            <w:r w:rsidRPr="00B92948">
              <w:rPr>
                <w:i/>
                <w:iCs/>
                <w:sz w:val="16"/>
              </w:rPr>
              <w:t>Enero a junio de 2018</w:t>
            </w:r>
          </w:p>
        </w:tc>
      </w:tr>
      <w:tr w:rsidR="008D1450" w:rsidRPr="00B92948" w14:paraId="431A18F0" w14:textId="77777777" w:rsidTr="0022038F">
        <w:trPr>
          <w:trHeight w:val="240"/>
        </w:trPr>
        <w:tc>
          <w:tcPr>
            <w:tcW w:w="2268" w:type="dxa"/>
            <w:tcBorders>
              <w:top w:val="single" w:sz="12" w:space="0" w:color="auto"/>
            </w:tcBorders>
            <w:shd w:val="clear" w:color="auto" w:fill="auto"/>
          </w:tcPr>
          <w:p w14:paraId="099C6C22" w14:textId="77777777" w:rsidR="00B92948" w:rsidRPr="00B92948" w:rsidRDefault="00B92948" w:rsidP="008D1450">
            <w:pPr>
              <w:pStyle w:val="SingleTxtG"/>
              <w:tabs>
                <w:tab w:val="clear" w:pos="1701"/>
                <w:tab w:val="clear" w:pos="2268"/>
                <w:tab w:val="clear" w:pos="2835"/>
              </w:tabs>
              <w:spacing w:before="40" w:after="40" w:line="220" w:lineRule="exact"/>
              <w:ind w:left="0" w:right="0"/>
              <w:jc w:val="left"/>
              <w:rPr>
                <w:sz w:val="18"/>
              </w:rPr>
            </w:pPr>
            <w:r w:rsidRPr="00B92948">
              <w:rPr>
                <w:sz w:val="18"/>
              </w:rPr>
              <w:t>Procedimiento instituido para revocar la patria potestad</w:t>
            </w:r>
          </w:p>
        </w:tc>
        <w:tc>
          <w:tcPr>
            <w:tcW w:w="1020" w:type="dxa"/>
            <w:tcBorders>
              <w:top w:val="single" w:sz="12" w:space="0" w:color="auto"/>
            </w:tcBorders>
            <w:shd w:val="clear" w:color="auto" w:fill="auto"/>
            <w:vAlign w:val="bottom"/>
          </w:tcPr>
          <w:p w14:paraId="50ECFF49" w14:textId="77777777" w:rsidR="00B92948" w:rsidRPr="00B92948" w:rsidRDefault="00B92948" w:rsidP="0022038F">
            <w:pPr>
              <w:pStyle w:val="SingleTxtG"/>
              <w:tabs>
                <w:tab w:val="clear" w:pos="1701"/>
                <w:tab w:val="clear" w:pos="2268"/>
                <w:tab w:val="clear" w:pos="2835"/>
              </w:tabs>
              <w:spacing w:before="40" w:after="40" w:line="220" w:lineRule="exact"/>
              <w:ind w:left="113" w:right="28"/>
              <w:jc w:val="right"/>
              <w:rPr>
                <w:sz w:val="18"/>
              </w:rPr>
            </w:pPr>
            <w:r w:rsidRPr="00B92948">
              <w:rPr>
                <w:sz w:val="18"/>
              </w:rPr>
              <w:t>0</w:t>
            </w:r>
          </w:p>
        </w:tc>
        <w:tc>
          <w:tcPr>
            <w:tcW w:w="1020" w:type="dxa"/>
            <w:tcBorders>
              <w:top w:val="single" w:sz="12" w:space="0" w:color="auto"/>
            </w:tcBorders>
            <w:shd w:val="clear" w:color="auto" w:fill="auto"/>
            <w:vAlign w:val="bottom"/>
          </w:tcPr>
          <w:p w14:paraId="2F0A706F" w14:textId="77777777" w:rsidR="00B92948" w:rsidRPr="00B92948" w:rsidRDefault="00B92948" w:rsidP="0022038F">
            <w:pPr>
              <w:pStyle w:val="SingleTxtG"/>
              <w:tabs>
                <w:tab w:val="clear" w:pos="1701"/>
                <w:tab w:val="clear" w:pos="2268"/>
                <w:tab w:val="clear" w:pos="2835"/>
              </w:tabs>
              <w:spacing w:before="40" w:after="40" w:line="220" w:lineRule="exact"/>
              <w:ind w:left="113" w:right="28"/>
              <w:jc w:val="right"/>
              <w:rPr>
                <w:sz w:val="18"/>
              </w:rPr>
            </w:pPr>
            <w:r w:rsidRPr="00B92948">
              <w:rPr>
                <w:sz w:val="18"/>
              </w:rPr>
              <w:t>10</w:t>
            </w:r>
          </w:p>
        </w:tc>
        <w:tc>
          <w:tcPr>
            <w:tcW w:w="1021" w:type="dxa"/>
            <w:tcBorders>
              <w:top w:val="single" w:sz="12" w:space="0" w:color="auto"/>
            </w:tcBorders>
            <w:shd w:val="clear" w:color="auto" w:fill="auto"/>
            <w:vAlign w:val="bottom"/>
          </w:tcPr>
          <w:p w14:paraId="3E880ECB" w14:textId="77777777" w:rsidR="00B92948" w:rsidRPr="00B92948" w:rsidRDefault="00B92948" w:rsidP="0022038F">
            <w:pPr>
              <w:pStyle w:val="SingleTxtG"/>
              <w:tabs>
                <w:tab w:val="clear" w:pos="1701"/>
                <w:tab w:val="clear" w:pos="2268"/>
                <w:tab w:val="clear" w:pos="2835"/>
              </w:tabs>
              <w:spacing w:before="40" w:after="40" w:line="220" w:lineRule="exact"/>
              <w:ind w:left="113" w:right="28"/>
              <w:jc w:val="right"/>
              <w:rPr>
                <w:sz w:val="18"/>
              </w:rPr>
            </w:pPr>
            <w:r w:rsidRPr="00B92948">
              <w:rPr>
                <w:sz w:val="18"/>
              </w:rPr>
              <w:t>4</w:t>
            </w:r>
          </w:p>
        </w:tc>
        <w:tc>
          <w:tcPr>
            <w:tcW w:w="1020" w:type="dxa"/>
            <w:tcBorders>
              <w:top w:val="single" w:sz="12" w:space="0" w:color="auto"/>
            </w:tcBorders>
            <w:shd w:val="clear" w:color="auto" w:fill="auto"/>
            <w:vAlign w:val="bottom"/>
          </w:tcPr>
          <w:p w14:paraId="04AC4BA1" w14:textId="77777777" w:rsidR="00B92948" w:rsidRPr="00B92948" w:rsidRDefault="00B92948" w:rsidP="0022038F">
            <w:pPr>
              <w:pStyle w:val="SingleTxtG"/>
              <w:tabs>
                <w:tab w:val="clear" w:pos="1701"/>
                <w:tab w:val="clear" w:pos="2268"/>
                <w:tab w:val="clear" w:pos="2835"/>
              </w:tabs>
              <w:spacing w:before="40" w:after="40" w:line="220" w:lineRule="exact"/>
              <w:ind w:left="113" w:right="28"/>
              <w:jc w:val="right"/>
              <w:rPr>
                <w:sz w:val="18"/>
              </w:rPr>
            </w:pPr>
            <w:r w:rsidRPr="00B92948">
              <w:rPr>
                <w:sz w:val="18"/>
              </w:rPr>
              <w:t>1</w:t>
            </w:r>
          </w:p>
        </w:tc>
        <w:tc>
          <w:tcPr>
            <w:tcW w:w="1021" w:type="dxa"/>
            <w:tcBorders>
              <w:top w:val="single" w:sz="12" w:space="0" w:color="auto"/>
            </w:tcBorders>
            <w:shd w:val="clear" w:color="auto" w:fill="auto"/>
            <w:vAlign w:val="bottom"/>
          </w:tcPr>
          <w:p w14:paraId="60DE16B5" w14:textId="77777777" w:rsidR="00B92948" w:rsidRPr="00B92948" w:rsidRDefault="00B92948" w:rsidP="0022038F">
            <w:pPr>
              <w:pStyle w:val="SingleTxtG"/>
              <w:tabs>
                <w:tab w:val="clear" w:pos="1701"/>
                <w:tab w:val="clear" w:pos="2268"/>
                <w:tab w:val="clear" w:pos="2835"/>
              </w:tabs>
              <w:spacing w:before="40" w:after="40" w:line="220" w:lineRule="exact"/>
              <w:ind w:left="113" w:right="28"/>
              <w:jc w:val="right"/>
              <w:rPr>
                <w:sz w:val="18"/>
              </w:rPr>
            </w:pPr>
            <w:r w:rsidRPr="00B92948">
              <w:rPr>
                <w:sz w:val="18"/>
              </w:rPr>
              <w:t>0</w:t>
            </w:r>
          </w:p>
        </w:tc>
      </w:tr>
      <w:tr w:rsidR="008D1450" w:rsidRPr="00B92948" w14:paraId="7CB8FBA7" w14:textId="77777777" w:rsidTr="0022038F">
        <w:trPr>
          <w:trHeight w:val="240"/>
        </w:trPr>
        <w:tc>
          <w:tcPr>
            <w:tcW w:w="2268" w:type="dxa"/>
            <w:tcBorders>
              <w:bottom w:val="single" w:sz="12" w:space="0" w:color="auto"/>
            </w:tcBorders>
            <w:shd w:val="clear" w:color="auto" w:fill="auto"/>
          </w:tcPr>
          <w:p w14:paraId="5B3B7A57" w14:textId="77777777" w:rsidR="00B92948" w:rsidRPr="00B92948" w:rsidRDefault="00B92948" w:rsidP="008D1450">
            <w:pPr>
              <w:pStyle w:val="SingleTxtG"/>
              <w:tabs>
                <w:tab w:val="clear" w:pos="1701"/>
                <w:tab w:val="clear" w:pos="2268"/>
                <w:tab w:val="clear" w:pos="2835"/>
              </w:tabs>
              <w:spacing w:before="40" w:after="40" w:line="220" w:lineRule="exact"/>
              <w:ind w:left="0" w:right="0"/>
              <w:jc w:val="left"/>
              <w:rPr>
                <w:sz w:val="18"/>
              </w:rPr>
            </w:pPr>
            <w:r w:rsidRPr="00B92948">
              <w:rPr>
                <w:sz w:val="18"/>
              </w:rPr>
              <w:t>Procedimiento instituido para restablecer la patria potestad</w:t>
            </w:r>
          </w:p>
        </w:tc>
        <w:tc>
          <w:tcPr>
            <w:tcW w:w="1020" w:type="dxa"/>
            <w:tcBorders>
              <w:bottom w:val="single" w:sz="12" w:space="0" w:color="auto"/>
            </w:tcBorders>
            <w:shd w:val="clear" w:color="auto" w:fill="auto"/>
            <w:vAlign w:val="bottom"/>
          </w:tcPr>
          <w:p w14:paraId="13D13C91" w14:textId="77777777" w:rsidR="00B92948" w:rsidRPr="00B92948" w:rsidRDefault="00B92948" w:rsidP="0022038F">
            <w:pPr>
              <w:pStyle w:val="SingleTxtG"/>
              <w:tabs>
                <w:tab w:val="clear" w:pos="1701"/>
                <w:tab w:val="clear" w:pos="2268"/>
                <w:tab w:val="clear" w:pos="2835"/>
              </w:tabs>
              <w:spacing w:before="40" w:after="40" w:line="220" w:lineRule="exact"/>
              <w:ind w:left="113" w:right="28"/>
              <w:jc w:val="right"/>
              <w:rPr>
                <w:sz w:val="18"/>
              </w:rPr>
            </w:pPr>
            <w:r w:rsidRPr="00B92948">
              <w:rPr>
                <w:sz w:val="18"/>
              </w:rPr>
              <w:t>0</w:t>
            </w:r>
          </w:p>
        </w:tc>
        <w:tc>
          <w:tcPr>
            <w:tcW w:w="1020" w:type="dxa"/>
            <w:tcBorders>
              <w:bottom w:val="single" w:sz="12" w:space="0" w:color="auto"/>
            </w:tcBorders>
            <w:shd w:val="clear" w:color="auto" w:fill="auto"/>
            <w:vAlign w:val="bottom"/>
          </w:tcPr>
          <w:p w14:paraId="5D0D3BCC" w14:textId="77777777" w:rsidR="00B92948" w:rsidRPr="00B92948" w:rsidRDefault="00B92948" w:rsidP="0022038F">
            <w:pPr>
              <w:pStyle w:val="SingleTxtG"/>
              <w:tabs>
                <w:tab w:val="clear" w:pos="1701"/>
                <w:tab w:val="clear" w:pos="2268"/>
                <w:tab w:val="clear" w:pos="2835"/>
              </w:tabs>
              <w:spacing w:before="40" w:after="40" w:line="220" w:lineRule="exact"/>
              <w:ind w:left="113" w:right="28"/>
              <w:jc w:val="right"/>
              <w:rPr>
                <w:sz w:val="18"/>
              </w:rPr>
            </w:pPr>
            <w:r w:rsidRPr="00B92948">
              <w:rPr>
                <w:sz w:val="18"/>
              </w:rPr>
              <w:t>2</w:t>
            </w:r>
          </w:p>
        </w:tc>
        <w:tc>
          <w:tcPr>
            <w:tcW w:w="1021" w:type="dxa"/>
            <w:tcBorders>
              <w:bottom w:val="single" w:sz="12" w:space="0" w:color="auto"/>
            </w:tcBorders>
            <w:shd w:val="clear" w:color="auto" w:fill="auto"/>
            <w:vAlign w:val="bottom"/>
          </w:tcPr>
          <w:p w14:paraId="5FBBF8FE" w14:textId="77777777" w:rsidR="00B92948" w:rsidRPr="00B92948" w:rsidRDefault="00B92948" w:rsidP="0022038F">
            <w:pPr>
              <w:pStyle w:val="SingleTxtG"/>
              <w:tabs>
                <w:tab w:val="clear" w:pos="1701"/>
                <w:tab w:val="clear" w:pos="2268"/>
                <w:tab w:val="clear" w:pos="2835"/>
              </w:tabs>
              <w:spacing w:before="40" w:after="40" w:line="220" w:lineRule="exact"/>
              <w:ind w:left="113" w:right="28"/>
              <w:jc w:val="right"/>
              <w:rPr>
                <w:sz w:val="18"/>
              </w:rPr>
            </w:pPr>
            <w:r w:rsidRPr="00B92948">
              <w:rPr>
                <w:sz w:val="18"/>
              </w:rPr>
              <w:t>0</w:t>
            </w:r>
          </w:p>
        </w:tc>
        <w:tc>
          <w:tcPr>
            <w:tcW w:w="1020" w:type="dxa"/>
            <w:tcBorders>
              <w:bottom w:val="single" w:sz="12" w:space="0" w:color="auto"/>
            </w:tcBorders>
            <w:shd w:val="clear" w:color="auto" w:fill="auto"/>
            <w:vAlign w:val="bottom"/>
          </w:tcPr>
          <w:p w14:paraId="494C1A17" w14:textId="77777777" w:rsidR="00B92948" w:rsidRPr="00B92948" w:rsidRDefault="00B92948" w:rsidP="0022038F">
            <w:pPr>
              <w:pStyle w:val="SingleTxtG"/>
              <w:tabs>
                <w:tab w:val="clear" w:pos="1701"/>
                <w:tab w:val="clear" w:pos="2268"/>
                <w:tab w:val="clear" w:pos="2835"/>
              </w:tabs>
              <w:spacing w:before="40" w:after="40" w:line="220" w:lineRule="exact"/>
              <w:ind w:left="113" w:right="28"/>
              <w:jc w:val="right"/>
              <w:rPr>
                <w:sz w:val="18"/>
              </w:rPr>
            </w:pPr>
            <w:r w:rsidRPr="00B92948">
              <w:rPr>
                <w:sz w:val="18"/>
              </w:rPr>
              <w:t>0</w:t>
            </w:r>
          </w:p>
        </w:tc>
        <w:tc>
          <w:tcPr>
            <w:tcW w:w="1021" w:type="dxa"/>
            <w:tcBorders>
              <w:bottom w:val="single" w:sz="12" w:space="0" w:color="auto"/>
            </w:tcBorders>
            <w:shd w:val="clear" w:color="auto" w:fill="auto"/>
            <w:vAlign w:val="bottom"/>
          </w:tcPr>
          <w:p w14:paraId="0791BAD4" w14:textId="77777777" w:rsidR="00B92948" w:rsidRPr="00B92948" w:rsidRDefault="00B92948" w:rsidP="0022038F">
            <w:pPr>
              <w:pStyle w:val="SingleTxtG"/>
              <w:tabs>
                <w:tab w:val="clear" w:pos="1701"/>
                <w:tab w:val="clear" w:pos="2268"/>
                <w:tab w:val="clear" w:pos="2835"/>
              </w:tabs>
              <w:spacing w:before="40" w:after="40" w:line="220" w:lineRule="exact"/>
              <w:ind w:left="113" w:right="28"/>
              <w:jc w:val="right"/>
              <w:rPr>
                <w:sz w:val="18"/>
              </w:rPr>
            </w:pPr>
            <w:r w:rsidRPr="00B92948">
              <w:rPr>
                <w:sz w:val="18"/>
              </w:rPr>
              <w:t>0</w:t>
            </w:r>
          </w:p>
        </w:tc>
      </w:tr>
    </w:tbl>
    <w:p w14:paraId="5F9B2F0D" w14:textId="77777777" w:rsidR="00B92948" w:rsidRPr="00B92948" w:rsidRDefault="00B92948" w:rsidP="008D1450">
      <w:pPr>
        <w:pStyle w:val="SingleTxtG"/>
        <w:spacing w:before="240"/>
      </w:pPr>
      <w:r w:rsidRPr="00B92948">
        <w:lastRenderedPageBreak/>
        <w:t>87.</w:t>
      </w:r>
      <w:r w:rsidRPr="00B92948">
        <w:tab/>
        <w:t xml:space="preserve">Estadísticamente, por región y disponibilidad de plazas en las instituciones de atención, en la región de Pelagonija el Hogar Bitola para Lactantes y Niños Pequeños tiene capacidad para 100 niños y 25 madres. En virtud de la Ley de Protección Social, la institución para la colocación de lactantes y niños de hasta 3 </w:t>
      </w:r>
      <w:proofErr w:type="gramStart"/>
      <w:r w:rsidRPr="00B92948">
        <w:t>años de edad</w:t>
      </w:r>
      <w:proofErr w:type="gramEnd"/>
      <w:r w:rsidRPr="00B92948">
        <w:t xml:space="preserve"> sin progenitores o sin cuidado parental proporciona alojamiento (vivienda, alimentación, vestido y cuidado) y protección de la salud a los niños. Puede proporcionar alojamiento y estancia temporal a una mujer sola embarazada y desempleada un mes antes del parto y a un padre o madre solos hasta los tres meses de edad del niño. La institución emplea a un total de 52 personas de forma permanente.</w:t>
      </w:r>
    </w:p>
    <w:p w14:paraId="5F68E973" w14:textId="77777777" w:rsidR="00B92948" w:rsidRPr="00B92948" w:rsidRDefault="00B92948" w:rsidP="00B92948">
      <w:pPr>
        <w:pStyle w:val="SingleTxtG"/>
      </w:pPr>
      <w:r w:rsidRPr="00B92948">
        <w:t>88.</w:t>
      </w:r>
      <w:r w:rsidRPr="00B92948">
        <w:tab/>
        <w:t xml:space="preserve">En la región de Skopie, el Hogar Infantil 11 de </w:t>
      </w:r>
      <w:proofErr w:type="gramStart"/>
      <w:r w:rsidR="00F233A3">
        <w:t>O</w:t>
      </w:r>
      <w:r w:rsidRPr="00B92948">
        <w:t>ctubre</w:t>
      </w:r>
      <w:proofErr w:type="gramEnd"/>
      <w:r w:rsidRPr="00B92948">
        <w:t xml:space="preserve"> tiene capacidad para 100</w:t>
      </w:r>
      <w:r w:rsidR="00F233A3">
        <w:t> </w:t>
      </w:r>
      <w:r w:rsidRPr="00B92948">
        <w:t xml:space="preserve">niños. En virtud de la Ley de Protección Social, la institución acoge a los niños mayores de 3 años sin progenitores ni atención parental y les proporciona alojamiento (vivienda, alimentación, vestido y cuidado) y educación hasta que estén preparados para la vida independiente y el trabajo (hasta seis meses después de finalizar la educación secundaria). La institución tiene la obligación de garantizar que los niños y jóvenes reciban educación primaria y secundaria en la institución correspondiente, ofrecerles capacitación en competencias para la vida y el trabajo y cuidar debidamente su salud. La institución emplea un total de </w:t>
      </w:r>
      <w:r w:rsidR="00F233A3">
        <w:t>4</w:t>
      </w:r>
      <w:r w:rsidRPr="00B92948">
        <w:t>2 personas de forma permanente.</w:t>
      </w:r>
    </w:p>
    <w:p w14:paraId="56D0D7EA" w14:textId="77777777" w:rsidR="00B92948" w:rsidRPr="00B92948" w:rsidRDefault="00B92948" w:rsidP="008D1450">
      <w:pPr>
        <w:pStyle w:val="H23G"/>
      </w:pPr>
      <w:r w:rsidRPr="00B92948">
        <w:tab/>
        <w:t>d)</w:t>
      </w:r>
      <w:r w:rsidRPr="00B92948">
        <w:tab/>
        <w:t>Reunificación familiar (art. 10)</w:t>
      </w:r>
      <w:bookmarkStart w:id="31" w:name="_Toc56781434"/>
      <w:bookmarkEnd w:id="31"/>
    </w:p>
    <w:p w14:paraId="24F7FE81" w14:textId="77777777" w:rsidR="00B92948" w:rsidRPr="00B92948" w:rsidRDefault="00B92948" w:rsidP="00B92948">
      <w:pPr>
        <w:pStyle w:val="SingleTxtG"/>
      </w:pPr>
      <w:r w:rsidRPr="00B92948">
        <w:t>89.</w:t>
      </w:r>
      <w:r w:rsidRPr="00B92948">
        <w:tab/>
        <w:t>Desde 2014 se han llevado a cabo cuatro procedimientos de reunificación familiar, entre ellos para 2 niñas del Afganistán y 1 de Siria, 1 niño del Iraq y 1 de Siria.</w:t>
      </w:r>
    </w:p>
    <w:p w14:paraId="58EB742D" w14:textId="77777777" w:rsidR="00B92948" w:rsidRPr="00B92948" w:rsidRDefault="00B92948" w:rsidP="00B92948">
      <w:pPr>
        <w:pStyle w:val="SingleTxtG"/>
      </w:pPr>
      <w:r w:rsidRPr="00B92948">
        <w:t>90.</w:t>
      </w:r>
      <w:r w:rsidRPr="00B92948">
        <w:tab/>
        <w:t>En lo que respecta a los niños reunidos con sus familias después de su acogimiento, 5</w:t>
      </w:r>
      <w:r w:rsidR="00F233A3">
        <w:t> </w:t>
      </w:r>
      <w:r w:rsidRPr="00B92948">
        <w:t xml:space="preserve">niños del Hogar Bitola para Lactantes y Niños Pequeños se reunieron con sus progenitores biológicos en 2016, 9 en 2017 y 3 en septiembre de 2018. </w:t>
      </w:r>
    </w:p>
    <w:p w14:paraId="5BD4CFF7" w14:textId="77777777" w:rsidR="00B92948" w:rsidRPr="00B92948" w:rsidRDefault="00B92948" w:rsidP="008D1450">
      <w:pPr>
        <w:pStyle w:val="H23G"/>
      </w:pPr>
      <w:r w:rsidRPr="00B92948">
        <w:tab/>
        <w:t>e)</w:t>
      </w:r>
      <w:r w:rsidRPr="00B92948">
        <w:tab/>
        <w:t>Pago de pensión alimentaria por el niño (art. 27 (párr. 4)</w:t>
      </w:r>
      <w:bookmarkStart w:id="32" w:name="_Toc56781435"/>
      <w:bookmarkEnd w:id="32"/>
      <w:r w:rsidRPr="00B92948">
        <w:t>)</w:t>
      </w:r>
    </w:p>
    <w:p w14:paraId="0E3B2CF8" w14:textId="77777777" w:rsidR="00B92948" w:rsidRPr="00B92948" w:rsidRDefault="00B92948" w:rsidP="00B92948">
      <w:pPr>
        <w:pStyle w:val="SingleTxtG"/>
      </w:pPr>
      <w:r w:rsidRPr="00B92948">
        <w:t>91.</w:t>
      </w:r>
      <w:r w:rsidRPr="00B92948">
        <w:tab/>
        <w:t>El Estado no ha establecido un fondo de manutención para niños. El derecho a la pensión alimentaria se ejerce en trámites judiciales ordinarios a cargo de los progenitores.</w:t>
      </w:r>
    </w:p>
    <w:p w14:paraId="0F38F1B3" w14:textId="77777777" w:rsidR="00B92948" w:rsidRPr="00B92948" w:rsidRDefault="00B92948" w:rsidP="008D1450">
      <w:pPr>
        <w:pStyle w:val="H23G"/>
      </w:pPr>
      <w:r w:rsidRPr="00B92948">
        <w:tab/>
        <w:t>f)</w:t>
      </w:r>
      <w:r w:rsidRPr="00B92948">
        <w:tab/>
        <w:t>Niños privados de su entorno familiar (art. 20)</w:t>
      </w:r>
      <w:bookmarkStart w:id="33" w:name="_Toc56781436"/>
      <w:bookmarkEnd w:id="33"/>
    </w:p>
    <w:p w14:paraId="169D1E12" w14:textId="77777777" w:rsidR="00B92948" w:rsidRPr="00B92948" w:rsidRDefault="00B92948" w:rsidP="00B92948">
      <w:pPr>
        <w:pStyle w:val="SingleTxtG"/>
      </w:pPr>
      <w:r w:rsidRPr="00B92948">
        <w:t>92.</w:t>
      </w:r>
      <w:r w:rsidRPr="00B92948">
        <w:tab/>
        <w:t xml:space="preserve">En el sistema de protección social, se protege a los niños privados del cuidado parental de las siguientes formas: acogimiento de los niños por un pariente cercano (tutela), adopción y colocación en una familia de acogida o en una institución. </w:t>
      </w:r>
    </w:p>
    <w:p w14:paraId="24975B4D" w14:textId="77777777" w:rsidR="00B92948" w:rsidRPr="00B92948" w:rsidRDefault="00B92948" w:rsidP="00B92948">
      <w:pPr>
        <w:pStyle w:val="SingleTxtG"/>
      </w:pPr>
      <w:r w:rsidRPr="00B92948">
        <w:t>93.</w:t>
      </w:r>
      <w:r w:rsidRPr="00B92948">
        <w:tab/>
        <w:t>En los últimos años se ha trabajado intensamente en relación con la colocación en una familia de acogida como una forma de protección no institucional. Se han registrado 172</w:t>
      </w:r>
      <w:r w:rsidR="00F233A3">
        <w:t> </w:t>
      </w:r>
      <w:r w:rsidRPr="00B92948">
        <w:t xml:space="preserve">familias de acogida, que pueden recibir a 341 beneficiarios, de los cuales 302 son niños de hasta 18 </w:t>
      </w:r>
      <w:proofErr w:type="gramStart"/>
      <w:r w:rsidRPr="00B92948">
        <w:t>años de edad</w:t>
      </w:r>
      <w:proofErr w:type="gramEnd"/>
      <w:r w:rsidRPr="00B92948">
        <w:t>. Se está llevando a cabo una campaña para movilizar a nuevas familias de acogida y sensibilizar al público.</w:t>
      </w:r>
    </w:p>
    <w:p w14:paraId="5D966CBE" w14:textId="77777777" w:rsidR="00B92948" w:rsidRPr="00B92948" w:rsidRDefault="00B92948" w:rsidP="00B92948">
      <w:pPr>
        <w:pStyle w:val="SingleTxtG"/>
      </w:pPr>
      <w:r w:rsidRPr="00B92948">
        <w:t>94.</w:t>
      </w:r>
      <w:r w:rsidRPr="00B92948">
        <w:tab/>
        <w:t xml:space="preserve">El tipo y el número de beneficiarios colocados en una familia de acogida depende de las necesidades individuales, la edad y los requisitos de atención de los beneficiarios, y las condiciones y posibilidades de la familia de acogida, con las siguientes restricciones: </w:t>
      </w:r>
    </w:p>
    <w:p w14:paraId="6ED691B5" w14:textId="77777777" w:rsidR="00B92948" w:rsidRPr="00B92948" w:rsidRDefault="00B92948" w:rsidP="008D1450">
      <w:pPr>
        <w:pStyle w:val="Bullet1G"/>
      </w:pPr>
      <w:r w:rsidRPr="00B92948">
        <w:tab/>
        <w:t>Hasta cinco niños sin progenitores o privados del cuidado parental</w:t>
      </w:r>
      <w:r w:rsidR="0022038F">
        <w:t>.</w:t>
      </w:r>
      <w:r w:rsidRPr="00B92948">
        <w:t xml:space="preserve"> </w:t>
      </w:r>
    </w:p>
    <w:p w14:paraId="38A0C10B" w14:textId="77777777" w:rsidR="00B92948" w:rsidRPr="00B92948" w:rsidRDefault="00B92948" w:rsidP="008D1450">
      <w:pPr>
        <w:pStyle w:val="Bullet1G"/>
      </w:pPr>
      <w:r w:rsidRPr="00B92948">
        <w:tab/>
        <w:t>Un solo niño con problemas educacionales y sociales (abandono, maltrato o situación de desventaja social) o víctima de violencia doméstica</w:t>
      </w:r>
      <w:r w:rsidR="0022038F">
        <w:t>.</w:t>
      </w:r>
      <w:r w:rsidRPr="00B92948">
        <w:t xml:space="preserve"> </w:t>
      </w:r>
    </w:p>
    <w:p w14:paraId="0A1A993E" w14:textId="77777777" w:rsidR="00B92948" w:rsidRPr="00B92948" w:rsidRDefault="00B92948" w:rsidP="008D1450">
      <w:pPr>
        <w:pStyle w:val="Bullet1G"/>
      </w:pPr>
      <w:r w:rsidRPr="00B92948">
        <w:tab/>
        <w:t>Un solo niño autor de un crimen o un delito menor.</w:t>
      </w:r>
    </w:p>
    <w:p w14:paraId="3975959F" w14:textId="77777777" w:rsidR="00B92948" w:rsidRPr="00B92948" w:rsidRDefault="00B92948" w:rsidP="00B92948">
      <w:pPr>
        <w:pStyle w:val="SingleTxtG"/>
      </w:pPr>
      <w:r w:rsidRPr="00B92948">
        <w:t>95.</w:t>
      </w:r>
      <w:r w:rsidRPr="00B92948">
        <w:tab/>
        <w:t xml:space="preserve">Según las estadísticas disponibles, en el país hay niños de hasta 18 </w:t>
      </w:r>
      <w:proofErr w:type="gramStart"/>
      <w:r w:rsidRPr="00B92948">
        <w:t>años de edad</w:t>
      </w:r>
      <w:proofErr w:type="gramEnd"/>
      <w:r w:rsidRPr="00B92948">
        <w:t xml:space="preserve"> internados en instituciones, a saber:</w:t>
      </w:r>
    </w:p>
    <w:p w14:paraId="6EF9D425" w14:textId="77777777" w:rsidR="00B92948" w:rsidRPr="00B92948" w:rsidRDefault="00B92948" w:rsidP="008D1450">
      <w:pPr>
        <w:pStyle w:val="Bullet1G"/>
      </w:pPr>
      <w:r w:rsidRPr="00B92948">
        <w:tab/>
        <w:t>65 niños de 0 a 3 años en el Hogar Bitola para Lactantes y Niños Pequeños de hasta 3</w:t>
      </w:r>
      <w:r w:rsidR="00F233A3">
        <w:t> </w:t>
      </w:r>
      <w:proofErr w:type="gramStart"/>
      <w:r w:rsidRPr="00B92948">
        <w:t>años de edad</w:t>
      </w:r>
      <w:proofErr w:type="gramEnd"/>
      <w:r w:rsidRPr="00B92948">
        <w:t xml:space="preserve"> sin progenitores o privados del cuidado parental</w:t>
      </w:r>
      <w:r w:rsidR="0022038F">
        <w:t>.</w:t>
      </w:r>
    </w:p>
    <w:p w14:paraId="014C720D" w14:textId="77777777" w:rsidR="00B92948" w:rsidRPr="00B92948" w:rsidRDefault="00B92948" w:rsidP="008D1450">
      <w:pPr>
        <w:pStyle w:val="Bullet1G"/>
      </w:pPr>
      <w:r w:rsidRPr="00B92948">
        <w:tab/>
        <w:t xml:space="preserve">38 niños de 3 a 18 años en el Hogar Infantil 11 de </w:t>
      </w:r>
      <w:proofErr w:type="gramStart"/>
      <w:r w:rsidRPr="00B92948">
        <w:t>Octubre</w:t>
      </w:r>
      <w:proofErr w:type="gramEnd"/>
      <w:r w:rsidRPr="00B92948">
        <w:t xml:space="preserve"> para niños</w:t>
      </w:r>
      <w:r w:rsidRPr="00B92948">
        <w:rPr>
          <w:lang w:val="en-GB"/>
        </w:rPr>
        <w:t xml:space="preserve"> </w:t>
      </w:r>
      <w:r w:rsidRPr="00B92948">
        <w:t>mayores de 3</w:t>
      </w:r>
      <w:r w:rsidR="0022038F">
        <w:t> </w:t>
      </w:r>
      <w:r w:rsidRPr="00B92948">
        <w:t>años y jóvenes sin progenitores o privados del cuidado parental en Skopie</w:t>
      </w:r>
      <w:r w:rsidR="0022038F">
        <w:t>.</w:t>
      </w:r>
    </w:p>
    <w:p w14:paraId="6CC011B2" w14:textId="77777777" w:rsidR="00B92948" w:rsidRPr="00B92948" w:rsidRDefault="00B92948" w:rsidP="008D1450">
      <w:pPr>
        <w:pStyle w:val="Bullet1G"/>
      </w:pPr>
      <w:r w:rsidRPr="00B92948">
        <w:lastRenderedPageBreak/>
        <w:tab/>
        <w:t xml:space="preserve">25 niños en el Hogar 25 de </w:t>
      </w:r>
      <w:proofErr w:type="gramStart"/>
      <w:r w:rsidRPr="00B92948">
        <w:t>Mayo</w:t>
      </w:r>
      <w:proofErr w:type="gramEnd"/>
      <w:r w:rsidRPr="00B92948">
        <w:t xml:space="preserve"> de acogimiento de niños y jóvenes con problemas educacionales y sociales en Skopie</w:t>
      </w:r>
      <w:r w:rsidR="0022038F">
        <w:t>.</w:t>
      </w:r>
    </w:p>
    <w:p w14:paraId="1F73C39E" w14:textId="77777777" w:rsidR="00B92948" w:rsidRPr="00B92948" w:rsidRDefault="00B92948" w:rsidP="008D1450">
      <w:pPr>
        <w:pStyle w:val="Bullet1G"/>
      </w:pPr>
      <w:r w:rsidRPr="00B92948">
        <w:tab/>
        <w:t xml:space="preserve">15 niños en el Hogar </w:t>
      </w:r>
      <w:proofErr w:type="spellStart"/>
      <w:r w:rsidRPr="00B92948">
        <w:t>Ranka</w:t>
      </w:r>
      <w:proofErr w:type="spellEnd"/>
      <w:r w:rsidRPr="00B92948">
        <w:t xml:space="preserve"> </w:t>
      </w:r>
      <w:proofErr w:type="spellStart"/>
      <w:r w:rsidRPr="00B92948">
        <w:t>Milanovikj</w:t>
      </w:r>
      <w:proofErr w:type="spellEnd"/>
      <w:r w:rsidRPr="00B92948">
        <w:t xml:space="preserve"> de acogimiento de niños y jóvenes con trastornos de conducta en Skopie</w:t>
      </w:r>
      <w:r w:rsidR="0022038F">
        <w:t>.</w:t>
      </w:r>
    </w:p>
    <w:p w14:paraId="37243D45" w14:textId="77777777" w:rsidR="00B92948" w:rsidRPr="00B92948" w:rsidRDefault="00B92948" w:rsidP="008D1450">
      <w:pPr>
        <w:pStyle w:val="Bullet1G"/>
      </w:pPr>
      <w:r w:rsidRPr="00B92948">
        <w:tab/>
        <w:t xml:space="preserve">11 niños con discapacidad en el Instituto Especial </w:t>
      </w:r>
      <w:proofErr w:type="spellStart"/>
      <w:r w:rsidRPr="00B92948">
        <w:t>Demir</w:t>
      </w:r>
      <w:proofErr w:type="spellEnd"/>
      <w:r w:rsidRPr="00B92948">
        <w:t xml:space="preserve"> </w:t>
      </w:r>
      <w:proofErr w:type="spellStart"/>
      <w:r w:rsidRPr="00B92948">
        <w:t>Kapija</w:t>
      </w:r>
      <w:proofErr w:type="spellEnd"/>
      <w:r w:rsidRPr="00B92948">
        <w:t xml:space="preserve"> de acogimiento de niños y jóvenes con discapacidad del desarrollo mental moderada y grave</w:t>
      </w:r>
      <w:r w:rsidR="0022038F">
        <w:t>.</w:t>
      </w:r>
    </w:p>
    <w:p w14:paraId="044F54BD" w14:textId="77777777" w:rsidR="00B92948" w:rsidRPr="00B92948" w:rsidRDefault="00B92948" w:rsidP="008D1450">
      <w:pPr>
        <w:pStyle w:val="Bullet1G"/>
      </w:pPr>
      <w:r w:rsidRPr="00B92948">
        <w:tab/>
        <w:t xml:space="preserve">15 niños con discapacidad física en el instituto Spa </w:t>
      </w:r>
      <w:proofErr w:type="spellStart"/>
      <w:r w:rsidRPr="00B92948">
        <w:t>Bansko</w:t>
      </w:r>
      <w:proofErr w:type="spellEnd"/>
      <w:r w:rsidRPr="00B92948">
        <w:t xml:space="preserve"> para niños y jóvenes con discapacidad del desarrollo físico</w:t>
      </w:r>
      <w:r w:rsidR="0022038F">
        <w:t>.</w:t>
      </w:r>
    </w:p>
    <w:p w14:paraId="727293E0" w14:textId="77777777" w:rsidR="00B92948" w:rsidRPr="00B92948" w:rsidRDefault="00B92948" w:rsidP="008D1450">
      <w:pPr>
        <w:pStyle w:val="Bullet1G"/>
      </w:pPr>
      <w:r w:rsidRPr="00B92948">
        <w:t xml:space="preserve">35 niños con discapacidad en el hogar </w:t>
      </w:r>
      <w:proofErr w:type="spellStart"/>
      <w:r w:rsidRPr="00B92948">
        <w:t>Topaansko</w:t>
      </w:r>
      <w:proofErr w:type="spellEnd"/>
      <w:r w:rsidRPr="00B92948">
        <w:t xml:space="preserve"> Pole para personas con discapacidad del desarrollo mental en Skopie.</w:t>
      </w:r>
    </w:p>
    <w:p w14:paraId="309FE193" w14:textId="77777777" w:rsidR="00B92948" w:rsidRPr="00B92948" w:rsidRDefault="00B92948" w:rsidP="00B92948">
      <w:pPr>
        <w:pStyle w:val="SingleTxtG"/>
      </w:pPr>
      <w:r w:rsidRPr="00B92948">
        <w:t>96.</w:t>
      </w:r>
      <w:r w:rsidRPr="00B92948">
        <w:tab/>
        <w:t>Al mismo tiempo, se está llevando a cabo un proceso intensivo de desinstitucionalización, de transformación de las instituciones de acogimiento de niños en servicios comunitarios locales. El Gobierno se ha comprometido a que en 2020 no haya niños menores de 3 años internados en instituciones. La transformación del hogar de acogimiento de niños y jóvenes con problemas educacionales y sociales comenzó en 2018. El objetivo es trasladar a todos los niños internados en esta institución a hogares funcionales pequeños, en un entorno familiar y con un apoyo más intensivo, a más tardar a finales de julio de 2018. También se están preparando planes de transformación para las demás instituciones públicas de acogimiento de niños.</w:t>
      </w:r>
    </w:p>
    <w:p w14:paraId="009D9F25" w14:textId="77777777" w:rsidR="00B92948" w:rsidRPr="00B92948" w:rsidRDefault="00B92948" w:rsidP="00B92948">
      <w:pPr>
        <w:pStyle w:val="SingleTxtG"/>
      </w:pPr>
      <w:r w:rsidRPr="00B92948">
        <w:t>97.</w:t>
      </w:r>
      <w:r w:rsidRPr="00B92948">
        <w:tab/>
        <w:t xml:space="preserve">Se está llevando a cabo el traslado de los niños del Instituto Especial </w:t>
      </w:r>
      <w:proofErr w:type="spellStart"/>
      <w:r w:rsidRPr="00B92948">
        <w:t>Demir</w:t>
      </w:r>
      <w:proofErr w:type="spellEnd"/>
      <w:r w:rsidRPr="00B92948">
        <w:t xml:space="preserve"> </w:t>
      </w:r>
      <w:proofErr w:type="spellStart"/>
      <w:r w:rsidRPr="00B92948">
        <w:t>Kapija</w:t>
      </w:r>
      <w:proofErr w:type="spellEnd"/>
      <w:r w:rsidRPr="00B92948">
        <w:t xml:space="preserve"> de acogimiento de niños y jóvenes con discapacidad del desarrollo mental a hogares funcionales pequeños y su plena inclusión en la comunidad</w:t>
      </w:r>
    </w:p>
    <w:p w14:paraId="39EF00A5" w14:textId="77777777" w:rsidR="00B92948" w:rsidRPr="00B92948" w:rsidRDefault="00B92948" w:rsidP="00B92948">
      <w:pPr>
        <w:pStyle w:val="SingleTxtG"/>
      </w:pPr>
      <w:r w:rsidRPr="00B92948">
        <w:t>98.</w:t>
      </w:r>
      <w:r w:rsidRPr="00B92948">
        <w:tab/>
        <w:t>Además, el Ministerio de Trabajo y Política Social ha impuesto la prohibición de internar a niños o personas con discapacidad en las instituciones residenciales existentes.</w:t>
      </w:r>
    </w:p>
    <w:p w14:paraId="20F8883F" w14:textId="77777777" w:rsidR="00B92948" w:rsidRPr="00B92948" w:rsidRDefault="00B92948" w:rsidP="008D1450">
      <w:pPr>
        <w:pStyle w:val="H23G"/>
      </w:pPr>
      <w:r w:rsidRPr="00B92948">
        <w:tab/>
        <w:t>g)</w:t>
      </w:r>
      <w:r w:rsidRPr="00B92948">
        <w:tab/>
        <w:t>Examen periódico del internamiento (art. 25)</w:t>
      </w:r>
      <w:bookmarkStart w:id="34" w:name="_Toc56781437"/>
      <w:bookmarkEnd w:id="34"/>
    </w:p>
    <w:p w14:paraId="798F90B5" w14:textId="77777777" w:rsidR="00B92948" w:rsidRPr="00B92948" w:rsidRDefault="00B92948" w:rsidP="00B92948">
      <w:pPr>
        <w:pStyle w:val="SingleTxtG"/>
      </w:pPr>
      <w:r w:rsidRPr="00B92948">
        <w:t>99.</w:t>
      </w:r>
      <w:r w:rsidRPr="00B92948">
        <w:tab/>
        <w:t>La colocación de niños en familias e instituciones de acogida es responsabilidad del órgano de tutela competente, es decir, el Centro de Trabajo Social. Los niños internados son supervisados por los equipos profesionales de los Centros que, en cooperación con los profesionales de la institución, preparan planes individuales para cada niño y hacen el seguimiento de su desarrollo y sus necesidades.</w:t>
      </w:r>
    </w:p>
    <w:p w14:paraId="13AF55F6" w14:textId="77777777" w:rsidR="00B92948" w:rsidRPr="00B92948" w:rsidRDefault="00B92948" w:rsidP="00B92948">
      <w:pPr>
        <w:pStyle w:val="SingleTxtG"/>
      </w:pPr>
      <w:r w:rsidRPr="00B92948">
        <w:t>100.</w:t>
      </w:r>
      <w:r w:rsidRPr="00B92948">
        <w:tab/>
        <w:t xml:space="preserve">En el caso de los niños asignados a familias de acogida, los equipos profesionales preparan planes individuales de trabajo con los niños y se ocupan debidamente de su aplicación mediante visitas periódicas a los hogares de las familias de acogida. Al mismo tiempo, los equipos profesionales brindan apoyo a las familias de acogida para la prestación de servicios de guarda. </w:t>
      </w:r>
    </w:p>
    <w:p w14:paraId="4881688D" w14:textId="77777777" w:rsidR="00B92948" w:rsidRPr="008D1450" w:rsidRDefault="008D1450" w:rsidP="008D1450">
      <w:pPr>
        <w:pStyle w:val="H23G"/>
        <w:rPr>
          <w:b w:val="0"/>
          <w:bCs/>
        </w:rPr>
      </w:pPr>
      <w:r>
        <w:tab/>
      </w:r>
      <w:r w:rsidR="00B92948" w:rsidRPr="00B92948">
        <w:tab/>
        <w:t>Número y porcentaje de niños separados de sus progenitores que viven en</w:t>
      </w:r>
      <w:r>
        <w:t> </w:t>
      </w:r>
      <w:r w:rsidR="00B92948" w:rsidRPr="00B92948">
        <w:t xml:space="preserve">instituciones o con familias de acogida, duración de la colocación </w:t>
      </w:r>
      <w:r>
        <w:br/>
      </w:r>
      <w:r w:rsidR="00B92948" w:rsidRPr="00B92948">
        <w:t>y frecuencia con que se revisa</w:t>
      </w:r>
      <w:r w:rsidR="00B92948" w:rsidRPr="008D1450">
        <w:rPr>
          <w:rStyle w:val="Refdenotaalpie"/>
          <w:b w:val="0"/>
          <w:bCs/>
        </w:rPr>
        <w:footnoteReference w:id="24"/>
      </w:r>
      <w:bookmarkStart w:id="35" w:name="_Toc56781438"/>
      <w:bookmarkEnd w:id="35"/>
    </w:p>
    <w:tbl>
      <w:tblPr>
        <w:tblW w:w="8504" w:type="dxa"/>
        <w:tblInd w:w="1134" w:type="dxa"/>
        <w:tblBorders>
          <w:top w:val="single" w:sz="4" w:space="0" w:color="auto"/>
        </w:tblBorders>
        <w:tblCellMar>
          <w:left w:w="0" w:type="dxa"/>
          <w:right w:w="0" w:type="dxa"/>
        </w:tblCellMar>
        <w:tblLook w:val="0000" w:firstRow="0" w:lastRow="0" w:firstColumn="0" w:lastColumn="0" w:noHBand="0" w:noVBand="0"/>
      </w:tblPr>
      <w:tblGrid>
        <w:gridCol w:w="556"/>
        <w:gridCol w:w="1243"/>
        <w:gridCol w:w="2170"/>
        <w:gridCol w:w="1560"/>
        <w:gridCol w:w="1275"/>
        <w:gridCol w:w="851"/>
        <w:gridCol w:w="849"/>
      </w:tblGrid>
      <w:tr w:rsidR="00E2328D" w:rsidRPr="00E2328D" w14:paraId="2E9A4E57" w14:textId="77777777" w:rsidTr="001A21D8">
        <w:trPr>
          <w:trHeight w:val="240"/>
          <w:tblHeader/>
        </w:trPr>
        <w:tc>
          <w:tcPr>
            <w:tcW w:w="556" w:type="dxa"/>
            <w:tcBorders>
              <w:top w:val="single" w:sz="4" w:space="0" w:color="auto"/>
              <w:bottom w:val="single" w:sz="12" w:space="0" w:color="auto"/>
            </w:tcBorders>
            <w:shd w:val="clear" w:color="auto" w:fill="auto"/>
            <w:tcMar>
              <w:left w:w="0" w:type="dxa"/>
              <w:right w:w="0" w:type="dxa"/>
            </w:tcMar>
            <w:vAlign w:val="bottom"/>
          </w:tcPr>
          <w:p w14:paraId="2794CD2E" w14:textId="77777777" w:rsidR="00B92948" w:rsidRPr="00B92948" w:rsidRDefault="00B92948" w:rsidP="00AB6A51">
            <w:pPr>
              <w:pStyle w:val="SingleTxtG"/>
              <w:tabs>
                <w:tab w:val="clear" w:pos="1701"/>
                <w:tab w:val="clear" w:pos="2268"/>
                <w:tab w:val="clear" w:pos="2835"/>
              </w:tabs>
              <w:spacing w:before="80" w:after="80" w:line="200" w:lineRule="exact"/>
              <w:ind w:left="0" w:right="0"/>
              <w:jc w:val="left"/>
              <w:rPr>
                <w:i/>
                <w:sz w:val="16"/>
              </w:rPr>
            </w:pPr>
            <w:r w:rsidRPr="00B92948">
              <w:rPr>
                <w:i/>
                <w:iCs/>
                <w:sz w:val="16"/>
              </w:rPr>
              <w:t>Período</w:t>
            </w:r>
          </w:p>
        </w:tc>
        <w:tc>
          <w:tcPr>
            <w:tcW w:w="1243" w:type="dxa"/>
            <w:tcBorders>
              <w:top w:val="single" w:sz="4" w:space="0" w:color="auto"/>
              <w:bottom w:val="single" w:sz="12" w:space="0" w:color="auto"/>
            </w:tcBorders>
            <w:shd w:val="clear" w:color="auto" w:fill="auto"/>
            <w:tcMar>
              <w:left w:w="0" w:type="dxa"/>
              <w:right w:w="0" w:type="dxa"/>
            </w:tcMar>
            <w:vAlign w:val="bottom"/>
          </w:tcPr>
          <w:p w14:paraId="12901D07" w14:textId="77777777" w:rsidR="00B92948" w:rsidRPr="00B92948" w:rsidRDefault="00B92948" w:rsidP="00AB6A51">
            <w:pPr>
              <w:pStyle w:val="SingleTxtG"/>
              <w:tabs>
                <w:tab w:val="clear" w:pos="1701"/>
                <w:tab w:val="clear" w:pos="2268"/>
                <w:tab w:val="clear" w:pos="2835"/>
              </w:tabs>
              <w:spacing w:before="80" w:after="80" w:line="200" w:lineRule="exact"/>
              <w:ind w:left="0" w:right="28"/>
              <w:jc w:val="right"/>
              <w:rPr>
                <w:i/>
                <w:sz w:val="16"/>
              </w:rPr>
            </w:pPr>
            <w:r w:rsidRPr="00B92948">
              <w:rPr>
                <w:i/>
                <w:iCs/>
                <w:sz w:val="16"/>
              </w:rPr>
              <w:t>Número total de niños privados del cuidado parental</w:t>
            </w:r>
          </w:p>
        </w:tc>
        <w:tc>
          <w:tcPr>
            <w:tcW w:w="2170" w:type="dxa"/>
            <w:tcBorders>
              <w:top w:val="single" w:sz="4" w:space="0" w:color="auto"/>
              <w:bottom w:val="single" w:sz="12" w:space="0" w:color="auto"/>
            </w:tcBorders>
            <w:shd w:val="clear" w:color="auto" w:fill="auto"/>
            <w:tcMar>
              <w:left w:w="0" w:type="dxa"/>
              <w:right w:w="0" w:type="dxa"/>
            </w:tcMar>
            <w:vAlign w:val="bottom"/>
          </w:tcPr>
          <w:p w14:paraId="3DB65BAD" w14:textId="77777777" w:rsidR="00B92948" w:rsidRPr="00B92948" w:rsidRDefault="00B92948" w:rsidP="00AB6A51">
            <w:pPr>
              <w:pStyle w:val="SingleTxtG"/>
              <w:tabs>
                <w:tab w:val="clear" w:pos="1701"/>
                <w:tab w:val="clear" w:pos="2268"/>
                <w:tab w:val="clear" w:pos="2835"/>
              </w:tabs>
              <w:spacing w:before="80" w:after="80" w:line="200" w:lineRule="exact"/>
              <w:ind w:left="0" w:right="28"/>
              <w:jc w:val="right"/>
              <w:rPr>
                <w:i/>
                <w:sz w:val="16"/>
              </w:rPr>
            </w:pPr>
            <w:r w:rsidRPr="00B92948">
              <w:rPr>
                <w:i/>
                <w:iCs/>
                <w:sz w:val="16"/>
              </w:rPr>
              <w:t>Niños privados del cuidado parental colocados en el Hogar Bitola para Lactantes y Niños Pequeños</w:t>
            </w:r>
          </w:p>
        </w:tc>
        <w:tc>
          <w:tcPr>
            <w:tcW w:w="1560" w:type="dxa"/>
            <w:tcBorders>
              <w:top w:val="single" w:sz="4" w:space="0" w:color="auto"/>
              <w:bottom w:val="single" w:sz="12" w:space="0" w:color="auto"/>
            </w:tcBorders>
            <w:shd w:val="clear" w:color="auto" w:fill="auto"/>
            <w:tcMar>
              <w:left w:w="0" w:type="dxa"/>
              <w:right w:w="0" w:type="dxa"/>
            </w:tcMar>
            <w:vAlign w:val="bottom"/>
          </w:tcPr>
          <w:p w14:paraId="17E7D64A" w14:textId="77777777" w:rsidR="00B92948" w:rsidRPr="00B92948" w:rsidRDefault="00B92948" w:rsidP="00AB6A51">
            <w:pPr>
              <w:pStyle w:val="SingleTxtG"/>
              <w:tabs>
                <w:tab w:val="clear" w:pos="1701"/>
                <w:tab w:val="clear" w:pos="2268"/>
                <w:tab w:val="clear" w:pos="2835"/>
              </w:tabs>
              <w:spacing w:before="80" w:after="80" w:line="200" w:lineRule="exact"/>
              <w:ind w:left="0" w:right="28"/>
              <w:jc w:val="right"/>
              <w:rPr>
                <w:i/>
                <w:sz w:val="16"/>
              </w:rPr>
            </w:pPr>
            <w:r w:rsidRPr="00B92948">
              <w:rPr>
                <w:i/>
                <w:iCs/>
                <w:sz w:val="16"/>
              </w:rPr>
              <w:t>Hogar Infantil 11</w:t>
            </w:r>
            <w:r w:rsidR="00AB6A51">
              <w:rPr>
                <w:i/>
                <w:iCs/>
                <w:sz w:val="16"/>
              </w:rPr>
              <w:t> </w:t>
            </w:r>
            <w:r w:rsidRPr="00B92948">
              <w:rPr>
                <w:i/>
                <w:iCs/>
                <w:sz w:val="16"/>
              </w:rPr>
              <w:t xml:space="preserve">de </w:t>
            </w:r>
            <w:proofErr w:type="gramStart"/>
            <w:r w:rsidRPr="00B92948">
              <w:rPr>
                <w:i/>
                <w:iCs/>
                <w:sz w:val="16"/>
              </w:rPr>
              <w:t>Octubre</w:t>
            </w:r>
            <w:proofErr w:type="gramEnd"/>
            <w:r w:rsidRPr="00B92948">
              <w:rPr>
                <w:i/>
                <w:iCs/>
                <w:sz w:val="16"/>
              </w:rPr>
              <w:t>, Skopie</w:t>
            </w:r>
          </w:p>
        </w:tc>
        <w:tc>
          <w:tcPr>
            <w:tcW w:w="1275" w:type="dxa"/>
            <w:tcBorders>
              <w:top w:val="single" w:sz="4" w:space="0" w:color="auto"/>
              <w:bottom w:val="single" w:sz="12" w:space="0" w:color="auto"/>
            </w:tcBorders>
            <w:shd w:val="clear" w:color="auto" w:fill="auto"/>
            <w:tcMar>
              <w:left w:w="0" w:type="dxa"/>
              <w:right w:w="0" w:type="dxa"/>
            </w:tcMar>
            <w:vAlign w:val="bottom"/>
          </w:tcPr>
          <w:p w14:paraId="34149193" w14:textId="77777777" w:rsidR="00B92948" w:rsidRPr="00B92948" w:rsidRDefault="00B92948" w:rsidP="00AB6A51">
            <w:pPr>
              <w:pStyle w:val="SingleTxtG"/>
              <w:tabs>
                <w:tab w:val="clear" w:pos="1701"/>
                <w:tab w:val="clear" w:pos="2268"/>
                <w:tab w:val="clear" w:pos="2835"/>
              </w:tabs>
              <w:spacing w:before="80" w:after="80" w:line="200" w:lineRule="exact"/>
              <w:ind w:left="0" w:right="28"/>
              <w:jc w:val="right"/>
              <w:rPr>
                <w:i/>
                <w:sz w:val="16"/>
              </w:rPr>
            </w:pPr>
            <w:r w:rsidRPr="00B92948">
              <w:rPr>
                <w:i/>
                <w:iCs/>
                <w:sz w:val="16"/>
              </w:rPr>
              <w:t xml:space="preserve">Hogar funcional pequeño, </w:t>
            </w:r>
            <w:proofErr w:type="spellStart"/>
            <w:r w:rsidRPr="00B92948">
              <w:rPr>
                <w:i/>
                <w:iCs/>
                <w:sz w:val="16"/>
              </w:rPr>
              <w:t>Berovo</w:t>
            </w:r>
            <w:proofErr w:type="spellEnd"/>
          </w:p>
        </w:tc>
        <w:tc>
          <w:tcPr>
            <w:tcW w:w="851" w:type="dxa"/>
            <w:tcBorders>
              <w:top w:val="single" w:sz="4" w:space="0" w:color="auto"/>
              <w:bottom w:val="single" w:sz="12" w:space="0" w:color="auto"/>
            </w:tcBorders>
            <w:shd w:val="clear" w:color="auto" w:fill="auto"/>
            <w:vAlign w:val="bottom"/>
          </w:tcPr>
          <w:p w14:paraId="14219331" w14:textId="77777777" w:rsidR="00B92948" w:rsidRPr="00B92948" w:rsidRDefault="00B92948" w:rsidP="00AB6A51">
            <w:pPr>
              <w:pStyle w:val="SingleTxtG"/>
              <w:tabs>
                <w:tab w:val="clear" w:pos="1701"/>
                <w:tab w:val="clear" w:pos="2268"/>
                <w:tab w:val="clear" w:pos="2835"/>
              </w:tabs>
              <w:spacing w:before="80" w:after="80" w:line="200" w:lineRule="exact"/>
              <w:ind w:left="0" w:right="28"/>
              <w:jc w:val="right"/>
              <w:rPr>
                <w:i/>
                <w:sz w:val="16"/>
              </w:rPr>
            </w:pPr>
            <w:r w:rsidRPr="00B92948">
              <w:rPr>
                <w:i/>
                <w:iCs/>
                <w:sz w:val="16"/>
              </w:rPr>
              <w:t>Colocados</w:t>
            </w:r>
            <w:r w:rsidR="00096BA3">
              <w:rPr>
                <w:i/>
                <w:iCs/>
                <w:sz w:val="16"/>
              </w:rPr>
              <w:br/>
            </w:r>
            <w:r w:rsidRPr="00B92948">
              <w:rPr>
                <w:i/>
                <w:iCs/>
                <w:sz w:val="16"/>
              </w:rPr>
              <w:t>bajo tutela</w:t>
            </w:r>
          </w:p>
        </w:tc>
        <w:tc>
          <w:tcPr>
            <w:tcW w:w="849" w:type="dxa"/>
            <w:tcBorders>
              <w:top w:val="single" w:sz="4" w:space="0" w:color="auto"/>
              <w:bottom w:val="single" w:sz="12" w:space="0" w:color="auto"/>
            </w:tcBorders>
            <w:shd w:val="clear" w:color="auto" w:fill="auto"/>
            <w:vAlign w:val="bottom"/>
          </w:tcPr>
          <w:p w14:paraId="671869A8" w14:textId="77777777" w:rsidR="00B92948" w:rsidRPr="00B92948" w:rsidRDefault="00B92948" w:rsidP="00AB6A51">
            <w:pPr>
              <w:pStyle w:val="SingleTxtG"/>
              <w:tabs>
                <w:tab w:val="clear" w:pos="1701"/>
                <w:tab w:val="clear" w:pos="2268"/>
                <w:tab w:val="clear" w:pos="2835"/>
              </w:tabs>
              <w:spacing w:before="80" w:after="80" w:line="200" w:lineRule="exact"/>
              <w:ind w:left="0" w:right="28"/>
              <w:jc w:val="right"/>
              <w:rPr>
                <w:i/>
                <w:sz w:val="16"/>
              </w:rPr>
            </w:pPr>
            <w:r w:rsidRPr="00B92948">
              <w:rPr>
                <w:i/>
                <w:iCs/>
                <w:sz w:val="16"/>
              </w:rPr>
              <w:t>Familia de acogida</w:t>
            </w:r>
          </w:p>
        </w:tc>
      </w:tr>
      <w:tr w:rsidR="00E2328D" w:rsidRPr="00B92948" w14:paraId="297F88F3" w14:textId="77777777" w:rsidTr="001A21D8">
        <w:trPr>
          <w:trHeight w:val="240"/>
        </w:trPr>
        <w:tc>
          <w:tcPr>
            <w:tcW w:w="556" w:type="dxa"/>
            <w:tcBorders>
              <w:top w:val="single" w:sz="12" w:space="0" w:color="auto"/>
            </w:tcBorders>
            <w:shd w:val="clear" w:color="auto" w:fill="auto"/>
            <w:tcMar>
              <w:left w:w="0" w:type="dxa"/>
              <w:right w:w="0" w:type="dxa"/>
            </w:tcMar>
          </w:tcPr>
          <w:p w14:paraId="70BC2031" w14:textId="77777777" w:rsidR="00B92948" w:rsidRPr="00B92948" w:rsidRDefault="00B92948" w:rsidP="00E2328D">
            <w:pPr>
              <w:pStyle w:val="SingleTxtG"/>
              <w:tabs>
                <w:tab w:val="clear" w:pos="1701"/>
                <w:tab w:val="clear" w:pos="2268"/>
                <w:tab w:val="clear" w:pos="2835"/>
              </w:tabs>
              <w:spacing w:before="40" w:after="40" w:line="220" w:lineRule="exact"/>
              <w:ind w:left="0" w:right="0"/>
              <w:jc w:val="left"/>
              <w:rPr>
                <w:sz w:val="18"/>
              </w:rPr>
            </w:pPr>
            <w:r w:rsidRPr="00B92948">
              <w:rPr>
                <w:sz w:val="18"/>
              </w:rPr>
              <w:t>2014</w:t>
            </w:r>
          </w:p>
        </w:tc>
        <w:tc>
          <w:tcPr>
            <w:tcW w:w="1243" w:type="dxa"/>
            <w:tcBorders>
              <w:top w:val="single" w:sz="12" w:space="0" w:color="auto"/>
            </w:tcBorders>
            <w:shd w:val="clear" w:color="auto" w:fill="auto"/>
            <w:tcMar>
              <w:left w:w="0" w:type="dxa"/>
              <w:right w:w="0" w:type="dxa"/>
            </w:tcMar>
            <w:vAlign w:val="bottom"/>
          </w:tcPr>
          <w:p w14:paraId="7C2BE7AA" w14:textId="77777777" w:rsidR="00B92948" w:rsidRPr="00B92948" w:rsidRDefault="00B92948" w:rsidP="00AB6A51">
            <w:pPr>
              <w:pStyle w:val="SingleTxtG"/>
              <w:tabs>
                <w:tab w:val="clear" w:pos="1701"/>
                <w:tab w:val="clear" w:pos="2268"/>
                <w:tab w:val="clear" w:pos="2835"/>
              </w:tabs>
              <w:spacing w:before="40" w:after="40" w:line="220" w:lineRule="exact"/>
              <w:ind w:left="113" w:right="28"/>
              <w:jc w:val="right"/>
              <w:rPr>
                <w:sz w:val="18"/>
              </w:rPr>
            </w:pPr>
            <w:r w:rsidRPr="00B92948">
              <w:rPr>
                <w:sz w:val="18"/>
              </w:rPr>
              <w:t>1 226</w:t>
            </w:r>
          </w:p>
        </w:tc>
        <w:tc>
          <w:tcPr>
            <w:tcW w:w="2170" w:type="dxa"/>
            <w:tcBorders>
              <w:top w:val="single" w:sz="12" w:space="0" w:color="auto"/>
            </w:tcBorders>
            <w:shd w:val="clear" w:color="auto" w:fill="auto"/>
            <w:tcMar>
              <w:left w:w="0" w:type="dxa"/>
              <w:right w:w="0" w:type="dxa"/>
            </w:tcMar>
            <w:vAlign w:val="bottom"/>
          </w:tcPr>
          <w:p w14:paraId="3B636C4E" w14:textId="77777777" w:rsidR="00B92948" w:rsidRPr="00B92948" w:rsidRDefault="00B92948" w:rsidP="00AB6A51">
            <w:pPr>
              <w:pStyle w:val="SingleTxtG"/>
              <w:tabs>
                <w:tab w:val="clear" w:pos="1701"/>
                <w:tab w:val="clear" w:pos="2268"/>
                <w:tab w:val="clear" w:pos="2835"/>
              </w:tabs>
              <w:spacing w:before="40" w:after="40" w:line="220" w:lineRule="exact"/>
              <w:ind w:left="113" w:right="28"/>
              <w:jc w:val="right"/>
              <w:rPr>
                <w:sz w:val="18"/>
              </w:rPr>
            </w:pPr>
            <w:r w:rsidRPr="00B92948">
              <w:rPr>
                <w:sz w:val="18"/>
              </w:rPr>
              <w:t>78</w:t>
            </w:r>
          </w:p>
        </w:tc>
        <w:tc>
          <w:tcPr>
            <w:tcW w:w="1560" w:type="dxa"/>
            <w:tcBorders>
              <w:top w:val="single" w:sz="12" w:space="0" w:color="auto"/>
            </w:tcBorders>
            <w:shd w:val="clear" w:color="auto" w:fill="auto"/>
            <w:tcMar>
              <w:left w:w="0" w:type="dxa"/>
              <w:right w:w="0" w:type="dxa"/>
            </w:tcMar>
            <w:vAlign w:val="bottom"/>
          </w:tcPr>
          <w:p w14:paraId="703EB670" w14:textId="77777777" w:rsidR="00B92948" w:rsidRPr="00B92948" w:rsidRDefault="00B92948" w:rsidP="00AB6A51">
            <w:pPr>
              <w:pStyle w:val="SingleTxtG"/>
              <w:tabs>
                <w:tab w:val="clear" w:pos="1701"/>
                <w:tab w:val="clear" w:pos="2268"/>
                <w:tab w:val="clear" w:pos="2835"/>
              </w:tabs>
              <w:spacing w:before="40" w:after="40" w:line="220" w:lineRule="exact"/>
              <w:ind w:left="113" w:right="28"/>
              <w:jc w:val="right"/>
              <w:rPr>
                <w:sz w:val="18"/>
              </w:rPr>
            </w:pPr>
            <w:r w:rsidRPr="00B92948">
              <w:rPr>
                <w:sz w:val="18"/>
              </w:rPr>
              <w:t>55</w:t>
            </w:r>
          </w:p>
        </w:tc>
        <w:tc>
          <w:tcPr>
            <w:tcW w:w="1275" w:type="dxa"/>
            <w:tcBorders>
              <w:top w:val="single" w:sz="12" w:space="0" w:color="auto"/>
            </w:tcBorders>
            <w:shd w:val="clear" w:color="auto" w:fill="auto"/>
            <w:tcMar>
              <w:left w:w="0" w:type="dxa"/>
              <w:right w:w="0" w:type="dxa"/>
            </w:tcMar>
            <w:vAlign w:val="bottom"/>
          </w:tcPr>
          <w:p w14:paraId="30E9D92E" w14:textId="77777777" w:rsidR="00B92948" w:rsidRPr="00B92948" w:rsidRDefault="00B92948" w:rsidP="00AB6A51">
            <w:pPr>
              <w:pStyle w:val="SingleTxtG"/>
              <w:tabs>
                <w:tab w:val="clear" w:pos="1701"/>
                <w:tab w:val="clear" w:pos="2268"/>
                <w:tab w:val="clear" w:pos="2835"/>
              </w:tabs>
              <w:spacing w:before="40" w:after="40" w:line="220" w:lineRule="exact"/>
              <w:ind w:left="113" w:right="28"/>
              <w:jc w:val="right"/>
              <w:rPr>
                <w:sz w:val="18"/>
              </w:rPr>
            </w:pPr>
            <w:r w:rsidRPr="00B92948">
              <w:rPr>
                <w:sz w:val="18"/>
              </w:rPr>
              <w:t>5</w:t>
            </w:r>
          </w:p>
        </w:tc>
        <w:tc>
          <w:tcPr>
            <w:tcW w:w="851" w:type="dxa"/>
            <w:tcBorders>
              <w:top w:val="single" w:sz="12" w:space="0" w:color="auto"/>
            </w:tcBorders>
            <w:shd w:val="clear" w:color="auto" w:fill="auto"/>
            <w:vAlign w:val="bottom"/>
          </w:tcPr>
          <w:p w14:paraId="163D822B" w14:textId="77777777" w:rsidR="00B92948" w:rsidRPr="00B92948" w:rsidRDefault="00B92948" w:rsidP="00AB6A51">
            <w:pPr>
              <w:pStyle w:val="SingleTxtG"/>
              <w:tabs>
                <w:tab w:val="clear" w:pos="1701"/>
                <w:tab w:val="clear" w:pos="2268"/>
                <w:tab w:val="clear" w:pos="2835"/>
              </w:tabs>
              <w:spacing w:before="40" w:after="40" w:line="220" w:lineRule="exact"/>
              <w:ind w:left="113" w:right="28"/>
              <w:jc w:val="right"/>
              <w:rPr>
                <w:sz w:val="18"/>
              </w:rPr>
            </w:pPr>
            <w:r w:rsidRPr="00B92948">
              <w:rPr>
                <w:sz w:val="18"/>
              </w:rPr>
              <w:t>830</w:t>
            </w:r>
          </w:p>
        </w:tc>
        <w:tc>
          <w:tcPr>
            <w:tcW w:w="849" w:type="dxa"/>
            <w:tcBorders>
              <w:top w:val="single" w:sz="12" w:space="0" w:color="auto"/>
            </w:tcBorders>
            <w:shd w:val="clear" w:color="auto" w:fill="auto"/>
            <w:vAlign w:val="bottom"/>
          </w:tcPr>
          <w:p w14:paraId="50B777E6" w14:textId="77777777" w:rsidR="00B92948" w:rsidRPr="00B92948" w:rsidRDefault="00B92948" w:rsidP="00AB6A51">
            <w:pPr>
              <w:pStyle w:val="SingleTxtG"/>
              <w:tabs>
                <w:tab w:val="clear" w:pos="1701"/>
                <w:tab w:val="clear" w:pos="2268"/>
                <w:tab w:val="clear" w:pos="2835"/>
              </w:tabs>
              <w:spacing w:before="40" w:after="40" w:line="220" w:lineRule="exact"/>
              <w:ind w:left="113" w:right="28"/>
              <w:jc w:val="right"/>
              <w:rPr>
                <w:sz w:val="18"/>
              </w:rPr>
            </w:pPr>
            <w:r w:rsidRPr="00B92948">
              <w:rPr>
                <w:sz w:val="18"/>
              </w:rPr>
              <w:t>258</w:t>
            </w:r>
          </w:p>
        </w:tc>
      </w:tr>
      <w:tr w:rsidR="00E2328D" w:rsidRPr="00B92948" w14:paraId="5C64C2F9" w14:textId="77777777" w:rsidTr="001A21D8">
        <w:trPr>
          <w:trHeight w:val="240"/>
        </w:trPr>
        <w:tc>
          <w:tcPr>
            <w:tcW w:w="556" w:type="dxa"/>
            <w:shd w:val="clear" w:color="auto" w:fill="auto"/>
            <w:tcMar>
              <w:left w:w="0" w:type="dxa"/>
              <w:right w:w="0" w:type="dxa"/>
            </w:tcMar>
          </w:tcPr>
          <w:p w14:paraId="1CB59651" w14:textId="77777777" w:rsidR="00B92948" w:rsidRPr="00B92948" w:rsidRDefault="00B92948" w:rsidP="00E2328D">
            <w:pPr>
              <w:pStyle w:val="SingleTxtG"/>
              <w:tabs>
                <w:tab w:val="clear" w:pos="1701"/>
                <w:tab w:val="clear" w:pos="2268"/>
                <w:tab w:val="clear" w:pos="2835"/>
              </w:tabs>
              <w:spacing w:before="40" w:after="40" w:line="220" w:lineRule="exact"/>
              <w:ind w:left="0" w:right="0"/>
              <w:jc w:val="left"/>
              <w:rPr>
                <w:sz w:val="18"/>
              </w:rPr>
            </w:pPr>
            <w:r w:rsidRPr="00B92948">
              <w:rPr>
                <w:sz w:val="18"/>
              </w:rPr>
              <w:t>2015</w:t>
            </w:r>
          </w:p>
        </w:tc>
        <w:tc>
          <w:tcPr>
            <w:tcW w:w="1243" w:type="dxa"/>
            <w:shd w:val="clear" w:color="auto" w:fill="auto"/>
            <w:tcMar>
              <w:left w:w="0" w:type="dxa"/>
              <w:right w:w="0" w:type="dxa"/>
            </w:tcMar>
            <w:vAlign w:val="bottom"/>
          </w:tcPr>
          <w:p w14:paraId="7D545233" w14:textId="77777777" w:rsidR="00B92948" w:rsidRPr="00B92948" w:rsidRDefault="00B92948" w:rsidP="00AB6A51">
            <w:pPr>
              <w:pStyle w:val="SingleTxtG"/>
              <w:tabs>
                <w:tab w:val="clear" w:pos="1701"/>
                <w:tab w:val="clear" w:pos="2268"/>
                <w:tab w:val="clear" w:pos="2835"/>
              </w:tabs>
              <w:spacing w:before="40" w:after="40" w:line="220" w:lineRule="exact"/>
              <w:ind w:left="113" w:right="28"/>
              <w:jc w:val="right"/>
              <w:rPr>
                <w:sz w:val="18"/>
              </w:rPr>
            </w:pPr>
            <w:r w:rsidRPr="00B92948">
              <w:rPr>
                <w:sz w:val="18"/>
              </w:rPr>
              <w:t>1 303</w:t>
            </w:r>
          </w:p>
        </w:tc>
        <w:tc>
          <w:tcPr>
            <w:tcW w:w="2170" w:type="dxa"/>
            <w:shd w:val="clear" w:color="auto" w:fill="auto"/>
            <w:tcMar>
              <w:left w:w="0" w:type="dxa"/>
              <w:right w:w="0" w:type="dxa"/>
            </w:tcMar>
            <w:vAlign w:val="bottom"/>
          </w:tcPr>
          <w:p w14:paraId="26E2783F" w14:textId="77777777" w:rsidR="00B92948" w:rsidRPr="00B92948" w:rsidRDefault="00B92948" w:rsidP="00AB6A51">
            <w:pPr>
              <w:pStyle w:val="SingleTxtG"/>
              <w:tabs>
                <w:tab w:val="clear" w:pos="1701"/>
                <w:tab w:val="clear" w:pos="2268"/>
                <w:tab w:val="clear" w:pos="2835"/>
              </w:tabs>
              <w:spacing w:before="40" w:after="40" w:line="220" w:lineRule="exact"/>
              <w:ind w:left="113" w:right="28"/>
              <w:jc w:val="right"/>
              <w:rPr>
                <w:sz w:val="18"/>
              </w:rPr>
            </w:pPr>
            <w:r w:rsidRPr="00B92948">
              <w:rPr>
                <w:sz w:val="18"/>
              </w:rPr>
              <w:t>79</w:t>
            </w:r>
          </w:p>
        </w:tc>
        <w:tc>
          <w:tcPr>
            <w:tcW w:w="1560" w:type="dxa"/>
            <w:shd w:val="clear" w:color="auto" w:fill="auto"/>
            <w:tcMar>
              <w:left w:w="0" w:type="dxa"/>
              <w:right w:w="0" w:type="dxa"/>
            </w:tcMar>
            <w:vAlign w:val="bottom"/>
          </w:tcPr>
          <w:p w14:paraId="592BDD54" w14:textId="77777777" w:rsidR="00B92948" w:rsidRPr="00B92948" w:rsidRDefault="00B92948" w:rsidP="00AB6A51">
            <w:pPr>
              <w:pStyle w:val="SingleTxtG"/>
              <w:tabs>
                <w:tab w:val="clear" w:pos="1701"/>
                <w:tab w:val="clear" w:pos="2268"/>
                <w:tab w:val="clear" w:pos="2835"/>
              </w:tabs>
              <w:spacing w:before="40" w:after="40" w:line="220" w:lineRule="exact"/>
              <w:ind w:left="113" w:right="28"/>
              <w:jc w:val="right"/>
              <w:rPr>
                <w:sz w:val="18"/>
              </w:rPr>
            </w:pPr>
            <w:r w:rsidRPr="00B92948">
              <w:rPr>
                <w:sz w:val="18"/>
              </w:rPr>
              <w:t>66</w:t>
            </w:r>
          </w:p>
        </w:tc>
        <w:tc>
          <w:tcPr>
            <w:tcW w:w="1275" w:type="dxa"/>
            <w:shd w:val="clear" w:color="auto" w:fill="auto"/>
            <w:tcMar>
              <w:left w:w="0" w:type="dxa"/>
              <w:right w:w="0" w:type="dxa"/>
            </w:tcMar>
            <w:vAlign w:val="bottom"/>
          </w:tcPr>
          <w:p w14:paraId="02D6D48F" w14:textId="77777777" w:rsidR="00B92948" w:rsidRPr="00B92948" w:rsidRDefault="00B92948" w:rsidP="00AB6A51">
            <w:pPr>
              <w:pStyle w:val="SingleTxtG"/>
              <w:tabs>
                <w:tab w:val="clear" w:pos="1701"/>
                <w:tab w:val="clear" w:pos="2268"/>
                <w:tab w:val="clear" w:pos="2835"/>
              </w:tabs>
              <w:spacing w:before="40" w:after="40" w:line="220" w:lineRule="exact"/>
              <w:ind w:left="113" w:right="28"/>
              <w:jc w:val="right"/>
              <w:rPr>
                <w:sz w:val="18"/>
              </w:rPr>
            </w:pPr>
            <w:r w:rsidRPr="00B92948">
              <w:rPr>
                <w:sz w:val="18"/>
              </w:rPr>
              <w:t>5</w:t>
            </w:r>
          </w:p>
        </w:tc>
        <w:tc>
          <w:tcPr>
            <w:tcW w:w="851" w:type="dxa"/>
            <w:shd w:val="clear" w:color="auto" w:fill="auto"/>
            <w:vAlign w:val="bottom"/>
          </w:tcPr>
          <w:p w14:paraId="06A51ACA" w14:textId="77777777" w:rsidR="00B92948" w:rsidRPr="00B92948" w:rsidRDefault="00B92948" w:rsidP="00AB6A51">
            <w:pPr>
              <w:pStyle w:val="SingleTxtG"/>
              <w:tabs>
                <w:tab w:val="clear" w:pos="1701"/>
                <w:tab w:val="clear" w:pos="2268"/>
                <w:tab w:val="clear" w:pos="2835"/>
              </w:tabs>
              <w:spacing w:before="40" w:after="40" w:line="220" w:lineRule="exact"/>
              <w:ind w:left="113" w:right="28"/>
              <w:jc w:val="right"/>
              <w:rPr>
                <w:sz w:val="18"/>
              </w:rPr>
            </w:pPr>
            <w:r w:rsidRPr="00B92948">
              <w:rPr>
                <w:sz w:val="18"/>
              </w:rPr>
              <w:t>874</w:t>
            </w:r>
          </w:p>
        </w:tc>
        <w:tc>
          <w:tcPr>
            <w:tcW w:w="849" w:type="dxa"/>
            <w:shd w:val="clear" w:color="auto" w:fill="auto"/>
            <w:vAlign w:val="bottom"/>
          </w:tcPr>
          <w:p w14:paraId="07016AA4" w14:textId="77777777" w:rsidR="00B92948" w:rsidRPr="00B92948" w:rsidRDefault="00B92948" w:rsidP="00AB6A51">
            <w:pPr>
              <w:pStyle w:val="SingleTxtG"/>
              <w:tabs>
                <w:tab w:val="clear" w:pos="1701"/>
                <w:tab w:val="clear" w:pos="2268"/>
                <w:tab w:val="clear" w:pos="2835"/>
              </w:tabs>
              <w:spacing w:before="40" w:after="40" w:line="220" w:lineRule="exact"/>
              <w:ind w:left="113" w:right="28"/>
              <w:jc w:val="right"/>
              <w:rPr>
                <w:sz w:val="18"/>
              </w:rPr>
            </w:pPr>
            <w:r w:rsidRPr="00B92948">
              <w:rPr>
                <w:sz w:val="18"/>
              </w:rPr>
              <w:t>279</w:t>
            </w:r>
          </w:p>
        </w:tc>
      </w:tr>
      <w:tr w:rsidR="00E2328D" w:rsidRPr="00B92948" w14:paraId="21E14BE7" w14:textId="77777777" w:rsidTr="001A21D8">
        <w:trPr>
          <w:trHeight w:val="240"/>
        </w:trPr>
        <w:tc>
          <w:tcPr>
            <w:tcW w:w="556" w:type="dxa"/>
            <w:shd w:val="clear" w:color="auto" w:fill="auto"/>
            <w:tcMar>
              <w:left w:w="0" w:type="dxa"/>
              <w:right w:w="0" w:type="dxa"/>
            </w:tcMar>
          </w:tcPr>
          <w:p w14:paraId="2098BE40" w14:textId="77777777" w:rsidR="00B92948" w:rsidRPr="00B92948" w:rsidRDefault="00B92948" w:rsidP="00E2328D">
            <w:pPr>
              <w:pStyle w:val="SingleTxtG"/>
              <w:tabs>
                <w:tab w:val="clear" w:pos="1701"/>
                <w:tab w:val="clear" w:pos="2268"/>
                <w:tab w:val="clear" w:pos="2835"/>
              </w:tabs>
              <w:spacing w:before="40" w:after="40" w:line="220" w:lineRule="exact"/>
              <w:ind w:left="0" w:right="0"/>
              <w:jc w:val="left"/>
              <w:rPr>
                <w:sz w:val="18"/>
              </w:rPr>
            </w:pPr>
            <w:r w:rsidRPr="00B92948">
              <w:rPr>
                <w:sz w:val="18"/>
              </w:rPr>
              <w:t>2016</w:t>
            </w:r>
          </w:p>
        </w:tc>
        <w:tc>
          <w:tcPr>
            <w:tcW w:w="1243" w:type="dxa"/>
            <w:shd w:val="clear" w:color="auto" w:fill="auto"/>
            <w:tcMar>
              <w:left w:w="0" w:type="dxa"/>
              <w:right w:w="0" w:type="dxa"/>
            </w:tcMar>
            <w:vAlign w:val="bottom"/>
          </w:tcPr>
          <w:p w14:paraId="1EC7707F" w14:textId="77777777" w:rsidR="00B92948" w:rsidRPr="00B92948" w:rsidRDefault="00B92948" w:rsidP="00AB6A51">
            <w:pPr>
              <w:pStyle w:val="SingleTxtG"/>
              <w:tabs>
                <w:tab w:val="clear" w:pos="1701"/>
                <w:tab w:val="clear" w:pos="2268"/>
                <w:tab w:val="clear" w:pos="2835"/>
              </w:tabs>
              <w:spacing w:before="40" w:after="40" w:line="220" w:lineRule="exact"/>
              <w:ind w:left="113" w:right="28"/>
              <w:jc w:val="right"/>
              <w:rPr>
                <w:sz w:val="18"/>
              </w:rPr>
            </w:pPr>
            <w:r w:rsidRPr="00B92948">
              <w:rPr>
                <w:sz w:val="18"/>
              </w:rPr>
              <w:t>1 306</w:t>
            </w:r>
          </w:p>
        </w:tc>
        <w:tc>
          <w:tcPr>
            <w:tcW w:w="2170" w:type="dxa"/>
            <w:shd w:val="clear" w:color="auto" w:fill="auto"/>
            <w:tcMar>
              <w:left w:w="0" w:type="dxa"/>
              <w:right w:w="0" w:type="dxa"/>
            </w:tcMar>
            <w:vAlign w:val="bottom"/>
          </w:tcPr>
          <w:p w14:paraId="64338A68" w14:textId="77777777" w:rsidR="00B92948" w:rsidRPr="00B92948" w:rsidRDefault="00B92948" w:rsidP="00AB6A51">
            <w:pPr>
              <w:pStyle w:val="SingleTxtG"/>
              <w:tabs>
                <w:tab w:val="clear" w:pos="1701"/>
                <w:tab w:val="clear" w:pos="2268"/>
                <w:tab w:val="clear" w:pos="2835"/>
              </w:tabs>
              <w:spacing w:before="40" w:after="40" w:line="220" w:lineRule="exact"/>
              <w:ind w:left="113" w:right="28"/>
              <w:jc w:val="right"/>
              <w:rPr>
                <w:sz w:val="18"/>
              </w:rPr>
            </w:pPr>
            <w:r w:rsidRPr="00B92948">
              <w:rPr>
                <w:sz w:val="18"/>
              </w:rPr>
              <w:t>66</w:t>
            </w:r>
          </w:p>
        </w:tc>
        <w:tc>
          <w:tcPr>
            <w:tcW w:w="1560" w:type="dxa"/>
            <w:shd w:val="clear" w:color="auto" w:fill="auto"/>
            <w:tcMar>
              <w:left w:w="0" w:type="dxa"/>
              <w:right w:w="0" w:type="dxa"/>
            </w:tcMar>
            <w:vAlign w:val="bottom"/>
          </w:tcPr>
          <w:p w14:paraId="2851A28E" w14:textId="77777777" w:rsidR="00B92948" w:rsidRPr="00B92948" w:rsidRDefault="00B92948" w:rsidP="00AB6A51">
            <w:pPr>
              <w:pStyle w:val="SingleTxtG"/>
              <w:tabs>
                <w:tab w:val="clear" w:pos="1701"/>
                <w:tab w:val="clear" w:pos="2268"/>
                <w:tab w:val="clear" w:pos="2835"/>
              </w:tabs>
              <w:spacing w:before="40" w:after="40" w:line="220" w:lineRule="exact"/>
              <w:ind w:left="113" w:right="28"/>
              <w:jc w:val="right"/>
              <w:rPr>
                <w:sz w:val="18"/>
              </w:rPr>
            </w:pPr>
            <w:r w:rsidRPr="00B92948">
              <w:rPr>
                <w:sz w:val="18"/>
              </w:rPr>
              <w:t>52</w:t>
            </w:r>
          </w:p>
        </w:tc>
        <w:tc>
          <w:tcPr>
            <w:tcW w:w="1275" w:type="dxa"/>
            <w:shd w:val="clear" w:color="auto" w:fill="auto"/>
            <w:tcMar>
              <w:left w:w="0" w:type="dxa"/>
              <w:right w:w="0" w:type="dxa"/>
            </w:tcMar>
            <w:vAlign w:val="bottom"/>
          </w:tcPr>
          <w:p w14:paraId="5ED5F534" w14:textId="77777777" w:rsidR="00B92948" w:rsidRPr="00B92948" w:rsidRDefault="00B92948" w:rsidP="00AB6A51">
            <w:pPr>
              <w:pStyle w:val="SingleTxtG"/>
              <w:tabs>
                <w:tab w:val="clear" w:pos="1701"/>
                <w:tab w:val="clear" w:pos="2268"/>
                <w:tab w:val="clear" w:pos="2835"/>
              </w:tabs>
              <w:spacing w:before="40" w:after="40" w:line="220" w:lineRule="exact"/>
              <w:ind w:left="113" w:right="28"/>
              <w:jc w:val="right"/>
              <w:rPr>
                <w:sz w:val="18"/>
              </w:rPr>
            </w:pPr>
            <w:r w:rsidRPr="00B92948">
              <w:rPr>
                <w:sz w:val="18"/>
              </w:rPr>
              <w:t>9</w:t>
            </w:r>
          </w:p>
        </w:tc>
        <w:tc>
          <w:tcPr>
            <w:tcW w:w="851" w:type="dxa"/>
            <w:shd w:val="clear" w:color="auto" w:fill="auto"/>
            <w:vAlign w:val="bottom"/>
          </w:tcPr>
          <w:p w14:paraId="512CC101" w14:textId="77777777" w:rsidR="00B92948" w:rsidRPr="00B92948" w:rsidRDefault="00B92948" w:rsidP="00AB6A51">
            <w:pPr>
              <w:pStyle w:val="SingleTxtG"/>
              <w:tabs>
                <w:tab w:val="clear" w:pos="1701"/>
                <w:tab w:val="clear" w:pos="2268"/>
                <w:tab w:val="clear" w:pos="2835"/>
              </w:tabs>
              <w:spacing w:before="40" w:after="40" w:line="220" w:lineRule="exact"/>
              <w:ind w:left="113" w:right="28"/>
              <w:jc w:val="right"/>
              <w:rPr>
                <w:sz w:val="18"/>
              </w:rPr>
            </w:pPr>
            <w:r w:rsidRPr="00B92948">
              <w:rPr>
                <w:sz w:val="18"/>
              </w:rPr>
              <w:t>893</w:t>
            </w:r>
          </w:p>
        </w:tc>
        <w:tc>
          <w:tcPr>
            <w:tcW w:w="849" w:type="dxa"/>
            <w:shd w:val="clear" w:color="auto" w:fill="auto"/>
            <w:vAlign w:val="bottom"/>
          </w:tcPr>
          <w:p w14:paraId="3CF51988" w14:textId="77777777" w:rsidR="00B92948" w:rsidRPr="00B92948" w:rsidRDefault="00B92948" w:rsidP="00AB6A51">
            <w:pPr>
              <w:pStyle w:val="SingleTxtG"/>
              <w:tabs>
                <w:tab w:val="clear" w:pos="1701"/>
                <w:tab w:val="clear" w:pos="2268"/>
                <w:tab w:val="clear" w:pos="2835"/>
              </w:tabs>
              <w:spacing w:before="40" w:after="40" w:line="220" w:lineRule="exact"/>
              <w:ind w:left="113" w:right="28"/>
              <w:jc w:val="right"/>
              <w:rPr>
                <w:sz w:val="18"/>
              </w:rPr>
            </w:pPr>
            <w:r w:rsidRPr="00B92948">
              <w:rPr>
                <w:sz w:val="18"/>
              </w:rPr>
              <w:t>286</w:t>
            </w:r>
          </w:p>
        </w:tc>
      </w:tr>
      <w:tr w:rsidR="00E2328D" w:rsidRPr="00B92948" w14:paraId="5A4E53C5" w14:textId="77777777" w:rsidTr="001A21D8">
        <w:trPr>
          <w:trHeight w:val="240"/>
        </w:trPr>
        <w:tc>
          <w:tcPr>
            <w:tcW w:w="556" w:type="dxa"/>
            <w:shd w:val="clear" w:color="auto" w:fill="auto"/>
            <w:tcMar>
              <w:left w:w="0" w:type="dxa"/>
              <w:right w:w="0" w:type="dxa"/>
            </w:tcMar>
          </w:tcPr>
          <w:p w14:paraId="5B299A0F" w14:textId="77777777" w:rsidR="00B92948" w:rsidRPr="00B92948" w:rsidRDefault="00B92948" w:rsidP="00E2328D">
            <w:pPr>
              <w:pStyle w:val="SingleTxtG"/>
              <w:tabs>
                <w:tab w:val="clear" w:pos="1701"/>
                <w:tab w:val="clear" w:pos="2268"/>
                <w:tab w:val="clear" w:pos="2835"/>
              </w:tabs>
              <w:spacing w:before="40" w:after="40" w:line="220" w:lineRule="exact"/>
              <w:ind w:left="0" w:right="0"/>
              <w:jc w:val="left"/>
              <w:rPr>
                <w:sz w:val="18"/>
              </w:rPr>
            </w:pPr>
            <w:r w:rsidRPr="00B92948">
              <w:rPr>
                <w:sz w:val="18"/>
              </w:rPr>
              <w:t>2017</w:t>
            </w:r>
          </w:p>
        </w:tc>
        <w:tc>
          <w:tcPr>
            <w:tcW w:w="1243" w:type="dxa"/>
            <w:shd w:val="clear" w:color="auto" w:fill="auto"/>
            <w:tcMar>
              <w:left w:w="0" w:type="dxa"/>
              <w:right w:w="0" w:type="dxa"/>
            </w:tcMar>
            <w:vAlign w:val="bottom"/>
          </w:tcPr>
          <w:p w14:paraId="660813AE" w14:textId="77777777" w:rsidR="00B92948" w:rsidRPr="00B92948" w:rsidRDefault="00B92948" w:rsidP="00AB6A51">
            <w:pPr>
              <w:pStyle w:val="SingleTxtG"/>
              <w:tabs>
                <w:tab w:val="clear" w:pos="1701"/>
                <w:tab w:val="clear" w:pos="2268"/>
                <w:tab w:val="clear" w:pos="2835"/>
              </w:tabs>
              <w:spacing w:before="40" w:after="40" w:line="220" w:lineRule="exact"/>
              <w:ind w:left="113" w:right="28"/>
              <w:jc w:val="right"/>
              <w:rPr>
                <w:sz w:val="18"/>
              </w:rPr>
            </w:pPr>
            <w:r w:rsidRPr="00B92948">
              <w:rPr>
                <w:sz w:val="18"/>
              </w:rPr>
              <w:t>1 307</w:t>
            </w:r>
          </w:p>
        </w:tc>
        <w:tc>
          <w:tcPr>
            <w:tcW w:w="2170" w:type="dxa"/>
            <w:shd w:val="clear" w:color="auto" w:fill="auto"/>
            <w:tcMar>
              <w:left w:w="0" w:type="dxa"/>
              <w:right w:w="0" w:type="dxa"/>
            </w:tcMar>
            <w:vAlign w:val="bottom"/>
          </w:tcPr>
          <w:p w14:paraId="5EE7D912" w14:textId="77777777" w:rsidR="00B92948" w:rsidRPr="00B92948" w:rsidRDefault="00B92948" w:rsidP="00AB6A51">
            <w:pPr>
              <w:pStyle w:val="SingleTxtG"/>
              <w:tabs>
                <w:tab w:val="clear" w:pos="1701"/>
                <w:tab w:val="clear" w:pos="2268"/>
                <w:tab w:val="clear" w:pos="2835"/>
              </w:tabs>
              <w:spacing w:before="40" w:after="40" w:line="220" w:lineRule="exact"/>
              <w:ind w:left="113" w:right="28"/>
              <w:jc w:val="right"/>
              <w:rPr>
                <w:sz w:val="18"/>
              </w:rPr>
            </w:pPr>
            <w:r w:rsidRPr="00B92948">
              <w:rPr>
                <w:sz w:val="18"/>
              </w:rPr>
              <w:t>75</w:t>
            </w:r>
          </w:p>
        </w:tc>
        <w:tc>
          <w:tcPr>
            <w:tcW w:w="1560" w:type="dxa"/>
            <w:shd w:val="clear" w:color="auto" w:fill="auto"/>
            <w:tcMar>
              <w:left w:w="0" w:type="dxa"/>
              <w:right w:w="0" w:type="dxa"/>
            </w:tcMar>
            <w:vAlign w:val="bottom"/>
          </w:tcPr>
          <w:p w14:paraId="7F7F5FBA" w14:textId="77777777" w:rsidR="00B92948" w:rsidRPr="00B92948" w:rsidRDefault="00B92948" w:rsidP="00AB6A51">
            <w:pPr>
              <w:pStyle w:val="SingleTxtG"/>
              <w:tabs>
                <w:tab w:val="clear" w:pos="1701"/>
                <w:tab w:val="clear" w:pos="2268"/>
                <w:tab w:val="clear" w:pos="2835"/>
              </w:tabs>
              <w:spacing w:before="40" w:after="40" w:line="220" w:lineRule="exact"/>
              <w:ind w:left="113" w:right="28"/>
              <w:jc w:val="right"/>
              <w:rPr>
                <w:sz w:val="18"/>
              </w:rPr>
            </w:pPr>
            <w:r w:rsidRPr="00B92948">
              <w:rPr>
                <w:sz w:val="18"/>
              </w:rPr>
              <w:t>63</w:t>
            </w:r>
          </w:p>
        </w:tc>
        <w:tc>
          <w:tcPr>
            <w:tcW w:w="1275" w:type="dxa"/>
            <w:shd w:val="clear" w:color="auto" w:fill="auto"/>
            <w:tcMar>
              <w:left w:w="0" w:type="dxa"/>
              <w:right w:w="0" w:type="dxa"/>
            </w:tcMar>
            <w:vAlign w:val="bottom"/>
          </w:tcPr>
          <w:p w14:paraId="54885AC1" w14:textId="77777777" w:rsidR="00B92948" w:rsidRPr="00B92948" w:rsidRDefault="00B92948" w:rsidP="00AB6A51">
            <w:pPr>
              <w:pStyle w:val="SingleTxtG"/>
              <w:tabs>
                <w:tab w:val="clear" w:pos="1701"/>
                <w:tab w:val="clear" w:pos="2268"/>
                <w:tab w:val="clear" w:pos="2835"/>
              </w:tabs>
              <w:spacing w:before="40" w:after="40" w:line="220" w:lineRule="exact"/>
              <w:ind w:left="113" w:right="28"/>
              <w:jc w:val="right"/>
              <w:rPr>
                <w:sz w:val="18"/>
              </w:rPr>
            </w:pPr>
            <w:r w:rsidRPr="00B92948">
              <w:rPr>
                <w:sz w:val="18"/>
              </w:rPr>
              <w:t>7</w:t>
            </w:r>
          </w:p>
        </w:tc>
        <w:tc>
          <w:tcPr>
            <w:tcW w:w="851" w:type="dxa"/>
            <w:shd w:val="clear" w:color="auto" w:fill="auto"/>
            <w:vAlign w:val="bottom"/>
          </w:tcPr>
          <w:p w14:paraId="0E0E8571" w14:textId="77777777" w:rsidR="00B92948" w:rsidRPr="00B92948" w:rsidRDefault="00B92948" w:rsidP="00AB6A51">
            <w:pPr>
              <w:pStyle w:val="SingleTxtG"/>
              <w:tabs>
                <w:tab w:val="clear" w:pos="1701"/>
                <w:tab w:val="clear" w:pos="2268"/>
                <w:tab w:val="clear" w:pos="2835"/>
              </w:tabs>
              <w:spacing w:before="40" w:after="40" w:line="220" w:lineRule="exact"/>
              <w:ind w:left="113" w:right="28"/>
              <w:jc w:val="right"/>
              <w:rPr>
                <w:sz w:val="18"/>
              </w:rPr>
            </w:pPr>
            <w:r w:rsidRPr="00B92948">
              <w:rPr>
                <w:sz w:val="18"/>
              </w:rPr>
              <w:t>865</w:t>
            </w:r>
          </w:p>
        </w:tc>
        <w:tc>
          <w:tcPr>
            <w:tcW w:w="849" w:type="dxa"/>
            <w:shd w:val="clear" w:color="auto" w:fill="auto"/>
            <w:vAlign w:val="bottom"/>
          </w:tcPr>
          <w:p w14:paraId="5E220608" w14:textId="77777777" w:rsidR="00B92948" w:rsidRPr="00B92948" w:rsidRDefault="00B92948" w:rsidP="00AB6A51">
            <w:pPr>
              <w:pStyle w:val="SingleTxtG"/>
              <w:tabs>
                <w:tab w:val="clear" w:pos="1701"/>
                <w:tab w:val="clear" w:pos="2268"/>
                <w:tab w:val="clear" w:pos="2835"/>
              </w:tabs>
              <w:spacing w:before="40" w:after="40" w:line="220" w:lineRule="exact"/>
              <w:ind w:left="113" w:right="28"/>
              <w:jc w:val="right"/>
              <w:rPr>
                <w:sz w:val="18"/>
              </w:rPr>
            </w:pPr>
            <w:r w:rsidRPr="00B92948">
              <w:rPr>
                <w:sz w:val="18"/>
              </w:rPr>
              <w:t>297</w:t>
            </w:r>
          </w:p>
        </w:tc>
      </w:tr>
      <w:tr w:rsidR="00E2328D" w:rsidRPr="00B92948" w14:paraId="1EAB5DC3" w14:textId="77777777" w:rsidTr="001A21D8">
        <w:trPr>
          <w:trHeight w:val="240"/>
        </w:trPr>
        <w:tc>
          <w:tcPr>
            <w:tcW w:w="556" w:type="dxa"/>
            <w:tcBorders>
              <w:bottom w:val="single" w:sz="12" w:space="0" w:color="auto"/>
            </w:tcBorders>
            <w:shd w:val="clear" w:color="auto" w:fill="auto"/>
            <w:tcMar>
              <w:left w:w="0" w:type="dxa"/>
              <w:right w:w="0" w:type="dxa"/>
            </w:tcMar>
          </w:tcPr>
          <w:p w14:paraId="09F097DE" w14:textId="77777777" w:rsidR="00B92948" w:rsidRPr="00B92948" w:rsidRDefault="00B92948" w:rsidP="00E2328D">
            <w:pPr>
              <w:pStyle w:val="SingleTxtG"/>
              <w:tabs>
                <w:tab w:val="clear" w:pos="1701"/>
                <w:tab w:val="clear" w:pos="2268"/>
                <w:tab w:val="clear" w:pos="2835"/>
              </w:tabs>
              <w:spacing w:before="40" w:after="40" w:line="220" w:lineRule="exact"/>
              <w:ind w:left="0" w:right="0"/>
              <w:jc w:val="left"/>
              <w:rPr>
                <w:sz w:val="18"/>
              </w:rPr>
            </w:pPr>
            <w:r w:rsidRPr="00B92948">
              <w:rPr>
                <w:sz w:val="18"/>
              </w:rPr>
              <w:t>2018</w:t>
            </w:r>
          </w:p>
        </w:tc>
        <w:tc>
          <w:tcPr>
            <w:tcW w:w="1243" w:type="dxa"/>
            <w:tcBorders>
              <w:bottom w:val="single" w:sz="12" w:space="0" w:color="auto"/>
            </w:tcBorders>
            <w:shd w:val="clear" w:color="auto" w:fill="auto"/>
            <w:tcMar>
              <w:left w:w="0" w:type="dxa"/>
              <w:right w:w="0" w:type="dxa"/>
            </w:tcMar>
            <w:vAlign w:val="bottom"/>
          </w:tcPr>
          <w:p w14:paraId="6DFED751" w14:textId="77777777" w:rsidR="00B92948" w:rsidRPr="00B92948" w:rsidRDefault="00B92948" w:rsidP="00AB6A51">
            <w:pPr>
              <w:pStyle w:val="SingleTxtG"/>
              <w:tabs>
                <w:tab w:val="clear" w:pos="1701"/>
                <w:tab w:val="clear" w:pos="2268"/>
                <w:tab w:val="clear" w:pos="2835"/>
              </w:tabs>
              <w:spacing w:before="40" w:after="40" w:line="220" w:lineRule="exact"/>
              <w:ind w:left="113" w:right="28"/>
              <w:jc w:val="right"/>
              <w:rPr>
                <w:sz w:val="18"/>
              </w:rPr>
            </w:pPr>
            <w:r w:rsidRPr="00B92948">
              <w:rPr>
                <w:sz w:val="18"/>
              </w:rPr>
              <w:t>1 305</w:t>
            </w:r>
          </w:p>
        </w:tc>
        <w:tc>
          <w:tcPr>
            <w:tcW w:w="2170" w:type="dxa"/>
            <w:tcBorders>
              <w:bottom w:val="single" w:sz="12" w:space="0" w:color="auto"/>
            </w:tcBorders>
            <w:shd w:val="clear" w:color="auto" w:fill="auto"/>
            <w:tcMar>
              <w:left w:w="0" w:type="dxa"/>
              <w:right w:w="0" w:type="dxa"/>
            </w:tcMar>
            <w:vAlign w:val="bottom"/>
          </w:tcPr>
          <w:p w14:paraId="64973D0D" w14:textId="77777777" w:rsidR="00B92948" w:rsidRPr="00B92948" w:rsidRDefault="00B92948" w:rsidP="00AB6A51">
            <w:pPr>
              <w:pStyle w:val="SingleTxtG"/>
              <w:tabs>
                <w:tab w:val="clear" w:pos="1701"/>
                <w:tab w:val="clear" w:pos="2268"/>
                <w:tab w:val="clear" w:pos="2835"/>
              </w:tabs>
              <w:spacing w:before="40" w:after="40" w:line="220" w:lineRule="exact"/>
              <w:ind w:left="113" w:right="28"/>
              <w:jc w:val="right"/>
              <w:rPr>
                <w:sz w:val="18"/>
              </w:rPr>
            </w:pPr>
            <w:r w:rsidRPr="00B92948">
              <w:rPr>
                <w:sz w:val="18"/>
              </w:rPr>
              <w:t>71</w:t>
            </w:r>
          </w:p>
        </w:tc>
        <w:tc>
          <w:tcPr>
            <w:tcW w:w="1560" w:type="dxa"/>
            <w:tcBorders>
              <w:bottom w:val="single" w:sz="12" w:space="0" w:color="auto"/>
            </w:tcBorders>
            <w:shd w:val="clear" w:color="auto" w:fill="auto"/>
            <w:tcMar>
              <w:left w:w="0" w:type="dxa"/>
              <w:right w:w="0" w:type="dxa"/>
            </w:tcMar>
            <w:vAlign w:val="bottom"/>
          </w:tcPr>
          <w:p w14:paraId="190E1B07" w14:textId="77777777" w:rsidR="00B92948" w:rsidRPr="00B92948" w:rsidRDefault="00B92948" w:rsidP="00AB6A51">
            <w:pPr>
              <w:pStyle w:val="SingleTxtG"/>
              <w:tabs>
                <w:tab w:val="clear" w:pos="1701"/>
                <w:tab w:val="clear" w:pos="2268"/>
                <w:tab w:val="clear" w:pos="2835"/>
              </w:tabs>
              <w:spacing w:before="40" w:after="40" w:line="220" w:lineRule="exact"/>
              <w:ind w:left="113" w:right="28"/>
              <w:jc w:val="right"/>
              <w:rPr>
                <w:sz w:val="18"/>
              </w:rPr>
            </w:pPr>
            <w:r w:rsidRPr="00B92948">
              <w:rPr>
                <w:sz w:val="18"/>
              </w:rPr>
              <w:t>32</w:t>
            </w:r>
          </w:p>
        </w:tc>
        <w:tc>
          <w:tcPr>
            <w:tcW w:w="1275" w:type="dxa"/>
            <w:tcBorders>
              <w:bottom w:val="single" w:sz="12" w:space="0" w:color="auto"/>
            </w:tcBorders>
            <w:shd w:val="clear" w:color="auto" w:fill="auto"/>
            <w:tcMar>
              <w:left w:w="0" w:type="dxa"/>
              <w:right w:w="0" w:type="dxa"/>
            </w:tcMar>
            <w:vAlign w:val="bottom"/>
          </w:tcPr>
          <w:p w14:paraId="4D2FA652" w14:textId="77777777" w:rsidR="00B92948" w:rsidRPr="00B92948" w:rsidRDefault="00B92948" w:rsidP="00AB6A51">
            <w:pPr>
              <w:pStyle w:val="SingleTxtG"/>
              <w:tabs>
                <w:tab w:val="clear" w:pos="1701"/>
                <w:tab w:val="clear" w:pos="2268"/>
                <w:tab w:val="clear" w:pos="2835"/>
              </w:tabs>
              <w:spacing w:before="40" w:after="40" w:line="220" w:lineRule="exact"/>
              <w:ind w:left="113" w:right="28"/>
              <w:jc w:val="right"/>
              <w:rPr>
                <w:sz w:val="18"/>
              </w:rPr>
            </w:pPr>
            <w:r w:rsidRPr="00B92948">
              <w:rPr>
                <w:sz w:val="18"/>
              </w:rPr>
              <w:t>8</w:t>
            </w:r>
          </w:p>
        </w:tc>
        <w:tc>
          <w:tcPr>
            <w:tcW w:w="851" w:type="dxa"/>
            <w:tcBorders>
              <w:bottom w:val="single" w:sz="12" w:space="0" w:color="auto"/>
            </w:tcBorders>
            <w:shd w:val="clear" w:color="auto" w:fill="auto"/>
            <w:vAlign w:val="bottom"/>
          </w:tcPr>
          <w:p w14:paraId="380C7C45" w14:textId="77777777" w:rsidR="00B92948" w:rsidRPr="00B92948" w:rsidRDefault="00B92948" w:rsidP="00AB6A51">
            <w:pPr>
              <w:pStyle w:val="SingleTxtG"/>
              <w:tabs>
                <w:tab w:val="clear" w:pos="1701"/>
                <w:tab w:val="clear" w:pos="2268"/>
                <w:tab w:val="clear" w:pos="2835"/>
              </w:tabs>
              <w:spacing w:before="40" w:after="40" w:line="220" w:lineRule="exact"/>
              <w:ind w:left="113" w:right="28"/>
              <w:jc w:val="right"/>
              <w:rPr>
                <w:sz w:val="18"/>
              </w:rPr>
            </w:pPr>
            <w:r w:rsidRPr="00B92948">
              <w:rPr>
                <w:sz w:val="18"/>
              </w:rPr>
              <w:t>879</w:t>
            </w:r>
          </w:p>
        </w:tc>
        <w:tc>
          <w:tcPr>
            <w:tcW w:w="849" w:type="dxa"/>
            <w:tcBorders>
              <w:bottom w:val="single" w:sz="12" w:space="0" w:color="auto"/>
            </w:tcBorders>
            <w:shd w:val="clear" w:color="auto" w:fill="auto"/>
            <w:vAlign w:val="bottom"/>
          </w:tcPr>
          <w:p w14:paraId="52082CCC" w14:textId="77777777" w:rsidR="00B92948" w:rsidRPr="00B92948" w:rsidRDefault="00B92948" w:rsidP="00AB6A51">
            <w:pPr>
              <w:pStyle w:val="SingleTxtG"/>
              <w:tabs>
                <w:tab w:val="clear" w:pos="1701"/>
                <w:tab w:val="clear" w:pos="2268"/>
                <w:tab w:val="clear" w:pos="2835"/>
              </w:tabs>
              <w:spacing w:before="40" w:after="40" w:line="220" w:lineRule="exact"/>
              <w:ind w:left="113" w:right="28"/>
              <w:jc w:val="right"/>
              <w:rPr>
                <w:sz w:val="18"/>
              </w:rPr>
            </w:pPr>
            <w:r w:rsidRPr="00B92948">
              <w:rPr>
                <w:sz w:val="18"/>
              </w:rPr>
              <w:t>315</w:t>
            </w:r>
          </w:p>
        </w:tc>
      </w:tr>
    </w:tbl>
    <w:p w14:paraId="2F38B88A" w14:textId="77777777" w:rsidR="00B92948" w:rsidRPr="00B92948" w:rsidRDefault="00B92948" w:rsidP="00E2328D">
      <w:pPr>
        <w:pStyle w:val="H23G"/>
      </w:pPr>
      <w:r w:rsidRPr="00B92948">
        <w:lastRenderedPageBreak/>
        <w:tab/>
        <w:t>h)</w:t>
      </w:r>
      <w:r w:rsidRPr="00B92948">
        <w:tab/>
        <w:t>Adopción nacional e internacional (art. 21)</w:t>
      </w:r>
      <w:bookmarkStart w:id="36" w:name="_Toc56781439"/>
      <w:bookmarkEnd w:id="36"/>
    </w:p>
    <w:p w14:paraId="2E0C508A" w14:textId="77777777" w:rsidR="00B92948" w:rsidRPr="00B92948" w:rsidRDefault="00B92948" w:rsidP="00B92948">
      <w:pPr>
        <w:pStyle w:val="SingleTxtG"/>
      </w:pPr>
      <w:r w:rsidRPr="00B92948">
        <w:t>101.</w:t>
      </w:r>
      <w:r w:rsidRPr="00B92948">
        <w:tab/>
        <w:t>Con el fin de proteger el interés superior de los niños y garantizar su bienestar, en agosto de 2014 el Ministerio de Trabajo y Política Social modificó la Ley de la Familia</w:t>
      </w:r>
      <w:r w:rsidRPr="00B92948">
        <w:rPr>
          <w:rStyle w:val="Refdenotaalpie"/>
        </w:rPr>
        <w:footnoteReference w:id="25"/>
      </w:r>
      <w:r w:rsidRPr="00B92948">
        <w:t xml:space="preserve"> para reducir la duración de su estancia en instituciones o con otras familias de un año a nueve meses y también acortó los plazos de tramitación para las instituciones competentes que participan en el procedimiento de adopción.</w:t>
      </w:r>
    </w:p>
    <w:p w14:paraId="297A7FC6" w14:textId="77777777" w:rsidR="00B92948" w:rsidRPr="00B92948" w:rsidRDefault="00B92948" w:rsidP="00B92948">
      <w:pPr>
        <w:pStyle w:val="SingleTxtG"/>
      </w:pPr>
      <w:r w:rsidRPr="00B92948">
        <w:t>102.</w:t>
      </w:r>
      <w:r w:rsidRPr="00B92948">
        <w:tab/>
        <w:t>Además, en virtud de estas modificaciones jurídicas, el Centro de Trabajo Social está obligado a informar por escrito al Instituto de Trabajo Social de Skopie, en un plazo de cinco días, sobre cada niño que coloca en una institución o con otra familia. El Instituto examina la labor del Centro de Trabajo Social y, si detecta alguna irregularidad, está obligado a informar al órgano de inspección social para que lleve a cabo una inspección.</w:t>
      </w:r>
    </w:p>
    <w:p w14:paraId="5B8486E6" w14:textId="77777777" w:rsidR="00B92948" w:rsidRPr="00E2328D" w:rsidRDefault="00B92948" w:rsidP="00E2328D">
      <w:pPr>
        <w:pStyle w:val="H23G"/>
      </w:pPr>
      <w:r w:rsidRPr="00B92948">
        <w:tab/>
      </w:r>
      <w:r w:rsidR="00E2328D">
        <w:tab/>
      </w:r>
      <w:r w:rsidRPr="00B92948">
        <w:t xml:space="preserve">Número de niños incluidos en los programas de adopción nacional, </w:t>
      </w:r>
      <w:r w:rsidR="00325F12">
        <w:br/>
      </w:r>
      <w:r w:rsidRPr="00B92948">
        <w:t xml:space="preserve">internacional y de </w:t>
      </w:r>
      <w:proofErr w:type="spellStart"/>
      <w:r w:rsidRPr="00B92948">
        <w:rPr>
          <w:i/>
        </w:rPr>
        <w:t>kafala</w:t>
      </w:r>
      <w:proofErr w:type="spellEnd"/>
      <w:r w:rsidRPr="00B92948">
        <w:t xml:space="preserve">, desglosado por edad e información </w:t>
      </w:r>
      <w:r w:rsidR="00325F12">
        <w:br/>
      </w:r>
      <w:r w:rsidRPr="00B92948">
        <w:t>sobre el país de origen y el país de adopción</w:t>
      </w:r>
      <w:r w:rsidRPr="00E2328D">
        <w:rPr>
          <w:rStyle w:val="Refdenotaalpie"/>
          <w:b w:val="0"/>
          <w:bCs/>
        </w:rPr>
        <w:footnoteReference w:id="26"/>
      </w:r>
      <w:bookmarkStart w:id="37" w:name="_Toc56781440"/>
      <w:bookmarkEnd w:id="37"/>
    </w:p>
    <w:tbl>
      <w:tblPr>
        <w:tblW w:w="7370" w:type="dxa"/>
        <w:tblInd w:w="1134" w:type="dxa"/>
        <w:tblBorders>
          <w:top w:val="single" w:sz="4" w:space="0" w:color="auto"/>
        </w:tblBorders>
        <w:tblCellMar>
          <w:left w:w="0" w:type="dxa"/>
          <w:right w:w="0" w:type="dxa"/>
        </w:tblCellMar>
        <w:tblLook w:val="00A0" w:firstRow="1" w:lastRow="0" w:firstColumn="1" w:lastColumn="0" w:noHBand="0" w:noVBand="0"/>
      </w:tblPr>
      <w:tblGrid>
        <w:gridCol w:w="709"/>
        <w:gridCol w:w="1276"/>
        <w:gridCol w:w="1162"/>
        <w:gridCol w:w="1004"/>
        <w:gridCol w:w="1079"/>
        <w:gridCol w:w="1112"/>
        <w:gridCol w:w="1028"/>
      </w:tblGrid>
      <w:tr w:rsidR="00BC73E8" w:rsidRPr="00BC73E8" w14:paraId="6974BDAC" w14:textId="77777777" w:rsidTr="00423624">
        <w:trPr>
          <w:trHeight w:val="240"/>
          <w:tblHeader/>
        </w:trPr>
        <w:tc>
          <w:tcPr>
            <w:tcW w:w="709" w:type="dxa"/>
            <w:vMerge w:val="restart"/>
            <w:tcBorders>
              <w:top w:val="single" w:sz="4" w:space="0" w:color="auto"/>
              <w:bottom w:val="single" w:sz="12" w:space="0" w:color="auto"/>
            </w:tcBorders>
            <w:shd w:val="clear" w:color="auto" w:fill="auto"/>
            <w:vAlign w:val="bottom"/>
          </w:tcPr>
          <w:p w14:paraId="063819B3" w14:textId="77777777" w:rsidR="00B92948" w:rsidRPr="00B92948" w:rsidRDefault="00B92948" w:rsidP="00BC73E8">
            <w:pPr>
              <w:pStyle w:val="SingleTxtG"/>
              <w:tabs>
                <w:tab w:val="clear" w:pos="1701"/>
                <w:tab w:val="clear" w:pos="2268"/>
                <w:tab w:val="clear" w:pos="2835"/>
              </w:tabs>
              <w:spacing w:before="80" w:after="80" w:line="200" w:lineRule="exact"/>
              <w:ind w:left="0" w:right="0"/>
              <w:jc w:val="left"/>
              <w:rPr>
                <w:i/>
                <w:sz w:val="16"/>
              </w:rPr>
            </w:pPr>
            <w:r w:rsidRPr="00B92948">
              <w:rPr>
                <w:i/>
                <w:iCs/>
                <w:sz w:val="16"/>
              </w:rPr>
              <w:t>Año</w:t>
            </w:r>
          </w:p>
        </w:tc>
        <w:tc>
          <w:tcPr>
            <w:tcW w:w="1276" w:type="dxa"/>
            <w:vMerge w:val="restart"/>
            <w:tcBorders>
              <w:top w:val="single" w:sz="4" w:space="0" w:color="auto"/>
              <w:bottom w:val="single" w:sz="12" w:space="0" w:color="auto"/>
            </w:tcBorders>
            <w:shd w:val="clear" w:color="auto" w:fill="auto"/>
            <w:vAlign w:val="bottom"/>
          </w:tcPr>
          <w:p w14:paraId="313E89F9" w14:textId="77777777" w:rsidR="00B92948" w:rsidRPr="00B92948" w:rsidRDefault="00B92948" w:rsidP="00423624">
            <w:pPr>
              <w:pStyle w:val="SingleTxtG"/>
              <w:tabs>
                <w:tab w:val="clear" w:pos="1701"/>
                <w:tab w:val="clear" w:pos="2268"/>
                <w:tab w:val="clear" w:pos="2835"/>
              </w:tabs>
              <w:spacing w:before="80" w:after="80" w:line="200" w:lineRule="exact"/>
              <w:ind w:left="113" w:right="28"/>
              <w:jc w:val="right"/>
              <w:rPr>
                <w:i/>
                <w:sz w:val="16"/>
              </w:rPr>
            </w:pPr>
            <w:r w:rsidRPr="00B92948">
              <w:rPr>
                <w:i/>
                <w:iCs/>
                <w:sz w:val="16"/>
              </w:rPr>
              <w:t>Adopciones nacionales</w:t>
            </w:r>
          </w:p>
        </w:tc>
        <w:tc>
          <w:tcPr>
            <w:tcW w:w="4357" w:type="dxa"/>
            <w:gridSpan w:val="4"/>
            <w:tcBorders>
              <w:top w:val="single" w:sz="4" w:space="0" w:color="auto"/>
              <w:bottom w:val="single" w:sz="4" w:space="0" w:color="auto"/>
            </w:tcBorders>
            <w:shd w:val="clear" w:color="auto" w:fill="auto"/>
            <w:tcMar>
              <w:top w:w="0" w:type="dxa"/>
              <w:left w:w="108" w:type="dxa"/>
              <w:bottom w:w="0" w:type="dxa"/>
              <w:right w:w="108" w:type="dxa"/>
            </w:tcMar>
            <w:vAlign w:val="bottom"/>
          </w:tcPr>
          <w:p w14:paraId="473FD3CC" w14:textId="77777777" w:rsidR="00B92948" w:rsidRPr="00B92948" w:rsidRDefault="00B92948" w:rsidP="00423624">
            <w:pPr>
              <w:pStyle w:val="SingleTxtG"/>
              <w:tabs>
                <w:tab w:val="clear" w:pos="1701"/>
                <w:tab w:val="clear" w:pos="2268"/>
                <w:tab w:val="clear" w:pos="2835"/>
              </w:tabs>
              <w:spacing w:before="80" w:after="80" w:line="200" w:lineRule="exact"/>
              <w:ind w:left="113" w:right="0"/>
              <w:jc w:val="center"/>
              <w:rPr>
                <w:i/>
                <w:sz w:val="16"/>
              </w:rPr>
            </w:pPr>
            <w:r w:rsidRPr="00B92948">
              <w:rPr>
                <w:i/>
                <w:iCs/>
                <w:sz w:val="16"/>
              </w:rPr>
              <w:t>Adopciones internacionales</w:t>
            </w:r>
          </w:p>
        </w:tc>
        <w:tc>
          <w:tcPr>
            <w:tcW w:w="1028" w:type="dxa"/>
            <w:vMerge w:val="restart"/>
            <w:tcBorders>
              <w:top w:val="single" w:sz="4" w:space="0" w:color="auto"/>
              <w:bottom w:val="single" w:sz="12" w:space="0" w:color="auto"/>
            </w:tcBorders>
            <w:shd w:val="clear" w:color="auto" w:fill="auto"/>
            <w:tcMar>
              <w:top w:w="0" w:type="dxa"/>
              <w:left w:w="0" w:type="dxa"/>
              <w:bottom w:w="0" w:type="dxa"/>
              <w:right w:w="0" w:type="dxa"/>
            </w:tcMar>
            <w:vAlign w:val="bottom"/>
          </w:tcPr>
          <w:p w14:paraId="76AD17BE" w14:textId="77777777" w:rsidR="00B92948" w:rsidRPr="00B92948" w:rsidRDefault="00B92948" w:rsidP="00423624">
            <w:pPr>
              <w:pStyle w:val="SingleTxtG"/>
              <w:tabs>
                <w:tab w:val="clear" w:pos="1701"/>
                <w:tab w:val="clear" w:pos="2268"/>
                <w:tab w:val="clear" w:pos="2835"/>
              </w:tabs>
              <w:spacing w:before="80" w:after="80" w:line="200" w:lineRule="exact"/>
              <w:ind w:left="113" w:right="28"/>
              <w:jc w:val="right"/>
              <w:rPr>
                <w:i/>
                <w:sz w:val="16"/>
              </w:rPr>
            </w:pPr>
            <w:r w:rsidRPr="00B92948">
              <w:rPr>
                <w:i/>
                <w:iCs/>
                <w:sz w:val="16"/>
              </w:rPr>
              <w:t>Total</w:t>
            </w:r>
          </w:p>
        </w:tc>
      </w:tr>
      <w:tr w:rsidR="00BC73E8" w:rsidRPr="00B92948" w14:paraId="12A4559B" w14:textId="77777777" w:rsidTr="00423624">
        <w:trPr>
          <w:trHeight w:val="240"/>
          <w:tblHeader/>
        </w:trPr>
        <w:tc>
          <w:tcPr>
            <w:tcW w:w="709" w:type="dxa"/>
            <w:vMerge/>
            <w:tcBorders>
              <w:top w:val="nil"/>
              <w:bottom w:val="single" w:sz="12" w:space="0" w:color="auto"/>
            </w:tcBorders>
            <w:shd w:val="clear" w:color="auto" w:fill="auto"/>
            <w:vAlign w:val="bottom"/>
          </w:tcPr>
          <w:p w14:paraId="3E9D4DD2" w14:textId="77777777" w:rsidR="00B92948" w:rsidRPr="00B92948" w:rsidRDefault="00B92948" w:rsidP="00BC73E8">
            <w:pPr>
              <w:pStyle w:val="SingleTxtG"/>
              <w:tabs>
                <w:tab w:val="clear" w:pos="1701"/>
                <w:tab w:val="clear" w:pos="2268"/>
                <w:tab w:val="clear" w:pos="2835"/>
              </w:tabs>
              <w:spacing w:before="40" w:after="40" w:line="220" w:lineRule="exact"/>
              <w:ind w:left="0" w:right="0"/>
              <w:jc w:val="left"/>
              <w:rPr>
                <w:sz w:val="18"/>
              </w:rPr>
            </w:pPr>
          </w:p>
        </w:tc>
        <w:tc>
          <w:tcPr>
            <w:tcW w:w="1276" w:type="dxa"/>
            <w:vMerge/>
            <w:tcBorders>
              <w:top w:val="nil"/>
              <w:bottom w:val="single" w:sz="12" w:space="0" w:color="auto"/>
            </w:tcBorders>
            <w:shd w:val="clear" w:color="auto" w:fill="auto"/>
            <w:vAlign w:val="bottom"/>
          </w:tcPr>
          <w:p w14:paraId="33BF3F11" w14:textId="77777777" w:rsidR="00B92948" w:rsidRPr="00B92948" w:rsidRDefault="00B92948" w:rsidP="00423624">
            <w:pPr>
              <w:pStyle w:val="SingleTxtG"/>
              <w:tabs>
                <w:tab w:val="clear" w:pos="1701"/>
                <w:tab w:val="clear" w:pos="2268"/>
                <w:tab w:val="clear" w:pos="2835"/>
              </w:tabs>
              <w:spacing w:before="40" w:after="40" w:line="220" w:lineRule="exact"/>
              <w:ind w:left="113" w:right="28"/>
              <w:jc w:val="right"/>
              <w:rPr>
                <w:sz w:val="18"/>
              </w:rPr>
            </w:pPr>
          </w:p>
        </w:tc>
        <w:tc>
          <w:tcPr>
            <w:tcW w:w="1162"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4AE3377B" w14:textId="77777777" w:rsidR="00B92948" w:rsidRPr="00423624" w:rsidRDefault="00B92948" w:rsidP="00423624">
            <w:pPr>
              <w:pStyle w:val="SingleTxtG"/>
              <w:tabs>
                <w:tab w:val="clear" w:pos="1701"/>
                <w:tab w:val="clear" w:pos="2268"/>
                <w:tab w:val="clear" w:pos="2835"/>
              </w:tabs>
              <w:spacing w:before="80" w:after="80" w:line="200" w:lineRule="exact"/>
              <w:ind w:left="113" w:right="28"/>
              <w:jc w:val="right"/>
              <w:rPr>
                <w:i/>
                <w:iCs/>
                <w:sz w:val="16"/>
              </w:rPr>
            </w:pPr>
            <w:r w:rsidRPr="00423624">
              <w:rPr>
                <w:i/>
                <w:iCs/>
                <w:sz w:val="16"/>
              </w:rPr>
              <w:t>Estados Unidos</w:t>
            </w:r>
          </w:p>
        </w:tc>
        <w:tc>
          <w:tcPr>
            <w:tcW w:w="1004" w:type="dxa"/>
            <w:tcBorders>
              <w:top w:val="single" w:sz="4" w:space="0" w:color="auto"/>
              <w:bottom w:val="single" w:sz="12" w:space="0" w:color="auto"/>
            </w:tcBorders>
            <w:shd w:val="clear" w:color="auto" w:fill="auto"/>
            <w:vAlign w:val="bottom"/>
          </w:tcPr>
          <w:p w14:paraId="09D44E64" w14:textId="77777777" w:rsidR="00B92948" w:rsidRPr="00423624" w:rsidRDefault="00B92948" w:rsidP="00423624">
            <w:pPr>
              <w:pStyle w:val="SingleTxtG"/>
              <w:tabs>
                <w:tab w:val="clear" w:pos="1701"/>
                <w:tab w:val="clear" w:pos="2268"/>
                <w:tab w:val="clear" w:pos="2835"/>
              </w:tabs>
              <w:spacing w:before="80" w:after="80" w:line="200" w:lineRule="exact"/>
              <w:ind w:left="113" w:right="28"/>
              <w:jc w:val="right"/>
              <w:rPr>
                <w:i/>
                <w:iCs/>
                <w:sz w:val="16"/>
              </w:rPr>
            </w:pPr>
            <w:r w:rsidRPr="00423624">
              <w:rPr>
                <w:i/>
                <w:iCs/>
                <w:sz w:val="16"/>
              </w:rPr>
              <w:t>Suecia</w:t>
            </w:r>
          </w:p>
        </w:tc>
        <w:tc>
          <w:tcPr>
            <w:tcW w:w="1079" w:type="dxa"/>
            <w:tcBorders>
              <w:top w:val="single" w:sz="4" w:space="0" w:color="auto"/>
              <w:bottom w:val="single" w:sz="12" w:space="0" w:color="auto"/>
            </w:tcBorders>
            <w:shd w:val="clear" w:color="auto" w:fill="auto"/>
            <w:vAlign w:val="bottom"/>
          </w:tcPr>
          <w:p w14:paraId="30D00A9A" w14:textId="77777777" w:rsidR="00B92948" w:rsidRPr="00423624" w:rsidRDefault="00B92948" w:rsidP="00423624">
            <w:pPr>
              <w:pStyle w:val="SingleTxtG"/>
              <w:tabs>
                <w:tab w:val="clear" w:pos="1701"/>
                <w:tab w:val="clear" w:pos="2268"/>
                <w:tab w:val="clear" w:pos="2835"/>
              </w:tabs>
              <w:spacing w:before="80" w:after="80" w:line="200" w:lineRule="exact"/>
              <w:ind w:left="113" w:right="28"/>
              <w:jc w:val="right"/>
              <w:rPr>
                <w:i/>
                <w:iCs/>
                <w:sz w:val="16"/>
              </w:rPr>
            </w:pPr>
            <w:r w:rsidRPr="00423624">
              <w:rPr>
                <w:i/>
                <w:iCs/>
                <w:sz w:val="16"/>
              </w:rPr>
              <w:t>Bulgaria</w:t>
            </w:r>
          </w:p>
        </w:tc>
        <w:tc>
          <w:tcPr>
            <w:tcW w:w="1112" w:type="dxa"/>
            <w:tcBorders>
              <w:top w:val="single" w:sz="4" w:space="0" w:color="auto"/>
              <w:bottom w:val="single" w:sz="12" w:space="0" w:color="auto"/>
            </w:tcBorders>
            <w:shd w:val="clear" w:color="auto" w:fill="auto"/>
            <w:vAlign w:val="bottom"/>
          </w:tcPr>
          <w:p w14:paraId="3833793B" w14:textId="77777777" w:rsidR="00B92948" w:rsidRPr="00423624" w:rsidRDefault="00B92948" w:rsidP="00423624">
            <w:pPr>
              <w:pStyle w:val="SingleTxtG"/>
              <w:tabs>
                <w:tab w:val="clear" w:pos="1701"/>
                <w:tab w:val="clear" w:pos="2268"/>
                <w:tab w:val="clear" w:pos="2835"/>
              </w:tabs>
              <w:spacing w:before="80" w:after="80" w:line="200" w:lineRule="exact"/>
              <w:ind w:left="113" w:right="28"/>
              <w:jc w:val="right"/>
              <w:rPr>
                <w:i/>
                <w:iCs/>
                <w:sz w:val="16"/>
              </w:rPr>
            </w:pPr>
            <w:r w:rsidRPr="00423624">
              <w:rPr>
                <w:i/>
                <w:iCs/>
                <w:sz w:val="16"/>
              </w:rPr>
              <w:t>Eslovenia</w:t>
            </w:r>
          </w:p>
        </w:tc>
        <w:tc>
          <w:tcPr>
            <w:tcW w:w="1028" w:type="dxa"/>
            <w:vMerge/>
            <w:tcBorders>
              <w:top w:val="single" w:sz="12" w:space="0" w:color="auto"/>
              <w:bottom w:val="single" w:sz="12" w:space="0" w:color="auto"/>
            </w:tcBorders>
            <w:shd w:val="clear" w:color="auto" w:fill="auto"/>
            <w:tcMar>
              <w:top w:w="0" w:type="dxa"/>
              <w:left w:w="0" w:type="dxa"/>
              <w:bottom w:w="0" w:type="dxa"/>
              <w:right w:w="0" w:type="dxa"/>
            </w:tcMar>
            <w:vAlign w:val="bottom"/>
          </w:tcPr>
          <w:p w14:paraId="29BEAA9F" w14:textId="77777777" w:rsidR="00B92948" w:rsidRPr="00B92948" w:rsidRDefault="00B92948" w:rsidP="00423624">
            <w:pPr>
              <w:pStyle w:val="SingleTxtG"/>
              <w:tabs>
                <w:tab w:val="clear" w:pos="1701"/>
                <w:tab w:val="clear" w:pos="2268"/>
                <w:tab w:val="clear" w:pos="2835"/>
              </w:tabs>
              <w:spacing w:before="40" w:after="40" w:line="220" w:lineRule="exact"/>
              <w:ind w:left="113" w:right="28"/>
              <w:jc w:val="right"/>
              <w:rPr>
                <w:sz w:val="18"/>
              </w:rPr>
            </w:pPr>
          </w:p>
        </w:tc>
      </w:tr>
      <w:tr w:rsidR="00BC73E8" w:rsidRPr="00B92948" w14:paraId="523D6881" w14:textId="77777777" w:rsidTr="00423624">
        <w:trPr>
          <w:trHeight w:val="240"/>
        </w:trPr>
        <w:tc>
          <w:tcPr>
            <w:tcW w:w="709" w:type="dxa"/>
            <w:tcBorders>
              <w:top w:val="single" w:sz="12" w:space="0" w:color="auto"/>
            </w:tcBorders>
            <w:shd w:val="clear" w:color="auto" w:fill="auto"/>
          </w:tcPr>
          <w:p w14:paraId="4574C57E" w14:textId="77777777" w:rsidR="00B92948" w:rsidRPr="00B92948" w:rsidRDefault="00B92948" w:rsidP="00BC73E8">
            <w:pPr>
              <w:pStyle w:val="SingleTxtG"/>
              <w:tabs>
                <w:tab w:val="clear" w:pos="1701"/>
                <w:tab w:val="clear" w:pos="2268"/>
                <w:tab w:val="clear" w:pos="2835"/>
              </w:tabs>
              <w:spacing w:before="40" w:after="40" w:line="220" w:lineRule="exact"/>
              <w:ind w:left="0" w:right="0"/>
              <w:jc w:val="left"/>
              <w:rPr>
                <w:sz w:val="18"/>
              </w:rPr>
            </w:pPr>
            <w:r w:rsidRPr="00B92948">
              <w:rPr>
                <w:sz w:val="18"/>
              </w:rPr>
              <w:t>2014</w:t>
            </w:r>
          </w:p>
        </w:tc>
        <w:tc>
          <w:tcPr>
            <w:tcW w:w="1276" w:type="dxa"/>
            <w:tcBorders>
              <w:top w:val="single" w:sz="12" w:space="0" w:color="auto"/>
            </w:tcBorders>
            <w:shd w:val="clear" w:color="auto" w:fill="auto"/>
            <w:vAlign w:val="bottom"/>
          </w:tcPr>
          <w:p w14:paraId="2BC956BB" w14:textId="77777777" w:rsidR="00B92948" w:rsidRPr="00B92948" w:rsidRDefault="00B92948" w:rsidP="00423624">
            <w:pPr>
              <w:pStyle w:val="SingleTxtG"/>
              <w:tabs>
                <w:tab w:val="clear" w:pos="1701"/>
                <w:tab w:val="clear" w:pos="2268"/>
                <w:tab w:val="clear" w:pos="2835"/>
              </w:tabs>
              <w:spacing w:before="40" w:after="40" w:line="220" w:lineRule="exact"/>
              <w:ind w:left="113" w:right="28"/>
              <w:jc w:val="right"/>
              <w:rPr>
                <w:sz w:val="18"/>
              </w:rPr>
            </w:pPr>
            <w:r w:rsidRPr="00B92948">
              <w:rPr>
                <w:sz w:val="18"/>
              </w:rPr>
              <w:t>40</w:t>
            </w:r>
          </w:p>
        </w:tc>
        <w:tc>
          <w:tcPr>
            <w:tcW w:w="1162" w:type="dxa"/>
            <w:tcBorders>
              <w:top w:val="single" w:sz="12" w:space="0" w:color="auto"/>
            </w:tcBorders>
            <w:shd w:val="clear" w:color="auto" w:fill="auto"/>
            <w:tcMar>
              <w:top w:w="0" w:type="dxa"/>
              <w:left w:w="0" w:type="dxa"/>
              <w:bottom w:w="0" w:type="dxa"/>
              <w:right w:w="0" w:type="dxa"/>
            </w:tcMar>
            <w:vAlign w:val="bottom"/>
          </w:tcPr>
          <w:p w14:paraId="6611033F" w14:textId="77777777" w:rsidR="00B92948" w:rsidRPr="00B92948" w:rsidRDefault="00B92948" w:rsidP="00423624">
            <w:pPr>
              <w:pStyle w:val="SingleTxtG"/>
              <w:tabs>
                <w:tab w:val="clear" w:pos="1701"/>
                <w:tab w:val="clear" w:pos="2268"/>
                <w:tab w:val="clear" w:pos="2835"/>
              </w:tabs>
              <w:spacing w:before="40" w:after="40" w:line="220" w:lineRule="exact"/>
              <w:ind w:left="113" w:right="28"/>
              <w:jc w:val="right"/>
              <w:rPr>
                <w:sz w:val="18"/>
              </w:rPr>
            </w:pPr>
          </w:p>
        </w:tc>
        <w:tc>
          <w:tcPr>
            <w:tcW w:w="1004" w:type="dxa"/>
            <w:tcBorders>
              <w:top w:val="single" w:sz="12" w:space="0" w:color="auto"/>
            </w:tcBorders>
            <w:shd w:val="clear" w:color="auto" w:fill="auto"/>
            <w:vAlign w:val="bottom"/>
          </w:tcPr>
          <w:p w14:paraId="35B67462" w14:textId="77777777" w:rsidR="00B92948" w:rsidRPr="00B92948" w:rsidRDefault="00B92948" w:rsidP="00423624">
            <w:pPr>
              <w:pStyle w:val="SingleTxtG"/>
              <w:tabs>
                <w:tab w:val="clear" w:pos="1701"/>
                <w:tab w:val="clear" w:pos="2268"/>
                <w:tab w:val="clear" w:pos="2835"/>
              </w:tabs>
              <w:spacing w:before="40" w:after="40" w:line="220" w:lineRule="exact"/>
              <w:ind w:left="113" w:right="28"/>
              <w:jc w:val="right"/>
              <w:rPr>
                <w:sz w:val="18"/>
              </w:rPr>
            </w:pPr>
          </w:p>
        </w:tc>
        <w:tc>
          <w:tcPr>
            <w:tcW w:w="1079" w:type="dxa"/>
            <w:tcBorders>
              <w:top w:val="single" w:sz="12" w:space="0" w:color="auto"/>
            </w:tcBorders>
            <w:shd w:val="clear" w:color="auto" w:fill="auto"/>
            <w:vAlign w:val="bottom"/>
          </w:tcPr>
          <w:p w14:paraId="339BAE0B" w14:textId="77777777" w:rsidR="00B92948" w:rsidRPr="00B92948" w:rsidRDefault="00B92948" w:rsidP="00423624">
            <w:pPr>
              <w:pStyle w:val="SingleTxtG"/>
              <w:tabs>
                <w:tab w:val="clear" w:pos="1701"/>
                <w:tab w:val="clear" w:pos="2268"/>
                <w:tab w:val="clear" w:pos="2835"/>
              </w:tabs>
              <w:spacing w:before="40" w:after="40" w:line="220" w:lineRule="exact"/>
              <w:ind w:left="113" w:right="28"/>
              <w:jc w:val="right"/>
              <w:rPr>
                <w:sz w:val="18"/>
              </w:rPr>
            </w:pPr>
          </w:p>
        </w:tc>
        <w:tc>
          <w:tcPr>
            <w:tcW w:w="1112" w:type="dxa"/>
            <w:tcBorders>
              <w:top w:val="single" w:sz="12" w:space="0" w:color="auto"/>
            </w:tcBorders>
            <w:shd w:val="clear" w:color="auto" w:fill="auto"/>
            <w:vAlign w:val="bottom"/>
          </w:tcPr>
          <w:p w14:paraId="767098AF" w14:textId="77777777" w:rsidR="00B92948" w:rsidRPr="00B92948" w:rsidRDefault="00B92948" w:rsidP="00423624">
            <w:pPr>
              <w:pStyle w:val="SingleTxtG"/>
              <w:tabs>
                <w:tab w:val="clear" w:pos="1701"/>
                <w:tab w:val="clear" w:pos="2268"/>
                <w:tab w:val="clear" w:pos="2835"/>
              </w:tabs>
              <w:spacing w:before="40" w:after="40" w:line="220" w:lineRule="exact"/>
              <w:ind w:left="113" w:right="28"/>
              <w:jc w:val="right"/>
              <w:rPr>
                <w:sz w:val="18"/>
              </w:rPr>
            </w:pPr>
          </w:p>
        </w:tc>
        <w:tc>
          <w:tcPr>
            <w:tcW w:w="1028" w:type="dxa"/>
            <w:tcBorders>
              <w:top w:val="single" w:sz="12" w:space="0" w:color="auto"/>
            </w:tcBorders>
            <w:shd w:val="clear" w:color="auto" w:fill="auto"/>
            <w:tcMar>
              <w:top w:w="0" w:type="dxa"/>
              <w:left w:w="0" w:type="dxa"/>
              <w:bottom w:w="0" w:type="dxa"/>
              <w:right w:w="0" w:type="dxa"/>
            </w:tcMar>
            <w:vAlign w:val="bottom"/>
          </w:tcPr>
          <w:p w14:paraId="589E76B8" w14:textId="77777777" w:rsidR="00B92948" w:rsidRPr="00B92948" w:rsidRDefault="00B92948" w:rsidP="00423624">
            <w:pPr>
              <w:pStyle w:val="SingleTxtG"/>
              <w:tabs>
                <w:tab w:val="clear" w:pos="1701"/>
                <w:tab w:val="clear" w:pos="2268"/>
                <w:tab w:val="clear" w:pos="2835"/>
              </w:tabs>
              <w:spacing w:before="40" w:after="40" w:line="220" w:lineRule="exact"/>
              <w:ind w:left="113" w:right="28"/>
              <w:jc w:val="right"/>
              <w:rPr>
                <w:sz w:val="18"/>
              </w:rPr>
            </w:pPr>
            <w:r w:rsidRPr="00B92948">
              <w:rPr>
                <w:sz w:val="18"/>
              </w:rPr>
              <w:t>40</w:t>
            </w:r>
          </w:p>
        </w:tc>
      </w:tr>
      <w:tr w:rsidR="00BC73E8" w:rsidRPr="00B92948" w14:paraId="65DEA804" w14:textId="77777777" w:rsidTr="00423624">
        <w:trPr>
          <w:trHeight w:val="240"/>
        </w:trPr>
        <w:tc>
          <w:tcPr>
            <w:tcW w:w="709" w:type="dxa"/>
            <w:shd w:val="clear" w:color="auto" w:fill="auto"/>
          </w:tcPr>
          <w:p w14:paraId="18DEF9C7" w14:textId="77777777" w:rsidR="00B92948" w:rsidRPr="00B92948" w:rsidRDefault="00B92948" w:rsidP="00BC73E8">
            <w:pPr>
              <w:pStyle w:val="SingleTxtG"/>
              <w:tabs>
                <w:tab w:val="clear" w:pos="1701"/>
                <w:tab w:val="clear" w:pos="2268"/>
                <w:tab w:val="clear" w:pos="2835"/>
              </w:tabs>
              <w:spacing w:before="40" w:after="40" w:line="220" w:lineRule="exact"/>
              <w:ind w:left="0" w:right="0"/>
              <w:jc w:val="left"/>
              <w:rPr>
                <w:sz w:val="18"/>
              </w:rPr>
            </w:pPr>
            <w:r w:rsidRPr="00B92948">
              <w:rPr>
                <w:sz w:val="18"/>
              </w:rPr>
              <w:t>2015</w:t>
            </w:r>
          </w:p>
        </w:tc>
        <w:tc>
          <w:tcPr>
            <w:tcW w:w="1276" w:type="dxa"/>
            <w:shd w:val="clear" w:color="auto" w:fill="auto"/>
            <w:vAlign w:val="bottom"/>
          </w:tcPr>
          <w:p w14:paraId="3D2103C3" w14:textId="77777777" w:rsidR="00B92948" w:rsidRPr="00B92948" w:rsidRDefault="00B92948" w:rsidP="00423624">
            <w:pPr>
              <w:pStyle w:val="SingleTxtG"/>
              <w:tabs>
                <w:tab w:val="clear" w:pos="1701"/>
                <w:tab w:val="clear" w:pos="2268"/>
                <w:tab w:val="clear" w:pos="2835"/>
              </w:tabs>
              <w:spacing w:before="40" w:after="40" w:line="220" w:lineRule="exact"/>
              <w:ind w:left="113" w:right="28"/>
              <w:jc w:val="right"/>
              <w:rPr>
                <w:sz w:val="18"/>
              </w:rPr>
            </w:pPr>
            <w:r w:rsidRPr="00B92948">
              <w:rPr>
                <w:sz w:val="18"/>
              </w:rPr>
              <w:t>37</w:t>
            </w:r>
          </w:p>
        </w:tc>
        <w:tc>
          <w:tcPr>
            <w:tcW w:w="1162" w:type="dxa"/>
            <w:shd w:val="clear" w:color="auto" w:fill="auto"/>
            <w:tcMar>
              <w:top w:w="0" w:type="dxa"/>
              <w:left w:w="0" w:type="dxa"/>
              <w:bottom w:w="0" w:type="dxa"/>
              <w:right w:w="0" w:type="dxa"/>
            </w:tcMar>
            <w:vAlign w:val="bottom"/>
          </w:tcPr>
          <w:p w14:paraId="369A19B8" w14:textId="77777777" w:rsidR="00B92948" w:rsidRPr="00B92948" w:rsidRDefault="00B92948" w:rsidP="00423624">
            <w:pPr>
              <w:pStyle w:val="SingleTxtG"/>
              <w:tabs>
                <w:tab w:val="clear" w:pos="1701"/>
                <w:tab w:val="clear" w:pos="2268"/>
                <w:tab w:val="clear" w:pos="2835"/>
              </w:tabs>
              <w:spacing w:before="40" w:after="40" w:line="220" w:lineRule="exact"/>
              <w:ind w:left="113" w:right="28"/>
              <w:jc w:val="right"/>
              <w:rPr>
                <w:sz w:val="18"/>
              </w:rPr>
            </w:pPr>
          </w:p>
        </w:tc>
        <w:tc>
          <w:tcPr>
            <w:tcW w:w="1004" w:type="dxa"/>
            <w:shd w:val="clear" w:color="auto" w:fill="auto"/>
            <w:vAlign w:val="bottom"/>
          </w:tcPr>
          <w:p w14:paraId="50D9856E" w14:textId="77777777" w:rsidR="00B92948" w:rsidRPr="00B92948" w:rsidRDefault="00B92948" w:rsidP="00423624">
            <w:pPr>
              <w:pStyle w:val="SingleTxtG"/>
              <w:tabs>
                <w:tab w:val="clear" w:pos="1701"/>
                <w:tab w:val="clear" w:pos="2268"/>
                <w:tab w:val="clear" w:pos="2835"/>
              </w:tabs>
              <w:spacing w:before="40" w:after="40" w:line="220" w:lineRule="exact"/>
              <w:ind w:left="113" w:right="28"/>
              <w:jc w:val="right"/>
              <w:rPr>
                <w:sz w:val="18"/>
              </w:rPr>
            </w:pPr>
            <w:r w:rsidRPr="00B92948">
              <w:rPr>
                <w:sz w:val="18"/>
              </w:rPr>
              <w:t>1</w:t>
            </w:r>
          </w:p>
        </w:tc>
        <w:tc>
          <w:tcPr>
            <w:tcW w:w="1079" w:type="dxa"/>
            <w:shd w:val="clear" w:color="auto" w:fill="auto"/>
            <w:vAlign w:val="bottom"/>
          </w:tcPr>
          <w:p w14:paraId="43E0A1C8" w14:textId="77777777" w:rsidR="00B92948" w:rsidRPr="00B92948" w:rsidRDefault="00B92948" w:rsidP="00423624">
            <w:pPr>
              <w:pStyle w:val="SingleTxtG"/>
              <w:tabs>
                <w:tab w:val="clear" w:pos="1701"/>
                <w:tab w:val="clear" w:pos="2268"/>
                <w:tab w:val="clear" w:pos="2835"/>
              </w:tabs>
              <w:spacing w:before="40" w:after="40" w:line="220" w:lineRule="exact"/>
              <w:ind w:left="113" w:right="28"/>
              <w:jc w:val="right"/>
              <w:rPr>
                <w:sz w:val="18"/>
              </w:rPr>
            </w:pPr>
          </w:p>
        </w:tc>
        <w:tc>
          <w:tcPr>
            <w:tcW w:w="1112" w:type="dxa"/>
            <w:shd w:val="clear" w:color="auto" w:fill="auto"/>
            <w:vAlign w:val="bottom"/>
          </w:tcPr>
          <w:p w14:paraId="1BAB40D0" w14:textId="77777777" w:rsidR="00B92948" w:rsidRPr="00B92948" w:rsidRDefault="00B92948" w:rsidP="00423624">
            <w:pPr>
              <w:pStyle w:val="SingleTxtG"/>
              <w:tabs>
                <w:tab w:val="clear" w:pos="1701"/>
                <w:tab w:val="clear" w:pos="2268"/>
                <w:tab w:val="clear" w:pos="2835"/>
              </w:tabs>
              <w:spacing w:before="40" w:after="40" w:line="220" w:lineRule="exact"/>
              <w:ind w:left="113" w:right="28"/>
              <w:jc w:val="right"/>
              <w:rPr>
                <w:sz w:val="18"/>
              </w:rPr>
            </w:pPr>
          </w:p>
        </w:tc>
        <w:tc>
          <w:tcPr>
            <w:tcW w:w="1028" w:type="dxa"/>
            <w:shd w:val="clear" w:color="auto" w:fill="auto"/>
            <w:tcMar>
              <w:top w:w="0" w:type="dxa"/>
              <w:left w:w="0" w:type="dxa"/>
              <w:bottom w:w="0" w:type="dxa"/>
              <w:right w:w="0" w:type="dxa"/>
            </w:tcMar>
            <w:vAlign w:val="bottom"/>
          </w:tcPr>
          <w:p w14:paraId="13E22629" w14:textId="77777777" w:rsidR="00B92948" w:rsidRPr="00B92948" w:rsidRDefault="00B92948" w:rsidP="00423624">
            <w:pPr>
              <w:pStyle w:val="SingleTxtG"/>
              <w:tabs>
                <w:tab w:val="clear" w:pos="1701"/>
                <w:tab w:val="clear" w:pos="2268"/>
                <w:tab w:val="clear" w:pos="2835"/>
              </w:tabs>
              <w:spacing w:before="40" w:after="40" w:line="220" w:lineRule="exact"/>
              <w:ind w:left="113" w:right="28"/>
              <w:jc w:val="right"/>
              <w:rPr>
                <w:sz w:val="18"/>
              </w:rPr>
            </w:pPr>
            <w:r w:rsidRPr="00B92948">
              <w:rPr>
                <w:sz w:val="18"/>
              </w:rPr>
              <w:t>38</w:t>
            </w:r>
          </w:p>
        </w:tc>
      </w:tr>
      <w:tr w:rsidR="00BC73E8" w:rsidRPr="00B92948" w14:paraId="4B744DB9" w14:textId="77777777" w:rsidTr="00423624">
        <w:trPr>
          <w:trHeight w:val="240"/>
        </w:trPr>
        <w:tc>
          <w:tcPr>
            <w:tcW w:w="709" w:type="dxa"/>
            <w:shd w:val="clear" w:color="auto" w:fill="auto"/>
          </w:tcPr>
          <w:p w14:paraId="29E09957" w14:textId="77777777" w:rsidR="00B92948" w:rsidRPr="00B92948" w:rsidRDefault="00B92948" w:rsidP="00BC73E8">
            <w:pPr>
              <w:pStyle w:val="SingleTxtG"/>
              <w:tabs>
                <w:tab w:val="clear" w:pos="1701"/>
                <w:tab w:val="clear" w:pos="2268"/>
                <w:tab w:val="clear" w:pos="2835"/>
              </w:tabs>
              <w:spacing w:before="40" w:after="40" w:line="220" w:lineRule="exact"/>
              <w:ind w:left="0" w:right="0"/>
              <w:jc w:val="left"/>
              <w:rPr>
                <w:sz w:val="18"/>
              </w:rPr>
            </w:pPr>
            <w:r w:rsidRPr="00B92948">
              <w:rPr>
                <w:sz w:val="18"/>
              </w:rPr>
              <w:t>2016</w:t>
            </w:r>
          </w:p>
        </w:tc>
        <w:tc>
          <w:tcPr>
            <w:tcW w:w="1276" w:type="dxa"/>
            <w:shd w:val="clear" w:color="auto" w:fill="auto"/>
            <w:vAlign w:val="bottom"/>
          </w:tcPr>
          <w:p w14:paraId="28676A0F" w14:textId="77777777" w:rsidR="00B92948" w:rsidRPr="00B92948" w:rsidRDefault="00B92948" w:rsidP="00423624">
            <w:pPr>
              <w:pStyle w:val="SingleTxtG"/>
              <w:tabs>
                <w:tab w:val="clear" w:pos="1701"/>
                <w:tab w:val="clear" w:pos="2268"/>
                <w:tab w:val="clear" w:pos="2835"/>
              </w:tabs>
              <w:spacing w:before="40" w:after="40" w:line="220" w:lineRule="exact"/>
              <w:ind w:left="113" w:right="28"/>
              <w:jc w:val="right"/>
              <w:rPr>
                <w:sz w:val="18"/>
              </w:rPr>
            </w:pPr>
            <w:r w:rsidRPr="00B92948">
              <w:rPr>
                <w:sz w:val="18"/>
              </w:rPr>
              <w:t>32</w:t>
            </w:r>
          </w:p>
        </w:tc>
        <w:tc>
          <w:tcPr>
            <w:tcW w:w="1162" w:type="dxa"/>
            <w:shd w:val="clear" w:color="auto" w:fill="auto"/>
            <w:tcMar>
              <w:top w:w="0" w:type="dxa"/>
              <w:left w:w="0" w:type="dxa"/>
              <w:bottom w:w="0" w:type="dxa"/>
              <w:right w:w="0" w:type="dxa"/>
            </w:tcMar>
            <w:vAlign w:val="bottom"/>
          </w:tcPr>
          <w:p w14:paraId="225C97EB" w14:textId="77777777" w:rsidR="00B92948" w:rsidRPr="00B92948" w:rsidRDefault="00B92948" w:rsidP="00423624">
            <w:pPr>
              <w:pStyle w:val="SingleTxtG"/>
              <w:tabs>
                <w:tab w:val="clear" w:pos="1701"/>
                <w:tab w:val="clear" w:pos="2268"/>
                <w:tab w:val="clear" w:pos="2835"/>
              </w:tabs>
              <w:spacing w:before="40" w:after="40" w:line="220" w:lineRule="exact"/>
              <w:ind w:left="113" w:right="28"/>
              <w:jc w:val="right"/>
              <w:rPr>
                <w:sz w:val="18"/>
              </w:rPr>
            </w:pPr>
          </w:p>
        </w:tc>
        <w:tc>
          <w:tcPr>
            <w:tcW w:w="1004" w:type="dxa"/>
            <w:shd w:val="clear" w:color="auto" w:fill="auto"/>
            <w:vAlign w:val="bottom"/>
          </w:tcPr>
          <w:p w14:paraId="553CDD60" w14:textId="77777777" w:rsidR="00B92948" w:rsidRPr="00B92948" w:rsidRDefault="00B92948" w:rsidP="00423624">
            <w:pPr>
              <w:pStyle w:val="SingleTxtG"/>
              <w:tabs>
                <w:tab w:val="clear" w:pos="1701"/>
                <w:tab w:val="clear" w:pos="2268"/>
                <w:tab w:val="clear" w:pos="2835"/>
              </w:tabs>
              <w:spacing w:before="40" w:after="40" w:line="220" w:lineRule="exact"/>
              <w:ind w:left="113" w:right="28"/>
              <w:jc w:val="right"/>
              <w:rPr>
                <w:sz w:val="18"/>
              </w:rPr>
            </w:pPr>
            <w:r w:rsidRPr="00B92948">
              <w:rPr>
                <w:sz w:val="18"/>
              </w:rPr>
              <w:t>2</w:t>
            </w:r>
          </w:p>
        </w:tc>
        <w:tc>
          <w:tcPr>
            <w:tcW w:w="1079" w:type="dxa"/>
            <w:shd w:val="clear" w:color="auto" w:fill="auto"/>
            <w:vAlign w:val="bottom"/>
          </w:tcPr>
          <w:p w14:paraId="1B057EE6" w14:textId="77777777" w:rsidR="00B92948" w:rsidRPr="00B92948" w:rsidRDefault="00B92948" w:rsidP="00423624">
            <w:pPr>
              <w:pStyle w:val="SingleTxtG"/>
              <w:tabs>
                <w:tab w:val="clear" w:pos="1701"/>
                <w:tab w:val="clear" w:pos="2268"/>
                <w:tab w:val="clear" w:pos="2835"/>
              </w:tabs>
              <w:spacing w:before="40" w:after="40" w:line="220" w:lineRule="exact"/>
              <w:ind w:left="113" w:right="28"/>
              <w:jc w:val="right"/>
              <w:rPr>
                <w:sz w:val="18"/>
              </w:rPr>
            </w:pPr>
            <w:r w:rsidRPr="00B92948">
              <w:rPr>
                <w:sz w:val="18"/>
              </w:rPr>
              <w:t>1</w:t>
            </w:r>
          </w:p>
        </w:tc>
        <w:tc>
          <w:tcPr>
            <w:tcW w:w="1112" w:type="dxa"/>
            <w:shd w:val="clear" w:color="auto" w:fill="auto"/>
            <w:vAlign w:val="bottom"/>
          </w:tcPr>
          <w:p w14:paraId="3CE1FAEC" w14:textId="77777777" w:rsidR="00B92948" w:rsidRPr="00B92948" w:rsidRDefault="00B92948" w:rsidP="00423624">
            <w:pPr>
              <w:pStyle w:val="SingleTxtG"/>
              <w:tabs>
                <w:tab w:val="clear" w:pos="1701"/>
                <w:tab w:val="clear" w:pos="2268"/>
                <w:tab w:val="clear" w:pos="2835"/>
              </w:tabs>
              <w:spacing w:before="40" w:after="40" w:line="220" w:lineRule="exact"/>
              <w:ind w:left="113" w:right="28"/>
              <w:jc w:val="right"/>
              <w:rPr>
                <w:sz w:val="18"/>
              </w:rPr>
            </w:pPr>
            <w:r w:rsidRPr="00B92948">
              <w:rPr>
                <w:sz w:val="18"/>
              </w:rPr>
              <w:t>1</w:t>
            </w:r>
          </w:p>
        </w:tc>
        <w:tc>
          <w:tcPr>
            <w:tcW w:w="1028" w:type="dxa"/>
            <w:shd w:val="clear" w:color="auto" w:fill="auto"/>
            <w:tcMar>
              <w:top w:w="0" w:type="dxa"/>
              <w:left w:w="0" w:type="dxa"/>
              <w:bottom w:w="0" w:type="dxa"/>
              <w:right w:w="0" w:type="dxa"/>
            </w:tcMar>
            <w:vAlign w:val="bottom"/>
          </w:tcPr>
          <w:p w14:paraId="44640082" w14:textId="77777777" w:rsidR="00B92948" w:rsidRPr="00B92948" w:rsidRDefault="00B92948" w:rsidP="00423624">
            <w:pPr>
              <w:pStyle w:val="SingleTxtG"/>
              <w:tabs>
                <w:tab w:val="clear" w:pos="1701"/>
                <w:tab w:val="clear" w:pos="2268"/>
                <w:tab w:val="clear" w:pos="2835"/>
              </w:tabs>
              <w:spacing w:before="40" w:after="40" w:line="220" w:lineRule="exact"/>
              <w:ind w:left="113" w:right="28"/>
              <w:jc w:val="right"/>
              <w:rPr>
                <w:sz w:val="18"/>
              </w:rPr>
            </w:pPr>
            <w:r w:rsidRPr="00B92948">
              <w:rPr>
                <w:sz w:val="18"/>
              </w:rPr>
              <w:t>36</w:t>
            </w:r>
          </w:p>
        </w:tc>
      </w:tr>
      <w:tr w:rsidR="00BC73E8" w:rsidRPr="00B92948" w14:paraId="5853A3ED" w14:textId="77777777" w:rsidTr="00423624">
        <w:trPr>
          <w:trHeight w:val="240"/>
        </w:trPr>
        <w:tc>
          <w:tcPr>
            <w:tcW w:w="709" w:type="dxa"/>
            <w:shd w:val="clear" w:color="auto" w:fill="auto"/>
          </w:tcPr>
          <w:p w14:paraId="47D68B85" w14:textId="77777777" w:rsidR="00B92948" w:rsidRPr="00B92948" w:rsidRDefault="00B92948" w:rsidP="00BC73E8">
            <w:pPr>
              <w:pStyle w:val="SingleTxtG"/>
              <w:tabs>
                <w:tab w:val="clear" w:pos="1701"/>
                <w:tab w:val="clear" w:pos="2268"/>
                <w:tab w:val="clear" w:pos="2835"/>
              </w:tabs>
              <w:spacing w:before="40" w:after="40" w:line="220" w:lineRule="exact"/>
              <w:ind w:left="0" w:right="0"/>
              <w:jc w:val="left"/>
              <w:rPr>
                <w:sz w:val="18"/>
              </w:rPr>
            </w:pPr>
            <w:r w:rsidRPr="00B92948">
              <w:rPr>
                <w:sz w:val="18"/>
              </w:rPr>
              <w:t>2017</w:t>
            </w:r>
          </w:p>
        </w:tc>
        <w:tc>
          <w:tcPr>
            <w:tcW w:w="1276" w:type="dxa"/>
            <w:shd w:val="clear" w:color="auto" w:fill="auto"/>
            <w:vAlign w:val="bottom"/>
          </w:tcPr>
          <w:p w14:paraId="0CB35AF1" w14:textId="77777777" w:rsidR="00B92948" w:rsidRPr="00B92948" w:rsidRDefault="00B92948" w:rsidP="00423624">
            <w:pPr>
              <w:pStyle w:val="SingleTxtG"/>
              <w:tabs>
                <w:tab w:val="clear" w:pos="1701"/>
                <w:tab w:val="clear" w:pos="2268"/>
                <w:tab w:val="clear" w:pos="2835"/>
              </w:tabs>
              <w:spacing w:before="40" w:after="40" w:line="220" w:lineRule="exact"/>
              <w:ind w:left="113" w:right="28"/>
              <w:jc w:val="right"/>
              <w:rPr>
                <w:sz w:val="18"/>
              </w:rPr>
            </w:pPr>
            <w:r w:rsidRPr="00B92948">
              <w:rPr>
                <w:sz w:val="18"/>
              </w:rPr>
              <w:t>47</w:t>
            </w:r>
          </w:p>
        </w:tc>
        <w:tc>
          <w:tcPr>
            <w:tcW w:w="1162" w:type="dxa"/>
            <w:shd w:val="clear" w:color="auto" w:fill="auto"/>
            <w:tcMar>
              <w:top w:w="0" w:type="dxa"/>
              <w:left w:w="0" w:type="dxa"/>
              <w:bottom w:w="0" w:type="dxa"/>
              <w:right w:w="0" w:type="dxa"/>
            </w:tcMar>
            <w:vAlign w:val="bottom"/>
          </w:tcPr>
          <w:p w14:paraId="57B4790F" w14:textId="77777777" w:rsidR="00B92948" w:rsidRPr="00B92948" w:rsidRDefault="00B92948" w:rsidP="00423624">
            <w:pPr>
              <w:pStyle w:val="SingleTxtG"/>
              <w:tabs>
                <w:tab w:val="clear" w:pos="1701"/>
                <w:tab w:val="clear" w:pos="2268"/>
                <w:tab w:val="clear" w:pos="2835"/>
              </w:tabs>
              <w:spacing w:before="40" w:after="40" w:line="220" w:lineRule="exact"/>
              <w:ind w:left="113" w:right="28"/>
              <w:jc w:val="right"/>
              <w:rPr>
                <w:sz w:val="18"/>
              </w:rPr>
            </w:pPr>
          </w:p>
        </w:tc>
        <w:tc>
          <w:tcPr>
            <w:tcW w:w="1004" w:type="dxa"/>
            <w:shd w:val="clear" w:color="auto" w:fill="auto"/>
            <w:vAlign w:val="bottom"/>
          </w:tcPr>
          <w:p w14:paraId="4195266A" w14:textId="77777777" w:rsidR="00B92948" w:rsidRPr="00B92948" w:rsidRDefault="00B92948" w:rsidP="00423624">
            <w:pPr>
              <w:pStyle w:val="SingleTxtG"/>
              <w:tabs>
                <w:tab w:val="clear" w:pos="1701"/>
                <w:tab w:val="clear" w:pos="2268"/>
                <w:tab w:val="clear" w:pos="2835"/>
              </w:tabs>
              <w:spacing w:before="40" w:after="40" w:line="220" w:lineRule="exact"/>
              <w:ind w:left="113" w:right="28"/>
              <w:jc w:val="right"/>
              <w:rPr>
                <w:sz w:val="18"/>
              </w:rPr>
            </w:pPr>
            <w:r w:rsidRPr="00B92948">
              <w:rPr>
                <w:sz w:val="18"/>
              </w:rPr>
              <w:t>3</w:t>
            </w:r>
          </w:p>
        </w:tc>
        <w:tc>
          <w:tcPr>
            <w:tcW w:w="1079" w:type="dxa"/>
            <w:shd w:val="clear" w:color="auto" w:fill="auto"/>
            <w:vAlign w:val="bottom"/>
          </w:tcPr>
          <w:p w14:paraId="11EF94EA" w14:textId="77777777" w:rsidR="00B92948" w:rsidRPr="00B92948" w:rsidRDefault="00B92948" w:rsidP="00423624">
            <w:pPr>
              <w:pStyle w:val="SingleTxtG"/>
              <w:tabs>
                <w:tab w:val="clear" w:pos="1701"/>
                <w:tab w:val="clear" w:pos="2268"/>
                <w:tab w:val="clear" w:pos="2835"/>
              </w:tabs>
              <w:spacing w:before="40" w:after="40" w:line="220" w:lineRule="exact"/>
              <w:ind w:left="113" w:right="28"/>
              <w:jc w:val="right"/>
              <w:rPr>
                <w:sz w:val="18"/>
              </w:rPr>
            </w:pPr>
          </w:p>
        </w:tc>
        <w:tc>
          <w:tcPr>
            <w:tcW w:w="1112" w:type="dxa"/>
            <w:shd w:val="clear" w:color="auto" w:fill="auto"/>
            <w:vAlign w:val="bottom"/>
          </w:tcPr>
          <w:p w14:paraId="2F3097C5" w14:textId="77777777" w:rsidR="00B92948" w:rsidRPr="00B92948" w:rsidRDefault="00B92948" w:rsidP="00423624">
            <w:pPr>
              <w:pStyle w:val="SingleTxtG"/>
              <w:tabs>
                <w:tab w:val="clear" w:pos="1701"/>
                <w:tab w:val="clear" w:pos="2268"/>
                <w:tab w:val="clear" w:pos="2835"/>
              </w:tabs>
              <w:spacing w:before="40" w:after="40" w:line="220" w:lineRule="exact"/>
              <w:ind w:left="113" w:right="28"/>
              <w:jc w:val="right"/>
              <w:rPr>
                <w:sz w:val="18"/>
              </w:rPr>
            </w:pPr>
          </w:p>
        </w:tc>
        <w:tc>
          <w:tcPr>
            <w:tcW w:w="1028" w:type="dxa"/>
            <w:shd w:val="clear" w:color="auto" w:fill="auto"/>
            <w:tcMar>
              <w:top w:w="0" w:type="dxa"/>
              <w:left w:w="0" w:type="dxa"/>
              <w:bottom w:w="0" w:type="dxa"/>
              <w:right w:w="0" w:type="dxa"/>
            </w:tcMar>
            <w:vAlign w:val="bottom"/>
          </w:tcPr>
          <w:p w14:paraId="763B3455" w14:textId="77777777" w:rsidR="00B92948" w:rsidRPr="00B92948" w:rsidRDefault="00B92948" w:rsidP="00423624">
            <w:pPr>
              <w:pStyle w:val="SingleTxtG"/>
              <w:tabs>
                <w:tab w:val="clear" w:pos="1701"/>
                <w:tab w:val="clear" w:pos="2268"/>
                <w:tab w:val="clear" w:pos="2835"/>
              </w:tabs>
              <w:spacing w:before="40" w:after="40" w:line="220" w:lineRule="exact"/>
              <w:ind w:left="113" w:right="28"/>
              <w:jc w:val="right"/>
              <w:rPr>
                <w:sz w:val="18"/>
              </w:rPr>
            </w:pPr>
            <w:r w:rsidRPr="00B92948">
              <w:rPr>
                <w:sz w:val="18"/>
              </w:rPr>
              <w:t>50</w:t>
            </w:r>
          </w:p>
        </w:tc>
      </w:tr>
      <w:tr w:rsidR="00BC73E8" w:rsidRPr="00B92948" w14:paraId="7EB393DE" w14:textId="77777777" w:rsidTr="00423624">
        <w:trPr>
          <w:trHeight w:val="240"/>
        </w:trPr>
        <w:tc>
          <w:tcPr>
            <w:tcW w:w="709" w:type="dxa"/>
            <w:tcBorders>
              <w:bottom w:val="single" w:sz="12" w:space="0" w:color="auto"/>
            </w:tcBorders>
            <w:shd w:val="clear" w:color="auto" w:fill="auto"/>
          </w:tcPr>
          <w:p w14:paraId="1BC4AF77" w14:textId="77777777" w:rsidR="00B92948" w:rsidRPr="00B92948" w:rsidRDefault="00B92948" w:rsidP="00BC73E8">
            <w:pPr>
              <w:pStyle w:val="SingleTxtG"/>
              <w:tabs>
                <w:tab w:val="clear" w:pos="1701"/>
                <w:tab w:val="clear" w:pos="2268"/>
                <w:tab w:val="clear" w:pos="2835"/>
              </w:tabs>
              <w:spacing w:before="40" w:after="40" w:line="220" w:lineRule="exact"/>
              <w:ind w:left="0" w:right="0"/>
              <w:jc w:val="left"/>
              <w:rPr>
                <w:sz w:val="18"/>
              </w:rPr>
            </w:pPr>
            <w:r w:rsidRPr="00B92948">
              <w:rPr>
                <w:sz w:val="18"/>
              </w:rPr>
              <w:t>2018</w:t>
            </w:r>
          </w:p>
        </w:tc>
        <w:tc>
          <w:tcPr>
            <w:tcW w:w="1276" w:type="dxa"/>
            <w:tcBorders>
              <w:bottom w:val="single" w:sz="12" w:space="0" w:color="auto"/>
            </w:tcBorders>
            <w:shd w:val="clear" w:color="auto" w:fill="auto"/>
            <w:vAlign w:val="bottom"/>
          </w:tcPr>
          <w:p w14:paraId="638C1F13" w14:textId="77777777" w:rsidR="00B92948" w:rsidRPr="00B92948" w:rsidRDefault="00B92948" w:rsidP="00423624">
            <w:pPr>
              <w:pStyle w:val="SingleTxtG"/>
              <w:tabs>
                <w:tab w:val="clear" w:pos="1701"/>
                <w:tab w:val="clear" w:pos="2268"/>
                <w:tab w:val="clear" w:pos="2835"/>
              </w:tabs>
              <w:spacing w:before="40" w:after="40" w:line="220" w:lineRule="exact"/>
              <w:ind w:left="113" w:right="28"/>
              <w:jc w:val="right"/>
              <w:rPr>
                <w:sz w:val="18"/>
              </w:rPr>
            </w:pPr>
            <w:r w:rsidRPr="00B92948">
              <w:rPr>
                <w:sz w:val="18"/>
              </w:rPr>
              <w:t>13</w:t>
            </w:r>
          </w:p>
        </w:tc>
        <w:tc>
          <w:tcPr>
            <w:tcW w:w="1162" w:type="dxa"/>
            <w:tcBorders>
              <w:bottom w:val="single" w:sz="12" w:space="0" w:color="auto"/>
            </w:tcBorders>
            <w:shd w:val="clear" w:color="auto" w:fill="auto"/>
            <w:tcMar>
              <w:top w:w="0" w:type="dxa"/>
              <w:left w:w="0" w:type="dxa"/>
              <w:bottom w:w="0" w:type="dxa"/>
              <w:right w:w="0" w:type="dxa"/>
            </w:tcMar>
            <w:vAlign w:val="bottom"/>
          </w:tcPr>
          <w:p w14:paraId="11911A9C" w14:textId="77777777" w:rsidR="00B92948" w:rsidRPr="00B92948" w:rsidRDefault="00B92948" w:rsidP="00423624">
            <w:pPr>
              <w:pStyle w:val="SingleTxtG"/>
              <w:tabs>
                <w:tab w:val="clear" w:pos="1701"/>
                <w:tab w:val="clear" w:pos="2268"/>
                <w:tab w:val="clear" w:pos="2835"/>
              </w:tabs>
              <w:spacing w:before="40" w:after="40" w:line="220" w:lineRule="exact"/>
              <w:ind w:left="113" w:right="28"/>
              <w:jc w:val="right"/>
              <w:rPr>
                <w:sz w:val="18"/>
              </w:rPr>
            </w:pPr>
            <w:r w:rsidRPr="00B92948">
              <w:rPr>
                <w:sz w:val="18"/>
              </w:rPr>
              <w:t>1</w:t>
            </w:r>
          </w:p>
        </w:tc>
        <w:tc>
          <w:tcPr>
            <w:tcW w:w="1004" w:type="dxa"/>
            <w:tcBorders>
              <w:bottom w:val="single" w:sz="12" w:space="0" w:color="auto"/>
            </w:tcBorders>
            <w:shd w:val="clear" w:color="auto" w:fill="auto"/>
            <w:vAlign w:val="bottom"/>
          </w:tcPr>
          <w:p w14:paraId="06B68C12" w14:textId="77777777" w:rsidR="00B92948" w:rsidRPr="00B92948" w:rsidRDefault="00B92948" w:rsidP="00423624">
            <w:pPr>
              <w:pStyle w:val="SingleTxtG"/>
              <w:tabs>
                <w:tab w:val="clear" w:pos="1701"/>
                <w:tab w:val="clear" w:pos="2268"/>
                <w:tab w:val="clear" w:pos="2835"/>
              </w:tabs>
              <w:spacing w:before="40" w:after="40" w:line="220" w:lineRule="exact"/>
              <w:ind w:left="113" w:right="28"/>
              <w:jc w:val="right"/>
              <w:rPr>
                <w:sz w:val="18"/>
              </w:rPr>
            </w:pPr>
          </w:p>
        </w:tc>
        <w:tc>
          <w:tcPr>
            <w:tcW w:w="1079" w:type="dxa"/>
            <w:tcBorders>
              <w:bottom w:val="single" w:sz="12" w:space="0" w:color="auto"/>
            </w:tcBorders>
            <w:shd w:val="clear" w:color="auto" w:fill="auto"/>
            <w:vAlign w:val="bottom"/>
          </w:tcPr>
          <w:p w14:paraId="24284743" w14:textId="77777777" w:rsidR="00B92948" w:rsidRPr="00B92948" w:rsidRDefault="00B92948" w:rsidP="00423624">
            <w:pPr>
              <w:pStyle w:val="SingleTxtG"/>
              <w:tabs>
                <w:tab w:val="clear" w:pos="1701"/>
                <w:tab w:val="clear" w:pos="2268"/>
                <w:tab w:val="clear" w:pos="2835"/>
              </w:tabs>
              <w:spacing w:before="40" w:after="40" w:line="220" w:lineRule="exact"/>
              <w:ind w:left="113" w:right="28"/>
              <w:jc w:val="right"/>
              <w:rPr>
                <w:sz w:val="18"/>
              </w:rPr>
            </w:pPr>
          </w:p>
        </w:tc>
        <w:tc>
          <w:tcPr>
            <w:tcW w:w="1112" w:type="dxa"/>
            <w:tcBorders>
              <w:bottom w:val="single" w:sz="12" w:space="0" w:color="auto"/>
            </w:tcBorders>
            <w:shd w:val="clear" w:color="auto" w:fill="auto"/>
            <w:vAlign w:val="bottom"/>
          </w:tcPr>
          <w:p w14:paraId="38429C13" w14:textId="77777777" w:rsidR="00B92948" w:rsidRPr="00B92948" w:rsidRDefault="00B92948" w:rsidP="00423624">
            <w:pPr>
              <w:pStyle w:val="SingleTxtG"/>
              <w:tabs>
                <w:tab w:val="clear" w:pos="1701"/>
                <w:tab w:val="clear" w:pos="2268"/>
                <w:tab w:val="clear" w:pos="2835"/>
              </w:tabs>
              <w:spacing w:before="40" w:after="40" w:line="220" w:lineRule="exact"/>
              <w:ind w:left="113" w:right="28"/>
              <w:jc w:val="right"/>
              <w:rPr>
                <w:sz w:val="18"/>
              </w:rPr>
            </w:pPr>
          </w:p>
        </w:tc>
        <w:tc>
          <w:tcPr>
            <w:tcW w:w="1028" w:type="dxa"/>
            <w:tcBorders>
              <w:bottom w:val="single" w:sz="12" w:space="0" w:color="auto"/>
            </w:tcBorders>
            <w:shd w:val="clear" w:color="auto" w:fill="auto"/>
            <w:tcMar>
              <w:top w:w="0" w:type="dxa"/>
              <w:left w:w="0" w:type="dxa"/>
              <w:bottom w:w="0" w:type="dxa"/>
              <w:right w:w="0" w:type="dxa"/>
            </w:tcMar>
            <w:vAlign w:val="bottom"/>
          </w:tcPr>
          <w:p w14:paraId="6E6A4A5C" w14:textId="77777777" w:rsidR="00B92948" w:rsidRPr="00B92948" w:rsidRDefault="00B92948" w:rsidP="00423624">
            <w:pPr>
              <w:pStyle w:val="SingleTxtG"/>
              <w:tabs>
                <w:tab w:val="clear" w:pos="1701"/>
                <w:tab w:val="clear" w:pos="2268"/>
                <w:tab w:val="clear" w:pos="2835"/>
              </w:tabs>
              <w:spacing w:before="40" w:after="40" w:line="220" w:lineRule="exact"/>
              <w:ind w:left="113" w:right="28"/>
              <w:jc w:val="right"/>
              <w:rPr>
                <w:sz w:val="18"/>
              </w:rPr>
            </w:pPr>
            <w:r w:rsidRPr="00B92948">
              <w:rPr>
                <w:sz w:val="18"/>
              </w:rPr>
              <w:t>14</w:t>
            </w:r>
          </w:p>
        </w:tc>
      </w:tr>
    </w:tbl>
    <w:p w14:paraId="4A3CB3F1" w14:textId="77777777" w:rsidR="00B92948" w:rsidRPr="00B92948" w:rsidRDefault="00B92948" w:rsidP="00BC73E8">
      <w:pPr>
        <w:pStyle w:val="H1G"/>
      </w:pPr>
      <w:r w:rsidRPr="00B92948">
        <w:tab/>
        <w:t>7.</w:t>
      </w:r>
      <w:r w:rsidRPr="00B92948">
        <w:tab/>
        <w:t xml:space="preserve">Discapacidad, condiciones básicas de salud y bienestar </w:t>
      </w:r>
      <w:r w:rsidR="00BC73E8">
        <w:br/>
      </w:r>
      <w:r w:rsidRPr="00B92948">
        <w:t>(arts. 6, 18 (párr. 3), 23, 24, 26, 27 (</w:t>
      </w:r>
      <w:proofErr w:type="spellStart"/>
      <w:r w:rsidRPr="00B92948">
        <w:t>párrs</w:t>
      </w:r>
      <w:proofErr w:type="spellEnd"/>
      <w:r w:rsidRPr="00B92948">
        <w:t>. 1 a 3) y 33)</w:t>
      </w:r>
      <w:bookmarkStart w:id="38" w:name="_Toc56781441"/>
      <w:bookmarkEnd w:id="38"/>
    </w:p>
    <w:p w14:paraId="15D00DFA" w14:textId="77777777" w:rsidR="00B92948" w:rsidRPr="00B92948" w:rsidRDefault="00B92948" w:rsidP="00B92948">
      <w:pPr>
        <w:pStyle w:val="SingleTxtG"/>
      </w:pPr>
      <w:r w:rsidRPr="00B92948">
        <w:t>103.</w:t>
      </w:r>
      <w:r w:rsidRPr="00B92948">
        <w:tab/>
        <w:t>En el marco de la Estrategia Nacional de Desinstitucionalización 2008-2018 del sistema de protección social, se adoptaron varias medidas para promover la accesibilidad de la atención inclusiva de los niños con discapacidad.</w:t>
      </w:r>
    </w:p>
    <w:p w14:paraId="69B4F919" w14:textId="77777777" w:rsidR="00B92948" w:rsidRPr="00B92948" w:rsidRDefault="00B92948" w:rsidP="00B92948">
      <w:pPr>
        <w:pStyle w:val="SingleTxtG"/>
      </w:pPr>
      <w:r w:rsidRPr="00B92948">
        <w:t>104.</w:t>
      </w:r>
      <w:r w:rsidRPr="00B92948">
        <w:tab/>
        <w:t xml:space="preserve">En los últimos años, el Ministerio de Trabajo y Política Social ha intensificado su compromiso de mejorar la inclusión de los niños con discapacidad mediante cambios en las políticas y los servicios, más concretamente, aumentando el número de </w:t>
      </w:r>
      <w:proofErr w:type="gramStart"/>
      <w:r w:rsidRPr="00B92948">
        <w:t>guarderías infantiles</w:t>
      </w:r>
      <w:proofErr w:type="gramEnd"/>
      <w:r w:rsidRPr="00B92948">
        <w:t>, introduciendo nuevas prestaciones previstas en la ley y aumentando las prestaciones existentes para los niños con discapacidad.</w:t>
      </w:r>
    </w:p>
    <w:p w14:paraId="5EC526A5" w14:textId="77777777" w:rsidR="00B92948" w:rsidRPr="00B92948" w:rsidRDefault="00B92948" w:rsidP="00B92948">
      <w:pPr>
        <w:pStyle w:val="SingleTxtG"/>
      </w:pPr>
      <w:r w:rsidRPr="00B92948">
        <w:t>105.</w:t>
      </w:r>
      <w:r w:rsidRPr="00B92948">
        <w:tab/>
        <w:t>Tras constatar que el modelo de evaluación de los niños con discapacidad del desarrollo (categorización basada en la evaluación médica) es obsoleto, el Ministerio de Trabajo y Política Social, junto con el UNICEF, está trabajando en la elaboración de un nuevo modelo de evaluación funcional de los niños, destinado a establecer el potencial que puede alcanzar el niño y determinar los obstáculos del entorno que lo impiden.</w:t>
      </w:r>
    </w:p>
    <w:p w14:paraId="4C687DBA" w14:textId="77777777" w:rsidR="00B92948" w:rsidRPr="00B92948" w:rsidRDefault="00B92948" w:rsidP="00B92948">
      <w:pPr>
        <w:pStyle w:val="SingleTxtG"/>
      </w:pPr>
      <w:r w:rsidRPr="00B92948">
        <w:t>106.</w:t>
      </w:r>
      <w:r w:rsidRPr="00B92948">
        <w:tab/>
        <w:t xml:space="preserve">En cooperación con el UNICEF, se hizo una evaluación de las modalidades alternativas de cuidado y los servicios de apoyo a las familias de los niños con discapacidad, que dio lugar a un análisis y a recomendaciones sobre la revisión de las guarderías para niños con discapacidad. El objetivo es pasar de la </w:t>
      </w:r>
      <w:r w:rsidR="00147E0E">
        <w:t>“</w:t>
      </w:r>
      <w:r w:rsidRPr="00B92948">
        <w:t>guardería</w:t>
      </w:r>
      <w:r w:rsidR="00147E0E">
        <w:t>”</w:t>
      </w:r>
      <w:r w:rsidRPr="00B92948">
        <w:t xml:space="preserve"> a diversos tipos de servicios que no den lugar a la segregación, sino que ayuden a los niños a participar en la vida cotidiana de la comunidad. </w:t>
      </w:r>
    </w:p>
    <w:p w14:paraId="5FAC3717" w14:textId="77777777" w:rsidR="00B92948" w:rsidRPr="00B92948" w:rsidRDefault="00B92948" w:rsidP="00B92948">
      <w:pPr>
        <w:pStyle w:val="SingleTxtG"/>
      </w:pPr>
      <w:r w:rsidRPr="00B92948">
        <w:t>107.</w:t>
      </w:r>
      <w:r w:rsidRPr="00B92948">
        <w:tab/>
        <w:t xml:space="preserve">Con respecto a la protección de los niños con discapacidad del desarrollo, hasta la fecha el Ministerio de Trabajo y Política Social ha abierto 31 guarderías, entre ellas 27 para </w:t>
      </w:r>
      <w:r w:rsidRPr="00B92948">
        <w:lastRenderedPageBreak/>
        <w:t>niños con discapacidad intelectual o física, 1 para niños con parálisis cerebral, 1 para niños con deficiencias visuales y 2 para niños con autismo, a las que asisten unos 440 beneficiarios.</w:t>
      </w:r>
    </w:p>
    <w:p w14:paraId="6CCA441F" w14:textId="77777777" w:rsidR="00B92948" w:rsidRPr="00B92948" w:rsidRDefault="00B92948" w:rsidP="00B92948">
      <w:pPr>
        <w:pStyle w:val="SingleTxtG"/>
      </w:pPr>
      <w:r w:rsidRPr="00B92948">
        <w:t>108.</w:t>
      </w:r>
      <w:r w:rsidRPr="00B92948">
        <w:tab/>
        <w:t>En el año escolar 2017/18, se nombraron 140 asistentes educativos para niños con discapacidad en 18 municipios del estado.</w:t>
      </w:r>
    </w:p>
    <w:p w14:paraId="26A44024" w14:textId="77777777" w:rsidR="00B92948" w:rsidRPr="00B92948" w:rsidRDefault="00B92948" w:rsidP="00B92948">
      <w:pPr>
        <w:pStyle w:val="SingleTxtG"/>
      </w:pPr>
      <w:r w:rsidRPr="00B92948">
        <w:t>109.</w:t>
      </w:r>
      <w:r w:rsidRPr="00B92948">
        <w:tab/>
        <w:t xml:space="preserve">En el marco de la Estrategia Nacional de Desinstitucionalización 2018-2027, se están elaborando planes de transformación de las instituciones de protección social, que permitirán el tratamiento de los beneficiarios mediante la ampliación y el fortalecimiento de la actual red de protección no institucional. La transformación del Instituto Público Especial </w:t>
      </w:r>
      <w:proofErr w:type="spellStart"/>
      <w:r w:rsidRPr="00B92948">
        <w:t>Demir</w:t>
      </w:r>
      <w:proofErr w:type="spellEnd"/>
      <w:r w:rsidRPr="00B92948">
        <w:t xml:space="preserve"> </w:t>
      </w:r>
      <w:proofErr w:type="spellStart"/>
      <w:r w:rsidRPr="00B92948">
        <w:t>Kapija</w:t>
      </w:r>
      <w:proofErr w:type="spellEnd"/>
      <w:r w:rsidRPr="00B92948">
        <w:t>, permitió abrir una nueva instalación con asistencia para la vida autónoma y se proporcionaron dos residencias para siete niños con discapacidad.</w:t>
      </w:r>
    </w:p>
    <w:p w14:paraId="063D67B1" w14:textId="77777777" w:rsidR="00B92948" w:rsidRPr="00B92948" w:rsidRDefault="00B92948" w:rsidP="00B92948">
      <w:pPr>
        <w:pStyle w:val="SingleTxtG"/>
      </w:pPr>
      <w:r w:rsidRPr="00B92948">
        <w:t>110.</w:t>
      </w:r>
      <w:r w:rsidRPr="00B92948">
        <w:tab/>
        <w:t>La Ley por la que se Modifica la Ley de Protección de la Infancia</w:t>
      </w:r>
      <w:r w:rsidRPr="00B92948">
        <w:rPr>
          <w:rStyle w:val="Refdenotaalpie"/>
        </w:rPr>
        <w:footnoteReference w:id="27"/>
      </w:r>
      <w:r w:rsidRPr="00B92948">
        <w:t xml:space="preserve"> otorga el derecho a una prestación especial para los niños con síndrome de Down. Dicha prestación se incrementó en un 25</w:t>
      </w:r>
      <w:r w:rsidR="000C0C75">
        <w:t> %</w:t>
      </w:r>
      <w:r w:rsidRPr="00B92948">
        <w:t xml:space="preserve"> (el 1 de junio de 2015) para los progenitores en situación desfavorecida que reciben asistencia social pecuniaria y una prestación pecuniaria permanente y que tienen un hijo de hasta 26 </w:t>
      </w:r>
      <w:proofErr w:type="gramStart"/>
      <w:r w:rsidRPr="00B92948">
        <w:t>años de edad</w:t>
      </w:r>
      <w:proofErr w:type="gramEnd"/>
      <w:r w:rsidRPr="00B92948">
        <w:t xml:space="preserve"> con necesidades específicas, con discapacidad del desarrollo físico o mental o discapacidades de desarrollo combinadas. </w:t>
      </w:r>
    </w:p>
    <w:p w14:paraId="7CBFB721" w14:textId="77777777" w:rsidR="00B92948" w:rsidRPr="00B92948" w:rsidRDefault="00B92948" w:rsidP="00B92948">
      <w:pPr>
        <w:pStyle w:val="SingleTxtG"/>
      </w:pPr>
      <w:r w:rsidRPr="00B92948">
        <w:t>111.</w:t>
      </w:r>
      <w:r w:rsidRPr="00B92948">
        <w:tab/>
        <w:t>Según las estadísticas, un total de 7.292 niños reciben una prestación especial como asistencia social pecuniaria para niños con necesidades específicas.</w:t>
      </w:r>
    </w:p>
    <w:p w14:paraId="61E17847" w14:textId="77777777" w:rsidR="00B92948" w:rsidRPr="00B92948" w:rsidRDefault="00B92948" w:rsidP="00B92948">
      <w:pPr>
        <w:pStyle w:val="SingleTxtG"/>
      </w:pPr>
      <w:r w:rsidRPr="00B92948">
        <w:t>112.</w:t>
      </w:r>
      <w:r w:rsidRPr="00B92948">
        <w:tab/>
        <w:t>A continuación se consigna el número de beneficiarios colocados en instituciones de protección social:</w:t>
      </w:r>
    </w:p>
    <w:p w14:paraId="21D02F69" w14:textId="77777777" w:rsidR="00B92948" w:rsidRPr="00B92948" w:rsidRDefault="00B92948" w:rsidP="00BC73E8">
      <w:pPr>
        <w:pStyle w:val="Bullet1G"/>
      </w:pPr>
      <w:r w:rsidRPr="00B92948">
        <w:t>El Instituto de Rehabilitación de Niños y Jóvenes de Skopie presta asistencia a 66</w:t>
      </w:r>
      <w:r w:rsidR="00C64E6A">
        <w:t> </w:t>
      </w:r>
      <w:r w:rsidRPr="00B92948">
        <w:t xml:space="preserve">beneficiarios, 36 de los cuales residen allí, 15 de ellos son menores de 18 años y 21 tienen entre 18 y 26 </w:t>
      </w:r>
      <w:proofErr w:type="gramStart"/>
      <w:r w:rsidRPr="00B92948">
        <w:t>años de edad</w:t>
      </w:r>
      <w:proofErr w:type="gramEnd"/>
      <w:r w:rsidR="00423624">
        <w:t>.</w:t>
      </w:r>
    </w:p>
    <w:p w14:paraId="4AB78D09" w14:textId="77777777" w:rsidR="00B92948" w:rsidRPr="00B92948" w:rsidRDefault="00B92948" w:rsidP="00BC73E8">
      <w:pPr>
        <w:pStyle w:val="Bullet1G"/>
      </w:pPr>
      <w:r w:rsidRPr="00B92948">
        <w:tab/>
        <w:t xml:space="preserve">El Instituto Especial </w:t>
      </w:r>
      <w:proofErr w:type="spellStart"/>
      <w:r w:rsidRPr="00B92948">
        <w:t>Demir</w:t>
      </w:r>
      <w:proofErr w:type="spellEnd"/>
      <w:r w:rsidRPr="00B92948">
        <w:t xml:space="preserve"> </w:t>
      </w:r>
      <w:proofErr w:type="spellStart"/>
      <w:r w:rsidRPr="00B92948">
        <w:t>Kapija</w:t>
      </w:r>
      <w:proofErr w:type="spellEnd"/>
      <w:r w:rsidRPr="00B92948">
        <w:t xml:space="preserve"> acoge a un total de 221 beneficiarios, 11 de los cuales son menores de 18 años y 16 tienen entre 18 y 26 </w:t>
      </w:r>
      <w:proofErr w:type="gramStart"/>
      <w:r w:rsidRPr="00B92948">
        <w:t>años de edad</w:t>
      </w:r>
      <w:proofErr w:type="gramEnd"/>
      <w:r w:rsidR="00423624">
        <w:t>.</w:t>
      </w:r>
    </w:p>
    <w:p w14:paraId="7EAA6D74" w14:textId="77777777" w:rsidR="00B92948" w:rsidRPr="00B92948" w:rsidRDefault="00B92948" w:rsidP="00BC73E8">
      <w:pPr>
        <w:pStyle w:val="Bullet1G"/>
      </w:pPr>
      <w:r w:rsidRPr="00B92948">
        <w:tab/>
        <w:t xml:space="preserve">El Instituto de Protección y Rehabilitación Spa </w:t>
      </w:r>
      <w:proofErr w:type="spellStart"/>
      <w:r w:rsidRPr="00B92948">
        <w:t>Bansko</w:t>
      </w:r>
      <w:proofErr w:type="spellEnd"/>
      <w:r w:rsidRPr="00B92948">
        <w:t xml:space="preserve"> en </w:t>
      </w:r>
      <w:proofErr w:type="spellStart"/>
      <w:r w:rsidRPr="00B92948">
        <w:t>Strumica</w:t>
      </w:r>
      <w:proofErr w:type="spellEnd"/>
      <w:r w:rsidRPr="00B92948">
        <w:t xml:space="preserve"> acoge un total de 63 beneficiarios, 10 de los cuales son menores de 18 años y 5 tienen entre 18 y 26 </w:t>
      </w:r>
      <w:proofErr w:type="gramStart"/>
      <w:r w:rsidRPr="00B92948">
        <w:t>años de edad</w:t>
      </w:r>
      <w:proofErr w:type="gramEnd"/>
      <w:r w:rsidR="00423624">
        <w:t>.</w:t>
      </w:r>
    </w:p>
    <w:p w14:paraId="6B35FD83" w14:textId="77777777" w:rsidR="00B92948" w:rsidRPr="00B92948" w:rsidRDefault="00B92948" w:rsidP="00BC73E8">
      <w:pPr>
        <w:pStyle w:val="Bullet1G"/>
      </w:pPr>
      <w:r w:rsidRPr="00B92948">
        <w:tab/>
        <w:t>El Hogar Bitola para Lactantes y Niños Pequeños acoge un total de 68 beneficiarios, 19 de los cuales tienen alguna discapacidad, 2 tienen deficiencias menores y 5 tienen una edad mental cercana a su edad física</w:t>
      </w:r>
      <w:r w:rsidR="00423624">
        <w:t>.</w:t>
      </w:r>
      <w:r w:rsidRPr="00B92948">
        <w:t xml:space="preserve"> </w:t>
      </w:r>
    </w:p>
    <w:p w14:paraId="114B8CE5" w14:textId="77777777" w:rsidR="00B92948" w:rsidRPr="00B92948" w:rsidRDefault="00B92948" w:rsidP="00BC73E8">
      <w:pPr>
        <w:pStyle w:val="Bullet1G"/>
      </w:pPr>
      <w:r w:rsidRPr="00B92948">
        <w:tab/>
        <w:t>Las familias de acogida albergan un total de 340 personas, 137 de las cuales son niños con discapacidad</w:t>
      </w:r>
      <w:r w:rsidR="00423624">
        <w:t>.</w:t>
      </w:r>
    </w:p>
    <w:p w14:paraId="1A68DBE0" w14:textId="77777777" w:rsidR="00B92948" w:rsidRPr="00B92948" w:rsidRDefault="00B92948" w:rsidP="00BC73E8">
      <w:pPr>
        <w:pStyle w:val="Bullet1G"/>
      </w:pPr>
      <w:r w:rsidRPr="00B92948">
        <w:tab/>
        <w:t xml:space="preserve">Centros de día para personas con discapacidad, con un total de 431 beneficiarios, 187 de los cuales son menores de 18 años y 107 tienen entre 18 y 26 </w:t>
      </w:r>
      <w:proofErr w:type="gramStart"/>
      <w:r w:rsidRPr="00B92948">
        <w:t>años de edad</w:t>
      </w:r>
      <w:proofErr w:type="gramEnd"/>
      <w:r w:rsidRPr="00B92948">
        <w:t>.</w:t>
      </w:r>
    </w:p>
    <w:p w14:paraId="43C7DA12" w14:textId="77777777" w:rsidR="00B92948" w:rsidRPr="00B92948" w:rsidRDefault="00B92948" w:rsidP="00BC73E8">
      <w:pPr>
        <w:pStyle w:val="H23G"/>
      </w:pPr>
      <w:r w:rsidRPr="00B92948">
        <w:tab/>
        <w:t>a)</w:t>
      </w:r>
      <w:r w:rsidRPr="00B92948">
        <w:tab/>
        <w:t>Salud y servicios sanitarios, en particular atención primaria de la salud (art. 24)</w:t>
      </w:r>
      <w:bookmarkStart w:id="39" w:name="_Toc56781442"/>
      <w:bookmarkEnd w:id="39"/>
    </w:p>
    <w:p w14:paraId="6505B922" w14:textId="77777777" w:rsidR="00B92948" w:rsidRPr="00B92948" w:rsidRDefault="00B92948" w:rsidP="00B92948">
      <w:pPr>
        <w:pStyle w:val="SingleTxtG"/>
      </w:pPr>
      <w:r w:rsidRPr="00B92948">
        <w:t>113.</w:t>
      </w:r>
      <w:r w:rsidRPr="00B92948">
        <w:tab/>
        <w:t>El derecho a la atención de la salud de todos los ciudadanos está protegido en la Constitución y se rige por la Ley de Atención de la Salud</w:t>
      </w:r>
      <w:r w:rsidRPr="00B92948">
        <w:rPr>
          <w:rStyle w:val="Refdenotaalpie"/>
        </w:rPr>
        <w:footnoteReference w:id="28"/>
      </w:r>
      <w:r w:rsidRPr="00B92948">
        <w:t xml:space="preserve">. Los derechos garantizados se ejercen y las necesidades e intereses establecidos se satisfacen mediante programas anuales especialmente concebidos y financiados en el presupuesto. </w:t>
      </w:r>
    </w:p>
    <w:p w14:paraId="279C29F7" w14:textId="77777777" w:rsidR="00B92948" w:rsidRPr="00B92948" w:rsidRDefault="00B92948" w:rsidP="00B92948">
      <w:pPr>
        <w:pStyle w:val="SingleTxtG"/>
      </w:pPr>
      <w:r w:rsidRPr="00B92948">
        <w:t>114.</w:t>
      </w:r>
      <w:r w:rsidRPr="00B92948">
        <w:tab/>
        <w:t>El acceso a la atención de la salud para las personas con discapacidad se rige por la Ley de Atención de la Salud (atención primaria de la salud), la Ley de Seguro Médico (cobertura universal del seguro médico y exención del pago de la contribución), la Ley de Derechos de los Pacientes (aspectos del derecho a la salud relacionados con la persona) y la Ley de Salud Mental (derecho al respeto de la personalidad, la dignidad y la privacidad de todas las personas con enfermedades mentales).</w:t>
      </w:r>
    </w:p>
    <w:p w14:paraId="2D02AFB0" w14:textId="77777777" w:rsidR="00B92948" w:rsidRPr="00B92948" w:rsidRDefault="00B92948" w:rsidP="00B92948">
      <w:pPr>
        <w:pStyle w:val="SingleTxtG"/>
      </w:pPr>
      <w:r w:rsidRPr="00B92948">
        <w:lastRenderedPageBreak/>
        <w:t>115.</w:t>
      </w:r>
      <w:r w:rsidRPr="00B92948">
        <w:tab/>
        <w:t>La atención de la salud de los niños con problemas de desarrollo se presta en centros de atención primaria de la salud y la atención secundaria de la salud de los niños con problemas de desarrollo y necesidades educativas especiales se presta en centros que cuentan con servicios de pediatría del desarrollo y dos instituciones especializadas de salud mental, en Skopie y en Bitola para la detección temprana, el diagnóstico, el tratamiento y el seguimiento del crecimiento y el desarrollo funcionales de los niños que nacieron con algún riesgo, y en centros de atención terciaria de la salud, en las ciudades más grandes.</w:t>
      </w:r>
    </w:p>
    <w:p w14:paraId="5B1ACD4D" w14:textId="77777777" w:rsidR="00B92948" w:rsidRPr="00B92948" w:rsidRDefault="00B92948" w:rsidP="00B92948">
      <w:pPr>
        <w:pStyle w:val="SingleTxtG"/>
      </w:pPr>
      <w:r w:rsidRPr="00B92948">
        <w:t>116.</w:t>
      </w:r>
      <w:r w:rsidRPr="00B92948">
        <w:tab/>
        <w:t>El Ministerio de Salud viene realizando sin interrupción las actividades previstas en el plan de acción adoptado y aprobado por el Gobierno para el establecimiento de un centro para personas con autismo, mediante una serie de iniciativas multisectoriales de fomento de la capacidad (contratación de personal, capacitación, dotación de equipo y aplicación de nuevos métodos de tratamiento y funcionamiento para este centro singular). En los últimos años se ha hecho hincapié en la capacitación para utilizar el instrumento de evaluación Análisis Conductual Aplicado y el instrumento de diagnóstico y evaluación Cuadro de Observación de Diagnóstico del Autismo para el personal de establecimientos de salud pública que trabajan con niños con trastornos del espectro autista y empleados del Centro de Día para Personas con Autismo en Skopie, que depende del Ministerio de Trabajo y Política Social.</w:t>
      </w:r>
    </w:p>
    <w:p w14:paraId="2E42DF10" w14:textId="77777777" w:rsidR="00B92948" w:rsidRPr="00B92948" w:rsidRDefault="00B92948" w:rsidP="00B92948">
      <w:pPr>
        <w:pStyle w:val="SingleTxtG"/>
      </w:pPr>
      <w:r w:rsidRPr="00B92948">
        <w:t>117.</w:t>
      </w:r>
      <w:r w:rsidRPr="00B92948">
        <w:tab/>
        <w:t>En 2017 el Ministerio de Salud estableció un órgano de trabajo para la aplicación del Plan de Acción para Mejorar la Atención de la Salud de los Niños con Discapacidad. Las medidas y actividades esbozadas en el Plan de Acción abordan los problemas que enfrentan las familias de las personas con trastornos del espectro autista, enfermedades raras y otras formas de discapacidad (facilitando su acceso a los servicios sociales y de atención de la salud mediante diagnósticos correctos, permitiendo el tratamiento con métodos recientemente introducidos y el suministro oportuno de medicamentos, reactivos de laboratorio y otros medios terapéuticos necesarios, y manteniendo la cooperación y la capacitación continuas de los profesionales del país junto con colegas del extranjero).</w:t>
      </w:r>
    </w:p>
    <w:p w14:paraId="5674255B" w14:textId="77777777" w:rsidR="00B92948" w:rsidRPr="00B92948" w:rsidRDefault="00B92948" w:rsidP="00B92948">
      <w:pPr>
        <w:pStyle w:val="SingleTxtG"/>
      </w:pPr>
      <w:r w:rsidRPr="00B92948">
        <w:t>118.</w:t>
      </w:r>
      <w:r w:rsidRPr="00B92948">
        <w:tab/>
        <w:t xml:space="preserve">De conformidad con las prioridades establecidas, el Gobierno aprueba cada año programas que el Ministerio de Salud lleva a la práctica. </w:t>
      </w:r>
    </w:p>
    <w:p w14:paraId="40C9E4E8" w14:textId="77777777" w:rsidR="00B92948" w:rsidRPr="00B92948" w:rsidRDefault="00B92948" w:rsidP="00B92948">
      <w:pPr>
        <w:pStyle w:val="SingleTxtG"/>
      </w:pPr>
      <w:r w:rsidRPr="00B92948">
        <w:t>119.</w:t>
      </w:r>
      <w:r w:rsidRPr="00B92948">
        <w:tab/>
        <w:t>Desde 2017, en cooperación con la Asociación Macedonia de Medicina y la Asociación de Enfermeros y Obstetras, el UNICEF ha estado trabajando para dotar a los especialistas en medicina familiar y los profesionales de la atención primaria de la salud de mayor capacidad para la detección temprana de las discapacidades del desarrollo en los niños y la intervención temprana en los casos detectados.</w:t>
      </w:r>
    </w:p>
    <w:p w14:paraId="1C5F71C0" w14:textId="77777777" w:rsidR="00B92948" w:rsidRPr="00B92948" w:rsidRDefault="00B92948" w:rsidP="00B92948">
      <w:pPr>
        <w:pStyle w:val="SingleTxtG"/>
      </w:pPr>
      <w:r w:rsidRPr="00B92948">
        <w:t>120.</w:t>
      </w:r>
      <w:r w:rsidRPr="00B92948">
        <w:tab/>
        <w:t xml:space="preserve">En cooperación con la Asociación Macedonia de Medicina, a principios de 2019 se pondrá a prueba el uso de la Clasificación Internacional del Funcionamiento, de la Discapacidad y de la Salud (CIF) en diez instituciones de atención primaria de la salud a lo largo de todo el año atendiendo al principio de </w:t>
      </w:r>
      <w:r w:rsidR="00147E0E">
        <w:t>“</w:t>
      </w:r>
      <w:r w:rsidRPr="00B92948">
        <w:t>seguir los intereses del niño</w:t>
      </w:r>
      <w:r w:rsidR="00147E0E">
        <w:t>”</w:t>
      </w:r>
      <w:r w:rsidRPr="00B92948">
        <w:t>.</w:t>
      </w:r>
    </w:p>
    <w:p w14:paraId="149B8195" w14:textId="77777777" w:rsidR="00B92948" w:rsidRPr="00B92948" w:rsidRDefault="00B92948" w:rsidP="00B92948">
      <w:pPr>
        <w:pStyle w:val="SingleTxtG"/>
      </w:pPr>
      <w:r w:rsidRPr="00B92948">
        <w:t>121.</w:t>
      </w:r>
      <w:r w:rsidRPr="00B92948">
        <w:tab/>
        <w:t>Como se establece en las Directrices sobre la Práctica de la Medicina con Base Empírica, se realiza regularmente en los recién nacidos</w:t>
      </w:r>
      <w:r w:rsidRPr="00B92948">
        <w:rPr>
          <w:lang w:val="en-GB"/>
        </w:rPr>
        <w:t xml:space="preserve"> </w:t>
      </w:r>
      <w:r w:rsidRPr="00B92948">
        <w:t>el control de malformaciones del sistema cardiovascular con miras a la detección temprana de las enfermedades cardíacas congénitas.</w:t>
      </w:r>
    </w:p>
    <w:p w14:paraId="2CC6F8C3" w14:textId="77777777" w:rsidR="00B92948" w:rsidRPr="00B92948" w:rsidRDefault="00B92948" w:rsidP="00B92948">
      <w:pPr>
        <w:pStyle w:val="SingleTxtG"/>
      </w:pPr>
      <w:r w:rsidRPr="00B92948">
        <w:t>122.</w:t>
      </w:r>
      <w:r w:rsidRPr="00B92948">
        <w:tab/>
        <w:t>De conformidad con las Directrices relativas a la Atención Prenatal durante el Embarazo, se está adoptando una serie de medidas para proteger la salud de las mujeres embarazadas y asegurar el desarrollo adecuado del feto, es decir, un conjunto de intervenciones destinadas a que las mujeres embarazadas obtengan información y asesoramiento sobre el embarazo, el parto y el cuidado de los recién nacidos, determinar los riesgos para su salud, adoptar medidas y realizar intervenciones oportunas según sea necesario, proporcionar tratamiento para diversas enfermedades y dolencias e impartir una educación adecuada a las mujeres embarazadas, las familias y las comunidades.</w:t>
      </w:r>
    </w:p>
    <w:p w14:paraId="68421D31" w14:textId="77777777" w:rsidR="00B92948" w:rsidRPr="00B92948" w:rsidRDefault="00B92948" w:rsidP="00B92948">
      <w:pPr>
        <w:pStyle w:val="SingleTxtG"/>
      </w:pPr>
      <w:r w:rsidRPr="00B92948">
        <w:t>123.</w:t>
      </w:r>
      <w:r w:rsidRPr="00B92948">
        <w:tab/>
        <w:t xml:space="preserve">Como se establece en la Ley sobre el Mantenimiento de Registros en el Ámbito de la Atención de la Salud, se ha preparado un informe separado sobre los niños con discapacidad del desarrollo (de 0 a 18 </w:t>
      </w:r>
      <w:proofErr w:type="gramStart"/>
      <w:r w:rsidRPr="00B92948">
        <w:t>años de edad</w:t>
      </w:r>
      <w:proofErr w:type="gramEnd"/>
      <w:r w:rsidRPr="00B92948">
        <w:t xml:space="preserve">), e instrucciones para redactarlo. También existen planes para producir programas informáticos especiales que registren a las personas con </w:t>
      </w:r>
      <w:r w:rsidRPr="00B92948">
        <w:lastRenderedPageBreak/>
        <w:t>discapacidad del desarrollo que reciben tratamiento hospitalario o ambulatorio como un instrumento útil para el seguimiento del estado de salud de esta categoría de pacientes.</w:t>
      </w:r>
    </w:p>
    <w:p w14:paraId="4B66BE29" w14:textId="77777777" w:rsidR="00B92948" w:rsidRPr="00B92948" w:rsidRDefault="00B92948" w:rsidP="00BC73E8">
      <w:pPr>
        <w:pStyle w:val="H23G"/>
      </w:pPr>
      <w:r w:rsidRPr="00B92948">
        <w:tab/>
      </w:r>
      <w:r w:rsidR="00BC73E8">
        <w:tab/>
        <w:t>A</w:t>
      </w:r>
      <w:r w:rsidRPr="00B92948">
        <w:t>tención médica para la maternidad sin riesgo</w:t>
      </w:r>
      <w:bookmarkStart w:id="40" w:name="_Toc56781443"/>
      <w:bookmarkEnd w:id="40"/>
    </w:p>
    <w:p w14:paraId="3F9A112C" w14:textId="77777777" w:rsidR="00B92948" w:rsidRPr="00B92948" w:rsidRDefault="00B92948" w:rsidP="00B92948">
      <w:pPr>
        <w:pStyle w:val="SingleTxtG"/>
      </w:pPr>
      <w:r w:rsidRPr="00B92948">
        <w:t>124.</w:t>
      </w:r>
      <w:r w:rsidRPr="00B92948">
        <w:tab/>
        <w:t>Las mujeres en edad de procrear y los niños reciben atención médica a través de una red de instituciones de salud en los tres niveles de la atención sanitaria.</w:t>
      </w:r>
    </w:p>
    <w:p w14:paraId="14919C81" w14:textId="77777777" w:rsidR="00B92948" w:rsidRPr="00B92948" w:rsidRDefault="00B92948" w:rsidP="00B92948">
      <w:pPr>
        <w:pStyle w:val="SingleTxtG"/>
      </w:pPr>
      <w:r w:rsidRPr="00B92948">
        <w:t>125.</w:t>
      </w:r>
      <w:r w:rsidRPr="00B92948">
        <w:tab/>
        <w:t xml:space="preserve">En el nivel de la atención primaria de la salud, ginecólogos y, en menor grado, enfermeros de salud pública, prestan servicios de planificación familiar. </w:t>
      </w:r>
    </w:p>
    <w:p w14:paraId="312DBA56" w14:textId="77777777" w:rsidR="00B92948" w:rsidRPr="00B92948" w:rsidRDefault="00B92948" w:rsidP="00B92948">
      <w:pPr>
        <w:pStyle w:val="SingleTxtG"/>
      </w:pPr>
      <w:r w:rsidRPr="00B92948">
        <w:t>126.</w:t>
      </w:r>
      <w:r w:rsidRPr="00B92948">
        <w:tab/>
        <w:t xml:space="preserve">En 2017 se elaboraron Planes de Acción para la Planificación Familiar y para la Mejora de la Salud Materna y Neonatal como parte de la Estrategia de Salud Sexual y Reproductiva 2010-2020. </w:t>
      </w:r>
    </w:p>
    <w:p w14:paraId="425234EE" w14:textId="77777777" w:rsidR="00B92948" w:rsidRPr="003A7565" w:rsidRDefault="00BC73E8" w:rsidP="00BC73E8">
      <w:pPr>
        <w:pStyle w:val="H23G"/>
      </w:pPr>
      <w:r w:rsidRPr="0033201C">
        <w:rPr>
          <w:b w:val="0"/>
          <w:bCs/>
        </w:rPr>
        <w:tab/>
      </w:r>
      <w:r w:rsidR="00B92948" w:rsidRPr="0033201C">
        <w:rPr>
          <w:b w:val="0"/>
          <w:bCs/>
        </w:rPr>
        <w:tab/>
      </w:r>
      <w:r w:rsidR="00B92948" w:rsidRPr="006C6A08">
        <w:rPr>
          <w:b w:val="0"/>
          <w:bCs/>
        </w:rPr>
        <w:t>Figura</w:t>
      </w:r>
      <w:r w:rsidRPr="006C6A08">
        <w:rPr>
          <w:b w:val="0"/>
          <w:bCs/>
        </w:rPr>
        <w:br/>
      </w:r>
      <w:r w:rsidR="00B92948" w:rsidRPr="006C6A08">
        <w:t>Acceso a los servicios de planificación familiar (número de visitas y número de</w:t>
      </w:r>
      <w:r w:rsidR="00FD11CA" w:rsidRPr="006C6A08">
        <w:t> </w:t>
      </w:r>
      <w:r w:rsidR="00B92948" w:rsidRPr="006C6A08">
        <w:t>anticonceptivos administrados, 2010-2016)</w:t>
      </w:r>
      <w:r w:rsidR="00B92948" w:rsidRPr="006C6A08">
        <w:rPr>
          <w:rStyle w:val="Refdenotaalpie"/>
          <w:b w:val="0"/>
          <w:bCs/>
        </w:rPr>
        <w:footnoteReference w:id="29"/>
      </w:r>
      <w:bookmarkStart w:id="41" w:name="_Toc56781444"/>
      <w:bookmarkEnd w:id="41"/>
    </w:p>
    <w:p w14:paraId="66C5776F" w14:textId="77777777" w:rsidR="00B92948" w:rsidRPr="00B92948" w:rsidRDefault="00AF233A" w:rsidP="00B92948">
      <w:pPr>
        <w:pStyle w:val="SingleTxtG"/>
      </w:pPr>
      <w:r>
        <w:rPr>
          <w:b/>
          <w:bCs/>
          <w:noProof/>
        </w:rPr>
        <mc:AlternateContent>
          <mc:Choice Requires="wps">
            <w:drawing>
              <wp:anchor distT="0" distB="0" distL="114300" distR="114300" simplePos="0" relativeHeight="251664384" behindDoc="0" locked="0" layoutInCell="1" allowOverlap="1" wp14:anchorId="7AF0E774" wp14:editId="06EC4BFF">
                <wp:simplePos x="0" y="0"/>
                <wp:positionH relativeFrom="column">
                  <wp:posOffset>1032510</wp:posOffset>
                </wp:positionH>
                <wp:positionV relativeFrom="paragraph">
                  <wp:posOffset>1344295</wp:posOffset>
                </wp:positionV>
                <wp:extent cx="1333500" cy="213360"/>
                <wp:effectExtent l="0" t="0" r="19050" b="15240"/>
                <wp:wrapNone/>
                <wp:docPr id="8" name="Cuadro de texto 8"/>
                <wp:cNvGraphicFramePr/>
                <a:graphic xmlns:a="http://schemas.openxmlformats.org/drawingml/2006/main">
                  <a:graphicData uri="http://schemas.microsoft.com/office/word/2010/wordprocessingShape">
                    <wps:wsp>
                      <wps:cNvSpPr txBox="1"/>
                      <wps:spPr>
                        <a:xfrm>
                          <a:off x="0" y="0"/>
                          <a:ext cx="1333500" cy="213360"/>
                        </a:xfrm>
                        <a:prstGeom prst="rect">
                          <a:avLst/>
                        </a:prstGeom>
                        <a:solidFill>
                          <a:schemeClr val="lt1"/>
                        </a:solidFill>
                        <a:ln w="6350">
                          <a:solidFill>
                            <a:schemeClr val="bg1"/>
                          </a:solidFill>
                        </a:ln>
                      </wps:spPr>
                      <wps:txbx>
                        <w:txbxContent>
                          <w:p w14:paraId="459E239F" w14:textId="77777777" w:rsidR="00AF233A" w:rsidRPr="00AF233A" w:rsidRDefault="00AF233A" w:rsidP="00AF233A">
                            <w:pPr>
                              <w:spacing w:line="120" w:lineRule="atLeast"/>
                              <w:rPr>
                                <w:sz w:val="16"/>
                                <w:szCs w:val="16"/>
                              </w:rPr>
                            </w:pPr>
                            <w:r w:rsidRPr="00423624">
                              <w:rPr>
                                <w:sz w:val="16"/>
                                <w:szCs w:val="16"/>
                              </w:rPr>
                              <w:t>Anticonceptivos administrados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FAF2AA" id="_x0000_t202" coordsize="21600,21600" o:spt="202" path="m,l,21600r21600,l21600,xe">
                <v:stroke joinstyle="miter"/>
                <v:path gradientshapeok="t" o:connecttype="rect"/>
              </v:shapetype>
              <v:shape id="Cuadro de texto 8" o:spid="_x0000_s1026" type="#_x0000_t202" style="position:absolute;left:0;text-align:left;margin-left:81.3pt;margin-top:105.85pt;width:105pt;height:16.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" fillcolor="white [3201]" strokecolor="white [3212]" strokeweight=".5pt">
                <v:textbox inset="0,0,0,0">
                  <w:txbxContent>
                    <w:p w:rsidR="00AF233A" w:rsidRPr="00AF233A" w:rsidRDefault="00AF233A" w:rsidP="00AF233A">
                      <w:pPr>
                        <w:spacing w:line="120" w:lineRule="atLeast"/>
                        <w:rPr>
                          <w:sz w:val="16"/>
                          <w:szCs w:val="16"/>
                        </w:rPr>
                      </w:pPr>
                      <w:r w:rsidRPr="00423624">
                        <w:rPr>
                          <w:sz w:val="16"/>
                          <w:szCs w:val="16"/>
                        </w:rPr>
                        <w:t>Anticonceptivos administrados</w:t>
                      </w:r>
                    </w:p>
                  </w:txbxContent>
                </v:textbox>
              </v:shape>
            </w:pict>
          </mc:Fallback>
        </mc:AlternateContent>
      </w:r>
      <w:r>
        <w:rPr>
          <w:b/>
          <w:bCs/>
          <w:noProof/>
        </w:rPr>
        <mc:AlternateContent>
          <mc:Choice Requires="wps">
            <w:drawing>
              <wp:anchor distT="0" distB="0" distL="114300" distR="114300" simplePos="0" relativeHeight="251662336" behindDoc="0" locked="0" layoutInCell="1" allowOverlap="1" wp14:anchorId="322C3D0B" wp14:editId="662EACCE">
                <wp:simplePos x="0" y="0"/>
                <wp:positionH relativeFrom="column">
                  <wp:posOffset>1040130</wp:posOffset>
                </wp:positionH>
                <wp:positionV relativeFrom="paragraph">
                  <wp:posOffset>1108075</wp:posOffset>
                </wp:positionV>
                <wp:extent cx="1177290" cy="220980"/>
                <wp:effectExtent l="0" t="0" r="22860" b="26670"/>
                <wp:wrapNone/>
                <wp:docPr id="7" name="Cuadro de texto 7"/>
                <wp:cNvGraphicFramePr/>
                <a:graphic xmlns:a="http://schemas.openxmlformats.org/drawingml/2006/main">
                  <a:graphicData uri="http://schemas.microsoft.com/office/word/2010/wordprocessingShape">
                    <wps:wsp>
                      <wps:cNvSpPr txBox="1"/>
                      <wps:spPr>
                        <a:xfrm>
                          <a:off x="0" y="0"/>
                          <a:ext cx="1177290" cy="220980"/>
                        </a:xfrm>
                        <a:prstGeom prst="rect">
                          <a:avLst/>
                        </a:prstGeom>
                        <a:solidFill>
                          <a:schemeClr val="lt1"/>
                        </a:solidFill>
                        <a:ln w="6350">
                          <a:solidFill>
                            <a:schemeClr val="bg1"/>
                          </a:solidFill>
                        </a:ln>
                      </wps:spPr>
                      <wps:txbx>
                        <w:txbxContent>
                          <w:p w14:paraId="6D7BCCC1" w14:textId="77777777" w:rsidR="00AF233A" w:rsidRPr="00AF233A" w:rsidRDefault="00AF233A" w:rsidP="00AF233A">
                            <w:pPr>
                              <w:spacing w:line="120" w:lineRule="atLeast"/>
                              <w:rPr>
                                <w:sz w:val="16"/>
                                <w:szCs w:val="16"/>
                              </w:rPr>
                            </w:pPr>
                            <w:r w:rsidRPr="00AF233A">
                              <w:rPr>
                                <w:sz w:val="16"/>
                                <w:szCs w:val="16"/>
                              </w:rPr>
                              <w:t>Consultas de planificación familiar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7" o:spid="_x0000_s1027" type="#_x0000_t202" style="position:absolute;left:0;text-align:left;margin-left:81.9pt;margin-top:87.25pt;width:92.7pt;height:17.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" fillcolor="white [3201]" strokecolor="white [3212]" strokeweight=".5pt">
                <v:textbox inset="0,0,0,0">
                  <w:txbxContent>
                    <w:p w:rsidR="00AF233A" w:rsidRPr="00AF233A" w:rsidRDefault="00AF233A" w:rsidP="00AF233A">
                      <w:pPr>
                        <w:spacing w:line="120" w:lineRule="atLeast"/>
                        <w:rPr>
                          <w:sz w:val="16"/>
                          <w:szCs w:val="16"/>
                        </w:rPr>
                      </w:pPr>
                      <w:r w:rsidRPr="00AF233A">
                        <w:rPr>
                          <w:sz w:val="16"/>
                          <w:szCs w:val="16"/>
                        </w:rPr>
                        <w:t>Consultas de planificación familiar</w:t>
                      </w:r>
                    </w:p>
                  </w:txbxContent>
                </v:textbox>
              </v:shape>
            </w:pict>
          </mc:Fallback>
        </mc:AlternateContent>
      </w:r>
      <w:r w:rsidR="00B92948" w:rsidRPr="00B92948">
        <w:rPr>
          <w:b/>
          <w:noProof/>
        </w:rPr>
        <w:drawing>
          <wp:inline distT="0" distB="0" distL="0" distR="0" wp14:anchorId="27A84490" wp14:editId="7D5B0719">
            <wp:extent cx="4813540" cy="1613140"/>
            <wp:effectExtent l="0" t="0" r="6350" b="6350"/>
            <wp:docPr id="5" name="Char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8" cstate="print"/>
                    <a:srcRect/>
                    <a:stretch>
                      <a:fillRect/>
                    </a:stretch>
                  </pic:blipFill>
                  <pic:spPr bwMode="auto">
                    <a:xfrm>
                      <a:off x="0" y="0"/>
                      <a:ext cx="4855987" cy="1627365"/>
                    </a:xfrm>
                    <a:prstGeom prst="rect">
                      <a:avLst/>
                    </a:prstGeom>
                    <a:noFill/>
                    <a:ln w="9525">
                      <a:noFill/>
                      <a:miter lim="800000"/>
                      <a:headEnd/>
                      <a:tailEnd/>
                    </a:ln>
                  </pic:spPr>
                </pic:pic>
              </a:graphicData>
            </a:graphic>
          </wp:inline>
        </w:drawing>
      </w:r>
    </w:p>
    <w:p w14:paraId="4083C985" w14:textId="77777777" w:rsidR="00B92948" w:rsidRDefault="00BC73E8" w:rsidP="00BC73E8">
      <w:pPr>
        <w:pStyle w:val="H23G"/>
      </w:pPr>
      <w:bookmarkStart w:id="42" w:name="_Hlk511388090"/>
      <w:r>
        <w:tab/>
      </w:r>
      <w:r w:rsidR="00B92948" w:rsidRPr="00B92948">
        <w:tab/>
        <w:t>Atención prenatal</w:t>
      </w:r>
      <w:bookmarkStart w:id="43" w:name="_Toc56781445"/>
      <w:bookmarkEnd w:id="43"/>
    </w:p>
    <w:p w14:paraId="1AD6D83F" w14:textId="77777777" w:rsidR="00B92948" w:rsidRDefault="00B92948" w:rsidP="00B92948">
      <w:pPr>
        <w:pStyle w:val="SingleTxtG"/>
      </w:pPr>
      <w:r w:rsidRPr="00B92948">
        <w:t>127.</w:t>
      </w:r>
      <w:r w:rsidRPr="00B92948">
        <w:tab/>
        <w:t>La disponibilidad de atención prenatal oportuna y de calidad es vital para la</w:t>
      </w:r>
      <w:r w:rsidR="00950538">
        <w:t xml:space="preserve"> </w:t>
      </w:r>
      <w:r w:rsidRPr="00B92948">
        <w:t>detección temprana y la reducción de todos los riesgos que contribuyen a la mortalidad materna y en niños menores de 1 año.</w:t>
      </w:r>
    </w:p>
    <w:p w14:paraId="3F32B610" w14:textId="77777777" w:rsidR="00B92948" w:rsidRPr="00B92948" w:rsidRDefault="00B92948" w:rsidP="00B92948">
      <w:pPr>
        <w:pStyle w:val="SingleTxtG"/>
      </w:pPr>
      <w:r w:rsidRPr="00B92948">
        <w:t>128.</w:t>
      </w:r>
      <w:r w:rsidRPr="00B92948">
        <w:tab/>
        <w:t>Los ginecólogos de atención primaria de salud proporcionan esta atención a las mujeres embarazadas. En 2016 trabajaban en el sector de la salud pública un total de 141</w:t>
      </w:r>
      <w:r w:rsidR="00EB6693">
        <w:t> </w:t>
      </w:r>
      <w:r w:rsidRPr="00B92948">
        <w:t>médicos, es decir, un médico por cada 3.600 mujeres en edad de procrear. El porcentaje de mujeres embarazadas que tienen acceso a la atención prenatal y posnatal y que la utilizan es relativamente alto.</w:t>
      </w:r>
    </w:p>
    <w:p w14:paraId="177F611A" w14:textId="77777777" w:rsidR="00B92948" w:rsidRPr="00767A25" w:rsidRDefault="00BC73E8" w:rsidP="00BC73E8">
      <w:pPr>
        <w:pStyle w:val="H23G"/>
      </w:pPr>
      <w:r w:rsidRPr="0033201C">
        <w:rPr>
          <w:b w:val="0"/>
          <w:bCs/>
        </w:rPr>
        <w:tab/>
      </w:r>
      <w:r w:rsidR="00B92948" w:rsidRPr="0033201C">
        <w:rPr>
          <w:b w:val="0"/>
          <w:bCs/>
        </w:rPr>
        <w:tab/>
        <w:t xml:space="preserve">Cuadro 1 </w:t>
      </w:r>
      <w:r w:rsidRPr="0033201C">
        <w:rPr>
          <w:b w:val="0"/>
          <w:bCs/>
        </w:rPr>
        <w:br/>
      </w:r>
      <w:r w:rsidR="00B92948" w:rsidRPr="00B92948">
        <w:tab/>
        <w:t xml:space="preserve">Porcentaje de mujeres embarazadas que tienen acceso a la atención prenatal </w:t>
      </w:r>
      <w:r>
        <w:br/>
      </w:r>
      <w:r w:rsidR="00B92948" w:rsidRPr="00B92948">
        <w:t>de un ginecólogo y que la utilizan</w:t>
      </w:r>
      <w:r w:rsidR="00B92948" w:rsidRPr="0002279D">
        <w:rPr>
          <w:rStyle w:val="Refdenotaalpie"/>
          <w:b w:val="0"/>
          <w:bCs/>
        </w:rPr>
        <w:footnoteReference w:id="30"/>
      </w:r>
      <w:bookmarkStart w:id="44" w:name="_Toc56781446"/>
      <w:bookmarkEnd w:id="44"/>
    </w:p>
    <w:tbl>
      <w:tblPr>
        <w:tblW w:w="7370" w:type="dxa"/>
        <w:tblInd w:w="1134" w:type="dxa"/>
        <w:tblBorders>
          <w:top w:val="single" w:sz="4" w:space="0" w:color="auto"/>
          <w:bottom w:val="single" w:sz="12" w:space="0" w:color="auto"/>
          <w:insideH w:val="single" w:sz="12" w:space="0" w:color="auto"/>
        </w:tblBorders>
        <w:tblCellMar>
          <w:left w:w="0" w:type="dxa"/>
          <w:right w:w="0" w:type="dxa"/>
        </w:tblCellMar>
        <w:tblLook w:val="00A0" w:firstRow="1" w:lastRow="0" w:firstColumn="1" w:lastColumn="0" w:noHBand="0" w:noVBand="0"/>
      </w:tblPr>
      <w:tblGrid>
        <w:gridCol w:w="3046"/>
        <w:gridCol w:w="643"/>
        <w:gridCol w:w="855"/>
        <w:gridCol w:w="855"/>
        <w:gridCol w:w="854"/>
        <w:gridCol w:w="520"/>
        <w:gridCol w:w="597"/>
      </w:tblGrid>
      <w:tr w:rsidR="00B92948" w:rsidRPr="00CB10E8" w14:paraId="54E9DD27" w14:textId="77777777" w:rsidTr="00CB10E8">
        <w:trPr>
          <w:trHeight w:val="240"/>
          <w:tblHeader/>
        </w:trPr>
        <w:tc>
          <w:tcPr>
            <w:tcW w:w="3046" w:type="dxa"/>
            <w:shd w:val="clear" w:color="auto" w:fill="auto"/>
            <w:vAlign w:val="bottom"/>
          </w:tcPr>
          <w:p w14:paraId="0CBCDB65" w14:textId="77777777" w:rsidR="00B92948" w:rsidRPr="00CB10E8" w:rsidRDefault="00B92948" w:rsidP="00CB10E8">
            <w:pPr>
              <w:pStyle w:val="SingleTxtG"/>
              <w:tabs>
                <w:tab w:val="clear" w:pos="1701"/>
                <w:tab w:val="clear" w:pos="2268"/>
                <w:tab w:val="clear" w:pos="2835"/>
              </w:tabs>
              <w:spacing w:before="80" w:after="80" w:line="200" w:lineRule="exact"/>
              <w:ind w:left="0" w:right="0"/>
              <w:jc w:val="left"/>
              <w:rPr>
                <w:bCs/>
                <w:i/>
                <w:sz w:val="16"/>
              </w:rPr>
            </w:pPr>
            <w:r w:rsidRPr="00CB10E8">
              <w:rPr>
                <w:i/>
                <w:iCs/>
                <w:sz w:val="16"/>
              </w:rPr>
              <w:t>Indicador</w:t>
            </w:r>
            <w:r w:rsidRPr="00CB10E8">
              <w:rPr>
                <w:i/>
                <w:sz w:val="16"/>
              </w:rPr>
              <w:t xml:space="preserve"> </w:t>
            </w:r>
          </w:p>
        </w:tc>
        <w:tc>
          <w:tcPr>
            <w:tcW w:w="643" w:type="dxa"/>
            <w:shd w:val="clear" w:color="auto" w:fill="auto"/>
            <w:vAlign w:val="bottom"/>
          </w:tcPr>
          <w:p w14:paraId="443966F7" w14:textId="77777777" w:rsidR="00B92948" w:rsidRPr="00CB10E8" w:rsidRDefault="00B92948" w:rsidP="003A7565">
            <w:pPr>
              <w:pStyle w:val="SingleTxtG"/>
              <w:tabs>
                <w:tab w:val="clear" w:pos="1701"/>
                <w:tab w:val="clear" w:pos="2268"/>
                <w:tab w:val="clear" w:pos="2835"/>
              </w:tabs>
              <w:spacing w:before="80" w:after="80" w:line="200" w:lineRule="exact"/>
              <w:ind w:left="113" w:right="28"/>
              <w:jc w:val="right"/>
              <w:rPr>
                <w:bCs/>
                <w:i/>
                <w:sz w:val="16"/>
              </w:rPr>
            </w:pPr>
            <w:r w:rsidRPr="00CB10E8">
              <w:rPr>
                <w:i/>
                <w:iCs/>
                <w:sz w:val="16"/>
              </w:rPr>
              <w:t>2011</w:t>
            </w:r>
          </w:p>
        </w:tc>
        <w:tc>
          <w:tcPr>
            <w:tcW w:w="855" w:type="dxa"/>
            <w:shd w:val="clear" w:color="auto" w:fill="auto"/>
            <w:vAlign w:val="bottom"/>
          </w:tcPr>
          <w:p w14:paraId="692FF130" w14:textId="77777777" w:rsidR="00B92948" w:rsidRPr="00CB10E8" w:rsidRDefault="00B92948" w:rsidP="003A7565">
            <w:pPr>
              <w:pStyle w:val="SingleTxtG"/>
              <w:tabs>
                <w:tab w:val="clear" w:pos="1701"/>
                <w:tab w:val="clear" w:pos="2268"/>
                <w:tab w:val="clear" w:pos="2835"/>
              </w:tabs>
              <w:spacing w:before="80" w:after="80" w:line="200" w:lineRule="exact"/>
              <w:ind w:left="113" w:right="28"/>
              <w:jc w:val="right"/>
              <w:rPr>
                <w:bCs/>
                <w:i/>
                <w:sz w:val="16"/>
              </w:rPr>
            </w:pPr>
            <w:r w:rsidRPr="00CB10E8">
              <w:rPr>
                <w:i/>
                <w:iCs/>
                <w:sz w:val="16"/>
              </w:rPr>
              <w:t>2012</w:t>
            </w:r>
          </w:p>
        </w:tc>
        <w:tc>
          <w:tcPr>
            <w:tcW w:w="855" w:type="dxa"/>
            <w:shd w:val="clear" w:color="auto" w:fill="auto"/>
            <w:vAlign w:val="bottom"/>
          </w:tcPr>
          <w:p w14:paraId="6F44A802" w14:textId="77777777" w:rsidR="00B92948" w:rsidRPr="00CB10E8" w:rsidRDefault="00B92948" w:rsidP="003A7565">
            <w:pPr>
              <w:pStyle w:val="SingleTxtG"/>
              <w:tabs>
                <w:tab w:val="clear" w:pos="1701"/>
                <w:tab w:val="clear" w:pos="2268"/>
                <w:tab w:val="clear" w:pos="2835"/>
              </w:tabs>
              <w:spacing w:before="80" w:after="80" w:line="200" w:lineRule="exact"/>
              <w:ind w:left="113" w:right="28"/>
              <w:jc w:val="right"/>
              <w:rPr>
                <w:bCs/>
                <w:i/>
                <w:sz w:val="16"/>
              </w:rPr>
            </w:pPr>
            <w:r w:rsidRPr="00CB10E8">
              <w:rPr>
                <w:i/>
                <w:iCs/>
                <w:sz w:val="16"/>
              </w:rPr>
              <w:t>2013</w:t>
            </w:r>
          </w:p>
        </w:tc>
        <w:tc>
          <w:tcPr>
            <w:tcW w:w="854" w:type="dxa"/>
            <w:shd w:val="clear" w:color="auto" w:fill="auto"/>
            <w:vAlign w:val="bottom"/>
          </w:tcPr>
          <w:p w14:paraId="37EE524F" w14:textId="77777777" w:rsidR="00B92948" w:rsidRPr="00CB10E8" w:rsidRDefault="00B92948" w:rsidP="003A7565">
            <w:pPr>
              <w:pStyle w:val="SingleTxtG"/>
              <w:tabs>
                <w:tab w:val="clear" w:pos="1701"/>
                <w:tab w:val="clear" w:pos="2268"/>
                <w:tab w:val="clear" w:pos="2835"/>
              </w:tabs>
              <w:spacing w:before="80" w:after="80" w:line="200" w:lineRule="exact"/>
              <w:ind w:left="113" w:right="28"/>
              <w:jc w:val="right"/>
              <w:rPr>
                <w:bCs/>
                <w:i/>
                <w:sz w:val="16"/>
              </w:rPr>
            </w:pPr>
            <w:r w:rsidRPr="00CB10E8">
              <w:rPr>
                <w:i/>
                <w:iCs/>
                <w:sz w:val="16"/>
              </w:rPr>
              <w:t>2014</w:t>
            </w:r>
          </w:p>
        </w:tc>
        <w:tc>
          <w:tcPr>
            <w:tcW w:w="520" w:type="dxa"/>
            <w:shd w:val="clear" w:color="auto" w:fill="auto"/>
            <w:vAlign w:val="bottom"/>
          </w:tcPr>
          <w:p w14:paraId="4CD864A9" w14:textId="77777777" w:rsidR="00B92948" w:rsidRPr="00CB10E8" w:rsidRDefault="00B92948" w:rsidP="003A7565">
            <w:pPr>
              <w:pStyle w:val="SingleTxtG"/>
              <w:tabs>
                <w:tab w:val="clear" w:pos="1701"/>
                <w:tab w:val="clear" w:pos="2268"/>
                <w:tab w:val="clear" w:pos="2835"/>
              </w:tabs>
              <w:spacing w:before="80" w:after="80" w:line="200" w:lineRule="exact"/>
              <w:ind w:left="113" w:right="28"/>
              <w:jc w:val="right"/>
              <w:rPr>
                <w:bCs/>
                <w:i/>
                <w:sz w:val="16"/>
              </w:rPr>
            </w:pPr>
            <w:r w:rsidRPr="00CB10E8">
              <w:rPr>
                <w:i/>
                <w:iCs/>
                <w:sz w:val="16"/>
              </w:rPr>
              <w:t>2015</w:t>
            </w:r>
          </w:p>
        </w:tc>
        <w:tc>
          <w:tcPr>
            <w:tcW w:w="597" w:type="dxa"/>
            <w:shd w:val="clear" w:color="auto" w:fill="auto"/>
            <w:vAlign w:val="bottom"/>
          </w:tcPr>
          <w:p w14:paraId="249A7792" w14:textId="77777777" w:rsidR="00B92948" w:rsidRPr="00CB10E8" w:rsidRDefault="00B92948" w:rsidP="003A7565">
            <w:pPr>
              <w:pStyle w:val="SingleTxtG"/>
              <w:tabs>
                <w:tab w:val="clear" w:pos="1701"/>
                <w:tab w:val="clear" w:pos="2268"/>
                <w:tab w:val="clear" w:pos="2835"/>
              </w:tabs>
              <w:spacing w:before="80" w:after="80" w:line="200" w:lineRule="exact"/>
              <w:ind w:left="113" w:right="28"/>
              <w:jc w:val="right"/>
              <w:rPr>
                <w:bCs/>
                <w:i/>
                <w:sz w:val="16"/>
              </w:rPr>
            </w:pPr>
            <w:r w:rsidRPr="00CB10E8">
              <w:rPr>
                <w:i/>
                <w:iCs/>
                <w:sz w:val="16"/>
              </w:rPr>
              <w:t>2016</w:t>
            </w:r>
          </w:p>
        </w:tc>
      </w:tr>
      <w:tr w:rsidR="00B92948" w:rsidRPr="00CB10E8" w14:paraId="1C5EB463" w14:textId="77777777" w:rsidTr="00CB10E8">
        <w:trPr>
          <w:trHeight w:val="240"/>
        </w:trPr>
        <w:tc>
          <w:tcPr>
            <w:tcW w:w="3046" w:type="dxa"/>
            <w:shd w:val="clear" w:color="auto" w:fill="auto"/>
          </w:tcPr>
          <w:p w14:paraId="2AD5F517" w14:textId="77777777" w:rsidR="00B92948" w:rsidRPr="00CB10E8" w:rsidRDefault="00B92948" w:rsidP="00CB10E8">
            <w:pPr>
              <w:pStyle w:val="SingleTxtG"/>
              <w:tabs>
                <w:tab w:val="clear" w:pos="1701"/>
                <w:tab w:val="clear" w:pos="2268"/>
                <w:tab w:val="clear" w:pos="2835"/>
              </w:tabs>
              <w:spacing w:before="40" w:after="40" w:line="220" w:lineRule="exact"/>
              <w:ind w:left="0" w:right="0"/>
              <w:jc w:val="left"/>
              <w:rPr>
                <w:sz w:val="18"/>
              </w:rPr>
            </w:pPr>
            <w:r w:rsidRPr="00CB10E8">
              <w:rPr>
                <w:sz w:val="18"/>
              </w:rPr>
              <w:t>Porcentaje de mujeres embarazadas que tienen acceso a la atención prenatal</w:t>
            </w:r>
          </w:p>
        </w:tc>
        <w:tc>
          <w:tcPr>
            <w:tcW w:w="643" w:type="dxa"/>
            <w:shd w:val="clear" w:color="auto" w:fill="auto"/>
            <w:vAlign w:val="bottom"/>
          </w:tcPr>
          <w:p w14:paraId="6D28379D" w14:textId="77777777" w:rsidR="00B92948" w:rsidRPr="00CB10E8" w:rsidRDefault="00B92948" w:rsidP="003A7565">
            <w:pPr>
              <w:pStyle w:val="SingleTxtG"/>
              <w:tabs>
                <w:tab w:val="clear" w:pos="1701"/>
                <w:tab w:val="clear" w:pos="2268"/>
                <w:tab w:val="clear" w:pos="2835"/>
              </w:tabs>
              <w:spacing w:before="40" w:after="40" w:line="220" w:lineRule="exact"/>
              <w:ind w:left="113" w:right="28"/>
              <w:jc w:val="right"/>
              <w:rPr>
                <w:sz w:val="18"/>
              </w:rPr>
            </w:pPr>
            <w:proofErr w:type="spellStart"/>
            <w:r w:rsidRPr="00CB10E8">
              <w:rPr>
                <w:sz w:val="18"/>
              </w:rPr>
              <w:t>n.d</w:t>
            </w:r>
            <w:proofErr w:type="spellEnd"/>
            <w:r w:rsidRPr="00CB10E8">
              <w:rPr>
                <w:sz w:val="18"/>
              </w:rPr>
              <w:t>.</w:t>
            </w:r>
          </w:p>
        </w:tc>
        <w:tc>
          <w:tcPr>
            <w:tcW w:w="855" w:type="dxa"/>
            <w:shd w:val="clear" w:color="auto" w:fill="auto"/>
            <w:vAlign w:val="bottom"/>
          </w:tcPr>
          <w:p w14:paraId="3AEA6E15" w14:textId="77777777" w:rsidR="00B92948" w:rsidRPr="00CB10E8" w:rsidRDefault="00B92948" w:rsidP="003A7565">
            <w:pPr>
              <w:pStyle w:val="SingleTxtG"/>
              <w:tabs>
                <w:tab w:val="clear" w:pos="1701"/>
                <w:tab w:val="clear" w:pos="2268"/>
                <w:tab w:val="clear" w:pos="2835"/>
              </w:tabs>
              <w:spacing w:before="40" w:after="40" w:line="220" w:lineRule="exact"/>
              <w:ind w:left="113" w:right="28"/>
              <w:jc w:val="right"/>
              <w:rPr>
                <w:sz w:val="18"/>
              </w:rPr>
            </w:pPr>
            <w:proofErr w:type="spellStart"/>
            <w:r w:rsidRPr="00CB10E8">
              <w:rPr>
                <w:sz w:val="18"/>
              </w:rPr>
              <w:t>n.d</w:t>
            </w:r>
            <w:proofErr w:type="spellEnd"/>
            <w:r w:rsidRPr="00CB10E8">
              <w:rPr>
                <w:sz w:val="18"/>
              </w:rPr>
              <w:t>.</w:t>
            </w:r>
          </w:p>
        </w:tc>
        <w:tc>
          <w:tcPr>
            <w:tcW w:w="855" w:type="dxa"/>
            <w:shd w:val="clear" w:color="auto" w:fill="auto"/>
            <w:vAlign w:val="bottom"/>
          </w:tcPr>
          <w:p w14:paraId="4E8DF2C5" w14:textId="77777777" w:rsidR="00B92948" w:rsidRPr="00CB10E8" w:rsidRDefault="00B92948" w:rsidP="003A7565">
            <w:pPr>
              <w:pStyle w:val="SingleTxtG"/>
              <w:tabs>
                <w:tab w:val="clear" w:pos="1701"/>
                <w:tab w:val="clear" w:pos="2268"/>
                <w:tab w:val="clear" w:pos="2835"/>
              </w:tabs>
              <w:spacing w:before="40" w:after="40" w:line="220" w:lineRule="exact"/>
              <w:ind w:left="113" w:right="28"/>
              <w:jc w:val="right"/>
              <w:rPr>
                <w:sz w:val="18"/>
              </w:rPr>
            </w:pPr>
            <w:r w:rsidRPr="00CB10E8">
              <w:rPr>
                <w:sz w:val="18"/>
              </w:rPr>
              <w:t>87,8</w:t>
            </w:r>
          </w:p>
        </w:tc>
        <w:tc>
          <w:tcPr>
            <w:tcW w:w="854" w:type="dxa"/>
            <w:shd w:val="clear" w:color="auto" w:fill="auto"/>
            <w:vAlign w:val="bottom"/>
          </w:tcPr>
          <w:p w14:paraId="36A752EC" w14:textId="77777777" w:rsidR="00B92948" w:rsidRPr="00CB10E8" w:rsidRDefault="00B92948" w:rsidP="003A7565">
            <w:pPr>
              <w:pStyle w:val="SingleTxtG"/>
              <w:tabs>
                <w:tab w:val="clear" w:pos="1701"/>
                <w:tab w:val="clear" w:pos="2268"/>
                <w:tab w:val="clear" w:pos="2835"/>
              </w:tabs>
              <w:spacing w:before="40" w:after="40" w:line="220" w:lineRule="exact"/>
              <w:ind w:left="113" w:right="28"/>
              <w:jc w:val="right"/>
              <w:rPr>
                <w:sz w:val="18"/>
              </w:rPr>
            </w:pPr>
            <w:r w:rsidRPr="00CB10E8">
              <w:rPr>
                <w:sz w:val="18"/>
              </w:rPr>
              <w:t>89,9</w:t>
            </w:r>
          </w:p>
        </w:tc>
        <w:tc>
          <w:tcPr>
            <w:tcW w:w="520" w:type="dxa"/>
            <w:shd w:val="clear" w:color="auto" w:fill="auto"/>
            <w:vAlign w:val="bottom"/>
          </w:tcPr>
          <w:p w14:paraId="4C24FC07" w14:textId="77777777" w:rsidR="00B92948" w:rsidRPr="00CB10E8" w:rsidRDefault="00B92948" w:rsidP="003A7565">
            <w:pPr>
              <w:pStyle w:val="SingleTxtG"/>
              <w:tabs>
                <w:tab w:val="clear" w:pos="1701"/>
                <w:tab w:val="clear" w:pos="2268"/>
                <w:tab w:val="clear" w:pos="2835"/>
              </w:tabs>
              <w:spacing w:before="40" w:after="40" w:line="220" w:lineRule="exact"/>
              <w:ind w:left="113" w:right="28"/>
              <w:jc w:val="right"/>
              <w:rPr>
                <w:sz w:val="18"/>
              </w:rPr>
            </w:pPr>
            <w:r w:rsidRPr="00CB10E8">
              <w:rPr>
                <w:sz w:val="18"/>
              </w:rPr>
              <w:t>90,1</w:t>
            </w:r>
          </w:p>
        </w:tc>
        <w:tc>
          <w:tcPr>
            <w:tcW w:w="597" w:type="dxa"/>
            <w:shd w:val="clear" w:color="auto" w:fill="auto"/>
            <w:vAlign w:val="bottom"/>
          </w:tcPr>
          <w:p w14:paraId="41E57FA5" w14:textId="77777777" w:rsidR="00B92948" w:rsidRPr="00CB10E8" w:rsidRDefault="00B92948" w:rsidP="003A7565">
            <w:pPr>
              <w:pStyle w:val="SingleTxtG"/>
              <w:tabs>
                <w:tab w:val="clear" w:pos="1701"/>
                <w:tab w:val="clear" w:pos="2268"/>
                <w:tab w:val="clear" w:pos="2835"/>
              </w:tabs>
              <w:spacing w:before="40" w:after="40" w:line="220" w:lineRule="exact"/>
              <w:ind w:left="113" w:right="28"/>
              <w:jc w:val="right"/>
              <w:rPr>
                <w:sz w:val="18"/>
              </w:rPr>
            </w:pPr>
            <w:r w:rsidRPr="00CB10E8">
              <w:rPr>
                <w:sz w:val="18"/>
              </w:rPr>
              <w:t>90,3</w:t>
            </w:r>
          </w:p>
        </w:tc>
      </w:tr>
    </w:tbl>
    <w:p w14:paraId="783AEC77" w14:textId="77777777" w:rsidR="00B92948" w:rsidRPr="00B92948" w:rsidRDefault="00B92948" w:rsidP="00CB10E8">
      <w:pPr>
        <w:pStyle w:val="SingleTxtG"/>
        <w:spacing w:before="240"/>
      </w:pPr>
      <w:r w:rsidRPr="00B92948">
        <w:t>129.</w:t>
      </w:r>
      <w:r w:rsidRPr="00B92948">
        <w:tab/>
        <w:t xml:space="preserve">El servicio de enfermería de salud pública realiza visitas durante el puerperio a los hogares de las mujeres que han recibido el alta de las maternidades. </w:t>
      </w:r>
    </w:p>
    <w:p w14:paraId="078E7B68" w14:textId="77777777" w:rsidR="00B92948" w:rsidRPr="00EB6693" w:rsidRDefault="00CB10E8" w:rsidP="00CB10E8">
      <w:pPr>
        <w:pStyle w:val="H23G"/>
      </w:pPr>
      <w:r w:rsidRPr="0033201C">
        <w:rPr>
          <w:b w:val="0"/>
          <w:bCs/>
        </w:rPr>
        <w:lastRenderedPageBreak/>
        <w:tab/>
      </w:r>
      <w:r w:rsidR="00B92948" w:rsidRPr="0033201C">
        <w:rPr>
          <w:b w:val="0"/>
          <w:bCs/>
        </w:rPr>
        <w:tab/>
        <w:t xml:space="preserve">Cuadro 2 </w:t>
      </w:r>
      <w:r w:rsidRPr="0033201C">
        <w:rPr>
          <w:b w:val="0"/>
          <w:bCs/>
        </w:rPr>
        <w:br/>
      </w:r>
      <w:r w:rsidR="00B92948" w:rsidRPr="00B92948">
        <w:tab/>
        <w:t xml:space="preserve">Porcentaje de mujeres embarazadas que tienen acceso a la atención posnatal </w:t>
      </w:r>
      <w:r w:rsidR="00EB6693">
        <w:br/>
      </w:r>
      <w:r w:rsidR="00B92948" w:rsidRPr="00B92948">
        <w:t>y la utilizan (visitas del servicio público de enfermería)</w:t>
      </w:r>
      <w:r w:rsidR="00B92948" w:rsidRPr="00EB6693">
        <w:rPr>
          <w:rStyle w:val="Refdenotaalpie"/>
          <w:b w:val="0"/>
          <w:bCs/>
        </w:rPr>
        <w:footnoteReference w:id="31"/>
      </w:r>
      <w:bookmarkStart w:id="45" w:name="_Toc56781447"/>
      <w:bookmarkEnd w:id="45"/>
    </w:p>
    <w:tbl>
      <w:tblPr>
        <w:tblW w:w="7370" w:type="dxa"/>
        <w:tblInd w:w="1134" w:type="dxa"/>
        <w:tblBorders>
          <w:top w:val="single" w:sz="4" w:space="0" w:color="auto"/>
          <w:bottom w:val="single" w:sz="12" w:space="0" w:color="auto"/>
          <w:insideH w:val="single" w:sz="12" w:space="0" w:color="auto"/>
        </w:tblBorders>
        <w:tblCellMar>
          <w:left w:w="0" w:type="dxa"/>
          <w:right w:w="0" w:type="dxa"/>
        </w:tblCellMar>
        <w:tblLook w:val="00A0" w:firstRow="1" w:lastRow="0" w:firstColumn="1" w:lastColumn="0" w:noHBand="0" w:noVBand="0"/>
      </w:tblPr>
      <w:tblGrid>
        <w:gridCol w:w="2777"/>
        <w:gridCol w:w="849"/>
        <w:gridCol w:w="850"/>
        <w:gridCol w:w="850"/>
        <w:gridCol w:w="850"/>
        <w:gridCol w:w="733"/>
        <w:gridCol w:w="461"/>
      </w:tblGrid>
      <w:tr w:rsidR="00B92948" w:rsidRPr="006E79BC" w14:paraId="1CF152D1" w14:textId="77777777" w:rsidTr="006E79BC">
        <w:trPr>
          <w:trHeight w:val="240"/>
          <w:tblHeader/>
        </w:trPr>
        <w:tc>
          <w:tcPr>
            <w:tcW w:w="2784" w:type="dxa"/>
            <w:shd w:val="clear" w:color="auto" w:fill="auto"/>
            <w:vAlign w:val="bottom"/>
          </w:tcPr>
          <w:p w14:paraId="00210719" w14:textId="77777777" w:rsidR="00B92948" w:rsidRPr="006E79BC" w:rsidRDefault="00B92948" w:rsidP="006E79BC">
            <w:pPr>
              <w:pStyle w:val="SingleTxtG"/>
              <w:tabs>
                <w:tab w:val="clear" w:pos="1701"/>
                <w:tab w:val="clear" w:pos="2268"/>
                <w:tab w:val="clear" w:pos="2835"/>
              </w:tabs>
              <w:spacing w:before="80" w:after="80" w:line="200" w:lineRule="exact"/>
              <w:ind w:left="0" w:right="0"/>
              <w:jc w:val="left"/>
              <w:rPr>
                <w:bCs/>
                <w:i/>
                <w:sz w:val="16"/>
              </w:rPr>
            </w:pPr>
            <w:r w:rsidRPr="006E79BC">
              <w:rPr>
                <w:i/>
                <w:iCs/>
                <w:sz w:val="16"/>
              </w:rPr>
              <w:t>Indicador</w:t>
            </w:r>
          </w:p>
        </w:tc>
        <w:tc>
          <w:tcPr>
            <w:tcW w:w="850" w:type="dxa"/>
            <w:shd w:val="clear" w:color="auto" w:fill="auto"/>
            <w:vAlign w:val="bottom"/>
          </w:tcPr>
          <w:p w14:paraId="0E19F40C" w14:textId="77777777" w:rsidR="00B92948" w:rsidRPr="006E79BC" w:rsidRDefault="00B92948" w:rsidP="003A7565">
            <w:pPr>
              <w:pStyle w:val="SingleTxtG"/>
              <w:tabs>
                <w:tab w:val="clear" w:pos="1701"/>
                <w:tab w:val="clear" w:pos="2268"/>
                <w:tab w:val="clear" w:pos="2835"/>
              </w:tabs>
              <w:spacing w:before="80" w:after="80" w:line="200" w:lineRule="exact"/>
              <w:ind w:left="113" w:right="28"/>
              <w:jc w:val="right"/>
              <w:rPr>
                <w:bCs/>
                <w:i/>
                <w:sz w:val="16"/>
              </w:rPr>
            </w:pPr>
            <w:r w:rsidRPr="006E79BC">
              <w:rPr>
                <w:i/>
                <w:iCs/>
                <w:sz w:val="16"/>
              </w:rPr>
              <w:t>2011</w:t>
            </w:r>
          </w:p>
        </w:tc>
        <w:tc>
          <w:tcPr>
            <w:tcW w:w="851" w:type="dxa"/>
            <w:shd w:val="clear" w:color="auto" w:fill="auto"/>
            <w:vAlign w:val="bottom"/>
          </w:tcPr>
          <w:p w14:paraId="14B4190D" w14:textId="77777777" w:rsidR="00B92948" w:rsidRPr="006E79BC" w:rsidRDefault="00B92948" w:rsidP="003A7565">
            <w:pPr>
              <w:pStyle w:val="SingleTxtG"/>
              <w:tabs>
                <w:tab w:val="clear" w:pos="1701"/>
                <w:tab w:val="clear" w:pos="2268"/>
                <w:tab w:val="clear" w:pos="2835"/>
              </w:tabs>
              <w:spacing w:before="80" w:after="80" w:line="200" w:lineRule="exact"/>
              <w:ind w:left="113" w:right="28"/>
              <w:jc w:val="right"/>
              <w:rPr>
                <w:bCs/>
                <w:i/>
                <w:sz w:val="16"/>
              </w:rPr>
            </w:pPr>
            <w:r w:rsidRPr="006E79BC">
              <w:rPr>
                <w:i/>
                <w:iCs/>
                <w:sz w:val="16"/>
              </w:rPr>
              <w:t>2012</w:t>
            </w:r>
          </w:p>
        </w:tc>
        <w:tc>
          <w:tcPr>
            <w:tcW w:w="851" w:type="dxa"/>
            <w:shd w:val="clear" w:color="auto" w:fill="auto"/>
            <w:vAlign w:val="bottom"/>
          </w:tcPr>
          <w:p w14:paraId="5C31BB67" w14:textId="77777777" w:rsidR="00B92948" w:rsidRPr="006E79BC" w:rsidRDefault="00B92948" w:rsidP="003A7565">
            <w:pPr>
              <w:pStyle w:val="SingleTxtG"/>
              <w:tabs>
                <w:tab w:val="clear" w:pos="1701"/>
                <w:tab w:val="clear" w:pos="2268"/>
                <w:tab w:val="clear" w:pos="2835"/>
              </w:tabs>
              <w:spacing w:before="80" w:after="80" w:line="200" w:lineRule="exact"/>
              <w:ind w:left="113" w:right="28"/>
              <w:jc w:val="right"/>
              <w:rPr>
                <w:bCs/>
                <w:i/>
                <w:sz w:val="16"/>
              </w:rPr>
            </w:pPr>
            <w:r w:rsidRPr="006E79BC">
              <w:rPr>
                <w:i/>
                <w:iCs/>
                <w:sz w:val="16"/>
              </w:rPr>
              <w:t>2013</w:t>
            </w:r>
          </w:p>
        </w:tc>
        <w:tc>
          <w:tcPr>
            <w:tcW w:w="851" w:type="dxa"/>
            <w:shd w:val="clear" w:color="auto" w:fill="auto"/>
            <w:vAlign w:val="bottom"/>
          </w:tcPr>
          <w:p w14:paraId="7AEF4CD7" w14:textId="77777777" w:rsidR="00B92948" w:rsidRPr="006E79BC" w:rsidRDefault="00B92948" w:rsidP="003A7565">
            <w:pPr>
              <w:pStyle w:val="SingleTxtG"/>
              <w:tabs>
                <w:tab w:val="clear" w:pos="1701"/>
                <w:tab w:val="clear" w:pos="2268"/>
                <w:tab w:val="clear" w:pos="2835"/>
              </w:tabs>
              <w:spacing w:before="80" w:after="80" w:line="200" w:lineRule="exact"/>
              <w:ind w:left="113" w:right="28"/>
              <w:jc w:val="right"/>
              <w:rPr>
                <w:bCs/>
                <w:i/>
                <w:sz w:val="16"/>
              </w:rPr>
            </w:pPr>
            <w:r w:rsidRPr="006E79BC">
              <w:rPr>
                <w:i/>
                <w:iCs/>
                <w:sz w:val="16"/>
              </w:rPr>
              <w:t>2014</w:t>
            </w:r>
          </w:p>
        </w:tc>
        <w:tc>
          <w:tcPr>
            <w:tcW w:w="734" w:type="dxa"/>
            <w:shd w:val="clear" w:color="auto" w:fill="auto"/>
            <w:vAlign w:val="bottom"/>
          </w:tcPr>
          <w:p w14:paraId="4963D222" w14:textId="77777777" w:rsidR="00B92948" w:rsidRPr="006E79BC" w:rsidRDefault="00B92948" w:rsidP="003A7565">
            <w:pPr>
              <w:pStyle w:val="SingleTxtG"/>
              <w:tabs>
                <w:tab w:val="clear" w:pos="1701"/>
                <w:tab w:val="clear" w:pos="2268"/>
                <w:tab w:val="clear" w:pos="2835"/>
              </w:tabs>
              <w:spacing w:before="80" w:after="80" w:line="200" w:lineRule="exact"/>
              <w:ind w:left="113" w:right="28"/>
              <w:jc w:val="right"/>
              <w:rPr>
                <w:bCs/>
                <w:i/>
                <w:sz w:val="16"/>
              </w:rPr>
            </w:pPr>
            <w:r w:rsidRPr="006E79BC">
              <w:rPr>
                <w:i/>
                <w:iCs/>
                <w:sz w:val="16"/>
              </w:rPr>
              <w:t>2015</w:t>
            </w:r>
          </w:p>
        </w:tc>
        <w:tc>
          <w:tcPr>
            <w:tcW w:w="449" w:type="dxa"/>
            <w:shd w:val="clear" w:color="auto" w:fill="auto"/>
            <w:vAlign w:val="bottom"/>
          </w:tcPr>
          <w:p w14:paraId="15815046" w14:textId="77777777" w:rsidR="00B92948" w:rsidRPr="006E79BC" w:rsidRDefault="00B92948" w:rsidP="003A7565">
            <w:pPr>
              <w:pStyle w:val="SingleTxtG"/>
              <w:tabs>
                <w:tab w:val="clear" w:pos="1701"/>
                <w:tab w:val="clear" w:pos="2268"/>
                <w:tab w:val="clear" w:pos="2835"/>
              </w:tabs>
              <w:spacing w:before="80" w:after="80" w:line="200" w:lineRule="exact"/>
              <w:ind w:left="113" w:right="28"/>
              <w:jc w:val="right"/>
              <w:rPr>
                <w:bCs/>
                <w:i/>
                <w:sz w:val="16"/>
              </w:rPr>
            </w:pPr>
            <w:r w:rsidRPr="006E79BC">
              <w:rPr>
                <w:i/>
                <w:iCs/>
                <w:sz w:val="16"/>
              </w:rPr>
              <w:t>2016</w:t>
            </w:r>
          </w:p>
        </w:tc>
      </w:tr>
      <w:tr w:rsidR="00B92948" w:rsidRPr="006E79BC" w14:paraId="17EAE004" w14:textId="77777777" w:rsidTr="006E79BC">
        <w:trPr>
          <w:trHeight w:val="240"/>
        </w:trPr>
        <w:tc>
          <w:tcPr>
            <w:tcW w:w="2784" w:type="dxa"/>
            <w:shd w:val="clear" w:color="auto" w:fill="auto"/>
          </w:tcPr>
          <w:p w14:paraId="7102D70B" w14:textId="77777777" w:rsidR="00B92948" w:rsidRPr="006E79BC" w:rsidRDefault="00B92948" w:rsidP="006E79BC">
            <w:pPr>
              <w:pStyle w:val="SingleTxtG"/>
              <w:tabs>
                <w:tab w:val="clear" w:pos="1701"/>
                <w:tab w:val="clear" w:pos="2268"/>
                <w:tab w:val="clear" w:pos="2835"/>
              </w:tabs>
              <w:spacing w:before="40" w:after="40" w:line="220" w:lineRule="exact"/>
              <w:ind w:left="0" w:right="0"/>
              <w:jc w:val="left"/>
              <w:rPr>
                <w:sz w:val="18"/>
              </w:rPr>
            </w:pPr>
            <w:r w:rsidRPr="006E79BC">
              <w:rPr>
                <w:sz w:val="18"/>
              </w:rPr>
              <w:t xml:space="preserve">Porcentaje de mujeres visitadas por enfermeros de la salud pública durante el puerperio </w:t>
            </w:r>
          </w:p>
        </w:tc>
        <w:tc>
          <w:tcPr>
            <w:tcW w:w="850" w:type="dxa"/>
            <w:shd w:val="clear" w:color="auto" w:fill="auto"/>
            <w:vAlign w:val="bottom"/>
          </w:tcPr>
          <w:p w14:paraId="1500A6E7" w14:textId="77777777" w:rsidR="00B92948" w:rsidRPr="006E79BC" w:rsidRDefault="00B92948" w:rsidP="003A7565">
            <w:pPr>
              <w:pStyle w:val="SingleTxtG"/>
              <w:tabs>
                <w:tab w:val="clear" w:pos="1701"/>
                <w:tab w:val="clear" w:pos="2268"/>
                <w:tab w:val="clear" w:pos="2835"/>
              </w:tabs>
              <w:spacing w:before="40" w:after="40" w:line="220" w:lineRule="exact"/>
              <w:ind w:left="113" w:right="28"/>
              <w:jc w:val="right"/>
              <w:rPr>
                <w:sz w:val="18"/>
              </w:rPr>
            </w:pPr>
            <w:r w:rsidRPr="006E79BC">
              <w:rPr>
                <w:sz w:val="18"/>
              </w:rPr>
              <w:t>90</w:t>
            </w:r>
          </w:p>
        </w:tc>
        <w:tc>
          <w:tcPr>
            <w:tcW w:w="851" w:type="dxa"/>
            <w:shd w:val="clear" w:color="auto" w:fill="auto"/>
            <w:vAlign w:val="bottom"/>
          </w:tcPr>
          <w:p w14:paraId="550FA097" w14:textId="77777777" w:rsidR="00B92948" w:rsidRPr="006E79BC" w:rsidRDefault="00B92948" w:rsidP="003A7565">
            <w:pPr>
              <w:pStyle w:val="SingleTxtG"/>
              <w:tabs>
                <w:tab w:val="clear" w:pos="1701"/>
                <w:tab w:val="clear" w:pos="2268"/>
                <w:tab w:val="clear" w:pos="2835"/>
              </w:tabs>
              <w:spacing w:before="40" w:after="40" w:line="220" w:lineRule="exact"/>
              <w:ind w:left="113" w:right="28"/>
              <w:jc w:val="right"/>
              <w:rPr>
                <w:sz w:val="18"/>
              </w:rPr>
            </w:pPr>
            <w:r w:rsidRPr="006E79BC">
              <w:rPr>
                <w:sz w:val="18"/>
              </w:rPr>
              <w:t>89</w:t>
            </w:r>
          </w:p>
        </w:tc>
        <w:tc>
          <w:tcPr>
            <w:tcW w:w="851" w:type="dxa"/>
            <w:shd w:val="clear" w:color="auto" w:fill="auto"/>
            <w:vAlign w:val="bottom"/>
          </w:tcPr>
          <w:p w14:paraId="5390B54B" w14:textId="77777777" w:rsidR="00B92948" w:rsidRPr="006E79BC" w:rsidRDefault="00B92948" w:rsidP="003A7565">
            <w:pPr>
              <w:pStyle w:val="SingleTxtG"/>
              <w:tabs>
                <w:tab w:val="clear" w:pos="1701"/>
                <w:tab w:val="clear" w:pos="2268"/>
                <w:tab w:val="clear" w:pos="2835"/>
              </w:tabs>
              <w:spacing w:before="40" w:after="40" w:line="220" w:lineRule="exact"/>
              <w:ind w:left="113" w:right="28"/>
              <w:jc w:val="right"/>
              <w:rPr>
                <w:sz w:val="18"/>
              </w:rPr>
            </w:pPr>
            <w:r w:rsidRPr="006E79BC">
              <w:rPr>
                <w:sz w:val="18"/>
              </w:rPr>
              <w:t>92</w:t>
            </w:r>
          </w:p>
        </w:tc>
        <w:tc>
          <w:tcPr>
            <w:tcW w:w="851" w:type="dxa"/>
            <w:shd w:val="clear" w:color="auto" w:fill="auto"/>
            <w:vAlign w:val="bottom"/>
          </w:tcPr>
          <w:p w14:paraId="7187E26C" w14:textId="77777777" w:rsidR="00B92948" w:rsidRPr="006E79BC" w:rsidRDefault="00B92948" w:rsidP="003A7565">
            <w:pPr>
              <w:pStyle w:val="SingleTxtG"/>
              <w:tabs>
                <w:tab w:val="clear" w:pos="1701"/>
                <w:tab w:val="clear" w:pos="2268"/>
                <w:tab w:val="clear" w:pos="2835"/>
              </w:tabs>
              <w:spacing w:before="40" w:after="40" w:line="220" w:lineRule="exact"/>
              <w:ind w:left="113" w:right="28"/>
              <w:jc w:val="right"/>
              <w:rPr>
                <w:sz w:val="18"/>
              </w:rPr>
            </w:pPr>
            <w:r w:rsidRPr="006E79BC">
              <w:rPr>
                <w:sz w:val="18"/>
              </w:rPr>
              <w:t>83</w:t>
            </w:r>
          </w:p>
        </w:tc>
        <w:tc>
          <w:tcPr>
            <w:tcW w:w="734" w:type="dxa"/>
            <w:shd w:val="clear" w:color="auto" w:fill="auto"/>
            <w:vAlign w:val="bottom"/>
          </w:tcPr>
          <w:p w14:paraId="050643D2" w14:textId="77777777" w:rsidR="00B92948" w:rsidRPr="006E79BC" w:rsidRDefault="00B92948" w:rsidP="003A7565">
            <w:pPr>
              <w:pStyle w:val="SingleTxtG"/>
              <w:tabs>
                <w:tab w:val="clear" w:pos="1701"/>
                <w:tab w:val="clear" w:pos="2268"/>
                <w:tab w:val="clear" w:pos="2835"/>
              </w:tabs>
              <w:spacing w:before="40" w:after="40" w:line="220" w:lineRule="exact"/>
              <w:ind w:left="113" w:right="28"/>
              <w:jc w:val="right"/>
              <w:rPr>
                <w:sz w:val="18"/>
              </w:rPr>
            </w:pPr>
            <w:r w:rsidRPr="006E79BC">
              <w:rPr>
                <w:sz w:val="18"/>
              </w:rPr>
              <w:t>83</w:t>
            </w:r>
          </w:p>
        </w:tc>
        <w:tc>
          <w:tcPr>
            <w:tcW w:w="449" w:type="dxa"/>
            <w:shd w:val="clear" w:color="auto" w:fill="auto"/>
            <w:vAlign w:val="bottom"/>
          </w:tcPr>
          <w:p w14:paraId="5C64890F" w14:textId="77777777" w:rsidR="00B92948" w:rsidRPr="006E79BC" w:rsidRDefault="00B92948" w:rsidP="003A7565">
            <w:pPr>
              <w:pStyle w:val="SingleTxtG"/>
              <w:tabs>
                <w:tab w:val="clear" w:pos="1701"/>
                <w:tab w:val="clear" w:pos="2268"/>
                <w:tab w:val="clear" w:pos="2835"/>
              </w:tabs>
              <w:spacing w:before="40" w:after="40" w:line="220" w:lineRule="exact"/>
              <w:ind w:left="113" w:right="28"/>
              <w:jc w:val="right"/>
              <w:rPr>
                <w:sz w:val="18"/>
              </w:rPr>
            </w:pPr>
            <w:r w:rsidRPr="006E79BC">
              <w:rPr>
                <w:sz w:val="18"/>
              </w:rPr>
              <w:t>83</w:t>
            </w:r>
          </w:p>
        </w:tc>
      </w:tr>
    </w:tbl>
    <w:p w14:paraId="28A0AB95" w14:textId="77777777" w:rsidR="00B92948" w:rsidRPr="00B92948" w:rsidRDefault="00B92948" w:rsidP="006E79BC">
      <w:pPr>
        <w:pStyle w:val="SingleTxtG"/>
        <w:spacing w:before="240"/>
      </w:pPr>
      <w:r w:rsidRPr="00B92948">
        <w:t>130.</w:t>
      </w:r>
      <w:r w:rsidRPr="00B92948">
        <w:tab/>
        <w:t>El porcentaje de partos asistidos por profesionales sigue siendo alto (99,9</w:t>
      </w:r>
      <w:r w:rsidR="000C0C75">
        <w:t> %</w:t>
      </w:r>
      <w:r w:rsidRPr="00B92948">
        <w:t>).</w:t>
      </w:r>
    </w:p>
    <w:p w14:paraId="36E33A76" w14:textId="77777777" w:rsidR="00B92948" w:rsidRPr="00EB6693" w:rsidRDefault="006E79BC" w:rsidP="006E79BC">
      <w:pPr>
        <w:pStyle w:val="H23G"/>
      </w:pPr>
      <w:r w:rsidRPr="0033201C">
        <w:rPr>
          <w:b w:val="0"/>
          <w:bCs/>
        </w:rPr>
        <w:tab/>
      </w:r>
      <w:r w:rsidR="00B92948" w:rsidRPr="0033201C">
        <w:rPr>
          <w:b w:val="0"/>
          <w:bCs/>
        </w:rPr>
        <w:tab/>
        <w:t>Cuadro 3</w:t>
      </w:r>
      <w:r w:rsidRPr="0033201C">
        <w:rPr>
          <w:b w:val="0"/>
          <w:bCs/>
        </w:rPr>
        <w:br/>
      </w:r>
      <w:r w:rsidR="00B92948" w:rsidRPr="00B92948">
        <w:tab/>
        <w:t>Porcentaje de niños nacidos en hospitales</w:t>
      </w:r>
      <w:r w:rsidR="00B92948" w:rsidRPr="00EB6693">
        <w:rPr>
          <w:rStyle w:val="Refdenotaalpie"/>
          <w:b w:val="0"/>
          <w:bCs/>
        </w:rPr>
        <w:footnoteReference w:id="32"/>
      </w:r>
      <w:bookmarkStart w:id="46" w:name="_Toc56781448"/>
      <w:bookmarkEnd w:id="46"/>
    </w:p>
    <w:tbl>
      <w:tblPr>
        <w:tblW w:w="7370" w:type="dxa"/>
        <w:tblInd w:w="1134" w:type="dxa"/>
        <w:tblBorders>
          <w:top w:val="single" w:sz="4" w:space="0" w:color="auto"/>
          <w:bottom w:val="single" w:sz="12" w:space="0" w:color="auto"/>
          <w:insideH w:val="single" w:sz="12" w:space="0" w:color="auto"/>
        </w:tblBorders>
        <w:tblCellMar>
          <w:left w:w="0" w:type="dxa"/>
          <w:right w:w="0" w:type="dxa"/>
        </w:tblCellMar>
        <w:tblLook w:val="00A0" w:firstRow="1" w:lastRow="0" w:firstColumn="1" w:lastColumn="0" w:noHBand="0" w:noVBand="0"/>
      </w:tblPr>
      <w:tblGrid>
        <w:gridCol w:w="1843"/>
        <w:gridCol w:w="1276"/>
        <w:gridCol w:w="850"/>
        <w:gridCol w:w="851"/>
        <w:gridCol w:w="850"/>
        <w:gridCol w:w="851"/>
        <w:gridCol w:w="849"/>
      </w:tblGrid>
      <w:tr w:rsidR="00B92948" w:rsidRPr="001B45D6" w14:paraId="0485B455" w14:textId="77777777" w:rsidTr="001B45D6">
        <w:trPr>
          <w:trHeight w:val="240"/>
          <w:tblHeader/>
        </w:trPr>
        <w:tc>
          <w:tcPr>
            <w:tcW w:w="1843" w:type="dxa"/>
            <w:shd w:val="clear" w:color="auto" w:fill="auto"/>
            <w:vAlign w:val="bottom"/>
          </w:tcPr>
          <w:p w14:paraId="464697B6" w14:textId="77777777" w:rsidR="00B92948" w:rsidRPr="001B45D6" w:rsidRDefault="00B92948" w:rsidP="001B45D6">
            <w:pPr>
              <w:pStyle w:val="SingleTxtG"/>
              <w:tabs>
                <w:tab w:val="clear" w:pos="1701"/>
                <w:tab w:val="clear" w:pos="2268"/>
                <w:tab w:val="clear" w:pos="2835"/>
              </w:tabs>
              <w:spacing w:before="80" w:after="80" w:line="200" w:lineRule="exact"/>
              <w:ind w:left="0" w:right="0"/>
              <w:jc w:val="left"/>
              <w:rPr>
                <w:bCs/>
                <w:i/>
                <w:sz w:val="16"/>
              </w:rPr>
            </w:pPr>
            <w:r w:rsidRPr="001B45D6">
              <w:rPr>
                <w:i/>
                <w:iCs/>
                <w:sz w:val="16"/>
              </w:rPr>
              <w:t>Indicador</w:t>
            </w:r>
          </w:p>
        </w:tc>
        <w:tc>
          <w:tcPr>
            <w:tcW w:w="1276" w:type="dxa"/>
            <w:shd w:val="clear" w:color="auto" w:fill="auto"/>
            <w:vAlign w:val="bottom"/>
          </w:tcPr>
          <w:p w14:paraId="1D36E89A" w14:textId="77777777" w:rsidR="00B92948" w:rsidRPr="001B45D6" w:rsidRDefault="00B92948" w:rsidP="003A7565">
            <w:pPr>
              <w:pStyle w:val="SingleTxtG"/>
              <w:tabs>
                <w:tab w:val="clear" w:pos="1701"/>
                <w:tab w:val="clear" w:pos="2268"/>
                <w:tab w:val="clear" w:pos="2835"/>
              </w:tabs>
              <w:spacing w:before="80" w:after="80" w:line="200" w:lineRule="exact"/>
              <w:ind w:left="113" w:right="28"/>
              <w:jc w:val="right"/>
              <w:rPr>
                <w:bCs/>
                <w:i/>
                <w:sz w:val="16"/>
              </w:rPr>
            </w:pPr>
            <w:r w:rsidRPr="001B45D6">
              <w:rPr>
                <w:i/>
                <w:iCs/>
                <w:sz w:val="16"/>
              </w:rPr>
              <w:t>2011</w:t>
            </w:r>
          </w:p>
        </w:tc>
        <w:tc>
          <w:tcPr>
            <w:tcW w:w="850" w:type="dxa"/>
            <w:shd w:val="clear" w:color="auto" w:fill="auto"/>
            <w:vAlign w:val="bottom"/>
          </w:tcPr>
          <w:p w14:paraId="5E861A5C" w14:textId="77777777" w:rsidR="00B92948" w:rsidRPr="001B45D6" w:rsidRDefault="00B92948" w:rsidP="003A7565">
            <w:pPr>
              <w:pStyle w:val="SingleTxtG"/>
              <w:tabs>
                <w:tab w:val="clear" w:pos="1701"/>
                <w:tab w:val="clear" w:pos="2268"/>
                <w:tab w:val="clear" w:pos="2835"/>
              </w:tabs>
              <w:spacing w:before="80" w:after="80" w:line="200" w:lineRule="exact"/>
              <w:ind w:left="113" w:right="28"/>
              <w:jc w:val="right"/>
              <w:rPr>
                <w:bCs/>
                <w:i/>
                <w:sz w:val="16"/>
              </w:rPr>
            </w:pPr>
            <w:r w:rsidRPr="001B45D6">
              <w:rPr>
                <w:i/>
                <w:iCs/>
                <w:sz w:val="16"/>
              </w:rPr>
              <w:t>2012</w:t>
            </w:r>
          </w:p>
        </w:tc>
        <w:tc>
          <w:tcPr>
            <w:tcW w:w="851" w:type="dxa"/>
            <w:shd w:val="clear" w:color="auto" w:fill="auto"/>
            <w:vAlign w:val="bottom"/>
          </w:tcPr>
          <w:p w14:paraId="59AE2106" w14:textId="77777777" w:rsidR="00B92948" w:rsidRPr="001B45D6" w:rsidRDefault="00B92948" w:rsidP="003A7565">
            <w:pPr>
              <w:pStyle w:val="SingleTxtG"/>
              <w:tabs>
                <w:tab w:val="clear" w:pos="1701"/>
                <w:tab w:val="clear" w:pos="2268"/>
                <w:tab w:val="clear" w:pos="2835"/>
              </w:tabs>
              <w:spacing w:before="80" w:after="80" w:line="200" w:lineRule="exact"/>
              <w:ind w:left="113" w:right="28"/>
              <w:jc w:val="right"/>
              <w:rPr>
                <w:bCs/>
                <w:i/>
                <w:sz w:val="16"/>
              </w:rPr>
            </w:pPr>
            <w:r w:rsidRPr="001B45D6">
              <w:rPr>
                <w:i/>
                <w:iCs/>
                <w:sz w:val="16"/>
              </w:rPr>
              <w:t>2013</w:t>
            </w:r>
          </w:p>
        </w:tc>
        <w:tc>
          <w:tcPr>
            <w:tcW w:w="850" w:type="dxa"/>
            <w:shd w:val="clear" w:color="auto" w:fill="auto"/>
            <w:vAlign w:val="bottom"/>
          </w:tcPr>
          <w:p w14:paraId="0835C8B6" w14:textId="77777777" w:rsidR="00B92948" w:rsidRPr="001B45D6" w:rsidRDefault="00B92948" w:rsidP="003A7565">
            <w:pPr>
              <w:pStyle w:val="SingleTxtG"/>
              <w:tabs>
                <w:tab w:val="clear" w:pos="1701"/>
                <w:tab w:val="clear" w:pos="2268"/>
                <w:tab w:val="clear" w:pos="2835"/>
              </w:tabs>
              <w:spacing w:before="80" w:after="80" w:line="200" w:lineRule="exact"/>
              <w:ind w:left="113" w:right="28"/>
              <w:jc w:val="right"/>
              <w:rPr>
                <w:bCs/>
                <w:i/>
                <w:sz w:val="16"/>
              </w:rPr>
            </w:pPr>
            <w:r w:rsidRPr="001B45D6">
              <w:rPr>
                <w:i/>
                <w:iCs/>
                <w:sz w:val="16"/>
              </w:rPr>
              <w:t>2014</w:t>
            </w:r>
          </w:p>
        </w:tc>
        <w:tc>
          <w:tcPr>
            <w:tcW w:w="851" w:type="dxa"/>
            <w:shd w:val="clear" w:color="auto" w:fill="auto"/>
            <w:vAlign w:val="bottom"/>
          </w:tcPr>
          <w:p w14:paraId="1261A651" w14:textId="77777777" w:rsidR="00B92948" w:rsidRPr="001B45D6" w:rsidRDefault="00B92948" w:rsidP="003A7565">
            <w:pPr>
              <w:pStyle w:val="SingleTxtG"/>
              <w:tabs>
                <w:tab w:val="clear" w:pos="1701"/>
                <w:tab w:val="clear" w:pos="2268"/>
                <w:tab w:val="clear" w:pos="2835"/>
              </w:tabs>
              <w:spacing w:before="80" w:after="80" w:line="200" w:lineRule="exact"/>
              <w:ind w:left="113" w:right="28"/>
              <w:jc w:val="right"/>
              <w:rPr>
                <w:bCs/>
                <w:i/>
                <w:sz w:val="16"/>
              </w:rPr>
            </w:pPr>
            <w:r w:rsidRPr="001B45D6">
              <w:rPr>
                <w:i/>
                <w:iCs/>
                <w:sz w:val="16"/>
              </w:rPr>
              <w:t>2015</w:t>
            </w:r>
          </w:p>
        </w:tc>
        <w:tc>
          <w:tcPr>
            <w:tcW w:w="849" w:type="dxa"/>
            <w:shd w:val="clear" w:color="auto" w:fill="auto"/>
            <w:vAlign w:val="bottom"/>
          </w:tcPr>
          <w:p w14:paraId="47362DBE" w14:textId="77777777" w:rsidR="00B92948" w:rsidRPr="001B45D6" w:rsidRDefault="00B92948" w:rsidP="003A7565">
            <w:pPr>
              <w:pStyle w:val="SingleTxtG"/>
              <w:tabs>
                <w:tab w:val="clear" w:pos="1701"/>
                <w:tab w:val="clear" w:pos="2268"/>
                <w:tab w:val="clear" w:pos="2835"/>
              </w:tabs>
              <w:spacing w:before="80" w:after="80" w:line="200" w:lineRule="exact"/>
              <w:ind w:left="113" w:right="28"/>
              <w:jc w:val="right"/>
              <w:rPr>
                <w:bCs/>
                <w:i/>
                <w:sz w:val="16"/>
              </w:rPr>
            </w:pPr>
            <w:r w:rsidRPr="001B45D6">
              <w:rPr>
                <w:i/>
                <w:iCs/>
                <w:sz w:val="16"/>
              </w:rPr>
              <w:t>2016</w:t>
            </w:r>
          </w:p>
        </w:tc>
      </w:tr>
      <w:tr w:rsidR="00B92948" w:rsidRPr="001B45D6" w14:paraId="52F4C1A4" w14:textId="77777777" w:rsidTr="001B45D6">
        <w:trPr>
          <w:trHeight w:val="240"/>
        </w:trPr>
        <w:tc>
          <w:tcPr>
            <w:tcW w:w="1843" w:type="dxa"/>
            <w:shd w:val="clear" w:color="auto" w:fill="auto"/>
          </w:tcPr>
          <w:p w14:paraId="1863E059" w14:textId="77777777" w:rsidR="00B92948" w:rsidRPr="001B45D6" w:rsidRDefault="00B92948" w:rsidP="001B45D6">
            <w:pPr>
              <w:pStyle w:val="SingleTxtG"/>
              <w:tabs>
                <w:tab w:val="clear" w:pos="1701"/>
                <w:tab w:val="clear" w:pos="2268"/>
                <w:tab w:val="clear" w:pos="2835"/>
              </w:tabs>
              <w:spacing w:before="40" w:after="40" w:line="220" w:lineRule="exact"/>
              <w:ind w:left="0" w:right="0"/>
              <w:jc w:val="left"/>
              <w:rPr>
                <w:sz w:val="18"/>
              </w:rPr>
            </w:pPr>
            <w:r w:rsidRPr="001B45D6">
              <w:rPr>
                <w:sz w:val="18"/>
              </w:rPr>
              <w:t>Porcentaje de niños nacidos en hospitales</w:t>
            </w:r>
          </w:p>
        </w:tc>
        <w:tc>
          <w:tcPr>
            <w:tcW w:w="1276" w:type="dxa"/>
            <w:shd w:val="clear" w:color="auto" w:fill="auto"/>
            <w:vAlign w:val="bottom"/>
          </w:tcPr>
          <w:p w14:paraId="4AA2640A" w14:textId="77777777" w:rsidR="00B92948" w:rsidRPr="001B45D6" w:rsidRDefault="00B92948" w:rsidP="003A7565">
            <w:pPr>
              <w:pStyle w:val="SingleTxtG"/>
              <w:tabs>
                <w:tab w:val="clear" w:pos="1701"/>
                <w:tab w:val="clear" w:pos="2268"/>
                <w:tab w:val="clear" w:pos="2835"/>
              </w:tabs>
              <w:spacing w:before="40" w:after="40" w:line="220" w:lineRule="exact"/>
              <w:ind w:left="113" w:right="28"/>
              <w:jc w:val="right"/>
              <w:rPr>
                <w:sz w:val="18"/>
              </w:rPr>
            </w:pPr>
            <w:r w:rsidRPr="001B45D6">
              <w:rPr>
                <w:sz w:val="18"/>
              </w:rPr>
              <w:t>99,8</w:t>
            </w:r>
          </w:p>
        </w:tc>
        <w:tc>
          <w:tcPr>
            <w:tcW w:w="850" w:type="dxa"/>
            <w:shd w:val="clear" w:color="auto" w:fill="auto"/>
            <w:vAlign w:val="bottom"/>
          </w:tcPr>
          <w:p w14:paraId="52E4A5D4" w14:textId="77777777" w:rsidR="00B92948" w:rsidRPr="001B45D6" w:rsidRDefault="00B92948" w:rsidP="003A7565">
            <w:pPr>
              <w:pStyle w:val="SingleTxtG"/>
              <w:tabs>
                <w:tab w:val="clear" w:pos="1701"/>
                <w:tab w:val="clear" w:pos="2268"/>
                <w:tab w:val="clear" w:pos="2835"/>
              </w:tabs>
              <w:spacing w:before="40" w:after="40" w:line="220" w:lineRule="exact"/>
              <w:ind w:left="113" w:right="28"/>
              <w:jc w:val="right"/>
              <w:rPr>
                <w:sz w:val="18"/>
              </w:rPr>
            </w:pPr>
            <w:r w:rsidRPr="001B45D6">
              <w:rPr>
                <w:sz w:val="18"/>
              </w:rPr>
              <w:t>99,7</w:t>
            </w:r>
          </w:p>
        </w:tc>
        <w:tc>
          <w:tcPr>
            <w:tcW w:w="851" w:type="dxa"/>
            <w:shd w:val="clear" w:color="auto" w:fill="auto"/>
            <w:vAlign w:val="bottom"/>
          </w:tcPr>
          <w:p w14:paraId="28BA99D2" w14:textId="77777777" w:rsidR="00B92948" w:rsidRPr="001B45D6" w:rsidRDefault="00B92948" w:rsidP="003A7565">
            <w:pPr>
              <w:pStyle w:val="SingleTxtG"/>
              <w:tabs>
                <w:tab w:val="clear" w:pos="1701"/>
                <w:tab w:val="clear" w:pos="2268"/>
                <w:tab w:val="clear" w:pos="2835"/>
              </w:tabs>
              <w:spacing w:before="40" w:after="40" w:line="220" w:lineRule="exact"/>
              <w:ind w:left="113" w:right="28"/>
              <w:jc w:val="right"/>
              <w:rPr>
                <w:sz w:val="18"/>
              </w:rPr>
            </w:pPr>
            <w:r w:rsidRPr="001B45D6">
              <w:rPr>
                <w:sz w:val="18"/>
              </w:rPr>
              <w:t>99,8</w:t>
            </w:r>
          </w:p>
        </w:tc>
        <w:tc>
          <w:tcPr>
            <w:tcW w:w="850" w:type="dxa"/>
            <w:shd w:val="clear" w:color="auto" w:fill="auto"/>
            <w:vAlign w:val="bottom"/>
          </w:tcPr>
          <w:p w14:paraId="19ABE508" w14:textId="77777777" w:rsidR="00B92948" w:rsidRPr="001B45D6" w:rsidRDefault="00B92948" w:rsidP="003A7565">
            <w:pPr>
              <w:pStyle w:val="SingleTxtG"/>
              <w:tabs>
                <w:tab w:val="clear" w:pos="1701"/>
                <w:tab w:val="clear" w:pos="2268"/>
                <w:tab w:val="clear" w:pos="2835"/>
              </w:tabs>
              <w:spacing w:before="40" w:after="40" w:line="220" w:lineRule="exact"/>
              <w:ind w:left="113" w:right="28"/>
              <w:jc w:val="right"/>
              <w:rPr>
                <w:sz w:val="18"/>
              </w:rPr>
            </w:pPr>
            <w:r w:rsidRPr="001B45D6">
              <w:rPr>
                <w:sz w:val="18"/>
              </w:rPr>
              <w:t>99,8</w:t>
            </w:r>
          </w:p>
        </w:tc>
        <w:tc>
          <w:tcPr>
            <w:tcW w:w="851" w:type="dxa"/>
            <w:shd w:val="clear" w:color="auto" w:fill="auto"/>
            <w:vAlign w:val="bottom"/>
          </w:tcPr>
          <w:p w14:paraId="727E3247" w14:textId="77777777" w:rsidR="00B92948" w:rsidRPr="001B45D6" w:rsidRDefault="00B92948" w:rsidP="003A7565">
            <w:pPr>
              <w:pStyle w:val="SingleTxtG"/>
              <w:tabs>
                <w:tab w:val="clear" w:pos="1701"/>
                <w:tab w:val="clear" w:pos="2268"/>
                <w:tab w:val="clear" w:pos="2835"/>
              </w:tabs>
              <w:spacing w:before="40" w:after="40" w:line="220" w:lineRule="exact"/>
              <w:ind w:left="113" w:right="28"/>
              <w:jc w:val="right"/>
              <w:rPr>
                <w:sz w:val="18"/>
              </w:rPr>
            </w:pPr>
            <w:r w:rsidRPr="001B45D6">
              <w:rPr>
                <w:sz w:val="18"/>
              </w:rPr>
              <w:t>9,9</w:t>
            </w:r>
          </w:p>
        </w:tc>
        <w:tc>
          <w:tcPr>
            <w:tcW w:w="849" w:type="dxa"/>
            <w:shd w:val="clear" w:color="auto" w:fill="auto"/>
            <w:vAlign w:val="bottom"/>
          </w:tcPr>
          <w:p w14:paraId="6E5BCDD8" w14:textId="77777777" w:rsidR="00B92948" w:rsidRPr="001B45D6" w:rsidRDefault="00B92948" w:rsidP="003A7565">
            <w:pPr>
              <w:pStyle w:val="SingleTxtG"/>
              <w:tabs>
                <w:tab w:val="clear" w:pos="1701"/>
                <w:tab w:val="clear" w:pos="2268"/>
                <w:tab w:val="clear" w:pos="2835"/>
              </w:tabs>
              <w:spacing w:before="40" w:after="40" w:line="220" w:lineRule="exact"/>
              <w:ind w:left="113" w:right="28"/>
              <w:jc w:val="right"/>
              <w:rPr>
                <w:sz w:val="18"/>
              </w:rPr>
            </w:pPr>
            <w:r w:rsidRPr="001B45D6">
              <w:rPr>
                <w:sz w:val="18"/>
              </w:rPr>
              <w:t>99,9</w:t>
            </w:r>
          </w:p>
        </w:tc>
      </w:tr>
    </w:tbl>
    <w:bookmarkEnd w:id="42"/>
    <w:p w14:paraId="12B59942" w14:textId="77777777" w:rsidR="00B92948" w:rsidRPr="00EB6693" w:rsidRDefault="00B92948" w:rsidP="001B45D6">
      <w:pPr>
        <w:pStyle w:val="H23G"/>
      </w:pPr>
      <w:r w:rsidRPr="0033201C">
        <w:rPr>
          <w:b w:val="0"/>
          <w:bCs/>
        </w:rPr>
        <w:tab/>
      </w:r>
      <w:r w:rsidR="001B45D6" w:rsidRPr="0033201C">
        <w:rPr>
          <w:b w:val="0"/>
          <w:bCs/>
        </w:rPr>
        <w:tab/>
      </w:r>
      <w:r w:rsidRPr="0033201C">
        <w:rPr>
          <w:b w:val="0"/>
          <w:bCs/>
        </w:rPr>
        <w:t>Cuadro 4</w:t>
      </w:r>
      <w:r w:rsidR="001B45D6" w:rsidRPr="0033201C">
        <w:rPr>
          <w:b w:val="0"/>
          <w:bCs/>
        </w:rPr>
        <w:br/>
      </w:r>
      <w:r w:rsidRPr="00B92948">
        <w:tab/>
        <w:t>Cociente de mortalidad materna (2011-2016)</w:t>
      </w:r>
      <w:r w:rsidRPr="00EB6693">
        <w:rPr>
          <w:rStyle w:val="Refdenotaalpie"/>
          <w:b w:val="0"/>
          <w:bCs/>
        </w:rPr>
        <w:footnoteReference w:id="33"/>
      </w:r>
      <w:bookmarkStart w:id="47" w:name="_Toc56781449"/>
      <w:bookmarkEnd w:id="47"/>
    </w:p>
    <w:tbl>
      <w:tblPr>
        <w:tblW w:w="7370" w:type="dxa"/>
        <w:tblInd w:w="1134" w:type="dxa"/>
        <w:tblBorders>
          <w:top w:val="single" w:sz="4" w:space="0" w:color="auto"/>
          <w:bottom w:val="single" w:sz="12" w:space="0" w:color="auto"/>
          <w:insideH w:val="single" w:sz="12" w:space="0" w:color="auto"/>
        </w:tblBorders>
        <w:tblCellMar>
          <w:left w:w="0" w:type="dxa"/>
          <w:right w:w="0" w:type="dxa"/>
        </w:tblCellMar>
        <w:tblLook w:val="00A0" w:firstRow="1" w:lastRow="0" w:firstColumn="1" w:lastColumn="0" w:noHBand="0" w:noVBand="0"/>
      </w:tblPr>
      <w:tblGrid>
        <w:gridCol w:w="2410"/>
        <w:gridCol w:w="709"/>
        <w:gridCol w:w="850"/>
        <w:gridCol w:w="851"/>
        <w:gridCol w:w="850"/>
        <w:gridCol w:w="851"/>
        <w:gridCol w:w="849"/>
      </w:tblGrid>
      <w:tr w:rsidR="00B92948" w:rsidRPr="003231AF" w14:paraId="4B0DD5B0" w14:textId="77777777" w:rsidTr="007D1B32">
        <w:trPr>
          <w:trHeight w:val="240"/>
          <w:tblHeader/>
        </w:trPr>
        <w:tc>
          <w:tcPr>
            <w:tcW w:w="2410" w:type="dxa"/>
            <w:shd w:val="clear" w:color="auto" w:fill="auto"/>
            <w:vAlign w:val="bottom"/>
          </w:tcPr>
          <w:p w14:paraId="5BC522EF" w14:textId="77777777" w:rsidR="00B92948" w:rsidRPr="003231AF" w:rsidRDefault="00B92948" w:rsidP="003231AF">
            <w:pPr>
              <w:pStyle w:val="SingleTxtG"/>
              <w:tabs>
                <w:tab w:val="clear" w:pos="1701"/>
                <w:tab w:val="clear" w:pos="2268"/>
                <w:tab w:val="clear" w:pos="2835"/>
              </w:tabs>
              <w:spacing w:before="80" w:after="80" w:line="200" w:lineRule="exact"/>
              <w:ind w:left="0" w:right="0"/>
              <w:jc w:val="left"/>
              <w:rPr>
                <w:bCs/>
                <w:i/>
                <w:sz w:val="16"/>
              </w:rPr>
            </w:pPr>
            <w:r w:rsidRPr="003231AF">
              <w:rPr>
                <w:i/>
                <w:iCs/>
                <w:sz w:val="16"/>
              </w:rPr>
              <w:t>Indicador</w:t>
            </w:r>
          </w:p>
        </w:tc>
        <w:tc>
          <w:tcPr>
            <w:tcW w:w="709" w:type="dxa"/>
            <w:shd w:val="clear" w:color="auto" w:fill="auto"/>
            <w:vAlign w:val="bottom"/>
          </w:tcPr>
          <w:p w14:paraId="34DA203D" w14:textId="77777777" w:rsidR="00B92948" w:rsidRPr="003231AF" w:rsidRDefault="00B92948" w:rsidP="007D1B32">
            <w:pPr>
              <w:pStyle w:val="SingleTxtG"/>
              <w:tabs>
                <w:tab w:val="clear" w:pos="1701"/>
                <w:tab w:val="clear" w:pos="2268"/>
                <w:tab w:val="clear" w:pos="2835"/>
              </w:tabs>
              <w:spacing w:before="80" w:after="80" w:line="200" w:lineRule="exact"/>
              <w:ind w:left="113" w:right="28"/>
              <w:jc w:val="right"/>
              <w:rPr>
                <w:bCs/>
                <w:i/>
                <w:sz w:val="16"/>
              </w:rPr>
            </w:pPr>
            <w:r w:rsidRPr="003231AF">
              <w:rPr>
                <w:i/>
                <w:iCs/>
                <w:sz w:val="16"/>
              </w:rPr>
              <w:t>2011</w:t>
            </w:r>
          </w:p>
        </w:tc>
        <w:tc>
          <w:tcPr>
            <w:tcW w:w="850" w:type="dxa"/>
            <w:shd w:val="clear" w:color="auto" w:fill="auto"/>
            <w:vAlign w:val="bottom"/>
          </w:tcPr>
          <w:p w14:paraId="2F138FD7" w14:textId="77777777" w:rsidR="00B92948" w:rsidRPr="003231AF" w:rsidRDefault="00B92948" w:rsidP="007D1B32">
            <w:pPr>
              <w:pStyle w:val="SingleTxtG"/>
              <w:tabs>
                <w:tab w:val="clear" w:pos="1701"/>
                <w:tab w:val="clear" w:pos="2268"/>
                <w:tab w:val="clear" w:pos="2835"/>
              </w:tabs>
              <w:spacing w:before="80" w:after="80" w:line="200" w:lineRule="exact"/>
              <w:ind w:left="113" w:right="28"/>
              <w:jc w:val="right"/>
              <w:rPr>
                <w:bCs/>
                <w:i/>
                <w:sz w:val="16"/>
              </w:rPr>
            </w:pPr>
            <w:r w:rsidRPr="003231AF">
              <w:rPr>
                <w:i/>
                <w:iCs/>
                <w:sz w:val="16"/>
              </w:rPr>
              <w:t>2012</w:t>
            </w:r>
          </w:p>
        </w:tc>
        <w:tc>
          <w:tcPr>
            <w:tcW w:w="851" w:type="dxa"/>
            <w:shd w:val="clear" w:color="auto" w:fill="auto"/>
            <w:vAlign w:val="bottom"/>
          </w:tcPr>
          <w:p w14:paraId="1C81F01E" w14:textId="77777777" w:rsidR="00B92948" w:rsidRPr="003231AF" w:rsidRDefault="00B92948" w:rsidP="007D1B32">
            <w:pPr>
              <w:pStyle w:val="SingleTxtG"/>
              <w:tabs>
                <w:tab w:val="clear" w:pos="1701"/>
                <w:tab w:val="clear" w:pos="2268"/>
                <w:tab w:val="clear" w:pos="2835"/>
              </w:tabs>
              <w:spacing w:before="80" w:after="80" w:line="200" w:lineRule="exact"/>
              <w:ind w:left="113" w:right="28"/>
              <w:jc w:val="right"/>
              <w:rPr>
                <w:bCs/>
                <w:i/>
                <w:sz w:val="16"/>
              </w:rPr>
            </w:pPr>
            <w:r w:rsidRPr="003231AF">
              <w:rPr>
                <w:i/>
                <w:iCs/>
                <w:sz w:val="16"/>
              </w:rPr>
              <w:t>2013</w:t>
            </w:r>
          </w:p>
        </w:tc>
        <w:tc>
          <w:tcPr>
            <w:tcW w:w="850" w:type="dxa"/>
            <w:shd w:val="clear" w:color="auto" w:fill="auto"/>
            <w:vAlign w:val="bottom"/>
          </w:tcPr>
          <w:p w14:paraId="3FE56D8A" w14:textId="77777777" w:rsidR="00B92948" w:rsidRPr="003231AF" w:rsidRDefault="00B92948" w:rsidP="007D1B32">
            <w:pPr>
              <w:pStyle w:val="SingleTxtG"/>
              <w:tabs>
                <w:tab w:val="clear" w:pos="1701"/>
                <w:tab w:val="clear" w:pos="2268"/>
                <w:tab w:val="clear" w:pos="2835"/>
              </w:tabs>
              <w:spacing w:before="80" w:after="80" w:line="200" w:lineRule="exact"/>
              <w:ind w:left="113" w:right="28"/>
              <w:jc w:val="right"/>
              <w:rPr>
                <w:bCs/>
                <w:i/>
                <w:sz w:val="16"/>
              </w:rPr>
            </w:pPr>
            <w:r w:rsidRPr="003231AF">
              <w:rPr>
                <w:i/>
                <w:iCs/>
                <w:sz w:val="16"/>
              </w:rPr>
              <w:t>2014</w:t>
            </w:r>
          </w:p>
        </w:tc>
        <w:tc>
          <w:tcPr>
            <w:tcW w:w="851" w:type="dxa"/>
            <w:shd w:val="clear" w:color="auto" w:fill="auto"/>
            <w:vAlign w:val="bottom"/>
          </w:tcPr>
          <w:p w14:paraId="5FA81B47" w14:textId="77777777" w:rsidR="00B92948" w:rsidRPr="003231AF" w:rsidRDefault="00B92948" w:rsidP="007D1B32">
            <w:pPr>
              <w:pStyle w:val="SingleTxtG"/>
              <w:tabs>
                <w:tab w:val="clear" w:pos="1701"/>
                <w:tab w:val="clear" w:pos="2268"/>
                <w:tab w:val="clear" w:pos="2835"/>
              </w:tabs>
              <w:spacing w:before="80" w:after="80" w:line="200" w:lineRule="exact"/>
              <w:ind w:left="113" w:right="28"/>
              <w:jc w:val="right"/>
              <w:rPr>
                <w:bCs/>
                <w:i/>
                <w:sz w:val="16"/>
              </w:rPr>
            </w:pPr>
            <w:r w:rsidRPr="003231AF">
              <w:rPr>
                <w:i/>
                <w:iCs/>
                <w:sz w:val="16"/>
              </w:rPr>
              <w:t>2015</w:t>
            </w:r>
          </w:p>
        </w:tc>
        <w:tc>
          <w:tcPr>
            <w:tcW w:w="849" w:type="dxa"/>
            <w:shd w:val="clear" w:color="auto" w:fill="auto"/>
            <w:vAlign w:val="bottom"/>
          </w:tcPr>
          <w:p w14:paraId="4F2B4BF5" w14:textId="77777777" w:rsidR="00B92948" w:rsidRPr="003231AF" w:rsidRDefault="00B92948" w:rsidP="007D1B32">
            <w:pPr>
              <w:pStyle w:val="SingleTxtG"/>
              <w:tabs>
                <w:tab w:val="clear" w:pos="1701"/>
                <w:tab w:val="clear" w:pos="2268"/>
                <w:tab w:val="clear" w:pos="2835"/>
              </w:tabs>
              <w:spacing w:before="80" w:after="80" w:line="200" w:lineRule="exact"/>
              <w:ind w:left="113" w:right="28"/>
              <w:jc w:val="right"/>
              <w:rPr>
                <w:bCs/>
                <w:i/>
                <w:sz w:val="16"/>
              </w:rPr>
            </w:pPr>
            <w:r w:rsidRPr="003231AF">
              <w:rPr>
                <w:i/>
                <w:iCs/>
                <w:sz w:val="16"/>
              </w:rPr>
              <w:t>2016</w:t>
            </w:r>
          </w:p>
        </w:tc>
      </w:tr>
      <w:tr w:rsidR="00B92948" w:rsidRPr="003231AF" w14:paraId="67E50267" w14:textId="77777777" w:rsidTr="007D1B32">
        <w:trPr>
          <w:trHeight w:val="240"/>
        </w:trPr>
        <w:tc>
          <w:tcPr>
            <w:tcW w:w="2410" w:type="dxa"/>
            <w:shd w:val="clear" w:color="auto" w:fill="auto"/>
          </w:tcPr>
          <w:p w14:paraId="6CCB990D" w14:textId="77777777" w:rsidR="00B92948" w:rsidRPr="003231AF" w:rsidRDefault="00B92948" w:rsidP="003231AF">
            <w:pPr>
              <w:pStyle w:val="SingleTxtG"/>
              <w:tabs>
                <w:tab w:val="clear" w:pos="1701"/>
                <w:tab w:val="clear" w:pos="2268"/>
                <w:tab w:val="clear" w:pos="2835"/>
              </w:tabs>
              <w:spacing w:before="40" w:after="40" w:line="220" w:lineRule="exact"/>
              <w:ind w:left="0" w:right="0"/>
              <w:jc w:val="left"/>
              <w:rPr>
                <w:bCs/>
                <w:sz w:val="18"/>
              </w:rPr>
            </w:pPr>
            <w:r w:rsidRPr="003231AF">
              <w:rPr>
                <w:sz w:val="18"/>
              </w:rPr>
              <w:t xml:space="preserve">Cociente de mortalidad materna (por 100.000 nacidos vivos) </w:t>
            </w:r>
          </w:p>
        </w:tc>
        <w:tc>
          <w:tcPr>
            <w:tcW w:w="709" w:type="dxa"/>
            <w:shd w:val="clear" w:color="auto" w:fill="auto"/>
            <w:vAlign w:val="bottom"/>
          </w:tcPr>
          <w:p w14:paraId="59BB78F0" w14:textId="77777777" w:rsidR="00B92948" w:rsidRPr="003231AF" w:rsidRDefault="00B92948" w:rsidP="007D1B32">
            <w:pPr>
              <w:pStyle w:val="SingleTxtG"/>
              <w:tabs>
                <w:tab w:val="clear" w:pos="1701"/>
                <w:tab w:val="clear" w:pos="2268"/>
                <w:tab w:val="clear" w:pos="2835"/>
              </w:tabs>
              <w:spacing w:before="40" w:after="40" w:line="220" w:lineRule="exact"/>
              <w:ind w:left="113" w:right="28"/>
              <w:jc w:val="right"/>
              <w:rPr>
                <w:sz w:val="18"/>
              </w:rPr>
            </w:pPr>
            <w:r w:rsidRPr="003231AF">
              <w:rPr>
                <w:sz w:val="18"/>
              </w:rPr>
              <w:t>4,4</w:t>
            </w:r>
          </w:p>
        </w:tc>
        <w:tc>
          <w:tcPr>
            <w:tcW w:w="850" w:type="dxa"/>
            <w:shd w:val="clear" w:color="auto" w:fill="auto"/>
            <w:vAlign w:val="bottom"/>
          </w:tcPr>
          <w:p w14:paraId="081B7AB7" w14:textId="77777777" w:rsidR="00B92948" w:rsidRPr="003231AF" w:rsidRDefault="00B92948" w:rsidP="007D1B32">
            <w:pPr>
              <w:pStyle w:val="SingleTxtG"/>
              <w:tabs>
                <w:tab w:val="clear" w:pos="1701"/>
                <w:tab w:val="clear" w:pos="2268"/>
                <w:tab w:val="clear" w:pos="2835"/>
              </w:tabs>
              <w:spacing w:before="40" w:after="40" w:line="220" w:lineRule="exact"/>
              <w:ind w:left="113" w:right="28"/>
              <w:jc w:val="right"/>
              <w:rPr>
                <w:sz w:val="18"/>
              </w:rPr>
            </w:pPr>
            <w:r w:rsidRPr="003231AF">
              <w:rPr>
                <w:sz w:val="18"/>
              </w:rPr>
              <w:t>4,2</w:t>
            </w:r>
          </w:p>
        </w:tc>
        <w:tc>
          <w:tcPr>
            <w:tcW w:w="851" w:type="dxa"/>
            <w:shd w:val="clear" w:color="auto" w:fill="auto"/>
            <w:vAlign w:val="bottom"/>
          </w:tcPr>
          <w:p w14:paraId="213F64B2" w14:textId="77777777" w:rsidR="00B92948" w:rsidRPr="003231AF" w:rsidRDefault="00B92948" w:rsidP="007D1B32">
            <w:pPr>
              <w:pStyle w:val="SingleTxtG"/>
              <w:tabs>
                <w:tab w:val="clear" w:pos="1701"/>
                <w:tab w:val="clear" w:pos="2268"/>
                <w:tab w:val="clear" w:pos="2835"/>
              </w:tabs>
              <w:spacing w:before="40" w:after="40" w:line="220" w:lineRule="exact"/>
              <w:ind w:left="113" w:right="28"/>
              <w:jc w:val="right"/>
              <w:rPr>
                <w:sz w:val="18"/>
              </w:rPr>
            </w:pPr>
            <w:r w:rsidRPr="003231AF">
              <w:rPr>
                <w:sz w:val="18"/>
              </w:rPr>
              <w:t>4,3</w:t>
            </w:r>
          </w:p>
        </w:tc>
        <w:tc>
          <w:tcPr>
            <w:tcW w:w="850" w:type="dxa"/>
            <w:shd w:val="clear" w:color="auto" w:fill="auto"/>
            <w:vAlign w:val="bottom"/>
          </w:tcPr>
          <w:p w14:paraId="1806CC92" w14:textId="77777777" w:rsidR="00B92948" w:rsidRPr="003231AF" w:rsidRDefault="00B92948" w:rsidP="007D1B32">
            <w:pPr>
              <w:pStyle w:val="SingleTxtG"/>
              <w:tabs>
                <w:tab w:val="clear" w:pos="1701"/>
                <w:tab w:val="clear" w:pos="2268"/>
                <w:tab w:val="clear" w:pos="2835"/>
              </w:tabs>
              <w:spacing w:before="40" w:after="40" w:line="220" w:lineRule="exact"/>
              <w:ind w:left="113" w:right="28"/>
              <w:jc w:val="right"/>
              <w:rPr>
                <w:sz w:val="18"/>
              </w:rPr>
            </w:pPr>
            <w:r w:rsidRPr="003231AF">
              <w:rPr>
                <w:sz w:val="18"/>
              </w:rPr>
              <w:t>12,7</w:t>
            </w:r>
          </w:p>
        </w:tc>
        <w:tc>
          <w:tcPr>
            <w:tcW w:w="851" w:type="dxa"/>
            <w:shd w:val="clear" w:color="auto" w:fill="auto"/>
            <w:vAlign w:val="bottom"/>
          </w:tcPr>
          <w:p w14:paraId="57E2B097" w14:textId="77777777" w:rsidR="00B92948" w:rsidRPr="003231AF" w:rsidRDefault="00B92948" w:rsidP="007D1B32">
            <w:pPr>
              <w:pStyle w:val="SingleTxtG"/>
              <w:tabs>
                <w:tab w:val="clear" w:pos="1701"/>
                <w:tab w:val="clear" w:pos="2268"/>
                <w:tab w:val="clear" w:pos="2835"/>
              </w:tabs>
              <w:spacing w:before="40" w:after="40" w:line="220" w:lineRule="exact"/>
              <w:ind w:left="113" w:right="28"/>
              <w:jc w:val="right"/>
              <w:rPr>
                <w:sz w:val="18"/>
              </w:rPr>
            </w:pPr>
            <w:r w:rsidRPr="003231AF">
              <w:rPr>
                <w:sz w:val="18"/>
              </w:rPr>
              <w:t>0</w:t>
            </w:r>
          </w:p>
        </w:tc>
        <w:tc>
          <w:tcPr>
            <w:tcW w:w="849" w:type="dxa"/>
            <w:shd w:val="clear" w:color="auto" w:fill="auto"/>
            <w:vAlign w:val="bottom"/>
          </w:tcPr>
          <w:p w14:paraId="2E9D697F" w14:textId="77777777" w:rsidR="00B92948" w:rsidRPr="003231AF" w:rsidRDefault="00B92948" w:rsidP="007D1B32">
            <w:pPr>
              <w:pStyle w:val="SingleTxtG"/>
              <w:tabs>
                <w:tab w:val="clear" w:pos="1701"/>
                <w:tab w:val="clear" w:pos="2268"/>
                <w:tab w:val="clear" w:pos="2835"/>
              </w:tabs>
              <w:spacing w:before="40" w:after="40" w:line="220" w:lineRule="exact"/>
              <w:ind w:left="113" w:right="28"/>
              <w:jc w:val="right"/>
              <w:rPr>
                <w:sz w:val="18"/>
              </w:rPr>
            </w:pPr>
            <w:r w:rsidRPr="003231AF">
              <w:rPr>
                <w:sz w:val="18"/>
              </w:rPr>
              <w:t>0</w:t>
            </w:r>
          </w:p>
        </w:tc>
      </w:tr>
    </w:tbl>
    <w:p w14:paraId="579A1E61" w14:textId="77777777" w:rsidR="00B92948" w:rsidRPr="00B92948" w:rsidRDefault="00B92948" w:rsidP="0033201C">
      <w:pPr>
        <w:pStyle w:val="SingleTxtG"/>
        <w:spacing w:before="240"/>
      </w:pPr>
      <w:r w:rsidRPr="00B92948">
        <w:t>131.</w:t>
      </w:r>
      <w:r w:rsidRPr="00B92948">
        <w:tab/>
        <w:t>En 2017, en cooperación con la oficina en el país del Fondo de Población de las Naciones Unidas (</w:t>
      </w:r>
      <w:proofErr w:type="spellStart"/>
      <w:r w:rsidRPr="00B92948">
        <w:t>UNFPA</w:t>
      </w:r>
      <w:proofErr w:type="spellEnd"/>
      <w:r w:rsidRPr="00B92948">
        <w:t xml:space="preserve">), el Ministerio de Salud inició la capacitación de instructores sobre la metodología </w:t>
      </w:r>
      <w:proofErr w:type="spellStart"/>
      <w:r w:rsidRPr="00B92948">
        <w:t>Beyond</w:t>
      </w:r>
      <w:proofErr w:type="spellEnd"/>
      <w:r w:rsidRPr="00B92948">
        <w:t xml:space="preserve"> </w:t>
      </w:r>
      <w:proofErr w:type="spellStart"/>
      <w:r w:rsidRPr="00B92948">
        <w:t>the</w:t>
      </w:r>
      <w:proofErr w:type="spellEnd"/>
      <w:r w:rsidRPr="00B92948">
        <w:t xml:space="preserve"> </w:t>
      </w:r>
      <w:proofErr w:type="spellStart"/>
      <w:r w:rsidRPr="00B92948">
        <w:t>Numbers</w:t>
      </w:r>
      <w:proofErr w:type="spellEnd"/>
      <w:r w:rsidRPr="00B92948">
        <w:t xml:space="preserve"> de la Organización Mundial de la Salud (OMS), con el fin de que los ginecólogos de las maternidades pudieran examinar profesionalmente la morbilidad y la mortalidad maternas (complicaciones potencialmente mortales), cuyo objetivo final es lograr una mejora sistemática de la calidad de la atención de la salud durante el embarazo, el parto y el período posnatal.</w:t>
      </w:r>
    </w:p>
    <w:p w14:paraId="4E8C5DD5" w14:textId="77777777" w:rsidR="00B92948" w:rsidRPr="00B92948" w:rsidRDefault="00B92948" w:rsidP="00B92948">
      <w:pPr>
        <w:pStyle w:val="SingleTxtG"/>
      </w:pPr>
      <w:r w:rsidRPr="00B92948">
        <w:t>132.</w:t>
      </w:r>
      <w:r w:rsidRPr="00B92948">
        <w:tab/>
        <w:t>Se han instituido varias medidas para aumentar el acceso a la atención prenatal, en particular para los grupos vulnerables de mujeres que se enfrentan a obstáculos financieros, mediante exámenes médicos gratuitos durante el embarazo y el parto gratuito para las mujeres carentes de seguro médico, así como exenciones de copagos por servicios de salud para las mujeres embarazadas que tienen seguro médico. Esta medida facilita</w:t>
      </w:r>
      <w:r w:rsidR="00950538">
        <w:t xml:space="preserve"> </w:t>
      </w:r>
      <w:r w:rsidRPr="00B92948">
        <w:t>el acceso de los grupos vulnerables de mujeres, incluidas las mujeres romaníes, a estos servicios.</w:t>
      </w:r>
    </w:p>
    <w:p w14:paraId="79F8921C" w14:textId="77777777" w:rsidR="00B92948" w:rsidRPr="00B92948" w:rsidRDefault="00B92948" w:rsidP="00B92948">
      <w:pPr>
        <w:pStyle w:val="SingleTxtG"/>
      </w:pPr>
      <w:r w:rsidRPr="00B92948">
        <w:t>133.</w:t>
      </w:r>
      <w:r w:rsidRPr="00B92948">
        <w:tab/>
        <w:t>Se ha elaborado un gran número de directrices clínicas relacionadas con esta cuestión, como la Guía Clínica para la Detección Precoz de Embarazos de Riesgo y las Directrices para el Tratamiento de la Hemorragia Posparto.</w:t>
      </w:r>
    </w:p>
    <w:p w14:paraId="500A454A" w14:textId="77777777" w:rsidR="00B92948" w:rsidRPr="00B92948" w:rsidRDefault="00B92948" w:rsidP="00B92948">
      <w:pPr>
        <w:pStyle w:val="SingleTxtG"/>
      </w:pPr>
      <w:r w:rsidRPr="00B92948">
        <w:t>134.</w:t>
      </w:r>
      <w:r w:rsidRPr="00B92948">
        <w:tab/>
        <w:t>Se está elaborando un registro electrónico personal de maternidad que servirá de enlace entre los ginecólogos de atención primaria de salud y los que trabajan en las maternidades. También se ha elaborado material de información para las mujeres embarazadas con el fin de concienciarlas sobre la necesidad de consultar al ginecólogo y sobre la atención prenatal, y se ofrecen directrices clínicas, entre otras cosas, sobre planificación familiar, atención prenatal, atención durante el parto y en el posparto, atención de la salud de los recién nacidos, atención ginecológica, esterilidad, aborto seguro y lactancia materna.</w:t>
      </w:r>
    </w:p>
    <w:p w14:paraId="3511114F" w14:textId="77777777" w:rsidR="00B92948" w:rsidRPr="00B92948" w:rsidRDefault="00B92948" w:rsidP="00B92948">
      <w:pPr>
        <w:pStyle w:val="SingleTxtG"/>
      </w:pPr>
      <w:r w:rsidRPr="00B92948">
        <w:t>135.</w:t>
      </w:r>
      <w:r w:rsidRPr="00B92948">
        <w:tab/>
        <w:t>A fin de abordar el problema del aumento de la mortalidad neonatal en el país, el</w:t>
      </w:r>
      <w:r w:rsidR="00F84A5C">
        <w:t> </w:t>
      </w:r>
      <w:r w:rsidRPr="00B92948">
        <w:t xml:space="preserve">UNICEF ha venido elaborando una metodología para examinar todas las muertes de recién nacidos y preparando material que se utilizará para la capacitación de 20 representantes del </w:t>
      </w:r>
      <w:r w:rsidRPr="00B92948">
        <w:lastRenderedPageBreak/>
        <w:t xml:space="preserve">Órgano Nacional de Examen de la Mortalidad Neonatal que establecerá el Ministerio de Salud. </w:t>
      </w:r>
    </w:p>
    <w:p w14:paraId="6AD1CCFA" w14:textId="77777777" w:rsidR="00B92948" w:rsidRPr="00B92948" w:rsidRDefault="00B92948" w:rsidP="00B92948">
      <w:pPr>
        <w:pStyle w:val="SingleTxtG"/>
      </w:pPr>
      <w:r w:rsidRPr="00B92948">
        <w:t>136.</w:t>
      </w:r>
      <w:r w:rsidRPr="00B92948">
        <w:tab/>
        <w:t xml:space="preserve">En colaboración con el Comité de Maternidad sin Riesgo, el UNICEF ha venido elaborando directrices para el transporte perinatal, así como normas para la protección y el control del transporte de recién nacidos a fin de evitar las causas prevenibles de su mortalidad. </w:t>
      </w:r>
    </w:p>
    <w:p w14:paraId="0DB18564" w14:textId="77777777" w:rsidR="00B92948" w:rsidRPr="00B92948" w:rsidRDefault="0033201C" w:rsidP="0033201C">
      <w:pPr>
        <w:pStyle w:val="H23G"/>
      </w:pPr>
      <w:r>
        <w:tab/>
      </w:r>
      <w:r w:rsidR="00B92948" w:rsidRPr="00B92948">
        <w:tab/>
        <w:t>Lactancia materna</w:t>
      </w:r>
      <w:bookmarkStart w:id="48" w:name="_Toc56781450"/>
      <w:bookmarkEnd w:id="48"/>
    </w:p>
    <w:p w14:paraId="6E56F676" w14:textId="77777777" w:rsidR="00B92948" w:rsidRPr="00B92948" w:rsidRDefault="00B92948" w:rsidP="00B92948">
      <w:pPr>
        <w:pStyle w:val="SingleTxtG"/>
      </w:pPr>
      <w:r w:rsidRPr="00B92948">
        <w:t>137.</w:t>
      </w:r>
      <w:r w:rsidRPr="00B92948">
        <w:tab/>
        <w:t>El 90</w:t>
      </w:r>
      <w:r w:rsidR="000C0C75">
        <w:t> %</w:t>
      </w:r>
      <w:r w:rsidRPr="00B92948">
        <w:t xml:space="preserve"> de las madres amamantan a sus hijos durante el primer mes de vida del niño. Según los datos reunidos en una encuesta de una muestra representativa realizada por el UNICEF en 2011, el 41</w:t>
      </w:r>
      <w:r w:rsidR="000C0C75">
        <w:t> %</w:t>
      </w:r>
      <w:r w:rsidRPr="00B92948">
        <w:t xml:space="preserve"> de las madres dan de mamar a sus hijos como principal forma de alimentación (añadiendo agua, té o zumo a la dieta del recién nacido), mientras que el 23</w:t>
      </w:r>
      <w:r w:rsidR="000C0C75">
        <w:t> %</w:t>
      </w:r>
      <w:r w:rsidRPr="00B92948">
        <w:t xml:space="preserve"> de las madres eligen la lactancia materna exclusiva (solo leche materna).</w:t>
      </w:r>
    </w:p>
    <w:p w14:paraId="193A025C" w14:textId="77777777" w:rsidR="00B92948" w:rsidRPr="00624630" w:rsidRDefault="0033201C" w:rsidP="0033201C">
      <w:pPr>
        <w:pStyle w:val="H23G"/>
      </w:pPr>
      <w:r w:rsidRPr="0033201C">
        <w:rPr>
          <w:b w:val="0"/>
          <w:bCs/>
        </w:rPr>
        <w:tab/>
      </w:r>
      <w:r w:rsidR="00B92948" w:rsidRPr="0033201C">
        <w:rPr>
          <w:b w:val="0"/>
          <w:bCs/>
        </w:rPr>
        <w:tab/>
        <w:t>Cuadro 5</w:t>
      </w:r>
      <w:r w:rsidRPr="0033201C">
        <w:rPr>
          <w:b w:val="0"/>
          <w:bCs/>
        </w:rPr>
        <w:br/>
      </w:r>
      <w:r w:rsidR="00B92948" w:rsidRPr="00B92948">
        <w:tab/>
        <w:t>Tasa de lactancia materna (exclusiva, como principal forma de alimentación y duración media de la lactancia)</w:t>
      </w:r>
      <w:r w:rsidR="00B92948" w:rsidRPr="0033201C">
        <w:rPr>
          <w:rStyle w:val="Refdenotaalpie"/>
          <w:b w:val="0"/>
          <w:bCs/>
        </w:rPr>
        <w:footnoteReference w:id="34"/>
      </w:r>
      <w:bookmarkStart w:id="49" w:name="_Toc56781451"/>
      <w:bookmarkEnd w:id="49"/>
    </w:p>
    <w:tbl>
      <w:tblPr>
        <w:tblW w:w="7370" w:type="dxa"/>
        <w:tblInd w:w="1134" w:type="dxa"/>
        <w:tblBorders>
          <w:top w:val="single" w:sz="4" w:space="0" w:color="auto"/>
        </w:tblBorders>
        <w:tblCellMar>
          <w:left w:w="0" w:type="dxa"/>
          <w:right w:w="0" w:type="dxa"/>
        </w:tblCellMar>
        <w:tblLook w:val="00A0" w:firstRow="1" w:lastRow="0" w:firstColumn="1" w:lastColumn="0" w:noHBand="0" w:noVBand="0"/>
      </w:tblPr>
      <w:tblGrid>
        <w:gridCol w:w="6115"/>
        <w:gridCol w:w="1255"/>
      </w:tblGrid>
      <w:tr w:rsidR="00B92948" w:rsidRPr="003231AF" w14:paraId="74BABFF4" w14:textId="77777777" w:rsidTr="003231AF">
        <w:trPr>
          <w:trHeight w:val="240"/>
          <w:tblHeader/>
        </w:trPr>
        <w:tc>
          <w:tcPr>
            <w:tcW w:w="6115" w:type="dxa"/>
            <w:tcBorders>
              <w:top w:val="single" w:sz="4" w:space="0" w:color="auto"/>
              <w:bottom w:val="single" w:sz="12" w:space="0" w:color="auto"/>
            </w:tcBorders>
            <w:shd w:val="clear" w:color="auto" w:fill="auto"/>
            <w:vAlign w:val="bottom"/>
          </w:tcPr>
          <w:p w14:paraId="61792FB4" w14:textId="77777777" w:rsidR="00B92948" w:rsidRPr="003231AF" w:rsidRDefault="00B92948" w:rsidP="003231AF">
            <w:pPr>
              <w:pStyle w:val="SingleTxtG"/>
              <w:tabs>
                <w:tab w:val="clear" w:pos="1701"/>
                <w:tab w:val="clear" w:pos="2268"/>
                <w:tab w:val="clear" w:pos="2835"/>
              </w:tabs>
              <w:spacing w:before="80" w:after="80" w:line="200" w:lineRule="exact"/>
              <w:ind w:left="0" w:right="0"/>
              <w:jc w:val="left"/>
              <w:rPr>
                <w:bCs/>
                <w:i/>
                <w:sz w:val="16"/>
              </w:rPr>
            </w:pPr>
            <w:r w:rsidRPr="003231AF">
              <w:rPr>
                <w:i/>
                <w:iCs/>
                <w:sz w:val="16"/>
              </w:rPr>
              <w:t>Indicador</w:t>
            </w:r>
          </w:p>
        </w:tc>
        <w:tc>
          <w:tcPr>
            <w:tcW w:w="1255" w:type="dxa"/>
            <w:tcBorders>
              <w:top w:val="single" w:sz="4" w:space="0" w:color="auto"/>
              <w:bottom w:val="single" w:sz="12" w:space="0" w:color="auto"/>
            </w:tcBorders>
            <w:shd w:val="clear" w:color="auto" w:fill="auto"/>
            <w:vAlign w:val="bottom"/>
          </w:tcPr>
          <w:p w14:paraId="0127F3A5" w14:textId="77777777" w:rsidR="00B92948" w:rsidRPr="003231AF" w:rsidRDefault="00B92948" w:rsidP="007D1B32">
            <w:pPr>
              <w:pStyle w:val="SingleTxtG"/>
              <w:tabs>
                <w:tab w:val="clear" w:pos="1701"/>
                <w:tab w:val="clear" w:pos="2268"/>
                <w:tab w:val="clear" w:pos="2835"/>
              </w:tabs>
              <w:spacing w:before="80" w:after="80" w:line="200" w:lineRule="exact"/>
              <w:ind w:left="113" w:right="28"/>
              <w:jc w:val="right"/>
              <w:rPr>
                <w:bCs/>
                <w:i/>
                <w:sz w:val="16"/>
              </w:rPr>
            </w:pPr>
            <w:r w:rsidRPr="003231AF">
              <w:rPr>
                <w:i/>
                <w:iCs/>
                <w:sz w:val="16"/>
              </w:rPr>
              <w:t>2011</w:t>
            </w:r>
          </w:p>
        </w:tc>
      </w:tr>
      <w:tr w:rsidR="00B92948" w:rsidRPr="003231AF" w14:paraId="309A4500" w14:textId="77777777" w:rsidTr="003231AF">
        <w:trPr>
          <w:trHeight w:val="240"/>
        </w:trPr>
        <w:tc>
          <w:tcPr>
            <w:tcW w:w="6115" w:type="dxa"/>
            <w:tcBorders>
              <w:top w:val="single" w:sz="12" w:space="0" w:color="auto"/>
            </w:tcBorders>
            <w:shd w:val="clear" w:color="auto" w:fill="auto"/>
          </w:tcPr>
          <w:p w14:paraId="3B62EAA1" w14:textId="77777777" w:rsidR="00B92948" w:rsidRPr="003231AF" w:rsidRDefault="00B92948" w:rsidP="003231AF">
            <w:pPr>
              <w:pStyle w:val="SingleTxtG"/>
              <w:tabs>
                <w:tab w:val="clear" w:pos="1701"/>
                <w:tab w:val="clear" w:pos="2268"/>
                <w:tab w:val="clear" w:pos="2835"/>
              </w:tabs>
              <w:spacing w:before="40" w:after="40" w:line="220" w:lineRule="exact"/>
              <w:ind w:left="0" w:right="0"/>
              <w:jc w:val="left"/>
              <w:rPr>
                <w:bCs/>
                <w:sz w:val="18"/>
              </w:rPr>
            </w:pPr>
            <w:r w:rsidRPr="003231AF">
              <w:rPr>
                <w:sz w:val="18"/>
              </w:rPr>
              <w:t>Tasa de lactancia materna exclusiva durante los primeros seis meses desde el parto</w:t>
            </w:r>
            <w:r w:rsidR="00624630">
              <w:rPr>
                <w:sz w:val="18"/>
              </w:rPr>
              <w:t xml:space="preserve"> (porcentaje)</w:t>
            </w:r>
          </w:p>
        </w:tc>
        <w:tc>
          <w:tcPr>
            <w:tcW w:w="1255" w:type="dxa"/>
            <w:tcBorders>
              <w:top w:val="single" w:sz="12" w:space="0" w:color="auto"/>
            </w:tcBorders>
            <w:shd w:val="clear" w:color="auto" w:fill="auto"/>
            <w:vAlign w:val="bottom"/>
          </w:tcPr>
          <w:p w14:paraId="5CCFF296" w14:textId="77777777" w:rsidR="00B92948" w:rsidRPr="003231AF" w:rsidRDefault="00B92948" w:rsidP="007D1B32">
            <w:pPr>
              <w:pStyle w:val="SingleTxtG"/>
              <w:tabs>
                <w:tab w:val="clear" w:pos="1701"/>
                <w:tab w:val="clear" w:pos="2268"/>
                <w:tab w:val="clear" w:pos="2835"/>
              </w:tabs>
              <w:spacing w:before="40" w:after="40" w:line="220" w:lineRule="exact"/>
              <w:ind w:left="113" w:right="28"/>
              <w:jc w:val="right"/>
              <w:rPr>
                <w:sz w:val="18"/>
              </w:rPr>
            </w:pPr>
            <w:r w:rsidRPr="003231AF">
              <w:rPr>
                <w:sz w:val="18"/>
              </w:rPr>
              <w:t>23</w:t>
            </w:r>
          </w:p>
        </w:tc>
      </w:tr>
      <w:tr w:rsidR="00B92948" w:rsidRPr="003231AF" w14:paraId="4B79BD4E" w14:textId="77777777" w:rsidTr="003231AF">
        <w:trPr>
          <w:trHeight w:val="240"/>
        </w:trPr>
        <w:tc>
          <w:tcPr>
            <w:tcW w:w="6115" w:type="dxa"/>
            <w:shd w:val="clear" w:color="auto" w:fill="auto"/>
          </w:tcPr>
          <w:p w14:paraId="2955E90B" w14:textId="77777777" w:rsidR="00B92948" w:rsidRPr="003231AF" w:rsidRDefault="00B92948" w:rsidP="003231AF">
            <w:pPr>
              <w:pStyle w:val="SingleTxtG"/>
              <w:tabs>
                <w:tab w:val="clear" w:pos="1701"/>
                <w:tab w:val="clear" w:pos="2268"/>
                <w:tab w:val="clear" w:pos="2835"/>
              </w:tabs>
              <w:spacing w:before="40" w:after="40" w:line="220" w:lineRule="exact"/>
              <w:ind w:left="0" w:right="0"/>
              <w:jc w:val="left"/>
              <w:rPr>
                <w:sz w:val="18"/>
              </w:rPr>
            </w:pPr>
            <w:r w:rsidRPr="003231AF">
              <w:rPr>
                <w:sz w:val="18"/>
              </w:rPr>
              <w:t>Tasa de lactancia materna como principal forma de alimentación</w:t>
            </w:r>
            <w:r w:rsidR="00624630">
              <w:rPr>
                <w:sz w:val="18"/>
              </w:rPr>
              <w:t xml:space="preserve"> (porcentaje)</w:t>
            </w:r>
          </w:p>
        </w:tc>
        <w:tc>
          <w:tcPr>
            <w:tcW w:w="1255" w:type="dxa"/>
            <w:shd w:val="clear" w:color="auto" w:fill="auto"/>
            <w:vAlign w:val="bottom"/>
          </w:tcPr>
          <w:p w14:paraId="5FDA0EE1" w14:textId="77777777" w:rsidR="00B92948" w:rsidRPr="003231AF" w:rsidRDefault="00B92948" w:rsidP="007D1B32">
            <w:pPr>
              <w:pStyle w:val="SingleTxtG"/>
              <w:tabs>
                <w:tab w:val="clear" w:pos="1701"/>
                <w:tab w:val="clear" w:pos="2268"/>
                <w:tab w:val="clear" w:pos="2835"/>
              </w:tabs>
              <w:spacing w:before="40" w:after="40" w:line="220" w:lineRule="exact"/>
              <w:ind w:left="113" w:right="28"/>
              <w:jc w:val="right"/>
              <w:rPr>
                <w:sz w:val="18"/>
              </w:rPr>
            </w:pPr>
            <w:r w:rsidRPr="003231AF">
              <w:rPr>
                <w:sz w:val="18"/>
              </w:rPr>
              <w:t>44,1</w:t>
            </w:r>
          </w:p>
        </w:tc>
      </w:tr>
      <w:tr w:rsidR="00B92948" w:rsidRPr="003231AF" w14:paraId="25E7FC4C" w14:textId="77777777" w:rsidTr="003231AF">
        <w:trPr>
          <w:trHeight w:val="240"/>
        </w:trPr>
        <w:tc>
          <w:tcPr>
            <w:tcW w:w="6115" w:type="dxa"/>
            <w:tcBorders>
              <w:bottom w:val="single" w:sz="12" w:space="0" w:color="auto"/>
            </w:tcBorders>
            <w:shd w:val="clear" w:color="auto" w:fill="auto"/>
          </w:tcPr>
          <w:p w14:paraId="186044F0" w14:textId="77777777" w:rsidR="00B92948" w:rsidRPr="003231AF" w:rsidRDefault="00B92948" w:rsidP="003231AF">
            <w:pPr>
              <w:pStyle w:val="SingleTxtG"/>
              <w:tabs>
                <w:tab w:val="clear" w:pos="1701"/>
                <w:tab w:val="clear" w:pos="2268"/>
                <w:tab w:val="clear" w:pos="2835"/>
              </w:tabs>
              <w:spacing w:before="40" w:after="40" w:line="220" w:lineRule="exact"/>
              <w:ind w:left="0" w:right="0"/>
              <w:jc w:val="left"/>
              <w:rPr>
                <w:sz w:val="18"/>
              </w:rPr>
            </w:pPr>
            <w:r w:rsidRPr="003231AF">
              <w:rPr>
                <w:sz w:val="18"/>
              </w:rPr>
              <w:t xml:space="preserve">Duración media de la lactancia materna (todos los tipos) </w:t>
            </w:r>
            <w:r w:rsidR="00F84A5C">
              <w:rPr>
                <w:sz w:val="18"/>
              </w:rPr>
              <w:t>(meses)</w:t>
            </w:r>
          </w:p>
        </w:tc>
        <w:tc>
          <w:tcPr>
            <w:tcW w:w="1255" w:type="dxa"/>
            <w:tcBorders>
              <w:bottom w:val="single" w:sz="12" w:space="0" w:color="auto"/>
            </w:tcBorders>
            <w:shd w:val="clear" w:color="auto" w:fill="auto"/>
            <w:vAlign w:val="bottom"/>
          </w:tcPr>
          <w:p w14:paraId="4041585F" w14:textId="77777777" w:rsidR="00B92948" w:rsidRPr="003231AF" w:rsidRDefault="00B92948" w:rsidP="007D1B32">
            <w:pPr>
              <w:pStyle w:val="SingleTxtG"/>
              <w:tabs>
                <w:tab w:val="clear" w:pos="1701"/>
                <w:tab w:val="clear" w:pos="2268"/>
                <w:tab w:val="clear" w:pos="2835"/>
              </w:tabs>
              <w:spacing w:before="40" w:after="40" w:line="220" w:lineRule="exact"/>
              <w:ind w:left="113" w:right="28"/>
              <w:jc w:val="right"/>
              <w:rPr>
                <w:sz w:val="18"/>
              </w:rPr>
            </w:pPr>
            <w:r w:rsidRPr="003231AF">
              <w:rPr>
                <w:sz w:val="18"/>
              </w:rPr>
              <w:t>12,1</w:t>
            </w:r>
          </w:p>
        </w:tc>
      </w:tr>
    </w:tbl>
    <w:p w14:paraId="4FC6A389" w14:textId="77777777" w:rsidR="00B92948" w:rsidRPr="00B92948" w:rsidRDefault="00B92948" w:rsidP="0033201C">
      <w:pPr>
        <w:pStyle w:val="SingleTxtG"/>
        <w:spacing w:before="240"/>
      </w:pPr>
      <w:r w:rsidRPr="00B92948">
        <w:t>138.</w:t>
      </w:r>
      <w:r w:rsidRPr="00B92948">
        <w:tab/>
        <w:t xml:space="preserve">El órgano nacional encargado de coordinar las actividades encaminadas a promover la lactancia materna es la Comisión de Promoción y Apoyo de la Lactancia Materna. Además, se están llevando a cabo actividades en el marco del Programa de Atención Sanitaria Activa a Madres y Niños, del Ministerio de Salud con el fin de promover y proteger la lactancia materna, capacitar a los trabajadores de la salud, organizar actividades para conmemorar la Semana Mundial de la Lactancia Materna y preparar material informativo (folleto sobre la lactancia materna para progenitores). </w:t>
      </w:r>
    </w:p>
    <w:p w14:paraId="127C93E4" w14:textId="77777777" w:rsidR="00B92948" w:rsidRPr="00B92948" w:rsidRDefault="00B92948" w:rsidP="00B92948">
      <w:pPr>
        <w:pStyle w:val="SingleTxtG"/>
      </w:pPr>
      <w:r w:rsidRPr="00B92948">
        <w:t>139.</w:t>
      </w:r>
      <w:r w:rsidRPr="00B92948">
        <w:tab/>
        <w:t>La legislación vigente sobre maternidad favorece la lactancia materna tanto en lo que respecta a la duración de la licencia de maternidad como al derecho a la lactancia que garantiza a las madres que trabajan (regulado en la Ley de Relaciones Laborales). El Reglamento sobre Requisitos Mínimos de Salud y Seguridad en el Lugar de Trabajo relativo a las trabajadoras embarazadas, las que han dado luz recientemente o están amamantando también se aplica a las madres lactantes que trabajan, y proporciona una lista de factores y condiciones de trabajo perjudiciales a los que no deberían ni deben exponerse.</w:t>
      </w:r>
    </w:p>
    <w:p w14:paraId="5042527E" w14:textId="77777777" w:rsidR="00B92948" w:rsidRPr="00B92948" w:rsidRDefault="00B92948" w:rsidP="00B92948">
      <w:pPr>
        <w:pStyle w:val="SingleTxtG"/>
      </w:pPr>
      <w:r w:rsidRPr="00B92948">
        <w:t>140.</w:t>
      </w:r>
      <w:r w:rsidRPr="00B92948">
        <w:tab/>
        <w:t>Además, se ha preparado el Plan de Acción para la Promoción de la Lactancia Materna 2018-2020 con el fin de promover la salud de los lactantes, los niños pequeños y las madres, que establece las condiciones óptimas para iniciar y mantener la lactancia materna. También se han elaborado Procedimientos Administrativos Estratégicos sobre la Lactancia Materna y la Alimentación de Lactantes y Niños Pequeños en Situaciones de Crisis (2016) y los profesionales de la salud han recibido capacitación sobre su aplicación práctica.</w:t>
      </w:r>
      <w:bookmarkStart w:id="50" w:name="_Hlk56690414"/>
      <w:bookmarkEnd w:id="50"/>
    </w:p>
    <w:p w14:paraId="1B637C40" w14:textId="77777777" w:rsidR="00B92948" w:rsidRPr="00B92948" w:rsidRDefault="00B92948" w:rsidP="00624630">
      <w:pPr>
        <w:pStyle w:val="H23G"/>
      </w:pPr>
      <w:r w:rsidRPr="00B92948">
        <w:tab/>
        <w:t>b)</w:t>
      </w:r>
      <w:r w:rsidRPr="00B92948">
        <w:tab/>
        <w:t xml:space="preserve">Medidas para atender los problemas de salud más frecuentes, promover la salud </w:t>
      </w:r>
      <w:r w:rsidR="00624630">
        <w:br/>
      </w:r>
      <w:r w:rsidRPr="00B92948">
        <w:t>y el bienestar físicos y mentales de los niños y prevenir y tratar las enfermedades transmisibles y no transmisibles</w:t>
      </w:r>
      <w:bookmarkStart w:id="51" w:name="_Toc56781452"/>
      <w:bookmarkEnd w:id="51"/>
    </w:p>
    <w:p w14:paraId="52A259DF" w14:textId="77777777" w:rsidR="00B92948" w:rsidRPr="00B92948" w:rsidRDefault="00B92948" w:rsidP="00B92948">
      <w:pPr>
        <w:pStyle w:val="SingleTxtG"/>
      </w:pPr>
      <w:r w:rsidRPr="00B92948">
        <w:t>141.</w:t>
      </w:r>
      <w:r w:rsidRPr="00B92948">
        <w:tab/>
        <w:t>Según la última estimación demográfica</w:t>
      </w:r>
      <w:r w:rsidRPr="00B92948">
        <w:rPr>
          <w:rStyle w:val="Refdenotaalpie"/>
        </w:rPr>
        <w:footnoteReference w:id="35"/>
      </w:r>
      <w:r w:rsidRPr="00B92948">
        <w:t>, el 21,6</w:t>
      </w:r>
      <w:r w:rsidR="000C0C75">
        <w:t> %</w:t>
      </w:r>
      <w:r w:rsidRPr="00B92948">
        <w:t xml:space="preserve"> de la población total estaba compuesta por niños de 0 a 18 años, de los cuales el 7,8</w:t>
      </w:r>
      <w:r w:rsidR="000C0C75">
        <w:t> %</w:t>
      </w:r>
      <w:r w:rsidRPr="00B92948">
        <w:t xml:space="preserve"> tenía entre 0 y 6 años. Los servicios de atención sanitaria preventiva destinados a mejorar la salud de los niños de 0 a 6 años se han centrado en el seguimiento de su crecimiento y desarrollo, así como en su protección contra las enfermedades transmisibles, todo ello ejecutado por equipos preventivos y de </w:t>
      </w:r>
      <w:r w:rsidRPr="00B92948">
        <w:lastRenderedPageBreak/>
        <w:t>apoyo a la familia encargados de la promoción de la salud con la ayuda del servicio público de enfermería. La atención sanitaria y el tratamiento de los niños enfermos están a cargo de médicos y pediatras de atención primaria de la salud.</w:t>
      </w:r>
    </w:p>
    <w:p w14:paraId="395EA9D0" w14:textId="77777777" w:rsidR="00B92948" w:rsidRPr="00624630" w:rsidRDefault="00624630" w:rsidP="00624630">
      <w:pPr>
        <w:pStyle w:val="H23G"/>
      </w:pPr>
      <w:r w:rsidRPr="00624630">
        <w:rPr>
          <w:b w:val="0"/>
          <w:bCs/>
        </w:rPr>
        <w:tab/>
      </w:r>
      <w:r w:rsidR="00B92948" w:rsidRPr="00624630">
        <w:rPr>
          <w:b w:val="0"/>
          <w:bCs/>
        </w:rPr>
        <w:tab/>
        <w:t>Cuadro 6</w:t>
      </w:r>
      <w:r w:rsidRPr="00624630">
        <w:rPr>
          <w:b w:val="0"/>
          <w:bCs/>
        </w:rPr>
        <w:br/>
      </w:r>
      <w:r w:rsidR="00B92948" w:rsidRPr="00B92948">
        <w:tab/>
        <w:t xml:space="preserve">Tasas de mortalidad de lactantes y de niños de hasta 5 </w:t>
      </w:r>
      <w:proofErr w:type="gramStart"/>
      <w:r w:rsidR="00B92948" w:rsidRPr="00B92948">
        <w:t>años de edad</w:t>
      </w:r>
      <w:proofErr w:type="gramEnd"/>
      <w:r w:rsidR="00B92948" w:rsidRPr="00B92948">
        <w:t xml:space="preserve"> </w:t>
      </w:r>
      <w:r>
        <w:br/>
      </w:r>
      <w:r w:rsidR="00B92948" w:rsidRPr="00B92948">
        <w:t>(por cada 1.000 nacidos vivos) (2011-2016)</w:t>
      </w:r>
      <w:r w:rsidR="00B92948" w:rsidRPr="00624630">
        <w:rPr>
          <w:rStyle w:val="Refdenotaalpie"/>
          <w:b w:val="0"/>
          <w:bCs/>
        </w:rPr>
        <w:footnoteReference w:id="36"/>
      </w:r>
      <w:bookmarkStart w:id="52" w:name="_Toc56781453"/>
      <w:bookmarkEnd w:id="52"/>
    </w:p>
    <w:tbl>
      <w:tblPr>
        <w:tblW w:w="7370" w:type="dxa"/>
        <w:tblInd w:w="1134" w:type="dxa"/>
        <w:tblBorders>
          <w:top w:val="single" w:sz="4" w:space="0" w:color="auto"/>
        </w:tblBorders>
        <w:tblCellMar>
          <w:left w:w="0" w:type="dxa"/>
          <w:right w:w="0" w:type="dxa"/>
        </w:tblCellMar>
        <w:tblLook w:val="00A0" w:firstRow="1" w:lastRow="0" w:firstColumn="1" w:lastColumn="0" w:noHBand="0" w:noVBand="0"/>
      </w:tblPr>
      <w:tblGrid>
        <w:gridCol w:w="3261"/>
        <w:gridCol w:w="684"/>
        <w:gridCol w:w="685"/>
        <w:gridCol w:w="685"/>
        <w:gridCol w:w="685"/>
        <w:gridCol w:w="685"/>
        <w:gridCol w:w="685"/>
      </w:tblGrid>
      <w:tr w:rsidR="00B92948" w:rsidRPr="003231AF" w14:paraId="0D3B2F48" w14:textId="77777777" w:rsidTr="007D1B32">
        <w:trPr>
          <w:trHeight w:val="240"/>
          <w:tblHeader/>
        </w:trPr>
        <w:tc>
          <w:tcPr>
            <w:tcW w:w="3261" w:type="dxa"/>
            <w:tcBorders>
              <w:top w:val="single" w:sz="4" w:space="0" w:color="auto"/>
              <w:bottom w:val="single" w:sz="12" w:space="0" w:color="auto"/>
            </w:tcBorders>
            <w:shd w:val="clear" w:color="auto" w:fill="auto"/>
            <w:vAlign w:val="bottom"/>
          </w:tcPr>
          <w:p w14:paraId="7FA55651" w14:textId="77777777" w:rsidR="00B92948" w:rsidRPr="003231AF" w:rsidRDefault="00B92948" w:rsidP="003231AF">
            <w:pPr>
              <w:pStyle w:val="SingleTxtG"/>
              <w:tabs>
                <w:tab w:val="clear" w:pos="1701"/>
                <w:tab w:val="clear" w:pos="2268"/>
                <w:tab w:val="clear" w:pos="2835"/>
              </w:tabs>
              <w:spacing w:before="80" w:after="80" w:line="200" w:lineRule="exact"/>
              <w:ind w:left="0" w:right="0"/>
              <w:jc w:val="left"/>
              <w:rPr>
                <w:bCs/>
                <w:i/>
                <w:sz w:val="16"/>
              </w:rPr>
            </w:pPr>
            <w:r w:rsidRPr="003231AF">
              <w:rPr>
                <w:i/>
                <w:iCs/>
                <w:sz w:val="16"/>
              </w:rPr>
              <w:t>Indicador</w:t>
            </w:r>
          </w:p>
        </w:tc>
        <w:tc>
          <w:tcPr>
            <w:tcW w:w="684" w:type="dxa"/>
            <w:tcBorders>
              <w:top w:val="single" w:sz="4" w:space="0" w:color="auto"/>
              <w:bottom w:val="single" w:sz="12" w:space="0" w:color="auto"/>
            </w:tcBorders>
            <w:shd w:val="clear" w:color="auto" w:fill="auto"/>
            <w:vAlign w:val="bottom"/>
          </w:tcPr>
          <w:p w14:paraId="04ED65C1" w14:textId="77777777" w:rsidR="00B92948" w:rsidRPr="003231AF" w:rsidRDefault="00B92948" w:rsidP="007D1B32">
            <w:pPr>
              <w:pStyle w:val="SingleTxtG"/>
              <w:tabs>
                <w:tab w:val="clear" w:pos="1701"/>
                <w:tab w:val="clear" w:pos="2268"/>
                <w:tab w:val="clear" w:pos="2835"/>
              </w:tabs>
              <w:spacing w:before="80" w:after="80" w:line="200" w:lineRule="exact"/>
              <w:ind w:left="113" w:right="28"/>
              <w:jc w:val="right"/>
              <w:rPr>
                <w:bCs/>
                <w:i/>
                <w:sz w:val="16"/>
              </w:rPr>
            </w:pPr>
            <w:r w:rsidRPr="003231AF">
              <w:rPr>
                <w:i/>
                <w:iCs/>
                <w:sz w:val="16"/>
              </w:rPr>
              <w:t>2011</w:t>
            </w:r>
          </w:p>
        </w:tc>
        <w:tc>
          <w:tcPr>
            <w:tcW w:w="685" w:type="dxa"/>
            <w:tcBorders>
              <w:top w:val="single" w:sz="4" w:space="0" w:color="auto"/>
              <w:bottom w:val="single" w:sz="12" w:space="0" w:color="auto"/>
            </w:tcBorders>
            <w:shd w:val="clear" w:color="auto" w:fill="auto"/>
            <w:vAlign w:val="bottom"/>
          </w:tcPr>
          <w:p w14:paraId="22654833" w14:textId="77777777" w:rsidR="00B92948" w:rsidRPr="003231AF" w:rsidRDefault="00B92948" w:rsidP="007D1B32">
            <w:pPr>
              <w:pStyle w:val="SingleTxtG"/>
              <w:tabs>
                <w:tab w:val="clear" w:pos="1701"/>
                <w:tab w:val="clear" w:pos="2268"/>
                <w:tab w:val="clear" w:pos="2835"/>
              </w:tabs>
              <w:spacing w:before="80" w:after="80" w:line="200" w:lineRule="exact"/>
              <w:ind w:left="113" w:right="28"/>
              <w:jc w:val="right"/>
              <w:rPr>
                <w:bCs/>
                <w:i/>
                <w:sz w:val="16"/>
              </w:rPr>
            </w:pPr>
            <w:r w:rsidRPr="003231AF">
              <w:rPr>
                <w:i/>
                <w:iCs/>
                <w:sz w:val="16"/>
              </w:rPr>
              <w:t>2012</w:t>
            </w:r>
          </w:p>
        </w:tc>
        <w:tc>
          <w:tcPr>
            <w:tcW w:w="685" w:type="dxa"/>
            <w:tcBorders>
              <w:top w:val="single" w:sz="4" w:space="0" w:color="auto"/>
              <w:bottom w:val="single" w:sz="12" w:space="0" w:color="auto"/>
            </w:tcBorders>
            <w:shd w:val="clear" w:color="auto" w:fill="auto"/>
            <w:vAlign w:val="bottom"/>
          </w:tcPr>
          <w:p w14:paraId="228F9104" w14:textId="77777777" w:rsidR="00B92948" w:rsidRPr="003231AF" w:rsidRDefault="00B92948" w:rsidP="007D1B32">
            <w:pPr>
              <w:pStyle w:val="SingleTxtG"/>
              <w:tabs>
                <w:tab w:val="clear" w:pos="1701"/>
                <w:tab w:val="clear" w:pos="2268"/>
                <w:tab w:val="clear" w:pos="2835"/>
              </w:tabs>
              <w:spacing w:before="80" w:after="80" w:line="200" w:lineRule="exact"/>
              <w:ind w:left="113" w:right="28"/>
              <w:jc w:val="right"/>
              <w:rPr>
                <w:bCs/>
                <w:i/>
                <w:sz w:val="16"/>
              </w:rPr>
            </w:pPr>
            <w:r w:rsidRPr="003231AF">
              <w:rPr>
                <w:i/>
                <w:iCs/>
                <w:sz w:val="16"/>
              </w:rPr>
              <w:t>2013</w:t>
            </w:r>
          </w:p>
        </w:tc>
        <w:tc>
          <w:tcPr>
            <w:tcW w:w="685" w:type="dxa"/>
            <w:tcBorders>
              <w:top w:val="single" w:sz="4" w:space="0" w:color="auto"/>
              <w:bottom w:val="single" w:sz="12" w:space="0" w:color="auto"/>
            </w:tcBorders>
            <w:shd w:val="clear" w:color="auto" w:fill="auto"/>
            <w:vAlign w:val="bottom"/>
          </w:tcPr>
          <w:p w14:paraId="78BAFAAD" w14:textId="77777777" w:rsidR="00B92948" w:rsidRPr="003231AF" w:rsidRDefault="00B92948" w:rsidP="007D1B32">
            <w:pPr>
              <w:pStyle w:val="SingleTxtG"/>
              <w:tabs>
                <w:tab w:val="clear" w:pos="1701"/>
                <w:tab w:val="clear" w:pos="2268"/>
                <w:tab w:val="clear" w:pos="2835"/>
              </w:tabs>
              <w:spacing w:before="80" w:after="80" w:line="200" w:lineRule="exact"/>
              <w:ind w:left="113" w:right="28"/>
              <w:jc w:val="right"/>
              <w:rPr>
                <w:bCs/>
                <w:i/>
                <w:sz w:val="16"/>
              </w:rPr>
            </w:pPr>
            <w:r w:rsidRPr="003231AF">
              <w:rPr>
                <w:i/>
                <w:iCs/>
                <w:sz w:val="16"/>
              </w:rPr>
              <w:t>2014</w:t>
            </w:r>
          </w:p>
        </w:tc>
        <w:tc>
          <w:tcPr>
            <w:tcW w:w="685" w:type="dxa"/>
            <w:tcBorders>
              <w:top w:val="single" w:sz="4" w:space="0" w:color="auto"/>
              <w:bottom w:val="single" w:sz="12" w:space="0" w:color="auto"/>
            </w:tcBorders>
            <w:shd w:val="clear" w:color="auto" w:fill="auto"/>
            <w:vAlign w:val="bottom"/>
          </w:tcPr>
          <w:p w14:paraId="382FAFD7" w14:textId="77777777" w:rsidR="00B92948" w:rsidRPr="003231AF" w:rsidRDefault="00B92948" w:rsidP="007D1B32">
            <w:pPr>
              <w:pStyle w:val="SingleTxtG"/>
              <w:tabs>
                <w:tab w:val="clear" w:pos="1701"/>
                <w:tab w:val="clear" w:pos="2268"/>
                <w:tab w:val="clear" w:pos="2835"/>
              </w:tabs>
              <w:spacing w:before="80" w:after="80" w:line="200" w:lineRule="exact"/>
              <w:ind w:left="113" w:right="28"/>
              <w:jc w:val="right"/>
              <w:rPr>
                <w:bCs/>
                <w:i/>
                <w:sz w:val="16"/>
              </w:rPr>
            </w:pPr>
            <w:r w:rsidRPr="003231AF">
              <w:rPr>
                <w:i/>
                <w:iCs/>
                <w:sz w:val="16"/>
              </w:rPr>
              <w:t>2015</w:t>
            </w:r>
          </w:p>
        </w:tc>
        <w:tc>
          <w:tcPr>
            <w:tcW w:w="685" w:type="dxa"/>
            <w:tcBorders>
              <w:top w:val="single" w:sz="4" w:space="0" w:color="auto"/>
              <w:bottom w:val="single" w:sz="12" w:space="0" w:color="auto"/>
            </w:tcBorders>
            <w:shd w:val="clear" w:color="auto" w:fill="auto"/>
            <w:vAlign w:val="bottom"/>
          </w:tcPr>
          <w:p w14:paraId="1879A1A6" w14:textId="77777777" w:rsidR="00B92948" w:rsidRPr="003231AF" w:rsidRDefault="00B92948" w:rsidP="007D1B32">
            <w:pPr>
              <w:pStyle w:val="SingleTxtG"/>
              <w:tabs>
                <w:tab w:val="clear" w:pos="1701"/>
                <w:tab w:val="clear" w:pos="2268"/>
                <w:tab w:val="clear" w:pos="2835"/>
              </w:tabs>
              <w:spacing w:before="80" w:after="80" w:line="200" w:lineRule="exact"/>
              <w:ind w:left="113" w:right="28"/>
              <w:jc w:val="right"/>
              <w:rPr>
                <w:bCs/>
                <w:i/>
                <w:sz w:val="16"/>
              </w:rPr>
            </w:pPr>
            <w:r w:rsidRPr="003231AF">
              <w:rPr>
                <w:i/>
                <w:iCs/>
                <w:sz w:val="16"/>
              </w:rPr>
              <w:t>2016</w:t>
            </w:r>
          </w:p>
        </w:tc>
      </w:tr>
      <w:tr w:rsidR="00B92948" w:rsidRPr="003231AF" w14:paraId="4DD8D3D0" w14:textId="77777777" w:rsidTr="007D1B32">
        <w:trPr>
          <w:trHeight w:val="240"/>
        </w:trPr>
        <w:tc>
          <w:tcPr>
            <w:tcW w:w="3261" w:type="dxa"/>
            <w:tcBorders>
              <w:top w:val="single" w:sz="12" w:space="0" w:color="auto"/>
            </w:tcBorders>
            <w:shd w:val="clear" w:color="auto" w:fill="auto"/>
          </w:tcPr>
          <w:p w14:paraId="329185B2" w14:textId="77777777" w:rsidR="00B92948" w:rsidRPr="003231AF" w:rsidRDefault="00B92948" w:rsidP="003231AF">
            <w:pPr>
              <w:pStyle w:val="SingleTxtG"/>
              <w:tabs>
                <w:tab w:val="clear" w:pos="1701"/>
                <w:tab w:val="clear" w:pos="2268"/>
                <w:tab w:val="clear" w:pos="2835"/>
              </w:tabs>
              <w:spacing w:before="40" w:after="40" w:line="220" w:lineRule="exact"/>
              <w:ind w:left="0" w:right="0"/>
              <w:jc w:val="left"/>
              <w:rPr>
                <w:sz w:val="18"/>
              </w:rPr>
            </w:pPr>
            <w:r w:rsidRPr="003231AF">
              <w:rPr>
                <w:sz w:val="18"/>
              </w:rPr>
              <w:t>Tasa de mortalidad de niños menores de 1</w:t>
            </w:r>
            <w:r w:rsidR="007D1B32">
              <w:rPr>
                <w:sz w:val="18"/>
              </w:rPr>
              <w:t> </w:t>
            </w:r>
            <w:r w:rsidRPr="003231AF">
              <w:rPr>
                <w:sz w:val="18"/>
              </w:rPr>
              <w:t>año (por cada 1.000 nacidos vivos)</w:t>
            </w:r>
          </w:p>
        </w:tc>
        <w:tc>
          <w:tcPr>
            <w:tcW w:w="684" w:type="dxa"/>
            <w:tcBorders>
              <w:top w:val="single" w:sz="12" w:space="0" w:color="auto"/>
            </w:tcBorders>
            <w:shd w:val="clear" w:color="auto" w:fill="auto"/>
            <w:vAlign w:val="bottom"/>
          </w:tcPr>
          <w:p w14:paraId="13C2BB68" w14:textId="77777777" w:rsidR="00B92948" w:rsidRPr="003231AF" w:rsidRDefault="00B92948" w:rsidP="007D1B32">
            <w:pPr>
              <w:pStyle w:val="SingleTxtG"/>
              <w:tabs>
                <w:tab w:val="clear" w:pos="1701"/>
                <w:tab w:val="clear" w:pos="2268"/>
                <w:tab w:val="clear" w:pos="2835"/>
              </w:tabs>
              <w:spacing w:before="40" w:after="40" w:line="220" w:lineRule="exact"/>
              <w:ind w:left="113" w:right="28"/>
              <w:jc w:val="right"/>
              <w:rPr>
                <w:sz w:val="18"/>
              </w:rPr>
            </w:pPr>
            <w:r w:rsidRPr="003231AF">
              <w:rPr>
                <w:sz w:val="18"/>
              </w:rPr>
              <w:t>7,5</w:t>
            </w:r>
          </w:p>
        </w:tc>
        <w:tc>
          <w:tcPr>
            <w:tcW w:w="685" w:type="dxa"/>
            <w:tcBorders>
              <w:top w:val="single" w:sz="12" w:space="0" w:color="auto"/>
            </w:tcBorders>
            <w:shd w:val="clear" w:color="auto" w:fill="auto"/>
            <w:vAlign w:val="bottom"/>
          </w:tcPr>
          <w:p w14:paraId="309C5209" w14:textId="77777777" w:rsidR="00B92948" w:rsidRPr="003231AF" w:rsidRDefault="00B92948" w:rsidP="007D1B32">
            <w:pPr>
              <w:pStyle w:val="SingleTxtG"/>
              <w:tabs>
                <w:tab w:val="clear" w:pos="1701"/>
                <w:tab w:val="clear" w:pos="2268"/>
                <w:tab w:val="clear" w:pos="2835"/>
              </w:tabs>
              <w:spacing w:before="40" w:after="40" w:line="220" w:lineRule="exact"/>
              <w:ind w:left="113" w:right="28"/>
              <w:jc w:val="right"/>
              <w:rPr>
                <w:sz w:val="18"/>
              </w:rPr>
            </w:pPr>
            <w:r w:rsidRPr="003231AF">
              <w:rPr>
                <w:sz w:val="18"/>
              </w:rPr>
              <w:t>9,7</w:t>
            </w:r>
          </w:p>
        </w:tc>
        <w:tc>
          <w:tcPr>
            <w:tcW w:w="685" w:type="dxa"/>
            <w:tcBorders>
              <w:top w:val="single" w:sz="12" w:space="0" w:color="auto"/>
            </w:tcBorders>
            <w:shd w:val="clear" w:color="auto" w:fill="auto"/>
            <w:vAlign w:val="bottom"/>
          </w:tcPr>
          <w:p w14:paraId="7803E128" w14:textId="77777777" w:rsidR="00B92948" w:rsidRPr="003231AF" w:rsidRDefault="00B92948" w:rsidP="007D1B32">
            <w:pPr>
              <w:pStyle w:val="SingleTxtG"/>
              <w:tabs>
                <w:tab w:val="clear" w:pos="1701"/>
                <w:tab w:val="clear" w:pos="2268"/>
                <w:tab w:val="clear" w:pos="2835"/>
              </w:tabs>
              <w:spacing w:before="40" w:after="40" w:line="220" w:lineRule="exact"/>
              <w:ind w:left="113" w:right="28"/>
              <w:jc w:val="right"/>
              <w:rPr>
                <w:sz w:val="18"/>
              </w:rPr>
            </w:pPr>
            <w:r w:rsidRPr="003231AF">
              <w:rPr>
                <w:sz w:val="18"/>
              </w:rPr>
              <w:t>10,2</w:t>
            </w:r>
          </w:p>
        </w:tc>
        <w:tc>
          <w:tcPr>
            <w:tcW w:w="685" w:type="dxa"/>
            <w:tcBorders>
              <w:top w:val="single" w:sz="12" w:space="0" w:color="auto"/>
            </w:tcBorders>
            <w:shd w:val="clear" w:color="auto" w:fill="auto"/>
            <w:vAlign w:val="bottom"/>
          </w:tcPr>
          <w:p w14:paraId="47E1BD15" w14:textId="77777777" w:rsidR="00B92948" w:rsidRPr="003231AF" w:rsidRDefault="00B92948" w:rsidP="007D1B32">
            <w:pPr>
              <w:pStyle w:val="SingleTxtG"/>
              <w:tabs>
                <w:tab w:val="clear" w:pos="1701"/>
                <w:tab w:val="clear" w:pos="2268"/>
                <w:tab w:val="clear" w:pos="2835"/>
              </w:tabs>
              <w:spacing w:before="40" w:after="40" w:line="220" w:lineRule="exact"/>
              <w:ind w:left="113" w:right="28"/>
              <w:jc w:val="right"/>
              <w:rPr>
                <w:sz w:val="18"/>
              </w:rPr>
            </w:pPr>
            <w:r w:rsidRPr="003231AF">
              <w:rPr>
                <w:sz w:val="18"/>
              </w:rPr>
              <w:t>9,9</w:t>
            </w:r>
          </w:p>
        </w:tc>
        <w:tc>
          <w:tcPr>
            <w:tcW w:w="685" w:type="dxa"/>
            <w:tcBorders>
              <w:top w:val="single" w:sz="12" w:space="0" w:color="auto"/>
            </w:tcBorders>
            <w:shd w:val="clear" w:color="auto" w:fill="auto"/>
            <w:vAlign w:val="bottom"/>
          </w:tcPr>
          <w:p w14:paraId="3A1FAAB7" w14:textId="77777777" w:rsidR="00B92948" w:rsidRPr="003231AF" w:rsidRDefault="00B92948" w:rsidP="007D1B32">
            <w:pPr>
              <w:pStyle w:val="SingleTxtG"/>
              <w:tabs>
                <w:tab w:val="clear" w:pos="1701"/>
                <w:tab w:val="clear" w:pos="2268"/>
                <w:tab w:val="clear" w:pos="2835"/>
              </w:tabs>
              <w:spacing w:before="40" w:after="40" w:line="220" w:lineRule="exact"/>
              <w:ind w:left="113" w:right="28"/>
              <w:jc w:val="right"/>
              <w:rPr>
                <w:sz w:val="18"/>
              </w:rPr>
            </w:pPr>
            <w:r w:rsidRPr="003231AF">
              <w:rPr>
                <w:sz w:val="18"/>
              </w:rPr>
              <w:t>8,6</w:t>
            </w:r>
          </w:p>
        </w:tc>
        <w:tc>
          <w:tcPr>
            <w:tcW w:w="685" w:type="dxa"/>
            <w:tcBorders>
              <w:top w:val="single" w:sz="12" w:space="0" w:color="auto"/>
            </w:tcBorders>
            <w:shd w:val="clear" w:color="auto" w:fill="auto"/>
            <w:vAlign w:val="bottom"/>
          </w:tcPr>
          <w:p w14:paraId="6BE51162" w14:textId="77777777" w:rsidR="00B92948" w:rsidRPr="003231AF" w:rsidRDefault="00B92948" w:rsidP="007D1B32">
            <w:pPr>
              <w:pStyle w:val="SingleTxtG"/>
              <w:tabs>
                <w:tab w:val="clear" w:pos="1701"/>
                <w:tab w:val="clear" w:pos="2268"/>
                <w:tab w:val="clear" w:pos="2835"/>
              </w:tabs>
              <w:spacing w:before="40" w:after="40" w:line="220" w:lineRule="exact"/>
              <w:ind w:left="113" w:right="28"/>
              <w:jc w:val="right"/>
              <w:rPr>
                <w:sz w:val="18"/>
              </w:rPr>
            </w:pPr>
            <w:r w:rsidRPr="003231AF">
              <w:rPr>
                <w:sz w:val="18"/>
              </w:rPr>
              <w:t>11,9</w:t>
            </w:r>
          </w:p>
        </w:tc>
      </w:tr>
      <w:tr w:rsidR="00B92948" w:rsidRPr="003231AF" w14:paraId="72DD673C" w14:textId="77777777" w:rsidTr="007D1B32">
        <w:trPr>
          <w:trHeight w:val="240"/>
        </w:trPr>
        <w:tc>
          <w:tcPr>
            <w:tcW w:w="3261" w:type="dxa"/>
            <w:tcBorders>
              <w:bottom w:val="single" w:sz="12" w:space="0" w:color="auto"/>
            </w:tcBorders>
            <w:shd w:val="clear" w:color="auto" w:fill="auto"/>
          </w:tcPr>
          <w:p w14:paraId="1242AC1B" w14:textId="77777777" w:rsidR="00B92948" w:rsidRPr="003231AF" w:rsidRDefault="00B92948" w:rsidP="003231AF">
            <w:pPr>
              <w:pStyle w:val="SingleTxtG"/>
              <w:tabs>
                <w:tab w:val="clear" w:pos="1701"/>
                <w:tab w:val="clear" w:pos="2268"/>
                <w:tab w:val="clear" w:pos="2835"/>
              </w:tabs>
              <w:spacing w:before="40" w:after="40" w:line="220" w:lineRule="exact"/>
              <w:ind w:left="0" w:right="0"/>
              <w:jc w:val="left"/>
              <w:rPr>
                <w:sz w:val="18"/>
              </w:rPr>
            </w:pPr>
            <w:r w:rsidRPr="003231AF">
              <w:rPr>
                <w:sz w:val="18"/>
              </w:rPr>
              <w:t xml:space="preserve">Tasas de mortalidad de niños de hasta 5 </w:t>
            </w:r>
            <w:proofErr w:type="gramStart"/>
            <w:r w:rsidRPr="003231AF">
              <w:rPr>
                <w:sz w:val="18"/>
              </w:rPr>
              <w:t>años de edad</w:t>
            </w:r>
            <w:proofErr w:type="gramEnd"/>
            <w:r w:rsidRPr="003231AF">
              <w:rPr>
                <w:sz w:val="18"/>
              </w:rPr>
              <w:t xml:space="preserve"> (por cada 1.000 nacidos vivos)</w:t>
            </w:r>
          </w:p>
        </w:tc>
        <w:tc>
          <w:tcPr>
            <w:tcW w:w="684" w:type="dxa"/>
            <w:tcBorders>
              <w:bottom w:val="single" w:sz="12" w:space="0" w:color="auto"/>
            </w:tcBorders>
            <w:shd w:val="clear" w:color="auto" w:fill="auto"/>
            <w:vAlign w:val="bottom"/>
          </w:tcPr>
          <w:p w14:paraId="22D13D9C" w14:textId="77777777" w:rsidR="00B92948" w:rsidRPr="003231AF" w:rsidRDefault="00B92948" w:rsidP="007D1B32">
            <w:pPr>
              <w:pStyle w:val="SingleTxtG"/>
              <w:tabs>
                <w:tab w:val="clear" w:pos="1701"/>
                <w:tab w:val="clear" w:pos="2268"/>
                <w:tab w:val="clear" w:pos="2835"/>
              </w:tabs>
              <w:spacing w:before="40" w:after="40" w:line="220" w:lineRule="exact"/>
              <w:ind w:left="113" w:right="28"/>
              <w:jc w:val="right"/>
              <w:rPr>
                <w:sz w:val="18"/>
              </w:rPr>
            </w:pPr>
            <w:r w:rsidRPr="003231AF">
              <w:rPr>
                <w:sz w:val="18"/>
              </w:rPr>
              <w:t>8,6</w:t>
            </w:r>
          </w:p>
        </w:tc>
        <w:tc>
          <w:tcPr>
            <w:tcW w:w="685" w:type="dxa"/>
            <w:tcBorders>
              <w:bottom w:val="single" w:sz="12" w:space="0" w:color="auto"/>
            </w:tcBorders>
            <w:shd w:val="clear" w:color="auto" w:fill="auto"/>
            <w:vAlign w:val="bottom"/>
          </w:tcPr>
          <w:p w14:paraId="50354D2E" w14:textId="77777777" w:rsidR="00B92948" w:rsidRPr="003231AF" w:rsidRDefault="00B92948" w:rsidP="007D1B32">
            <w:pPr>
              <w:pStyle w:val="SingleTxtG"/>
              <w:tabs>
                <w:tab w:val="clear" w:pos="1701"/>
                <w:tab w:val="clear" w:pos="2268"/>
                <w:tab w:val="clear" w:pos="2835"/>
              </w:tabs>
              <w:spacing w:before="40" w:after="40" w:line="220" w:lineRule="exact"/>
              <w:ind w:left="113" w:right="28"/>
              <w:jc w:val="right"/>
              <w:rPr>
                <w:sz w:val="18"/>
              </w:rPr>
            </w:pPr>
            <w:r w:rsidRPr="003231AF">
              <w:rPr>
                <w:sz w:val="18"/>
              </w:rPr>
              <w:t>11,0</w:t>
            </w:r>
          </w:p>
        </w:tc>
        <w:tc>
          <w:tcPr>
            <w:tcW w:w="685" w:type="dxa"/>
            <w:tcBorders>
              <w:bottom w:val="single" w:sz="12" w:space="0" w:color="auto"/>
            </w:tcBorders>
            <w:shd w:val="clear" w:color="auto" w:fill="auto"/>
            <w:vAlign w:val="bottom"/>
          </w:tcPr>
          <w:p w14:paraId="27DED0CD" w14:textId="77777777" w:rsidR="00B92948" w:rsidRPr="003231AF" w:rsidRDefault="00B92948" w:rsidP="007D1B32">
            <w:pPr>
              <w:pStyle w:val="SingleTxtG"/>
              <w:tabs>
                <w:tab w:val="clear" w:pos="1701"/>
                <w:tab w:val="clear" w:pos="2268"/>
                <w:tab w:val="clear" w:pos="2835"/>
              </w:tabs>
              <w:spacing w:before="40" w:after="40" w:line="220" w:lineRule="exact"/>
              <w:ind w:left="113" w:right="28"/>
              <w:jc w:val="right"/>
              <w:rPr>
                <w:sz w:val="18"/>
              </w:rPr>
            </w:pPr>
            <w:r w:rsidRPr="003231AF">
              <w:rPr>
                <w:sz w:val="18"/>
              </w:rPr>
              <w:t>11,3</w:t>
            </w:r>
          </w:p>
        </w:tc>
        <w:tc>
          <w:tcPr>
            <w:tcW w:w="685" w:type="dxa"/>
            <w:tcBorders>
              <w:bottom w:val="single" w:sz="12" w:space="0" w:color="auto"/>
            </w:tcBorders>
            <w:shd w:val="clear" w:color="auto" w:fill="auto"/>
            <w:vAlign w:val="bottom"/>
          </w:tcPr>
          <w:p w14:paraId="29FD2250" w14:textId="77777777" w:rsidR="00B92948" w:rsidRPr="003231AF" w:rsidRDefault="00B92948" w:rsidP="007D1B32">
            <w:pPr>
              <w:pStyle w:val="SingleTxtG"/>
              <w:tabs>
                <w:tab w:val="clear" w:pos="1701"/>
                <w:tab w:val="clear" w:pos="2268"/>
                <w:tab w:val="clear" w:pos="2835"/>
              </w:tabs>
              <w:spacing w:before="40" w:after="40" w:line="220" w:lineRule="exact"/>
              <w:ind w:left="113" w:right="28"/>
              <w:jc w:val="right"/>
              <w:rPr>
                <w:sz w:val="18"/>
              </w:rPr>
            </w:pPr>
            <w:r w:rsidRPr="003231AF">
              <w:rPr>
                <w:sz w:val="18"/>
              </w:rPr>
              <w:t>10,7</w:t>
            </w:r>
          </w:p>
        </w:tc>
        <w:tc>
          <w:tcPr>
            <w:tcW w:w="685" w:type="dxa"/>
            <w:tcBorders>
              <w:bottom w:val="single" w:sz="12" w:space="0" w:color="auto"/>
            </w:tcBorders>
            <w:shd w:val="clear" w:color="auto" w:fill="auto"/>
            <w:vAlign w:val="bottom"/>
          </w:tcPr>
          <w:p w14:paraId="6F1A28BB" w14:textId="77777777" w:rsidR="00B92948" w:rsidRPr="003231AF" w:rsidRDefault="00B92948" w:rsidP="007D1B32">
            <w:pPr>
              <w:pStyle w:val="SingleTxtG"/>
              <w:tabs>
                <w:tab w:val="clear" w:pos="1701"/>
                <w:tab w:val="clear" w:pos="2268"/>
                <w:tab w:val="clear" w:pos="2835"/>
              </w:tabs>
              <w:spacing w:before="40" w:after="40" w:line="220" w:lineRule="exact"/>
              <w:ind w:left="113" w:right="28"/>
              <w:jc w:val="right"/>
              <w:rPr>
                <w:sz w:val="18"/>
              </w:rPr>
            </w:pPr>
            <w:r w:rsidRPr="003231AF">
              <w:rPr>
                <w:sz w:val="18"/>
              </w:rPr>
              <w:t>9,7</w:t>
            </w:r>
          </w:p>
        </w:tc>
        <w:tc>
          <w:tcPr>
            <w:tcW w:w="685" w:type="dxa"/>
            <w:tcBorders>
              <w:bottom w:val="single" w:sz="12" w:space="0" w:color="auto"/>
            </w:tcBorders>
            <w:shd w:val="clear" w:color="auto" w:fill="auto"/>
            <w:vAlign w:val="bottom"/>
          </w:tcPr>
          <w:p w14:paraId="59998DAF" w14:textId="77777777" w:rsidR="00B92948" w:rsidRPr="003231AF" w:rsidRDefault="00B92948" w:rsidP="007D1B32">
            <w:pPr>
              <w:pStyle w:val="SingleTxtG"/>
              <w:tabs>
                <w:tab w:val="clear" w:pos="1701"/>
                <w:tab w:val="clear" w:pos="2268"/>
                <w:tab w:val="clear" w:pos="2835"/>
              </w:tabs>
              <w:spacing w:before="40" w:after="40" w:line="220" w:lineRule="exact"/>
              <w:ind w:left="113" w:right="28"/>
              <w:jc w:val="right"/>
              <w:rPr>
                <w:sz w:val="18"/>
              </w:rPr>
            </w:pPr>
            <w:r w:rsidRPr="003231AF">
              <w:rPr>
                <w:sz w:val="18"/>
              </w:rPr>
              <w:t>12,9</w:t>
            </w:r>
          </w:p>
        </w:tc>
      </w:tr>
    </w:tbl>
    <w:p w14:paraId="32CE61E2" w14:textId="77777777" w:rsidR="00B92948" w:rsidRPr="00B92948" w:rsidRDefault="00B92948" w:rsidP="00624630">
      <w:pPr>
        <w:pStyle w:val="SingleTxtG"/>
        <w:spacing w:before="240"/>
      </w:pPr>
      <w:r w:rsidRPr="00B92948">
        <w:t>142.</w:t>
      </w:r>
      <w:r w:rsidRPr="00B92948">
        <w:tab/>
        <w:t>Las causas más comunes de mortalidad de lactantes (niños de 0 a 12 meses) son las causas perinatales (81,3</w:t>
      </w:r>
      <w:r w:rsidR="000C0C75">
        <w:t> %</w:t>
      </w:r>
      <w:r w:rsidRPr="00B92948">
        <w:t>) y las anomalías congénitas (6,9</w:t>
      </w:r>
      <w:r w:rsidR="000C0C75">
        <w:t> %</w:t>
      </w:r>
      <w:r w:rsidRPr="00B92948">
        <w:t>). Se ha determinado que el nacimiento prematuro es la causa principal de estas muertes.</w:t>
      </w:r>
    </w:p>
    <w:p w14:paraId="328DE2F5" w14:textId="77777777" w:rsidR="00B92948" w:rsidRPr="00B92948" w:rsidRDefault="00B92948" w:rsidP="00B92948">
      <w:pPr>
        <w:pStyle w:val="SingleTxtG"/>
      </w:pPr>
      <w:r w:rsidRPr="00B92948">
        <w:t>143.</w:t>
      </w:r>
      <w:r w:rsidRPr="00B92948">
        <w:tab/>
        <w:t>Hay una tendencia a la disminución de las diferencias en las tasas de mortalidad de lactantes, desde la perspectiva de las características sociodemográficas de las madres (origen étnico, educación, edad, lugar de residencia).</w:t>
      </w:r>
    </w:p>
    <w:p w14:paraId="0848B244" w14:textId="77777777" w:rsidR="00B92948" w:rsidRPr="00624630" w:rsidRDefault="00624630" w:rsidP="00624630">
      <w:pPr>
        <w:pStyle w:val="H23G"/>
      </w:pPr>
      <w:r w:rsidRPr="00624630">
        <w:rPr>
          <w:b w:val="0"/>
          <w:bCs/>
        </w:rPr>
        <w:tab/>
      </w:r>
      <w:r w:rsidR="00B92948" w:rsidRPr="00624630">
        <w:rPr>
          <w:b w:val="0"/>
          <w:bCs/>
        </w:rPr>
        <w:tab/>
        <w:t>Cuadro 7</w:t>
      </w:r>
      <w:r w:rsidRPr="00624630">
        <w:rPr>
          <w:b w:val="0"/>
          <w:bCs/>
        </w:rPr>
        <w:br/>
      </w:r>
      <w:r w:rsidR="00B92948" w:rsidRPr="00B92948">
        <w:tab/>
        <w:t xml:space="preserve">Tasas de mortalidad de lactantes según el origen étnico de las madres </w:t>
      </w:r>
      <w:r>
        <w:br/>
      </w:r>
      <w:r w:rsidR="00B92948" w:rsidRPr="00B92948">
        <w:t>(2011-2016)</w:t>
      </w:r>
      <w:r w:rsidR="00B92948" w:rsidRPr="00624630">
        <w:rPr>
          <w:rStyle w:val="Refdenotaalpie"/>
          <w:b w:val="0"/>
          <w:bCs/>
        </w:rPr>
        <w:footnoteReference w:id="37"/>
      </w:r>
      <w:bookmarkStart w:id="53" w:name="_Toc56781454"/>
      <w:bookmarkEnd w:id="53"/>
    </w:p>
    <w:tbl>
      <w:tblPr>
        <w:tblW w:w="7370" w:type="dxa"/>
        <w:tblInd w:w="1134" w:type="dxa"/>
        <w:tblBorders>
          <w:top w:val="single" w:sz="4" w:space="0" w:color="auto"/>
        </w:tblBorders>
        <w:tblCellMar>
          <w:left w:w="0" w:type="dxa"/>
          <w:right w:w="0" w:type="dxa"/>
        </w:tblCellMar>
        <w:tblLook w:val="00A0" w:firstRow="1" w:lastRow="0" w:firstColumn="1" w:lastColumn="0" w:noHBand="0" w:noVBand="0"/>
      </w:tblPr>
      <w:tblGrid>
        <w:gridCol w:w="1234"/>
        <w:gridCol w:w="1022"/>
        <w:gridCol w:w="1023"/>
        <w:gridCol w:w="1023"/>
        <w:gridCol w:w="1022"/>
        <w:gridCol w:w="1023"/>
        <w:gridCol w:w="1023"/>
      </w:tblGrid>
      <w:tr w:rsidR="00B92948" w:rsidRPr="003231AF" w14:paraId="7381F4A8" w14:textId="77777777" w:rsidTr="007D1B32">
        <w:trPr>
          <w:trHeight w:val="240"/>
          <w:tblHeader/>
        </w:trPr>
        <w:tc>
          <w:tcPr>
            <w:tcW w:w="1234" w:type="dxa"/>
            <w:tcBorders>
              <w:top w:val="single" w:sz="4" w:space="0" w:color="auto"/>
              <w:bottom w:val="single" w:sz="12" w:space="0" w:color="auto"/>
            </w:tcBorders>
            <w:shd w:val="clear" w:color="auto" w:fill="auto"/>
            <w:vAlign w:val="bottom"/>
          </w:tcPr>
          <w:p w14:paraId="67EB8556" w14:textId="77777777" w:rsidR="00B92948" w:rsidRPr="003231AF" w:rsidRDefault="00B92948" w:rsidP="003231AF">
            <w:pPr>
              <w:pStyle w:val="SingleTxtG"/>
              <w:tabs>
                <w:tab w:val="clear" w:pos="1701"/>
                <w:tab w:val="clear" w:pos="2268"/>
                <w:tab w:val="clear" w:pos="2835"/>
              </w:tabs>
              <w:spacing w:before="80" w:after="80" w:line="200" w:lineRule="exact"/>
              <w:ind w:left="0" w:right="0"/>
              <w:jc w:val="left"/>
              <w:rPr>
                <w:i/>
                <w:sz w:val="16"/>
              </w:rPr>
            </w:pPr>
            <w:r w:rsidRPr="003231AF">
              <w:rPr>
                <w:i/>
                <w:iCs/>
                <w:sz w:val="16"/>
              </w:rPr>
              <w:t>Origen étnico</w:t>
            </w:r>
          </w:p>
        </w:tc>
        <w:tc>
          <w:tcPr>
            <w:tcW w:w="1022" w:type="dxa"/>
            <w:tcBorders>
              <w:top w:val="single" w:sz="4" w:space="0" w:color="auto"/>
              <w:bottom w:val="single" w:sz="12" w:space="0" w:color="auto"/>
            </w:tcBorders>
            <w:shd w:val="clear" w:color="auto" w:fill="auto"/>
            <w:vAlign w:val="bottom"/>
          </w:tcPr>
          <w:p w14:paraId="51671BA4" w14:textId="77777777" w:rsidR="00B92948" w:rsidRPr="003231AF" w:rsidRDefault="00B92948" w:rsidP="007D1B32">
            <w:pPr>
              <w:pStyle w:val="SingleTxtG"/>
              <w:tabs>
                <w:tab w:val="clear" w:pos="1701"/>
                <w:tab w:val="clear" w:pos="2268"/>
                <w:tab w:val="clear" w:pos="2835"/>
              </w:tabs>
              <w:spacing w:before="80" w:after="80" w:line="200" w:lineRule="exact"/>
              <w:ind w:left="113" w:rightChars="28" w:right="56"/>
              <w:jc w:val="right"/>
              <w:rPr>
                <w:bCs/>
                <w:i/>
                <w:sz w:val="16"/>
              </w:rPr>
            </w:pPr>
            <w:r w:rsidRPr="003231AF">
              <w:rPr>
                <w:i/>
                <w:iCs/>
                <w:sz w:val="16"/>
              </w:rPr>
              <w:t>2011</w:t>
            </w:r>
          </w:p>
        </w:tc>
        <w:tc>
          <w:tcPr>
            <w:tcW w:w="1023" w:type="dxa"/>
            <w:tcBorders>
              <w:top w:val="single" w:sz="4" w:space="0" w:color="auto"/>
              <w:bottom w:val="single" w:sz="12" w:space="0" w:color="auto"/>
            </w:tcBorders>
            <w:shd w:val="clear" w:color="auto" w:fill="auto"/>
            <w:vAlign w:val="bottom"/>
          </w:tcPr>
          <w:p w14:paraId="7B9C55E4" w14:textId="77777777" w:rsidR="00B92948" w:rsidRPr="003231AF" w:rsidRDefault="00B92948" w:rsidP="007D1B32">
            <w:pPr>
              <w:pStyle w:val="SingleTxtG"/>
              <w:tabs>
                <w:tab w:val="clear" w:pos="1701"/>
                <w:tab w:val="clear" w:pos="2268"/>
                <w:tab w:val="clear" w:pos="2835"/>
              </w:tabs>
              <w:spacing w:before="80" w:after="80" w:line="200" w:lineRule="exact"/>
              <w:ind w:left="113" w:rightChars="28" w:right="56"/>
              <w:jc w:val="right"/>
              <w:rPr>
                <w:bCs/>
                <w:i/>
                <w:sz w:val="16"/>
              </w:rPr>
            </w:pPr>
            <w:r w:rsidRPr="003231AF">
              <w:rPr>
                <w:i/>
                <w:iCs/>
                <w:sz w:val="16"/>
              </w:rPr>
              <w:t>2012</w:t>
            </w:r>
          </w:p>
        </w:tc>
        <w:tc>
          <w:tcPr>
            <w:tcW w:w="1023" w:type="dxa"/>
            <w:tcBorders>
              <w:top w:val="single" w:sz="4" w:space="0" w:color="auto"/>
              <w:bottom w:val="single" w:sz="12" w:space="0" w:color="auto"/>
            </w:tcBorders>
            <w:shd w:val="clear" w:color="auto" w:fill="auto"/>
            <w:vAlign w:val="bottom"/>
          </w:tcPr>
          <w:p w14:paraId="3797FA93" w14:textId="77777777" w:rsidR="00B92948" w:rsidRPr="003231AF" w:rsidRDefault="00B92948" w:rsidP="007D1B32">
            <w:pPr>
              <w:pStyle w:val="SingleTxtG"/>
              <w:tabs>
                <w:tab w:val="clear" w:pos="1701"/>
                <w:tab w:val="clear" w:pos="2268"/>
                <w:tab w:val="clear" w:pos="2835"/>
              </w:tabs>
              <w:spacing w:before="80" w:after="80" w:line="200" w:lineRule="exact"/>
              <w:ind w:left="113" w:rightChars="28" w:right="56"/>
              <w:jc w:val="right"/>
              <w:rPr>
                <w:bCs/>
                <w:i/>
                <w:sz w:val="16"/>
              </w:rPr>
            </w:pPr>
            <w:r w:rsidRPr="003231AF">
              <w:rPr>
                <w:i/>
                <w:iCs/>
                <w:sz w:val="16"/>
              </w:rPr>
              <w:t>2013</w:t>
            </w:r>
          </w:p>
        </w:tc>
        <w:tc>
          <w:tcPr>
            <w:tcW w:w="1022" w:type="dxa"/>
            <w:tcBorders>
              <w:top w:val="single" w:sz="4" w:space="0" w:color="auto"/>
              <w:bottom w:val="single" w:sz="12" w:space="0" w:color="auto"/>
            </w:tcBorders>
            <w:shd w:val="clear" w:color="auto" w:fill="auto"/>
            <w:vAlign w:val="bottom"/>
          </w:tcPr>
          <w:p w14:paraId="5C749EDC" w14:textId="77777777" w:rsidR="00B92948" w:rsidRPr="003231AF" w:rsidRDefault="00B92948" w:rsidP="007D1B32">
            <w:pPr>
              <w:pStyle w:val="SingleTxtG"/>
              <w:tabs>
                <w:tab w:val="clear" w:pos="1701"/>
                <w:tab w:val="clear" w:pos="2268"/>
                <w:tab w:val="clear" w:pos="2835"/>
              </w:tabs>
              <w:spacing w:before="80" w:after="80" w:line="200" w:lineRule="exact"/>
              <w:ind w:left="113" w:rightChars="28" w:right="56"/>
              <w:jc w:val="right"/>
              <w:rPr>
                <w:bCs/>
                <w:i/>
                <w:sz w:val="16"/>
              </w:rPr>
            </w:pPr>
            <w:r w:rsidRPr="003231AF">
              <w:rPr>
                <w:i/>
                <w:iCs/>
                <w:sz w:val="16"/>
              </w:rPr>
              <w:t>2014</w:t>
            </w:r>
          </w:p>
        </w:tc>
        <w:tc>
          <w:tcPr>
            <w:tcW w:w="1023" w:type="dxa"/>
            <w:tcBorders>
              <w:top w:val="single" w:sz="4" w:space="0" w:color="auto"/>
              <w:bottom w:val="single" w:sz="12" w:space="0" w:color="auto"/>
            </w:tcBorders>
            <w:shd w:val="clear" w:color="auto" w:fill="auto"/>
            <w:vAlign w:val="bottom"/>
          </w:tcPr>
          <w:p w14:paraId="00FF4660" w14:textId="77777777" w:rsidR="00B92948" w:rsidRPr="003231AF" w:rsidRDefault="00B92948" w:rsidP="007D1B32">
            <w:pPr>
              <w:pStyle w:val="SingleTxtG"/>
              <w:tabs>
                <w:tab w:val="clear" w:pos="1701"/>
                <w:tab w:val="clear" w:pos="2268"/>
                <w:tab w:val="clear" w:pos="2835"/>
              </w:tabs>
              <w:spacing w:before="80" w:after="80" w:line="200" w:lineRule="exact"/>
              <w:ind w:left="113" w:rightChars="28" w:right="56"/>
              <w:jc w:val="right"/>
              <w:rPr>
                <w:bCs/>
                <w:i/>
                <w:sz w:val="16"/>
              </w:rPr>
            </w:pPr>
            <w:r w:rsidRPr="003231AF">
              <w:rPr>
                <w:i/>
                <w:iCs/>
                <w:sz w:val="16"/>
              </w:rPr>
              <w:t>2015</w:t>
            </w:r>
          </w:p>
        </w:tc>
        <w:tc>
          <w:tcPr>
            <w:tcW w:w="1023" w:type="dxa"/>
            <w:tcBorders>
              <w:top w:val="single" w:sz="4" w:space="0" w:color="auto"/>
              <w:bottom w:val="single" w:sz="12" w:space="0" w:color="auto"/>
            </w:tcBorders>
            <w:shd w:val="clear" w:color="auto" w:fill="auto"/>
            <w:vAlign w:val="bottom"/>
          </w:tcPr>
          <w:p w14:paraId="5C3B8C4B" w14:textId="77777777" w:rsidR="00B92948" w:rsidRPr="003231AF" w:rsidRDefault="00B92948" w:rsidP="007D1B32">
            <w:pPr>
              <w:pStyle w:val="SingleTxtG"/>
              <w:tabs>
                <w:tab w:val="clear" w:pos="1701"/>
                <w:tab w:val="clear" w:pos="2268"/>
                <w:tab w:val="clear" w:pos="2835"/>
              </w:tabs>
              <w:spacing w:before="80" w:after="80" w:line="200" w:lineRule="exact"/>
              <w:ind w:left="113" w:rightChars="28" w:right="56"/>
              <w:jc w:val="right"/>
              <w:rPr>
                <w:bCs/>
                <w:i/>
                <w:sz w:val="16"/>
              </w:rPr>
            </w:pPr>
            <w:r w:rsidRPr="003231AF">
              <w:rPr>
                <w:i/>
                <w:iCs/>
                <w:sz w:val="16"/>
              </w:rPr>
              <w:t>2016</w:t>
            </w:r>
          </w:p>
        </w:tc>
      </w:tr>
      <w:tr w:rsidR="00B92948" w:rsidRPr="007D1B32" w14:paraId="4085481F" w14:textId="77777777" w:rsidTr="007D1B32">
        <w:trPr>
          <w:trHeight w:val="240"/>
        </w:trPr>
        <w:tc>
          <w:tcPr>
            <w:tcW w:w="1234" w:type="dxa"/>
            <w:tcBorders>
              <w:top w:val="single" w:sz="12" w:space="0" w:color="auto"/>
              <w:bottom w:val="single" w:sz="4" w:space="0" w:color="auto"/>
            </w:tcBorders>
            <w:shd w:val="clear" w:color="auto" w:fill="auto"/>
          </w:tcPr>
          <w:p w14:paraId="5B93CD69" w14:textId="77777777" w:rsidR="00B92948" w:rsidRPr="007D1B32" w:rsidRDefault="00B92948" w:rsidP="007D1B32">
            <w:pPr>
              <w:pStyle w:val="SingleTxtG"/>
              <w:tabs>
                <w:tab w:val="clear" w:pos="1701"/>
                <w:tab w:val="clear" w:pos="2268"/>
                <w:tab w:val="clear" w:pos="2835"/>
              </w:tabs>
              <w:spacing w:before="80" w:after="80" w:line="220" w:lineRule="exact"/>
              <w:ind w:left="283" w:right="0"/>
              <w:jc w:val="left"/>
              <w:rPr>
                <w:b/>
                <w:sz w:val="18"/>
              </w:rPr>
            </w:pPr>
            <w:r w:rsidRPr="007D1B32">
              <w:rPr>
                <w:b/>
                <w:bCs/>
                <w:sz w:val="18"/>
              </w:rPr>
              <w:t>Total</w:t>
            </w:r>
          </w:p>
        </w:tc>
        <w:tc>
          <w:tcPr>
            <w:tcW w:w="1022" w:type="dxa"/>
            <w:tcBorders>
              <w:top w:val="single" w:sz="12" w:space="0" w:color="auto"/>
              <w:bottom w:val="single" w:sz="4" w:space="0" w:color="auto"/>
            </w:tcBorders>
            <w:shd w:val="clear" w:color="auto" w:fill="auto"/>
            <w:vAlign w:val="bottom"/>
          </w:tcPr>
          <w:p w14:paraId="503C2310" w14:textId="77777777" w:rsidR="00B92948" w:rsidRPr="007D1B32" w:rsidRDefault="00B92948" w:rsidP="007D1B32">
            <w:pPr>
              <w:pStyle w:val="SingleTxtG"/>
              <w:tabs>
                <w:tab w:val="clear" w:pos="1701"/>
                <w:tab w:val="clear" w:pos="2268"/>
                <w:tab w:val="clear" w:pos="2835"/>
              </w:tabs>
              <w:spacing w:before="80" w:after="80" w:line="220" w:lineRule="exact"/>
              <w:ind w:left="0" w:rightChars="28" w:right="56"/>
              <w:jc w:val="right"/>
              <w:rPr>
                <w:b/>
                <w:sz w:val="18"/>
              </w:rPr>
            </w:pPr>
            <w:r w:rsidRPr="007D1B32">
              <w:rPr>
                <w:b/>
                <w:sz w:val="18"/>
              </w:rPr>
              <w:t>7,5</w:t>
            </w:r>
          </w:p>
        </w:tc>
        <w:tc>
          <w:tcPr>
            <w:tcW w:w="1023" w:type="dxa"/>
            <w:tcBorders>
              <w:top w:val="single" w:sz="12" w:space="0" w:color="auto"/>
              <w:bottom w:val="single" w:sz="4" w:space="0" w:color="auto"/>
            </w:tcBorders>
            <w:shd w:val="clear" w:color="auto" w:fill="auto"/>
            <w:vAlign w:val="bottom"/>
          </w:tcPr>
          <w:p w14:paraId="2E1A0890" w14:textId="77777777" w:rsidR="00B92948" w:rsidRPr="007D1B32" w:rsidRDefault="00B92948" w:rsidP="007D1B32">
            <w:pPr>
              <w:pStyle w:val="SingleTxtG"/>
              <w:tabs>
                <w:tab w:val="clear" w:pos="1701"/>
                <w:tab w:val="clear" w:pos="2268"/>
                <w:tab w:val="clear" w:pos="2835"/>
              </w:tabs>
              <w:spacing w:before="80" w:after="80" w:line="220" w:lineRule="exact"/>
              <w:ind w:left="0" w:rightChars="28" w:right="56"/>
              <w:jc w:val="right"/>
              <w:rPr>
                <w:b/>
                <w:sz w:val="18"/>
              </w:rPr>
            </w:pPr>
            <w:r w:rsidRPr="007D1B32">
              <w:rPr>
                <w:b/>
                <w:sz w:val="18"/>
              </w:rPr>
              <w:t>9,8</w:t>
            </w:r>
          </w:p>
        </w:tc>
        <w:tc>
          <w:tcPr>
            <w:tcW w:w="1023" w:type="dxa"/>
            <w:tcBorders>
              <w:top w:val="single" w:sz="12" w:space="0" w:color="auto"/>
              <w:bottom w:val="single" w:sz="4" w:space="0" w:color="auto"/>
            </w:tcBorders>
            <w:shd w:val="clear" w:color="auto" w:fill="auto"/>
            <w:vAlign w:val="bottom"/>
          </w:tcPr>
          <w:p w14:paraId="37C7376F" w14:textId="77777777" w:rsidR="00B92948" w:rsidRPr="007D1B32" w:rsidRDefault="00B92948" w:rsidP="007D1B32">
            <w:pPr>
              <w:pStyle w:val="SingleTxtG"/>
              <w:tabs>
                <w:tab w:val="clear" w:pos="1701"/>
                <w:tab w:val="clear" w:pos="2268"/>
                <w:tab w:val="clear" w:pos="2835"/>
              </w:tabs>
              <w:spacing w:before="80" w:after="80" w:line="220" w:lineRule="exact"/>
              <w:ind w:left="0" w:rightChars="28" w:right="56"/>
              <w:jc w:val="right"/>
              <w:rPr>
                <w:b/>
                <w:sz w:val="18"/>
              </w:rPr>
            </w:pPr>
            <w:r w:rsidRPr="007D1B32">
              <w:rPr>
                <w:b/>
                <w:sz w:val="18"/>
              </w:rPr>
              <w:t>10,2</w:t>
            </w:r>
          </w:p>
        </w:tc>
        <w:tc>
          <w:tcPr>
            <w:tcW w:w="1022" w:type="dxa"/>
            <w:tcBorders>
              <w:top w:val="single" w:sz="12" w:space="0" w:color="auto"/>
              <w:bottom w:val="single" w:sz="4" w:space="0" w:color="auto"/>
            </w:tcBorders>
            <w:shd w:val="clear" w:color="auto" w:fill="auto"/>
            <w:vAlign w:val="bottom"/>
          </w:tcPr>
          <w:p w14:paraId="70A65CDC" w14:textId="77777777" w:rsidR="00B92948" w:rsidRPr="007D1B32" w:rsidRDefault="00B92948" w:rsidP="007D1B32">
            <w:pPr>
              <w:pStyle w:val="SingleTxtG"/>
              <w:tabs>
                <w:tab w:val="clear" w:pos="1701"/>
                <w:tab w:val="clear" w:pos="2268"/>
                <w:tab w:val="clear" w:pos="2835"/>
              </w:tabs>
              <w:spacing w:before="80" w:after="80" w:line="220" w:lineRule="exact"/>
              <w:ind w:left="0" w:rightChars="28" w:right="56"/>
              <w:jc w:val="right"/>
              <w:rPr>
                <w:b/>
                <w:sz w:val="18"/>
              </w:rPr>
            </w:pPr>
            <w:r w:rsidRPr="007D1B32">
              <w:rPr>
                <w:b/>
                <w:sz w:val="18"/>
              </w:rPr>
              <w:t>9,9</w:t>
            </w:r>
          </w:p>
        </w:tc>
        <w:tc>
          <w:tcPr>
            <w:tcW w:w="1023" w:type="dxa"/>
            <w:tcBorders>
              <w:top w:val="single" w:sz="12" w:space="0" w:color="auto"/>
              <w:bottom w:val="single" w:sz="4" w:space="0" w:color="auto"/>
            </w:tcBorders>
            <w:shd w:val="clear" w:color="auto" w:fill="auto"/>
            <w:vAlign w:val="bottom"/>
          </w:tcPr>
          <w:p w14:paraId="39456553" w14:textId="77777777" w:rsidR="00B92948" w:rsidRPr="007D1B32" w:rsidRDefault="00B92948" w:rsidP="007D1B32">
            <w:pPr>
              <w:pStyle w:val="SingleTxtG"/>
              <w:tabs>
                <w:tab w:val="clear" w:pos="1701"/>
                <w:tab w:val="clear" w:pos="2268"/>
                <w:tab w:val="clear" w:pos="2835"/>
              </w:tabs>
              <w:spacing w:before="80" w:after="80" w:line="220" w:lineRule="exact"/>
              <w:ind w:left="0" w:rightChars="28" w:right="56"/>
              <w:jc w:val="right"/>
              <w:rPr>
                <w:b/>
                <w:sz w:val="18"/>
              </w:rPr>
            </w:pPr>
            <w:r w:rsidRPr="007D1B32">
              <w:rPr>
                <w:b/>
                <w:sz w:val="18"/>
              </w:rPr>
              <w:t>8,6</w:t>
            </w:r>
          </w:p>
        </w:tc>
        <w:tc>
          <w:tcPr>
            <w:tcW w:w="1023" w:type="dxa"/>
            <w:tcBorders>
              <w:top w:val="single" w:sz="12" w:space="0" w:color="auto"/>
              <w:bottom w:val="single" w:sz="4" w:space="0" w:color="auto"/>
            </w:tcBorders>
            <w:shd w:val="clear" w:color="auto" w:fill="auto"/>
            <w:vAlign w:val="bottom"/>
          </w:tcPr>
          <w:p w14:paraId="364CEF4E" w14:textId="77777777" w:rsidR="00B92948" w:rsidRPr="007D1B32" w:rsidRDefault="00B92948" w:rsidP="007D1B32">
            <w:pPr>
              <w:pStyle w:val="SingleTxtG"/>
              <w:tabs>
                <w:tab w:val="clear" w:pos="1701"/>
                <w:tab w:val="clear" w:pos="2268"/>
                <w:tab w:val="clear" w:pos="2835"/>
              </w:tabs>
              <w:spacing w:before="80" w:after="80" w:line="220" w:lineRule="exact"/>
              <w:ind w:left="0" w:rightChars="28" w:right="56"/>
              <w:jc w:val="right"/>
              <w:rPr>
                <w:b/>
                <w:sz w:val="18"/>
              </w:rPr>
            </w:pPr>
            <w:r w:rsidRPr="007D1B32">
              <w:rPr>
                <w:b/>
                <w:sz w:val="18"/>
              </w:rPr>
              <w:t>11,9</w:t>
            </w:r>
          </w:p>
        </w:tc>
      </w:tr>
      <w:tr w:rsidR="00B92948" w:rsidRPr="003231AF" w14:paraId="2235189D" w14:textId="77777777" w:rsidTr="007D1B32">
        <w:trPr>
          <w:trHeight w:val="240"/>
        </w:trPr>
        <w:tc>
          <w:tcPr>
            <w:tcW w:w="1234" w:type="dxa"/>
            <w:tcBorders>
              <w:top w:val="single" w:sz="4" w:space="0" w:color="auto"/>
            </w:tcBorders>
            <w:shd w:val="clear" w:color="auto" w:fill="auto"/>
          </w:tcPr>
          <w:p w14:paraId="542C9D5C" w14:textId="77777777" w:rsidR="00B92948" w:rsidRPr="003231AF" w:rsidRDefault="00B92948" w:rsidP="003231AF">
            <w:pPr>
              <w:pStyle w:val="SingleTxtG"/>
              <w:tabs>
                <w:tab w:val="clear" w:pos="1701"/>
                <w:tab w:val="clear" w:pos="2268"/>
                <w:tab w:val="clear" w:pos="2835"/>
              </w:tabs>
              <w:spacing w:before="40" w:after="40" w:line="220" w:lineRule="exact"/>
              <w:ind w:left="0" w:right="0"/>
              <w:jc w:val="left"/>
              <w:rPr>
                <w:sz w:val="18"/>
              </w:rPr>
            </w:pPr>
            <w:r w:rsidRPr="003231AF">
              <w:rPr>
                <w:sz w:val="18"/>
              </w:rPr>
              <w:t>Macedonio</w:t>
            </w:r>
          </w:p>
        </w:tc>
        <w:tc>
          <w:tcPr>
            <w:tcW w:w="1022" w:type="dxa"/>
            <w:tcBorders>
              <w:top w:val="single" w:sz="4" w:space="0" w:color="auto"/>
            </w:tcBorders>
            <w:shd w:val="clear" w:color="auto" w:fill="auto"/>
            <w:vAlign w:val="bottom"/>
          </w:tcPr>
          <w:p w14:paraId="4E9DB2EE" w14:textId="77777777" w:rsidR="00B92948" w:rsidRPr="003231AF" w:rsidRDefault="00B92948" w:rsidP="007D1B32">
            <w:pPr>
              <w:pStyle w:val="SingleTxtG"/>
              <w:tabs>
                <w:tab w:val="clear" w:pos="1701"/>
                <w:tab w:val="clear" w:pos="2268"/>
                <w:tab w:val="clear" w:pos="2835"/>
              </w:tabs>
              <w:spacing w:before="40" w:after="40" w:line="220" w:lineRule="exact"/>
              <w:ind w:left="113" w:rightChars="28" w:right="56"/>
              <w:jc w:val="right"/>
              <w:rPr>
                <w:sz w:val="18"/>
              </w:rPr>
            </w:pPr>
            <w:r w:rsidRPr="003231AF">
              <w:rPr>
                <w:sz w:val="18"/>
              </w:rPr>
              <w:t>6,0</w:t>
            </w:r>
          </w:p>
        </w:tc>
        <w:tc>
          <w:tcPr>
            <w:tcW w:w="1023" w:type="dxa"/>
            <w:tcBorders>
              <w:top w:val="single" w:sz="4" w:space="0" w:color="auto"/>
            </w:tcBorders>
            <w:shd w:val="clear" w:color="auto" w:fill="auto"/>
            <w:vAlign w:val="bottom"/>
          </w:tcPr>
          <w:p w14:paraId="12E62C81" w14:textId="77777777" w:rsidR="00B92948" w:rsidRPr="003231AF" w:rsidRDefault="00B92948" w:rsidP="007D1B32">
            <w:pPr>
              <w:pStyle w:val="SingleTxtG"/>
              <w:tabs>
                <w:tab w:val="clear" w:pos="1701"/>
                <w:tab w:val="clear" w:pos="2268"/>
                <w:tab w:val="clear" w:pos="2835"/>
              </w:tabs>
              <w:spacing w:before="40" w:after="40" w:line="220" w:lineRule="exact"/>
              <w:ind w:left="113" w:rightChars="28" w:right="56"/>
              <w:jc w:val="right"/>
              <w:rPr>
                <w:sz w:val="18"/>
              </w:rPr>
            </w:pPr>
            <w:r w:rsidRPr="003231AF">
              <w:rPr>
                <w:sz w:val="18"/>
              </w:rPr>
              <w:t>8,2</w:t>
            </w:r>
          </w:p>
        </w:tc>
        <w:tc>
          <w:tcPr>
            <w:tcW w:w="1023" w:type="dxa"/>
            <w:tcBorders>
              <w:top w:val="single" w:sz="4" w:space="0" w:color="auto"/>
            </w:tcBorders>
            <w:shd w:val="clear" w:color="auto" w:fill="auto"/>
            <w:vAlign w:val="bottom"/>
          </w:tcPr>
          <w:p w14:paraId="234614C0" w14:textId="77777777" w:rsidR="00B92948" w:rsidRPr="003231AF" w:rsidRDefault="00B92948" w:rsidP="007D1B32">
            <w:pPr>
              <w:pStyle w:val="SingleTxtG"/>
              <w:tabs>
                <w:tab w:val="clear" w:pos="1701"/>
                <w:tab w:val="clear" w:pos="2268"/>
                <w:tab w:val="clear" w:pos="2835"/>
              </w:tabs>
              <w:spacing w:before="40" w:after="40" w:line="220" w:lineRule="exact"/>
              <w:ind w:left="113" w:rightChars="28" w:right="56"/>
              <w:jc w:val="right"/>
              <w:rPr>
                <w:sz w:val="18"/>
              </w:rPr>
            </w:pPr>
            <w:r w:rsidRPr="003231AF">
              <w:rPr>
                <w:sz w:val="18"/>
              </w:rPr>
              <w:t>8,4</w:t>
            </w:r>
          </w:p>
        </w:tc>
        <w:tc>
          <w:tcPr>
            <w:tcW w:w="1022" w:type="dxa"/>
            <w:tcBorders>
              <w:top w:val="single" w:sz="4" w:space="0" w:color="auto"/>
            </w:tcBorders>
            <w:shd w:val="clear" w:color="auto" w:fill="auto"/>
            <w:vAlign w:val="bottom"/>
          </w:tcPr>
          <w:p w14:paraId="5296D2F4" w14:textId="77777777" w:rsidR="00B92948" w:rsidRPr="003231AF" w:rsidRDefault="00B92948" w:rsidP="007D1B32">
            <w:pPr>
              <w:pStyle w:val="SingleTxtG"/>
              <w:tabs>
                <w:tab w:val="clear" w:pos="1701"/>
                <w:tab w:val="clear" w:pos="2268"/>
                <w:tab w:val="clear" w:pos="2835"/>
              </w:tabs>
              <w:spacing w:before="40" w:after="40" w:line="220" w:lineRule="exact"/>
              <w:ind w:left="113" w:rightChars="28" w:right="56"/>
              <w:jc w:val="right"/>
              <w:rPr>
                <w:sz w:val="18"/>
              </w:rPr>
            </w:pPr>
            <w:r w:rsidRPr="003231AF">
              <w:rPr>
                <w:sz w:val="18"/>
              </w:rPr>
              <w:t>10,7</w:t>
            </w:r>
          </w:p>
        </w:tc>
        <w:tc>
          <w:tcPr>
            <w:tcW w:w="1023" w:type="dxa"/>
            <w:tcBorders>
              <w:top w:val="single" w:sz="4" w:space="0" w:color="auto"/>
            </w:tcBorders>
            <w:shd w:val="clear" w:color="auto" w:fill="auto"/>
            <w:vAlign w:val="bottom"/>
          </w:tcPr>
          <w:p w14:paraId="7F27C63C" w14:textId="77777777" w:rsidR="00B92948" w:rsidRPr="003231AF" w:rsidRDefault="00B92948" w:rsidP="007D1B32">
            <w:pPr>
              <w:pStyle w:val="SingleTxtG"/>
              <w:tabs>
                <w:tab w:val="clear" w:pos="1701"/>
                <w:tab w:val="clear" w:pos="2268"/>
                <w:tab w:val="clear" w:pos="2835"/>
              </w:tabs>
              <w:spacing w:before="40" w:after="40" w:line="220" w:lineRule="exact"/>
              <w:ind w:left="113" w:rightChars="28" w:right="56"/>
              <w:jc w:val="right"/>
              <w:rPr>
                <w:sz w:val="18"/>
              </w:rPr>
            </w:pPr>
            <w:r w:rsidRPr="003231AF">
              <w:rPr>
                <w:sz w:val="18"/>
              </w:rPr>
              <w:t>7,7</w:t>
            </w:r>
          </w:p>
        </w:tc>
        <w:tc>
          <w:tcPr>
            <w:tcW w:w="1023" w:type="dxa"/>
            <w:tcBorders>
              <w:top w:val="single" w:sz="4" w:space="0" w:color="auto"/>
            </w:tcBorders>
            <w:shd w:val="clear" w:color="auto" w:fill="auto"/>
            <w:vAlign w:val="bottom"/>
          </w:tcPr>
          <w:p w14:paraId="33ECE5B5" w14:textId="77777777" w:rsidR="00B92948" w:rsidRPr="003231AF" w:rsidRDefault="00B92948" w:rsidP="007D1B32">
            <w:pPr>
              <w:pStyle w:val="SingleTxtG"/>
              <w:tabs>
                <w:tab w:val="clear" w:pos="1701"/>
                <w:tab w:val="clear" w:pos="2268"/>
                <w:tab w:val="clear" w:pos="2835"/>
              </w:tabs>
              <w:spacing w:before="40" w:after="40" w:line="220" w:lineRule="exact"/>
              <w:ind w:left="113" w:rightChars="28" w:right="56"/>
              <w:jc w:val="right"/>
              <w:rPr>
                <w:sz w:val="18"/>
              </w:rPr>
            </w:pPr>
            <w:r w:rsidRPr="003231AF">
              <w:rPr>
                <w:sz w:val="18"/>
              </w:rPr>
              <w:t>10,4</w:t>
            </w:r>
          </w:p>
        </w:tc>
      </w:tr>
      <w:tr w:rsidR="00B92948" w:rsidRPr="003231AF" w14:paraId="2D2B5E8A" w14:textId="77777777" w:rsidTr="007D1B32">
        <w:trPr>
          <w:trHeight w:val="240"/>
        </w:trPr>
        <w:tc>
          <w:tcPr>
            <w:tcW w:w="1234" w:type="dxa"/>
            <w:shd w:val="clear" w:color="auto" w:fill="auto"/>
          </w:tcPr>
          <w:p w14:paraId="69FDF9ED" w14:textId="77777777" w:rsidR="00B92948" w:rsidRPr="003231AF" w:rsidRDefault="00B92948" w:rsidP="003231AF">
            <w:pPr>
              <w:pStyle w:val="SingleTxtG"/>
              <w:tabs>
                <w:tab w:val="clear" w:pos="1701"/>
                <w:tab w:val="clear" w:pos="2268"/>
                <w:tab w:val="clear" w:pos="2835"/>
              </w:tabs>
              <w:spacing w:before="40" w:after="40" w:line="220" w:lineRule="exact"/>
              <w:ind w:left="0" w:right="0"/>
              <w:jc w:val="left"/>
              <w:rPr>
                <w:sz w:val="18"/>
              </w:rPr>
            </w:pPr>
            <w:r w:rsidRPr="003231AF">
              <w:rPr>
                <w:sz w:val="18"/>
              </w:rPr>
              <w:t>Albanés</w:t>
            </w:r>
          </w:p>
        </w:tc>
        <w:tc>
          <w:tcPr>
            <w:tcW w:w="1022" w:type="dxa"/>
            <w:shd w:val="clear" w:color="auto" w:fill="auto"/>
            <w:vAlign w:val="bottom"/>
          </w:tcPr>
          <w:p w14:paraId="4F69F075" w14:textId="77777777" w:rsidR="00B92948" w:rsidRPr="003231AF" w:rsidRDefault="00B92948" w:rsidP="007D1B32">
            <w:pPr>
              <w:pStyle w:val="SingleTxtG"/>
              <w:tabs>
                <w:tab w:val="clear" w:pos="1701"/>
                <w:tab w:val="clear" w:pos="2268"/>
                <w:tab w:val="clear" w:pos="2835"/>
              </w:tabs>
              <w:spacing w:before="40" w:after="40" w:line="220" w:lineRule="exact"/>
              <w:ind w:left="113" w:rightChars="28" w:right="56"/>
              <w:jc w:val="right"/>
              <w:rPr>
                <w:sz w:val="18"/>
              </w:rPr>
            </w:pPr>
            <w:r w:rsidRPr="003231AF">
              <w:rPr>
                <w:sz w:val="18"/>
              </w:rPr>
              <w:t>10,1</w:t>
            </w:r>
          </w:p>
        </w:tc>
        <w:tc>
          <w:tcPr>
            <w:tcW w:w="1023" w:type="dxa"/>
            <w:shd w:val="clear" w:color="auto" w:fill="auto"/>
            <w:vAlign w:val="bottom"/>
          </w:tcPr>
          <w:p w14:paraId="2E3A9FE8" w14:textId="77777777" w:rsidR="00B92948" w:rsidRPr="003231AF" w:rsidRDefault="00B92948" w:rsidP="007D1B32">
            <w:pPr>
              <w:pStyle w:val="SingleTxtG"/>
              <w:tabs>
                <w:tab w:val="clear" w:pos="1701"/>
                <w:tab w:val="clear" w:pos="2268"/>
                <w:tab w:val="clear" w:pos="2835"/>
              </w:tabs>
              <w:spacing w:before="40" w:after="40" w:line="220" w:lineRule="exact"/>
              <w:ind w:left="113" w:rightChars="28" w:right="56"/>
              <w:jc w:val="right"/>
              <w:rPr>
                <w:sz w:val="18"/>
              </w:rPr>
            </w:pPr>
            <w:r w:rsidRPr="003231AF">
              <w:rPr>
                <w:sz w:val="18"/>
              </w:rPr>
              <w:t>10,8</w:t>
            </w:r>
          </w:p>
        </w:tc>
        <w:tc>
          <w:tcPr>
            <w:tcW w:w="1023" w:type="dxa"/>
            <w:shd w:val="clear" w:color="auto" w:fill="auto"/>
            <w:vAlign w:val="bottom"/>
          </w:tcPr>
          <w:p w14:paraId="1A15543C" w14:textId="77777777" w:rsidR="00B92948" w:rsidRPr="003231AF" w:rsidRDefault="00B92948" w:rsidP="007D1B32">
            <w:pPr>
              <w:pStyle w:val="SingleTxtG"/>
              <w:tabs>
                <w:tab w:val="clear" w:pos="1701"/>
                <w:tab w:val="clear" w:pos="2268"/>
                <w:tab w:val="clear" w:pos="2835"/>
              </w:tabs>
              <w:spacing w:before="40" w:after="40" w:line="220" w:lineRule="exact"/>
              <w:ind w:left="113" w:rightChars="28" w:right="56"/>
              <w:jc w:val="right"/>
              <w:rPr>
                <w:sz w:val="18"/>
              </w:rPr>
            </w:pPr>
            <w:r w:rsidRPr="003231AF">
              <w:rPr>
                <w:sz w:val="18"/>
              </w:rPr>
              <w:t>11,9</w:t>
            </w:r>
          </w:p>
        </w:tc>
        <w:tc>
          <w:tcPr>
            <w:tcW w:w="1022" w:type="dxa"/>
            <w:shd w:val="clear" w:color="auto" w:fill="auto"/>
            <w:vAlign w:val="bottom"/>
          </w:tcPr>
          <w:p w14:paraId="3F4D4A2E" w14:textId="77777777" w:rsidR="00B92948" w:rsidRPr="003231AF" w:rsidRDefault="00B92948" w:rsidP="007D1B32">
            <w:pPr>
              <w:pStyle w:val="SingleTxtG"/>
              <w:tabs>
                <w:tab w:val="clear" w:pos="1701"/>
                <w:tab w:val="clear" w:pos="2268"/>
                <w:tab w:val="clear" w:pos="2835"/>
              </w:tabs>
              <w:spacing w:before="40" w:after="40" w:line="220" w:lineRule="exact"/>
              <w:ind w:left="113" w:rightChars="28" w:right="56"/>
              <w:jc w:val="right"/>
              <w:rPr>
                <w:sz w:val="18"/>
              </w:rPr>
            </w:pPr>
            <w:r w:rsidRPr="003231AF">
              <w:rPr>
                <w:sz w:val="18"/>
              </w:rPr>
              <w:t>8,6</w:t>
            </w:r>
          </w:p>
        </w:tc>
        <w:tc>
          <w:tcPr>
            <w:tcW w:w="1023" w:type="dxa"/>
            <w:shd w:val="clear" w:color="auto" w:fill="auto"/>
            <w:vAlign w:val="bottom"/>
          </w:tcPr>
          <w:p w14:paraId="13238C06" w14:textId="77777777" w:rsidR="00B92948" w:rsidRPr="003231AF" w:rsidRDefault="00B92948" w:rsidP="007D1B32">
            <w:pPr>
              <w:pStyle w:val="SingleTxtG"/>
              <w:tabs>
                <w:tab w:val="clear" w:pos="1701"/>
                <w:tab w:val="clear" w:pos="2268"/>
                <w:tab w:val="clear" w:pos="2835"/>
              </w:tabs>
              <w:spacing w:before="40" w:after="40" w:line="220" w:lineRule="exact"/>
              <w:ind w:left="113" w:rightChars="28" w:right="56"/>
              <w:jc w:val="right"/>
              <w:rPr>
                <w:sz w:val="18"/>
              </w:rPr>
            </w:pPr>
            <w:r w:rsidRPr="003231AF">
              <w:rPr>
                <w:sz w:val="18"/>
              </w:rPr>
              <w:t>10,3</w:t>
            </w:r>
          </w:p>
        </w:tc>
        <w:tc>
          <w:tcPr>
            <w:tcW w:w="1023" w:type="dxa"/>
            <w:shd w:val="clear" w:color="auto" w:fill="auto"/>
            <w:vAlign w:val="bottom"/>
          </w:tcPr>
          <w:p w14:paraId="55BF7654" w14:textId="77777777" w:rsidR="00B92948" w:rsidRPr="003231AF" w:rsidRDefault="00B92948" w:rsidP="007D1B32">
            <w:pPr>
              <w:pStyle w:val="SingleTxtG"/>
              <w:tabs>
                <w:tab w:val="clear" w:pos="1701"/>
                <w:tab w:val="clear" w:pos="2268"/>
                <w:tab w:val="clear" w:pos="2835"/>
              </w:tabs>
              <w:spacing w:before="40" w:after="40" w:line="220" w:lineRule="exact"/>
              <w:ind w:left="113" w:rightChars="28" w:right="56"/>
              <w:jc w:val="right"/>
              <w:rPr>
                <w:sz w:val="18"/>
              </w:rPr>
            </w:pPr>
            <w:r w:rsidRPr="003231AF">
              <w:rPr>
                <w:sz w:val="18"/>
              </w:rPr>
              <w:t>14,3</w:t>
            </w:r>
          </w:p>
        </w:tc>
      </w:tr>
      <w:tr w:rsidR="00B92948" w:rsidRPr="003231AF" w14:paraId="79CEFAE4" w14:textId="77777777" w:rsidTr="007D1B32">
        <w:trPr>
          <w:trHeight w:val="240"/>
        </w:trPr>
        <w:tc>
          <w:tcPr>
            <w:tcW w:w="1234" w:type="dxa"/>
            <w:shd w:val="clear" w:color="auto" w:fill="auto"/>
          </w:tcPr>
          <w:p w14:paraId="73D6AECB" w14:textId="77777777" w:rsidR="00B92948" w:rsidRPr="003231AF" w:rsidRDefault="00B92948" w:rsidP="003231AF">
            <w:pPr>
              <w:pStyle w:val="SingleTxtG"/>
              <w:tabs>
                <w:tab w:val="clear" w:pos="1701"/>
                <w:tab w:val="clear" w:pos="2268"/>
                <w:tab w:val="clear" w:pos="2835"/>
              </w:tabs>
              <w:spacing w:before="40" w:after="40" w:line="220" w:lineRule="exact"/>
              <w:ind w:left="0" w:right="0"/>
              <w:jc w:val="left"/>
              <w:rPr>
                <w:sz w:val="18"/>
              </w:rPr>
            </w:pPr>
            <w:r w:rsidRPr="003231AF">
              <w:rPr>
                <w:sz w:val="18"/>
              </w:rPr>
              <w:t>Turco</w:t>
            </w:r>
          </w:p>
        </w:tc>
        <w:tc>
          <w:tcPr>
            <w:tcW w:w="1022" w:type="dxa"/>
            <w:shd w:val="clear" w:color="auto" w:fill="auto"/>
            <w:vAlign w:val="bottom"/>
          </w:tcPr>
          <w:p w14:paraId="0DFC99B6" w14:textId="77777777" w:rsidR="00B92948" w:rsidRPr="003231AF" w:rsidRDefault="00B92948" w:rsidP="007D1B32">
            <w:pPr>
              <w:pStyle w:val="SingleTxtG"/>
              <w:tabs>
                <w:tab w:val="clear" w:pos="1701"/>
                <w:tab w:val="clear" w:pos="2268"/>
                <w:tab w:val="clear" w:pos="2835"/>
              </w:tabs>
              <w:spacing w:before="40" w:after="40" w:line="220" w:lineRule="exact"/>
              <w:ind w:left="113" w:rightChars="28" w:right="56"/>
              <w:jc w:val="right"/>
              <w:rPr>
                <w:sz w:val="18"/>
              </w:rPr>
            </w:pPr>
            <w:r w:rsidRPr="003231AF">
              <w:rPr>
                <w:sz w:val="18"/>
              </w:rPr>
              <w:t>3,8</w:t>
            </w:r>
          </w:p>
        </w:tc>
        <w:tc>
          <w:tcPr>
            <w:tcW w:w="1023" w:type="dxa"/>
            <w:shd w:val="clear" w:color="auto" w:fill="auto"/>
            <w:vAlign w:val="bottom"/>
          </w:tcPr>
          <w:p w14:paraId="2EA18740" w14:textId="77777777" w:rsidR="00B92948" w:rsidRPr="003231AF" w:rsidRDefault="00B92948" w:rsidP="007D1B32">
            <w:pPr>
              <w:pStyle w:val="SingleTxtG"/>
              <w:tabs>
                <w:tab w:val="clear" w:pos="1701"/>
                <w:tab w:val="clear" w:pos="2268"/>
                <w:tab w:val="clear" w:pos="2835"/>
              </w:tabs>
              <w:spacing w:before="40" w:after="40" w:line="220" w:lineRule="exact"/>
              <w:ind w:left="113" w:rightChars="28" w:right="56"/>
              <w:jc w:val="right"/>
              <w:rPr>
                <w:sz w:val="18"/>
              </w:rPr>
            </w:pPr>
            <w:r w:rsidRPr="003231AF">
              <w:rPr>
                <w:sz w:val="18"/>
              </w:rPr>
              <w:t>16,5</w:t>
            </w:r>
          </w:p>
        </w:tc>
        <w:tc>
          <w:tcPr>
            <w:tcW w:w="1023" w:type="dxa"/>
            <w:shd w:val="clear" w:color="auto" w:fill="auto"/>
            <w:vAlign w:val="bottom"/>
          </w:tcPr>
          <w:p w14:paraId="05CE7B92" w14:textId="77777777" w:rsidR="00B92948" w:rsidRPr="003231AF" w:rsidRDefault="00B92948" w:rsidP="007D1B32">
            <w:pPr>
              <w:pStyle w:val="SingleTxtG"/>
              <w:tabs>
                <w:tab w:val="clear" w:pos="1701"/>
                <w:tab w:val="clear" w:pos="2268"/>
                <w:tab w:val="clear" w:pos="2835"/>
              </w:tabs>
              <w:spacing w:before="40" w:after="40" w:line="220" w:lineRule="exact"/>
              <w:ind w:left="113" w:rightChars="28" w:right="56"/>
              <w:jc w:val="right"/>
              <w:rPr>
                <w:sz w:val="18"/>
              </w:rPr>
            </w:pPr>
            <w:r w:rsidRPr="003231AF">
              <w:rPr>
                <w:sz w:val="18"/>
              </w:rPr>
              <w:t>8,1</w:t>
            </w:r>
          </w:p>
        </w:tc>
        <w:tc>
          <w:tcPr>
            <w:tcW w:w="1022" w:type="dxa"/>
            <w:shd w:val="clear" w:color="auto" w:fill="auto"/>
            <w:vAlign w:val="bottom"/>
          </w:tcPr>
          <w:p w14:paraId="5D6730EE" w14:textId="77777777" w:rsidR="00B92948" w:rsidRPr="003231AF" w:rsidRDefault="00B92948" w:rsidP="007D1B32">
            <w:pPr>
              <w:pStyle w:val="SingleTxtG"/>
              <w:tabs>
                <w:tab w:val="clear" w:pos="1701"/>
                <w:tab w:val="clear" w:pos="2268"/>
                <w:tab w:val="clear" w:pos="2835"/>
              </w:tabs>
              <w:spacing w:before="40" w:after="40" w:line="220" w:lineRule="exact"/>
              <w:ind w:left="113" w:rightChars="28" w:right="56"/>
              <w:jc w:val="right"/>
              <w:rPr>
                <w:sz w:val="18"/>
              </w:rPr>
            </w:pPr>
            <w:r w:rsidRPr="003231AF">
              <w:rPr>
                <w:sz w:val="18"/>
              </w:rPr>
              <w:t>7</w:t>
            </w:r>
          </w:p>
        </w:tc>
        <w:tc>
          <w:tcPr>
            <w:tcW w:w="1023" w:type="dxa"/>
            <w:shd w:val="clear" w:color="auto" w:fill="auto"/>
            <w:vAlign w:val="bottom"/>
          </w:tcPr>
          <w:p w14:paraId="5ACD10B2" w14:textId="77777777" w:rsidR="00B92948" w:rsidRPr="003231AF" w:rsidRDefault="00B92948" w:rsidP="007D1B32">
            <w:pPr>
              <w:pStyle w:val="SingleTxtG"/>
              <w:tabs>
                <w:tab w:val="clear" w:pos="1701"/>
                <w:tab w:val="clear" w:pos="2268"/>
                <w:tab w:val="clear" w:pos="2835"/>
              </w:tabs>
              <w:spacing w:before="40" w:after="40" w:line="220" w:lineRule="exact"/>
              <w:ind w:left="113" w:rightChars="28" w:right="56"/>
              <w:jc w:val="right"/>
              <w:rPr>
                <w:sz w:val="18"/>
              </w:rPr>
            </w:pPr>
            <w:r w:rsidRPr="003231AF">
              <w:rPr>
                <w:sz w:val="18"/>
              </w:rPr>
              <w:t>4,5</w:t>
            </w:r>
          </w:p>
        </w:tc>
        <w:tc>
          <w:tcPr>
            <w:tcW w:w="1023" w:type="dxa"/>
            <w:shd w:val="clear" w:color="auto" w:fill="auto"/>
            <w:vAlign w:val="bottom"/>
          </w:tcPr>
          <w:p w14:paraId="08066EA2" w14:textId="77777777" w:rsidR="00B92948" w:rsidRPr="003231AF" w:rsidRDefault="00B92948" w:rsidP="007D1B32">
            <w:pPr>
              <w:pStyle w:val="SingleTxtG"/>
              <w:tabs>
                <w:tab w:val="clear" w:pos="1701"/>
                <w:tab w:val="clear" w:pos="2268"/>
                <w:tab w:val="clear" w:pos="2835"/>
              </w:tabs>
              <w:spacing w:before="40" w:after="40" w:line="220" w:lineRule="exact"/>
              <w:ind w:left="113" w:rightChars="28" w:right="56"/>
              <w:jc w:val="right"/>
              <w:rPr>
                <w:sz w:val="18"/>
              </w:rPr>
            </w:pPr>
            <w:r w:rsidRPr="003231AF">
              <w:rPr>
                <w:sz w:val="18"/>
              </w:rPr>
              <w:t>8,7</w:t>
            </w:r>
          </w:p>
        </w:tc>
      </w:tr>
      <w:tr w:rsidR="00B92948" w:rsidRPr="003231AF" w14:paraId="2D389D6C" w14:textId="77777777" w:rsidTr="007D1B32">
        <w:trPr>
          <w:trHeight w:val="240"/>
        </w:trPr>
        <w:tc>
          <w:tcPr>
            <w:tcW w:w="1234" w:type="dxa"/>
            <w:shd w:val="clear" w:color="auto" w:fill="auto"/>
          </w:tcPr>
          <w:p w14:paraId="147BE5F5" w14:textId="77777777" w:rsidR="00B92948" w:rsidRPr="003231AF" w:rsidRDefault="00B92948" w:rsidP="003231AF">
            <w:pPr>
              <w:pStyle w:val="SingleTxtG"/>
              <w:tabs>
                <w:tab w:val="clear" w:pos="1701"/>
                <w:tab w:val="clear" w:pos="2268"/>
                <w:tab w:val="clear" w:pos="2835"/>
              </w:tabs>
              <w:spacing w:before="40" w:after="40" w:line="220" w:lineRule="exact"/>
              <w:ind w:left="0" w:right="0"/>
              <w:jc w:val="left"/>
              <w:rPr>
                <w:sz w:val="18"/>
              </w:rPr>
            </w:pPr>
            <w:r w:rsidRPr="003231AF">
              <w:rPr>
                <w:sz w:val="18"/>
              </w:rPr>
              <w:t>Romaní</w:t>
            </w:r>
          </w:p>
        </w:tc>
        <w:tc>
          <w:tcPr>
            <w:tcW w:w="1022" w:type="dxa"/>
            <w:shd w:val="clear" w:color="auto" w:fill="auto"/>
            <w:vAlign w:val="bottom"/>
          </w:tcPr>
          <w:p w14:paraId="7031957C" w14:textId="77777777" w:rsidR="00B92948" w:rsidRPr="003231AF" w:rsidRDefault="00B92948" w:rsidP="007D1B32">
            <w:pPr>
              <w:pStyle w:val="SingleTxtG"/>
              <w:tabs>
                <w:tab w:val="clear" w:pos="1701"/>
                <w:tab w:val="clear" w:pos="2268"/>
                <w:tab w:val="clear" w:pos="2835"/>
              </w:tabs>
              <w:spacing w:before="40" w:after="40" w:line="220" w:lineRule="exact"/>
              <w:ind w:left="113" w:rightChars="28" w:right="56"/>
              <w:jc w:val="right"/>
              <w:rPr>
                <w:sz w:val="18"/>
              </w:rPr>
            </w:pPr>
            <w:r w:rsidRPr="003231AF">
              <w:rPr>
                <w:sz w:val="18"/>
              </w:rPr>
              <w:t>10,2</w:t>
            </w:r>
          </w:p>
        </w:tc>
        <w:tc>
          <w:tcPr>
            <w:tcW w:w="1023" w:type="dxa"/>
            <w:shd w:val="clear" w:color="auto" w:fill="auto"/>
            <w:vAlign w:val="bottom"/>
          </w:tcPr>
          <w:p w14:paraId="394099B4" w14:textId="77777777" w:rsidR="00B92948" w:rsidRPr="003231AF" w:rsidRDefault="00B92948" w:rsidP="007D1B32">
            <w:pPr>
              <w:pStyle w:val="SingleTxtG"/>
              <w:tabs>
                <w:tab w:val="clear" w:pos="1701"/>
                <w:tab w:val="clear" w:pos="2268"/>
                <w:tab w:val="clear" w:pos="2835"/>
              </w:tabs>
              <w:spacing w:before="40" w:after="40" w:line="220" w:lineRule="exact"/>
              <w:ind w:left="113" w:rightChars="28" w:right="56"/>
              <w:jc w:val="right"/>
              <w:rPr>
                <w:sz w:val="18"/>
              </w:rPr>
            </w:pPr>
            <w:r w:rsidRPr="003231AF">
              <w:rPr>
                <w:sz w:val="18"/>
              </w:rPr>
              <w:t>11,6</w:t>
            </w:r>
          </w:p>
        </w:tc>
        <w:tc>
          <w:tcPr>
            <w:tcW w:w="1023" w:type="dxa"/>
            <w:shd w:val="clear" w:color="auto" w:fill="auto"/>
            <w:vAlign w:val="bottom"/>
          </w:tcPr>
          <w:p w14:paraId="7E555857" w14:textId="77777777" w:rsidR="00B92948" w:rsidRPr="003231AF" w:rsidRDefault="00B92948" w:rsidP="007D1B32">
            <w:pPr>
              <w:pStyle w:val="SingleTxtG"/>
              <w:tabs>
                <w:tab w:val="clear" w:pos="1701"/>
                <w:tab w:val="clear" w:pos="2268"/>
                <w:tab w:val="clear" w:pos="2835"/>
              </w:tabs>
              <w:spacing w:before="40" w:after="40" w:line="220" w:lineRule="exact"/>
              <w:ind w:left="113" w:rightChars="28" w:right="56"/>
              <w:jc w:val="right"/>
              <w:rPr>
                <w:sz w:val="18"/>
              </w:rPr>
            </w:pPr>
            <w:r w:rsidRPr="003231AF">
              <w:rPr>
                <w:sz w:val="18"/>
              </w:rPr>
              <w:t>17,4</w:t>
            </w:r>
          </w:p>
        </w:tc>
        <w:tc>
          <w:tcPr>
            <w:tcW w:w="1022" w:type="dxa"/>
            <w:shd w:val="clear" w:color="auto" w:fill="auto"/>
            <w:vAlign w:val="bottom"/>
          </w:tcPr>
          <w:p w14:paraId="2B2B0C86" w14:textId="77777777" w:rsidR="00B92948" w:rsidRPr="003231AF" w:rsidRDefault="00B92948" w:rsidP="007D1B32">
            <w:pPr>
              <w:pStyle w:val="SingleTxtG"/>
              <w:tabs>
                <w:tab w:val="clear" w:pos="1701"/>
                <w:tab w:val="clear" w:pos="2268"/>
                <w:tab w:val="clear" w:pos="2835"/>
              </w:tabs>
              <w:spacing w:before="40" w:after="40" w:line="220" w:lineRule="exact"/>
              <w:ind w:left="113" w:rightChars="28" w:right="56"/>
              <w:jc w:val="right"/>
              <w:rPr>
                <w:sz w:val="18"/>
              </w:rPr>
            </w:pPr>
            <w:r w:rsidRPr="003231AF">
              <w:rPr>
                <w:sz w:val="18"/>
              </w:rPr>
              <w:t>14,2</w:t>
            </w:r>
          </w:p>
        </w:tc>
        <w:tc>
          <w:tcPr>
            <w:tcW w:w="1023" w:type="dxa"/>
            <w:shd w:val="clear" w:color="auto" w:fill="auto"/>
            <w:vAlign w:val="bottom"/>
          </w:tcPr>
          <w:p w14:paraId="2D8C4187" w14:textId="77777777" w:rsidR="00B92948" w:rsidRPr="003231AF" w:rsidRDefault="00B92948" w:rsidP="007D1B32">
            <w:pPr>
              <w:pStyle w:val="SingleTxtG"/>
              <w:tabs>
                <w:tab w:val="clear" w:pos="1701"/>
                <w:tab w:val="clear" w:pos="2268"/>
                <w:tab w:val="clear" w:pos="2835"/>
              </w:tabs>
              <w:spacing w:before="40" w:after="40" w:line="220" w:lineRule="exact"/>
              <w:ind w:left="113" w:rightChars="28" w:right="56"/>
              <w:jc w:val="right"/>
              <w:rPr>
                <w:sz w:val="18"/>
              </w:rPr>
            </w:pPr>
            <w:r w:rsidRPr="003231AF">
              <w:rPr>
                <w:sz w:val="18"/>
              </w:rPr>
              <w:t>11,8</w:t>
            </w:r>
          </w:p>
        </w:tc>
        <w:tc>
          <w:tcPr>
            <w:tcW w:w="1023" w:type="dxa"/>
            <w:shd w:val="clear" w:color="auto" w:fill="auto"/>
            <w:vAlign w:val="bottom"/>
          </w:tcPr>
          <w:p w14:paraId="78BAB181" w14:textId="77777777" w:rsidR="00B92948" w:rsidRPr="003231AF" w:rsidRDefault="00B92948" w:rsidP="007D1B32">
            <w:pPr>
              <w:pStyle w:val="SingleTxtG"/>
              <w:tabs>
                <w:tab w:val="clear" w:pos="1701"/>
                <w:tab w:val="clear" w:pos="2268"/>
                <w:tab w:val="clear" w:pos="2835"/>
              </w:tabs>
              <w:spacing w:before="40" w:after="40" w:line="220" w:lineRule="exact"/>
              <w:ind w:left="113" w:rightChars="28" w:right="56"/>
              <w:jc w:val="right"/>
              <w:rPr>
                <w:sz w:val="18"/>
              </w:rPr>
            </w:pPr>
            <w:r w:rsidRPr="003231AF">
              <w:rPr>
                <w:sz w:val="18"/>
              </w:rPr>
              <w:t>11,2</w:t>
            </w:r>
          </w:p>
        </w:tc>
      </w:tr>
      <w:tr w:rsidR="00B92948" w:rsidRPr="003231AF" w14:paraId="7978AEFA" w14:textId="77777777" w:rsidTr="007D1B32">
        <w:trPr>
          <w:trHeight w:val="240"/>
        </w:trPr>
        <w:tc>
          <w:tcPr>
            <w:tcW w:w="1234" w:type="dxa"/>
            <w:tcBorders>
              <w:bottom w:val="single" w:sz="12" w:space="0" w:color="auto"/>
            </w:tcBorders>
            <w:shd w:val="clear" w:color="auto" w:fill="auto"/>
          </w:tcPr>
          <w:p w14:paraId="6FFBFFF0" w14:textId="77777777" w:rsidR="00B92948" w:rsidRPr="003231AF" w:rsidRDefault="00B92948" w:rsidP="003231AF">
            <w:pPr>
              <w:pStyle w:val="SingleTxtG"/>
              <w:tabs>
                <w:tab w:val="clear" w:pos="1701"/>
                <w:tab w:val="clear" w:pos="2268"/>
                <w:tab w:val="clear" w:pos="2835"/>
              </w:tabs>
              <w:spacing w:before="40" w:after="40" w:line="220" w:lineRule="exact"/>
              <w:ind w:left="0" w:right="0"/>
              <w:jc w:val="left"/>
              <w:rPr>
                <w:sz w:val="18"/>
              </w:rPr>
            </w:pPr>
            <w:r w:rsidRPr="003231AF">
              <w:rPr>
                <w:sz w:val="18"/>
              </w:rPr>
              <w:t>Otro</w:t>
            </w:r>
          </w:p>
        </w:tc>
        <w:tc>
          <w:tcPr>
            <w:tcW w:w="1022" w:type="dxa"/>
            <w:tcBorders>
              <w:bottom w:val="single" w:sz="12" w:space="0" w:color="auto"/>
            </w:tcBorders>
            <w:shd w:val="clear" w:color="auto" w:fill="auto"/>
            <w:vAlign w:val="bottom"/>
          </w:tcPr>
          <w:p w14:paraId="319693DF" w14:textId="77777777" w:rsidR="00B92948" w:rsidRPr="003231AF" w:rsidRDefault="00B92948" w:rsidP="007D1B32">
            <w:pPr>
              <w:pStyle w:val="SingleTxtG"/>
              <w:tabs>
                <w:tab w:val="clear" w:pos="1701"/>
                <w:tab w:val="clear" w:pos="2268"/>
                <w:tab w:val="clear" w:pos="2835"/>
              </w:tabs>
              <w:spacing w:before="40" w:after="40" w:line="220" w:lineRule="exact"/>
              <w:ind w:left="113" w:rightChars="28" w:right="56"/>
              <w:jc w:val="right"/>
              <w:rPr>
                <w:sz w:val="18"/>
              </w:rPr>
            </w:pPr>
            <w:r w:rsidRPr="003231AF">
              <w:rPr>
                <w:sz w:val="18"/>
              </w:rPr>
              <w:t>5,7</w:t>
            </w:r>
          </w:p>
        </w:tc>
        <w:tc>
          <w:tcPr>
            <w:tcW w:w="1023" w:type="dxa"/>
            <w:tcBorders>
              <w:bottom w:val="single" w:sz="12" w:space="0" w:color="auto"/>
            </w:tcBorders>
            <w:shd w:val="clear" w:color="auto" w:fill="auto"/>
            <w:vAlign w:val="bottom"/>
          </w:tcPr>
          <w:p w14:paraId="78B3AB40" w14:textId="77777777" w:rsidR="00B92948" w:rsidRPr="003231AF" w:rsidRDefault="00B92948" w:rsidP="007D1B32">
            <w:pPr>
              <w:pStyle w:val="SingleTxtG"/>
              <w:tabs>
                <w:tab w:val="clear" w:pos="1701"/>
                <w:tab w:val="clear" w:pos="2268"/>
                <w:tab w:val="clear" w:pos="2835"/>
              </w:tabs>
              <w:spacing w:before="40" w:after="40" w:line="220" w:lineRule="exact"/>
              <w:ind w:left="113" w:rightChars="28" w:right="56"/>
              <w:jc w:val="right"/>
              <w:rPr>
                <w:sz w:val="18"/>
              </w:rPr>
            </w:pPr>
            <w:r w:rsidRPr="003231AF">
              <w:rPr>
                <w:sz w:val="18"/>
              </w:rPr>
              <w:t>10,1</w:t>
            </w:r>
          </w:p>
        </w:tc>
        <w:tc>
          <w:tcPr>
            <w:tcW w:w="1023" w:type="dxa"/>
            <w:tcBorders>
              <w:bottom w:val="single" w:sz="12" w:space="0" w:color="auto"/>
            </w:tcBorders>
            <w:shd w:val="clear" w:color="auto" w:fill="auto"/>
            <w:vAlign w:val="bottom"/>
          </w:tcPr>
          <w:p w14:paraId="1FBD9CE7" w14:textId="77777777" w:rsidR="00B92948" w:rsidRPr="003231AF" w:rsidRDefault="00B92948" w:rsidP="007D1B32">
            <w:pPr>
              <w:pStyle w:val="SingleTxtG"/>
              <w:tabs>
                <w:tab w:val="clear" w:pos="1701"/>
                <w:tab w:val="clear" w:pos="2268"/>
                <w:tab w:val="clear" w:pos="2835"/>
              </w:tabs>
              <w:spacing w:before="40" w:after="40" w:line="220" w:lineRule="exact"/>
              <w:ind w:left="113" w:rightChars="28" w:right="56"/>
              <w:jc w:val="right"/>
              <w:rPr>
                <w:sz w:val="18"/>
              </w:rPr>
            </w:pPr>
            <w:r w:rsidRPr="003231AF">
              <w:rPr>
                <w:sz w:val="18"/>
              </w:rPr>
              <w:t>9</w:t>
            </w:r>
          </w:p>
        </w:tc>
        <w:tc>
          <w:tcPr>
            <w:tcW w:w="1022" w:type="dxa"/>
            <w:tcBorders>
              <w:bottom w:val="single" w:sz="12" w:space="0" w:color="auto"/>
            </w:tcBorders>
            <w:shd w:val="clear" w:color="auto" w:fill="auto"/>
            <w:vAlign w:val="bottom"/>
          </w:tcPr>
          <w:p w14:paraId="48391E10" w14:textId="77777777" w:rsidR="00B92948" w:rsidRPr="003231AF" w:rsidRDefault="00B92948" w:rsidP="007D1B32">
            <w:pPr>
              <w:pStyle w:val="SingleTxtG"/>
              <w:tabs>
                <w:tab w:val="clear" w:pos="1701"/>
                <w:tab w:val="clear" w:pos="2268"/>
                <w:tab w:val="clear" w:pos="2835"/>
              </w:tabs>
              <w:spacing w:before="40" w:after="40" w:line="220" w:lineRule="exact"/>
              <w:ind w:left="113" w:rightChars="28" w:right="56"/>
              <w:jc w:val="right"/>
              <w:rPr>
                <w:sz w:val="18"/>
              </w:rPr>
            </w:pPr>
            <w:r w:rsidRPr="003231AF">
              <w:rPr>
                <w:sz w:val="18"/>
              </w:rPr>
              <w:t>6,6</w:t>
            </w:r>
          </w:p>
        </w:tc>
        <w:tc>
          <w:tcPr>
            <w:tcW w:w="1023" w:type="dxa"/>
            <w:tcBorders>
              <w:bottom w:val="single" w:sz="12" w:space="0" w:color="auto"/>
            </w:tcBorders>
            <w:shd w:val="clear" w:color="auto" w:fill="auto"/>
            <w:vAlign w:val="bottom"/>
          </w:tcPr>
          <w:p w14:paraId="524324FA" w14:textId="77777777" w:rsidR="00B92948" w:rsidRPr="003231AF" w:rsidRDefault="00B92948" w:rsidP="007D1B32">
            <w:pPr>
              <w:pStyle w:val="SingleTxtG"/>
              <w:tabs>
                <w:tab w:val="clear" w:pos="1701"/>
                <w:tab w:val="clear" w:pos="2268"/>
                <w:tab w:val="clear" w:pos="2835"/>
              </w:tabs>
              <w:spacing w:before="40" w:after="40" w:line="220" w:lineRule="exact"/>
              <w:ind w:left="113" w:rightChars="28" w:right="56"/>
              <w:jc w:val="right"/>
              <w:rPr>
                <w:sz w:val="18"/>
              </w:rPr>
            </w:pPr>
            <w:r w:rsidRPr="003231AF">
              <w:rPr>
                <w:sz w:val="18"/>
              </w:rPr>
              <w:t>10</w:t>
            </w:r>
          </w:p>
        </w:tc>
        <w:tc>
          <w:tcPr>
            <w:tcW w:w="1023" w:type="dxa"/>
            <w:tcBorders>
              <w:bottom w:val="single" w:sz="12" w:space="0" w:color="auto"/>
            </w:tcBorders>
            <w:shd w:val="clear" w:color="auto" w:fill="auto"/>
            <w:vAlign w:val="bottom"/>
          </w:tcPr>
          <w:p w14:paraId="74EE6A80" w14:textId="77777777" w:rsidR="00B92948" w:rsidRPr="003231AF" w:rsidRDefault="00B92948" w:rsidP="007D1B32">
            <w:pPr>
              <w:pStyle w:val="SingleTxtG"/>
              <w:tabs>
                <w:tab w:val="clear" w:pos="1701"/>
                <w:tab w:val="clear" w:pos="2268"/>
                <w:tab w:val="clear" w:pos="2835"/>
              </w:tabs>
              <w:spacing w:before="40" w:after="40" w:line="220" w:lineRule="exact"/>
              <w:ind w:left="113" w:rightChars="28" w:right="56"/>
              <w:jc w:val="right"/>
              <w:rPr>
                <w:sz w:val="18"/>
              </w:rPr>
            </w:pPr>
            <w:r w:rsidRPr="003231AF">
              <w:rPr>
                <w:sz w:val="18"/>
              </w:rPr>
              <w:t>7,5</w:t>
            </w:r>
          </w:p>
        </w:tc>
      </w:tr>
    </w:tbl>
    <w:p w14:paraId="25DD9E0A" w14:textId="77777777" w:rsidR="00B92948" w:rsidRPr="00B92948" w:rsidRDefault="00624630" w:rsidP="00624630">
      <w:pPr>
        <w:pStyle w:val="H23G"/>
      </w:pPr>
      <w:r w:rsidRPr="007D1B32">
        <w:rPr>
          <w:b w:val="0"/>
          <w:bCs/>
        </w:rPr>
        <w:tab/>
      </w:r>
      <w:r w:rsidR="00B92948" w:rsidRPr="007D1B32">
        <w:rPr>
          <w:b w:val="0"/>
          <w:bCs/>
        </w:rPr>
        <w:tab/>
        <w:t>Cuadro 8</w:t>
      </w:r>
      <w:r w:rsidRPr="007D1B32">
        <w:rPr>
          <w:b w:val="0"/>
          <w:bCs/>
        </w:rPr>
        <w:br/>
      </w:r>
      <w:r w:rsidR="00B92948" w:rsidRPr="00B92948">
        <w:tab/>
        <w:t>Tasas de mortalidad de lactantes según la edad de las madres (2011-2016)</w:t>
      </w:r>
      <w:bookmarkStart w:id="54" w:name="_Toc56781455"/>
      <w:bookmarkEnd w:id="54"/>
    </w:p>
    <w:tbl>
      <w:tblPr>
        <w:tblW w:w="7370" w:type="dxa"/>
        <w:tblInd w:w="1134" w:type="dxa"/>
        <w:tblBorders>
          <w:top w:val="single" w:sz="4" w:space="0" w:color="auto"/>
        </w:tblBorders>
        <w:tblCellMar>
          <w:left w:w="0" w:type="dxa"/>
          <w:right w:w="0" w:type="dxa"/>
        </w:tblCellMar>
        <w:tblLook w:val="00A0" w:firstRow="1" w:lastRow="0" w:firstColumn="1" w:lastColumn="0" w:noHBand="0" w:noVBand="0"/>
      </w:tblPr>
      <w:tblGrid>
        <w:gridCol w:w="1418"/>
        <w:gridCol w:w="992"/>
        <w:gridCol w:w="992"/>
        <w:gridCol w:w="992"/>
        <w:gridCol w:w="992"/>
        <w:gridCol w:w="992"/>
        <w:gridCol w:w="992"/>
      </w:tblGrid>
      <w:tr w:rsidR="00B92948" w:rsidRPr="003A1036" w14:paraId="541913D3" w14:textId="77777777" w:rsidTr="003F10BE">
        <w:trPr>
          <w:trHeight w:val="240"/>
          <w:tblHeader/>
        </w:trPr>
        <w:tc>
          <w:tcPr>
            <w:tcW w:w="1418" w:type="dxa"/>
            <w:tcBorders>
              <w:top w:val="single" w:sz="4" w:space="0" w:color="auto"/>
              <w:bottom w:val="single" w:sz="12" w:space="0" w:color="auto"/>
            </w:tcBorders>
            <w:shd w:val="clear" w:color="auto" w:fill="auto"/>
            <w:vAlign w:val="bottom"/>
          </w:tcPr>
          <w:p w14:paraId="4204AACB" w14:textId="77777777" w:rsidR="00B92948" w:rsidRPr="003A1036" w:rsidRDefault="00B92948" w:rsidP="003A1036">
            <w:pPr>
              <w:pStyle w:val="SingleTxtG"/>
              <w:tabs>
                <w:tab w:val="clear" w:pos="1701"/>
                <w:tab w:val="clear" w:pos="2268"/>
                <w:tab w:val="clear" w:pos="2835"/>
              </w:tabs>
              <w:spacing w:before="80" w:after="80" w:line="200" w:lineRule="exact"/>
              <w:ind w:left="0" w:right="0"/>
              <w:jc w:val="left"/>
              <w:rPr>
                <w:i/>
                <w:sz w:val="16"/>
              </w:rPr>
            </w:pPr>
            <w:r w:rsidRPr="003A1036">
              <w:rPr>
                <w:i/>
                <w:iCs/>
                <w:sz w:val="16"/>
              </w:rPr>
              <w:t>Edad</w:t>
            </w:r>
          </w:p>
        </w:tc>
        <w:tc>
          <w:tcPr>
            <w:tcW w:w="992" w:type="dxa"/>
            <w:tcBorders>
              <w:top w:val="single" w:sz="4" w:space="0" w:color="auto"/>
              <w:bottom w:val="single" w:sz="12" w:space="0" w:color="auto"/>
            </w:tcBorders>
            <w:shd w:val="clear" w:color="auto" w:fill="auto"/>
            <w:vAlign w:val="bottom"/>
          </w:tcPr>
          <w:p w14:paraId="4818FA53" w14:textId="77777777" w:rsidR="00B92948" w:rsidRPr="003A1036" w:rsidRDefault="00B92948" w:rsidP="007D1B32">
            <w:pPr>
              <w:pStyle w:val="SingleTxtG"/>
              <w:tabs>
                <w:tab w:val="clear" w:pos="1701"/>
                <w:tab w:val="clear" w:pos="2268"/>
                <w:tab w:val="clear" w:pos="2835"/>
              </w:tabs>
              <w:spacing w:before="80" w:after="80" w:line="200" w:lineRule="exact"/>
              <w:ind w:left="113" w:right="28"/>
              <w:jc w:val="right"/>
              <w:rPr>
                <w:bCs/>
                <w:i/>
                <w:sz w:val="16"/>
              </w:rPr>
            </w:pPr>
            <w:r w:rsidRPr="003A1036">
              <w:rPr>
                <w:i/>
                <w:iCs/>
                <w:sz w:val="16"/>
              </w:rPr>
              <w:t>2011</w:t>
            </w:r>
          </w:p>
        </w:tc>
        <w:tc>
          <w:tcPr>
            <w:tcW w:w="992" w:type="dxa"/>
            <w:tcBorders>
              <w:top w:val="single" w:sz="4" w:space="0" w:color="auto"/>
              <w:bottom w:val="single" w:sz="12" w:space="0" w:color="auto"/>
            </w:tcBorders>
            <w:shd w:val="clear" w:color="auto" w:fill="auto"/>
            <w:vAlign w:val="bottom"/>
          </w:tcPr>
          <w:p w14:paraId="01480E0F" w14:textId="77777777" w:rsidR="00B92948" w:rsidRPr="003A1036" w:rsidRDefault="00B92948" w:rsidP="007D1B32">
            <w:pPr>
              <w:pStyle w:val="SingleTxtG"/>
              <w:tabs>
                <w:tab w:val="clear" w:pos="1701"/>
                <w:tab w:val="clear" w:pos="2268"/>
                <w:tab w:val="clear" w:pos="2835"/>
              </w:tabs>
              <w:spacing w:before="80" w:after="80" w:line="200" w:lineRule="exact"/>
              <w:ind w:left="113" w:right="28"/>
              <w:jc w:val="right"/>
              <w:rPr>
                <w:bCs/>
                <w:i/>
                <w:sz w:val="16"/>
              </w:rPr>
            </w:pPr>
            <w:r w:rsidRPr="003A1036">
              <w:rPr>
                <w:i/>
                <w:iCs/>
                <w:sz w:val="16"/>
              </w:rPr>
              <w:t>2012</w:t>
            </w:r>
          </w:p>
        </w:tc>
        <w:tc>
          <w:tcPr>
            <w:tcW w:w="992" w:type="dxa"/>
            <w:tcBorders>
              <w:top w:val="single" w:sz="4" w:space="0" w:color="auto"/>
              <w:bottom w:val="single" w:sz="12" w:space="0" w:color="auto"/>
            </w:tcBorders>
            <w:shd w:val="clear" w:color="auto" w:fill="auto"/>
            <w:vAlign w:val="bottom"/>
          </w:tcPr>
          <w:p w14:paraId="44500900" w14:textId="77777777" w:rsidR="00B92948" w:rsidRPr="003A1036" w:rsidRDefault="00B92948" w:rsidP="007D1B32">
            <w:pPr>
              <w:pStyle w:val="SingleTxtG"/>
              <w:tabs>
                <w:tab w:val="clear" w:pos="1701"/>
                <w:tab w:val="clear" w:pos="2268"/>
                <w:tab w:val="clear" w:pos="2835"/>
              </w:tabs>
              <w:spacing w:before="80" w:after="80" w:line="200" w:lineRule="exact"/>
              <w:ind w:left="113" w:right="28"/>
              <w:jc w:val="right"/>
              <w:rPr>
                <w:bCs/>
                <w:i/>
                <w:sz w:val="16"/>
              </w:rPr>
            </w:pPr>
            <w:r w:rsidRPr="003A1036">
              <w:rPr>
                <w:i/>
                <w:iCs/>
                <w:sz w:val="16"/>
              </w:rPr>
              <w:t>2013</w:t>
            </w:r>
          </w:p>
        </w:tc>
        <w:tc>
          <w:tcPr>
            <w:tcW w:w="992" w:type="dxa"/>
            <w:tcBorders>
              <w:top w:val="single" w:sz="4" w:space="0" w:color="auto"/>
              <w:bottom w:val="single" w:sz="12" w:space="0" w:color="auto"/>
            </w:tcBorders>
            <w:shd w:val="clear" w:color="auto" w:fill="auto"/>
            <w:vAlign w:val="bottom"/>
          </w:tcPr>
          <w:p w14:paraId="4D761DA4" w14:textId="77777777" w:rsidR="00B92948" w:rsidRPr="003A1036" w:rsidRDefault="00B92948" w:rsidP="007D1B32">
            <w:pPr>
              <w:pStyle w:val="SingleTxtG"/>
              <w:tabs>
                <w:tab w:val="clear" w:pos="1701"/>
                <w:tab w:val="clear" w:pos="2268"/>
                <w:tab w:val="clear" w:pos="2835"/>
              </w:tabs>
              <w:spacing w:before="80" w:after="80" w:line="200" w:lineRule="exact"/>
              <w:ind w:left="113" w:right="28"/>
              <w:jc w:val="right"/>
              <w:rPr>
                <w:bCs/>
                <w:i/>
                <w:sz w:val="16"/>
              </w:rPr>
            </w:pPr>
            <w:r w:rsidRPr="003A1036">
              <w:rPr>
                <w:i/>
                <w:iCs/>
                <w:sz w:val="16"/>
              </w:rPr>
              <w:t>2014</w:t>
            </w:r>
          </w:p>
        </w:tc>
        <w:tc>
          <w:tcPr>
            <w:tcW w:w="992" w:type="dxa"/>
            <w:tcBorders>
              <w:top w:val="single" w:sz="4" w:space="0" w:color="auto"/>
              <w:bottom w:val="single" w:sz="12" w:space="0" w:color="auto"/>
            </w:tcBorders>
            <w:shd w:val="clear" w:color="auto" w:fill="auto"/>
            <w:vAlign w:val="bottom"/>
          </w:tcPr>
          <w:p w14:paraId="475BFD4F" w14:textId="77777777" w:rsidR="00B92948" w:rsidRPr="003A1036" w:rsidRDefault="00B92948" w:rsidP="007D1B32">
            <w:pPr>
              <w:pStyle w:val="SingleTxtG"/>
              <w:tabs>
                <w:tab w:val="clear" w:pos="1701"/>
                <w:tab w:val="clear" w:pos="2268"/>
                <w:tab w:val="clear" w:pos="2835"/>
              </w:tabs>
              <w:spacing w:before="80" w:after="80" w:line="200" w:lineRule="exact"/>
              <w:ind w:left="113" w:right="28"/>
              <w:jc w:val="right"/>
              <w:rPr>
                <w:bCs/>
                <w:i/>
                <w:sz w:val="16"/>
              </w:rPr>
            </w:pPr>
            <w:r w:rsidRPr="003A1036">
              <w:rPr>
                <w:i/>
                <w:iCs/>
                <w:sz w:val="16"/>
              </w:rPr>
              <w:t>2015</w:t>
            </w:r>
          </w:p>
        </w:tc>
        <w:tc>
          <w:tcPr>
            <w:tcW w:w="992" w:type="dxa"/>
            <w:tcBorders>
              <w:top w:val="single" w:sz="4" w:space="0" w:color="auto"/>
              <w:bottom w:val="single" w:sz="12" w:space="0" w:color="auto"/>
            </w:tcBorders>
            <w:shd w:val="clear" w:color="auto" w:fill="auto"/>
            <w:vAlign w:val="bottom"/>
          </w:tcPr>
          <w:p w14:paraId="2F11ACA5" w14:textId="77777777" w:rsidR="00B92948" w:rsidRPr="003A1036" w:rsidRDefault="00B92948" w:rsidP="007D1B32">
            <w:pPr>
              <w:pStyle w:val="SingleTxtG"/>
              <w:tabs>
                <w:tab w:val="clear" w:pos="1701"/>
                <w:tab w:val="clear" w:pos="2268"/>
                <w:tab w:val="clear" w:pos="2835"/>
              </w:tabs>
              <w:spacing w:before="80" w:after="80" w:line="200" w:lineRule="exact"/>
              <w:ind w:left="113" w:right="28"/>
              <w:jc w:val="right"/>
              <w:rPr>
                <w:bCs/>
                <w:i/>
                <w:sz w:val="16"/>
              </w:rPr>
            </w:pPr>
            <w:r w:rsidRPr="003A1036">
              <w:rPr>
                <w:i/>
                <w:iCs/>
                <w:sz w:val="16"/>
              </w:rPr>
              <w:t>2016</w:t>
            </w:r>
          </w:p>
        </w:tc>
      </w:tr>
      <w:tr w:rsidR="00B92948" w:rsidRPr="007D1B32" w14:paraId="4F3EEA4A" w14:textId="77777777" w:rsidTr="003F10BE">
        <w:trPr>
          <w:trHeight w:val="240"/>
        </w:trPr>
        <w:tc>
          <w:tcPr>
            <w:tcW w:w="1418" w:type="dxa"/>
            <w:tcBorders>
              <w:top w:val="single" w:sz="12" w:space="0" w:color="auto"/>
              <w:bottom w:val="single" w:sz="4" w:space="0" w:color="auto"/>
            </w:tcBorders>
            <w:shd w:val="clear" w:color="auto" w:fill="auto"/>
          </w:tcPr>
          <w:p w14:paraId="611A7658" w14:textId="77777777" w:rsidR="00B92948" w:rsidRPr="007D1B32" w:rsidRDefault="00B92948" w:rsidP="007D1B32">
            <w:pPr>
              <w:pStyle w:val="SingleTxtG"/>
              <w:tabs>
                <w:tab w:val="clear" w:pos="1701"/>
                <w:tab w:val="clear" w:pos="2268"/>
                <w:tab w:val="clear" w:pos="2835"/>
              </w:tabs>
              <w:spacing w:before="80" w:after="80" w:line="220" w:lineRule="exact"/>
              <w:ind w:left="283" w:right="0"/>
              <w:jc w:val="left"/>
              <w:rPr>
                <w:b/>
                <w:sz w:val="18"/>
              </w:rPr>
            </w:pPr>
            <w:r w:rsidRPr="007D1B32">
              <w:rPr>
                <w:b/>
                <w:bCs/>
                <w:sz w:val="18"/>
              </w:rPr>
              <w:t>Total</w:t>
            </w:r>
          </w:p>
        </w:tc>
        <w:tc>
          <w:tcPr>
            <w:tcW w:w="992" w:type="dxa"/>
            <w:tcBorders>
              <w:top w:val="single" w:sz="12" w:space="0" w:color="auto"/>
              <w:bottom w:val="single" w:sz="4" w:space="0" w:color="auto"/>
            </w:tcBorders>
            <w:shd w:val="clear" w:color="auto" w:fill="auto"/>
            <w:vAlign w:val="bottom"/>
          </w:tcPr>
          <w:p w14:paraId="4F3AEF00" w14:textId="77777777" w:rsidR="00B92948" w:rsidRPr="007D1B32" w:rsidRDefault="00B92948" w:rsidP="007D1B32">
            <w:pPr>
              <w:pStyle w:val="SingleTxtG"/>
              <w:tabs>
                <w:tab w:val="clear" w:pos="1701"/>
                <w:tab w:val="clear" w:pos="2268"/>
                <w:tab w:val="clear" w:pos="2835"/>
              </w:tabs>
              <w:spacing w:before="80" w:after="80" w:line="220" w:lineRule="exact"/>
              <w:ind w:left="0" w:right="28"/>
              <w:jc w:val="right"/>
              <w:rPr>
                <w:b/>
                <w:sz w:val="18"/>
              </w:rPr>
            </w:pPr>
            <w:r w:rsidRPr="007D1B32">
              <w:rPr>
                <w:b/>
                <w:sz w:val="18"/>
              </w:rPr>
              <w:t>7,5</w:t>
            </w:r>
          </w:p>
        </w:tc>
        <w:tc>
          <w:tcPr>
            <w:tcW w:w="992" w:type="dxa"/>
            <w:tcBorders>
              <w:top w:val="single" w:sz="12" w:space="0" w:color="auto"/>
              <w:bottom w:val="single" w:sz="4" w:space="0" w:color="auto"/>
            </w:tcBorders>
            <w:shd w:val="clear" w:color="auto" w:fill="auto"/>
            <w:vAlign w:val="bottom"/>
          </w:tcPr>
          <w:p w14:paraId="22EFB575" w14:textId="77777777" w:rsidR="00B92948" w:rsidRPr="007D1B32" w:rsidRDefault="00B92948" w:rsidP="007D1B32">
            <w:pPr>
              <w:pStyle w:val="SingleTxtG"/>
              <w:tabs>
                <w:tab w:val="clear" w:pos="1701"/>
                <w:tab w:val="clear" w:pos="2268"/>
                <w:tab w:val="clear" w:pos="2835"/>
              </w:tabs>
              <w:spacing w:before="80" w:after="80" w:line="220" w:lineRule="exact"/>
              <w:ind w:left="0" w:right="28"/>
              <w:jc w:val="right"/>
              <w:rPr>
                <w:b/>
                <w:sz w:val="18"/>
              </w:rPr>
            </w:pPr>
            <w:r w:rsidRPr="007D1B32">
              <w:rPr>
                <w:b/>
                <w:sz w:val="18"/>
              </w:rPr>
              <w:t>9,8</w:t>
            </w:r>
          </w:p>
        </w:tc>
        <w:tc>
          <w:tcPr>
            <w:tcW w:w="992" w:type="dxa"/>
            <w:tcBorders>
              <w:top w:val="single" w:sz="12" w:space="0" w:color="auto"/>
              <w:bottom w:val="single" w:sz="4" w:space="0" w:color="auto"/>
            </w:tcBorders>
            <w:shd w:val="clear" w:color="auto" w:fill="auto"/>
            <w:vAlign w:val="bottom"/>
          </w:tcPr>
          <w:p w14:paraId="611116E7" w14:textId="77777777" w:rsidR="00B92948" w:rsidRPr="007D1B32" w:rsidRDefault="00B92948" w:rsidP="007D1B32">
            <w:pPr>
              <w:pStyle w:val="SingleTxtG"/>
              <w:tabs>
                <w:tab w:val="clear" w:pos="1701"/>
                <w:tab w:val="clear" w:pos="2268"/>
                <w:tab w:val="clear" w:pos="2835"/>
              </w:tabs>
              <w:spacing w:before="80" w:after="80" w:line="220" w:lineRule="exact"/>
              <w:ind w:left="0" w:right="28"/>
              <w:jc w:val="right"/>
              <w:rPr>
                <w:b/>
                <w:sz w:val="18"/>
              </w:rPr>
            </w:pPr>
            <w:r w:rsidRPr="007D1B32">
              <w:rPr>
                <w:b/>
                <w:sz w:val="18"/>
              </w:rPr>
              <w:t>10,2</w:t>
            </w:r>
          </w:p>
        </w:tc>
        <w:tc>
          <w:tcPr>
            <w:tcW w:w="992" w:type="dxa"/>
            <w:tcBorders>
              <w:top w:val="single" w:sz="12" w:space="0" w:color="auto"/>
              <w:bottom w:val="single" w:sz="4" w:space="0" w:color="auto"/>
            </w:tcBorders>
            <w:shd w:val="clear" w:color="auto" w:fill="auto"/>
            <w:vAlign w:val="bottom"/>
          </w:tcPr>
          <w:p w14:paraId="67A88E1B" w14:textId="77777777" w:rsidR="00B92948" w:rsidRPr="007D1B32" w:rsidRDefault="00B92948" w:rsidP="007D1B32">
            <w:pPr>
              <w:pStyle w:val="SingleTxtG"/>
              <w:tabs>
                <w:tab w:val="clear" w:pos="1701"/>
                <w:tab w:val="clear" w:pos="2268"/>
                <w:tab w:val="clear" w:pos="2835"/>
              </w:tabs>
              <w:spacing w:before="80" w:after="80" w:line="220" w:lineRule="exact"/>
              <w:ind w:left="0" w:right="28"/>
              <w:jc w:val="right"/>
              <w:rPr>
                <w:b/>
                <w:sz w:val="18"/>
              </w:rPr>
            </w:pPr>
            <w:r w:rsidRPr="007D1B32">
              <w:rPr>
                <w:b/>
                <w:sz w:val="18"/>
              </w:rPr>
              <w:t>9,9</w:t>
            </w:r>
          </w:p>
        </w:tc>
        <w:tc>
          <w:tcPr>
            <w:tcW w:w="992" w:type="dxa"/>
            <w:tcBorders>
              <w:top w:val="single" w:sz="12" w:space="0" w:color="auto"/>
              <w:bottom w:val="single" w:sz="4" w:space="0" w:color="auto"/>
            </w:tcBorders>
            <w:shd w:val="clear" w:color="auto" w:fill="auto"/>
            <w:vAlign w:val="bottom"/>
          </w:tcPr>
          <w:p w14:paraId="48609B1E" w14:textId="77777777" w:rsidR="00B92948" w:rsidRPr="007D1B32" w:rsidRDefault="00B92948" w:rsidP="007D1B32">
            <w:pPr>
              <w:pStyle w:val="SingleTxtG"/>
              <w:tabs>
                <w:tab w:val="clear" w:pos="1701"/>
                <w:tab w:val="clear" w:pos="2268"/>
                <w:tab w:val="clear" w:pos="2835"/>
              </w:tabs>
              <w:spacing w:before="80" w:after="80" w:line="220" w:lineRule="exact"/>
              <w:ind w:left="0" w:right="28"/>
              <w:jc w:val="right"/>
              <w:rPr>
                <w:b/>
                <w:sz w:val="18"/>
              </w:rPr>
            </w:pPr>
            <w:r w:rsidRPr="007D1B32">
              <w:rPr>
                <w:b/>
                <w:sz w:val="18"/>
              </w:rPr>
              <w:t>8,6</w:t>
            </w:r>
          </w:p>
        </w:tc>
        <w:tc>
          <w:tcPr>
            <w:tcW w:w="992" w:type="dxa"/>
            <w:tcBorders>
              <w:top w:val="single" w:sz="12" w:space="0" w:color="auto"/>
              <w:bottom w:val="single" w:sz="4" w:space="0" w:color="auto"/>
            </w:tcBorders>
            <w:shd w:val="clear" w:color="auto" w:fill="auto"/>
            <w:vAlign w:val="bottom"/>
          </w:tcPr>
          <w:p w14:paraId="3D2BAAA9" w14:textId="77777777" w:rsidR="00B92948" w:rsidRPr="007D1B32" w:rsidRDefault="00B92948" w:rsidP="007D1B32">
            <w:pPr>
              <w:pStyle w:val="SingleTxtG"/>
              <w:tabs>
                <w:tab w:val="clear" w:pos="1701"/>
                <w:tab w:val="clear" w:pos="2268"/>
                <w:tab w:val="clear" w:pos="2835"/>
              </w:tabs>
              <w:spacing w:before="80" w:after="80" w:line="220" w:lineRule="exact"/>
              <w:ind w:left="0" w:right="28"/>
              <w:jc w:val="right"/>
              <w:rPr>
                <w:b/>
                <w:sz w:val="18"/>
              </w:rPr>
            </w:pPr>
            <w:r w:rsidRPr="007D1B32">
              <w:rPr>
                <w:b/>
                <w:sz w:val="18"/>
              </w:rPr>
              <w:t>11,9</w:t>
            </w:r>
          </w:p>
        </w:tc>
      </w:tr>
      <w:tr w:rsidR="00B92948" w:rsidRPr="003A1036" w14:paraId="06629A81" w14:textId="77777777" w:rsidTr="003F10BE">
        <w:trPr>
          <w:trHeight w:val="240"/>
        </w:trPr>
        <w:tc>
          <w:tcPr>
            <w:tcW w:w="1418" w:type="dxa"/>
            <w:tcBorders>
              <w:top w:val="single" w:sz="4" w:space="0" w:color="auto"/>
            </w:tcBorders>
            <w:shd w:val="clear" w:color="auto" w:fill="auto"/>
          </w:tcPr>
          <w:p w14:paraId="3BAEEB01" w14:textId="77777777" w:rsidR="00B92948" w:rsidRPr="003A1036" w:rsidRDefault="003F10BE" w:rsidP="003A1036">
            <w:pPr>
              <w:pStyle w:val="SingleTxtG"/>
              <w:tabs>
                <w:tab w:val="clear" w:pos="1701"/>
                <w:tab w:val="clear" w:pos="2268"/>
                <w:tab w:val="clear" w:pos="2835"/>
              </w:tabs>
              <w:spacing w:before="40" w:after="40" w:line="220" w:lineRule="exact"/>
              <w:ind w:left="0" w:right="0"/>
              <w:jc w:val="left"/>
              <w:rPr>
                <w:sz w:val="18"/>
              </w:rPr>
            </w:pPr>
            <w:r>
              <w:rPr>
                <w:sz w:val="18"/>
              </w:rPr>
              <w:t xml:space="preserve">Menos de </w:t>
            </w:r>
            <w:r w:rsidR="00B92948" w:rsidRPr="003A1036">
              <w:rPr>
                <w:sz w:val="18"/>
              </w:rPr>
              <w:t>20</w:t>
            </w:r>
            <w:r>
              <w:rPr>
                <w:sz w:val="18"/>
              </w:rPr>
              <w:t> años</w:t>
            </w:r>
          </w:p>
        </w:tc>
        <w:tc>
          <w:tcPr>
            <w:tcW w:w="992" w:type="dxa"/>
            <w:tcBorders>
              <w:top w:val="single" w:sz="4" w:space="0" w:color="auto"/>
            </w:tcBorders>
            <w:shd w:val="clear" w:color="auto" w:fill="auto"/>
            <w:vAlign w:val="bottom"/>
          </w:tcPr>
          <w:p w14:paraId="407A6233" w14:textId="77777777" w:rsidR="00B92948" w:rsidRPr="003A1036" w:rsidRDefault="00B92948" w:rsidP="007D1B32">
            <w:pPr>
              <w:pStyle w:val="SingleTxtG"/>
              <w:tabs>
                <w:tab w:val="clear" w:pos="1701"/>
                <w:tab w:val="clear" w:pos="2268"/>
                <w:tab w:val="clear" w:pos="2835"/>
              </w:tabs>
              <w:spacing w:before="40" w:after="40" w:line="220" w:lineRule="exact"/>
              <w:ind w:left="113" w:right="28"/>
              <w:jc w:val="right"/>
              <w:rPr>
                <w:sz w:val="18"/>
              </w:rPr>
            </w:pPr>
            <w:proofErr w:type="spellStart"/>
            <w:r w:rsidRPr="003A1036">
              <w:rPr>
                <w:sz w:val="18"/>
              </w:rPr>
              <w:t>n.d</w:t>
            </w:r>
            <w:proofErr w:type="spellEnd"/>
            <w:r w:rsidRPr="003A1036">
              <w:rPr>
                <w:sz w:val="18"/>
              </w:rPr>
              <w:t>.</w:t>
            </w:r>
          </w:p>
        </w:tc>
        <w:tc>
          <w:tcPr>
            <w:tcW w:w="992" w:type="dxa"/>
            <w:tcBorders>
              <w:top w:val="single" w:sz="4" w:space="0" w:color="auto"/>
            </w:tcBorders>
            <w:shd w:val="clear" w:color="auto" w:fill="auto"/>
            <w:vAlign w:val="bottom"/>
          </w:tcPr>
          <w:p w14:paraId="32161A64" w14:textId="77777777" w:rsidR="00B92948" w:rsidRPr="003A1036" w:rsidRDefault="00B92948" w:rsidP="007D1B32">
            <w:pPr>
              <w:pStyle w:val="SingleTxtG"/>
              <w:tabs>
                <w:tab w:val="clear" w:pos="1701"/>
                <w:tab w:val="clear" w:pos="2268"/>
                <w:tab w:val="clear" w:pos="2835"/>
              </w:tabs>
              <w:spacing w:before="40" w:after="40" w:line="220" w:lineRule="exact"/>
              <w:ind w:left="113" w:right="28"/>
              <w:jc w:val="right"/>
              <w:rPr>
                <w:sz w:val="18"/>
              </w:rPr>
            </w:pPr>
            <w:r w:rsidRPr="003A1036">
              <w:rPr>
                <w:sz w:val="18"/>
              </w:rPr>
              <w:t>11,0</w:t>
            </w:r>
          </w:p>
        </w:tc>
        <w:tc>
          <w:tcPr>
            <w:tcW w:w="992" w:type="dxa"/>
            <w:tcBorders>
              <w:top w:val="single" w:sz="4" w:space="0" w:color="auto"/>
            </w:tcBorders>
            <w:shd w:val="clear" w:color="auto" w:fill="auto"/>
            <w:vAlign w:val="bottom"/>
          </w:tcPr>
          <w:p w14:paraId="14FF3C55" w14:textId="77777777" w:rsidR="00B92948" w:rsidRPr="003A1036" w:rsidRDefault="00B92948" w:rsidP="007D1B32">
            <w:pPr>
              <w:pStyle w:val="SingleTxtG"/>
              <w:tabs>
                <w:tab w:val="clear" w:pos="1701"/>
                <w:tab w:val="clear" w:pos="2268"/>
                <w:tab w:val="clear" w:pos="2835"/>
              </w:tabs>
              <w:spacing w:before="40" w:after="40" w:line="220" w:lineRule="exact"/>
              <w:ind w:left="113" w:right="28"/>
              <w:jc w:val="right"/>
              <w:rPr>
                <w:sz w:val="18"/>
              </w:rPr>
            </w:pPr>
            <w:r w:rsidRPr="003A1036">
              <w:rPr>
                <w:sz w:val="18"/>
              </w:rPr>
              <w:t>12,7</w:t>
            </w:r>
          </w:p>
        </w:tc>
        <w:tc>
          <w:tcPr>
            <w:tcW w:w="992" w:type="dxa"/>
            <w:tcBorders>
              <w:top w:val="single" w:sz="4" w:space="0" w:color="auto"/>
            </w:tcBorders>
            <w:shd w:val="clear" w:color="auto" w:fill="auto"/>
            <w:vAlign w:val="bottom"/>
          </w:tcPr>
          <w:p w14:paraId="1EBA3FBB" w14:textId="77777777" w:rsidR="00B92948" w:rsidRPr="003A1036" w:rsidRDefault="00B92948" w:rsidP="007D1B32">
            <w:pPr>
              <w:pStyle w:val="SingleTxtG"/>
              <w:tabs>
                <w:tab w:val="clear" w:pos="1701"/>
                <w:tab w:val="clear" w:pos="2268"/>
                <w:tab w:val="clear" w:pos="2835"/>
              </w:tabs>
              <w:spacing w:before="40" w:after="40" w:line="220" w:lineRule="exact"/>
              <w:ind w:left="113" w:right="28"/>
              <w:jc w:val="right"/>
              <w:rPr>
                <w:sz w:val="18"/>
              </w:rPr>
            </w:pPr>
            <w:r w:rsidRPr="003A1036">
              <w:rPr>
                <w:sz w:val="18"/>
              </w:rPr>
              <w:t>14,6</w:t>
            </w:r>
          </w:p>
        </w:tc>
        <w:tc>
          <w:tcPr>
            <w:tcW w:w="992" w:type="dxa"/>
            <w:tcBorders>
              <w:top w:val="single" w:sz="4" w:space="0" w:color="auto"/>
            </w:tcBorders>
            <w:shd w:val="clear" w:color="auto" w:fill="auto"/>
            <w:vAlign w:val="bottom"/>
          </w:tcPr>
          <w:p w14:paraId="6A2B9AE9" w14:textId="77777777" w:rsidR="00B92948" w:rsidRPr="003A1036" w:rsidRDefault="00B92948" w:rsidP="007D1B32">
            <w:pPr>
              <w:pStyle w:val="SingleTxtG"/>
              <w:tabs>
                <w:tab w:val="clear" w:pos="1701"/>
                <w:tab w:val="clear" w:pos="2268"/>
                <w:tab w:val="clear" w:pos="2835"/>
              </w:tabs>
              <w:spacing w:before="40" w:after="40" w:line="220" w:lineRule="exact"/>
              <w:ind w:left="113" w:right="28"/>
              <w:jc w:val="right"/>
              <w:rPr>
                <w:sz w:val="18"/>
              </w:rPr>
            </w:pPr>
            <w:r w:rsidRPr="003A1036">
              <w:rPr>
                <w:sz w:val="18"/>
              </w:rPr>
              <w:t>19,2</w:t>
            </w:r>
          </w:p>
        </w:tc>
        <w:tc>
          <w:tcPr>
            <w:tcW w:w="992" w:type="dxa"/>
            <w:tcBorders>
              <w:top w:val="single" w:sz="4" w:space="0" w:color="auto"/>
            </w:tcBorders>
            <w:shd w:val="clear" w:color="auto" w:fill="auto"/>
            <w:vAlign w:val="bottom"/>
          </w:tcPr>
          <w:p w14:paraId="25E2BC68" w14:textId="77777777" w:rsidR="00B92948" w:rsidRPr="003A1036" w:rsidRDefault="00B92948" w:rsidP="007D1B32">
            <w:pPr>
              <w:pStyle w:val="SingleTxtG"/>
              <w:tabs>
                <w:tab w:val="clear" w:pos="1701"/>
                <w:tab w:val="clear" w:pos="2268"/>
                <w:tab w:val="clear" w:pos="2835"/>
              </w:tabs>
              <w:spacing w:before="40" w:after="40" w:line="220" w:lineRule="exact"/>
              <w:ind w:left="113" w:right="28"/>
              <w:jc w:val="right"/>
              <w:rPr>
                <w:sz w:val="18"/>
              </w:rPr>
            </w:pPr>
            <w:r w:rsidRPr="003A1036">
              <w:rPr>
                <w:sz w:val="18"/>
              </w:rPr>
              <w:t>13,9</w:t>
            </w:r>
          </w:p>
        </w:tc>
      </w:tr>
      <w:tr w:rsidR="00B92948" w:rsidRPr="003A1036" w14:paraId="3BE127B9" w14:textId="77777777" w:rsidTr="003F10BE">
        <w:trPr>
          <w:trHeight w:val="240"/>
        </w:trPr>
        <w:tc>
          <w:tcPr>
            <w:tcW w:w="1418" w:type="dxa"/>
            <w:shd w:val="clear" w:color="auto" w:fill="auto"/>
          </w:tcPr>
          <w:p w14:paraId="0FCE0D99" w14:textId="77777777" w:rsidR="00B92948" w:rsidRPr="003A1036" w:rsidRDefault="003F10BE" w:rsidP="003A1036">
            <w:pPr>
              <w:pStyle w:val="SingleTxtG"/>
              <w:tabs>
                <w:tab w:val="clear" w:pos="1701"/>
                <w:tab w:val="clear" w:pos="2268"/>
                <w:tab w:val="clear" w:pos="2835"/>
              </w:tabs>
              <w:spacing w:before="40" w:after="40" w:line="220" w:lineRule="exact"/>
              <w:ind w:left="0" w:right="0"/>
              <w:jc w:val="left"/>
              <w:rPr>
                <w:sz w:val="18"/>
              </w:rPr>
            </w:pPr>
            <w:r>
              <w:rPr>
                <w:sz w:val="18"/>
              </w:rPr>
              <w:t xml:space="preserve">De </w:t>
            </w:r>
            <w:r w:rsidR="00B92948" w:rsidRPr="003A1036">
              <w:rPr>
                <w:sz w:val="18"/>
              </w:rPr>
              <w:t>20</w:t>
            </w:r>
            <w:r>
              <w:rPr>
                <w:sz w:val="18"/>
              </w:rPr>
              <w:t xml:space="preserve"> a </w:t>
            </w:r>
            <w:r w:rsidR="00B92948" w:rsidRPr="003A1036">
              <w:rPr>
                <w:sz w:val="18"/>
              </w:rPr>
              <w:t>29</w:t>
            </w:r>
            <w:r>
              <w:rPr>
                <w:sz w:val="18"/>
              </w:rPr>
              <w:t> años</w:t>
            </w:r>
          </w:p>
        </w:tc>
        <w:tc>
          <w:tcPr>
            <w:tcW w:w="992" w:type="dxa"/>
            <w:shd w:val="clear" w:color="auto" w:fill="auto"/>
            <w:vAlign w:val="bottom"/>
          </w:tcPr>
          <w:p w14:paraId="6EEC6C0A" w14:textId="77777777" w:rsidR="00B92948" w:rsidRPr="003A1036" w:rsidRDefault="00B92948" w:rsidP="007D1B32">
            <w:pPr>
              <w:pStyle w:val="SingleTxtG"/>
              <w:tabs>
                <w:tab w:val="clear" w:pos="1701"/>
                <w:tab w:val="clear" w:pos="2268"/>
                <w:tab w:val="clear" w:pos="2835"/>
              </w:tabs>
              <w:spacing w:before="40" w:after="40" w:line="220" w:lineRule="exact"/>
              <w:ind w:left="113" w:right="28"/>
              <w:jc w:val="right"/>
              <w:rPr>
                <w:sz w:val="18"/>
              </w:rPr>
            </w:pPr>
            <w:proofErr w:type="spellStart"/>
            <w:r w:rsidRPr="003A1036">
              <w:rPr>
                <w:sz w:val="18"/>
              </w:rPr>
              <w:t>n.d</w:t>
            </w:r>
            <w:proofErr w:type="spellEnd"/>
            <w:r w:rsidRPr="003A1036">
              <w:rPr>
                <w:sz w:val="18"/>
              </w:rPr>
              <w:t>.</w:t>
            </w:r>
          </w:p>
        </w:tc>
        <w:tc>
          <w:tcPr>
            <w:tcW w:w="992" w:type="dxa"/>
            <w:shd w:val="clear" w:color="auto" w:fill="auto"/>
            <w:vAlign w:val="bottom"/>
          </w:tcPr>
          <w:p w14:paraId="7EF9A414" w14:textId="77777777" w:rsidR="00B92948" w:rsidRPr="003A1036" w:rsidRDefault="00B92948" w:rsidP="007D1B32">
            <w:pPr>
              <w:pStyle w:val="SingleTxtG"/>
              <w:tabs>
                <w:tab w:val="clear" w:pos="1701"/>
                <w:tab w:val="clear" w:pos="2268"/>
                <w:tab w:val="clear" w:pos="2835"/>
              </w:tabs>
              <w:spacing w:before="40" w:after="40" w:line="220" w:lineRule="exact"/>
              <w:ind w:left="113" w:right="28"/>
              <w:jc w:val="right"/>
              <w:rPr>
                <w:sz w:val="18"/>
              </w:rPr>
            </w:pPr>
            <w:r w:rsidRPr="003A1036">
              <w:rPr>
                <w:sz w:val="18"/>
              </w:rPr>
              <w:t>7,5</w:t>
            </w:r>
          </w:p>
        </w:tc>
        <w:tc>
          <w:tcPr>
            <w:tcW w:w="992" w:type="dxa"/>
            <w:shd w:val="clear" w:color="auto" w:fill="auto"/>
            <w:vAlign w:val="bottom"/>
          </w:tcPr>
          <w:p w14:paraId="4A189B8F" w14:textId="77777777" w:rsidR="00B92948" w:rsidRPr="003A1036" w:rsidRDefault="00B92948" w:rsidP="007D1B32">
            <w:pPr>
              <w:pStyle w:val="SingleTxtG"/>
              <w:tabs>
                <w:tab w:val="clear" w:pos="1701"/>
                <w:tab w:val="clear" w:pos="2268"/>
                <w:tab w:val="clear" w:pos="2835"/>
              </w:tabs>
              <w:spacing w:before="40" w:after="40" w:line="220" w:lineRule="exact"/>
              <w:ind w:left="113" w:right="28"/>
              <w:jc w:val="right"/>
              <w:rPr>
                <w:sz w:val="18"/>
              </w:rPr>
            </w:pPr>
            <w:r w:rsidRPr="003A1036">
              <w:rPr>
                <w:sz w:val="18"/>
              </w:rPr>
              <w:t>9,1</w:t>
            </w:r>
          </w:p>
        </w:tc>
        <w:tc>
          <w:tcPr>
            <w:tcW w:w="992" w:type="dxa"/>
            <w:shd w:val="clear" w:color="auto" w:fill="auto"/>
            <w:vAlign w:val="bottom"/>
          </w:tcPr>
          <w:p w14:paraId="2D14A660" w14:textId="77777777" w:rsidR="00B92948" w:rsidRPr="003A1036" w:rsidRDefault="00B92948" w:rsidP="007D1B32">
            <w:pPr>
              <w:pStyle w:val="SingleTxtG"/>
              <w:tabs>
                <w:tab w:val="clear" w:pos="1701"/>
                <w:tab w:val="clear" w:pos="2268"/>
                <w:tab w:val="clear" w:pos="2835"/>
              </w:tabs>
              <w:spacing w:before="40" w:after="40" w:line="220" w:lineRule="exact"/>
              <w:ind w:left="113" w:right="28"/>
              <w:jc w:val="right"/>
              <w:rPr>
                <w:sz w:val="18"/>
              </w:rPr>
            </w:pPr>
            <w:r w:rsidRPr="003A1036">
              <w:rPr>
                <w:sz w:val="18"/>
              </w:rPr>
              <w:t>8,5</w:t>
            </w:r>
          </w:p>
        </w:tc>
        <w:tc>
          <w:tcPr>
            <w:tcW w:w="992" w:type="dxa"/>
            <w:shd w:val="clear" w:color="auto" w:fill="auto"/>
            <w:vAlign w:val="bottom"/>
          </w:tcPr>
          <w:p w14:paraId="0C3F7A29" w14:textId="77777777" w:rsidR="00B92948" w:rsidRPr="003A1036" w:rsidRDefault="00B92948" w:rsidP="007D1B32">
            <w:pPr>
              <w:pStyle w:val="SingleTxtG"/>
              <w:tabs>
                <w:tab w:val="clear" w:pos="1701"/>
                <w:tab w:val="clear" w:pos="2268"/>
                <w:tab w:val="clear" w:pos="2835"/>
              </w:tabs>
              <w:spacing w:before="40" w:after="40" w:line="220" w:lineRule="exact"/>
              <w:ind w:left="113" w:right="28"/>
              <w:jc w:val="right"/>
              <w:rPr>
                <w:sz w:val="18"/>
              </w:rPr>
            </w:pPr>
            <w:r w:rsidRPr="003A1036">
              <w:rPr>
                <w:sz w:val="18"/>
              </w:rPr>
              <w:t>8,4</w:t>
            </w:r>
          </w:p>
        </w:tc>
        <w:tc>
          <w:tcPr>
            <w:tcW w:w="992" w:type="dxa"/>
            <w:shd w:val="clear" w:color="auto" w:fill="auto"/>
            <w:vAlign w:val="bottom"/>
          </w:tcPr>
          <w:p w14:paraId="7A3E1CBB" w14:textId="77777777" w:rsidR="00B92948" w:rsidRPr="003A1036" w:rsidRDefault="00B92948" w:rsidP="007D1B32">
            <w:pPr>
              <w:pStyle w:val="SingleTxtG"/>
              <w:tabs>
                <w:tab w:val="clear" w:pos="1701"/>
                <w:tab w:val="clear" w:pos="2268"/>
                <w:tab w:val="clear" w:pos="2835"/>
              </w:tabs>
              <w:spacing w:before="40" w:after="40" w:line="220" w:lineRule="exact"/>
              <w:ind w:left="113" w:right="28"/>
              <w:jc w:val="right"/>
              <w:rPr>
                <w:sz w:val="18"/>
              </w:rPr>
            </w:pPr>
            <w:r w:rsidRPr="003A1036">
              <w:rPr>
                <w:sz w:val="18"/>
              </w:rPr>
              <w:t>9,8</w:t>
            </w:r>
          </w:p>
        </w:tc>
      </w:tr>
      <w:tr w:rsidR="00B92948" w:rsidRPr="003A1036" w14:paraId="09B30E8B" w14:textId="77777777" w:rsidTr="003F10BE">
        <w:trPr>
          <w:trHeight w:val="240"/>
        </w:trPr>
        <w:tc>
          <w:tcPr>
            <w:tcW w:w="1418" w:type="dxa"/>
            <w:shd w:val="clear" w:color="auto" w:fill="auto"/>
          </w:tcPr>
          <w:p w14:paraId="47BDAC5D" w14:textId="77777777" w:rsidR="00B92948" w:rsidRPr="003A1036" w:rsidRDefault="003F10BE" w:rsidP="003A1036">
            <w:pPr>
              <w:pStyle w:val="SingleTxtG"/>
              <w:tabs>
                <w:tab w:val="clear" w:pos="1701"/>
                <w:tab w:val="clear" w:pos="2268"/>
                <w:tab w:val="clear" w:pos="2835"/>
              </w:tabs>
              <w:spacing w:before="40" w:after="40" w:line="220" w:lineRule="exact"/>
              <w:ind w:left="0" w:right="0"/>
              <w:jc w:val="left"/>
              <w:rPr>
                <w:sz w:val="18"/>
              </w:rPr>
            </w:pPr>
            <w:r>
              <w:rPr>
                <w:sz w:val="18"/>
              </w:rPr>
              <w:t xml:space="preserve">De </w:t>
            </w:r>
            <w:r w:rsidR="00B92948" w:rsidRPr="003A1036">
              <w:rPr>
                <w:sz w:val="18"/>
              </w:rPr>
              <w:t>30</w:t>
            </w:r>
            <w:r>
              <w:rPr>
                <w:sz w:val="18"/>
              </w:rPr>
              <w:t xml:space="preserve"> a </w:t>
            </w:r>
            <w:r w:rsidR="00B92948" w:rsidRPr="003A1036">
              <w:rPr>
                <w:sz w:val="18"/>
              </w:rPr>
              <w:t>39</w:t>
            </w:r>
            <w:r>
              <w:rPr>
                <w:sz w:val="18"/>
              </w:rPr>
              <w:t> años</w:t>
            </w:r>
          </w:p>
        </w:tc>
        <w:tc>
          <w:tcPr>
            <w:tcW w:w="992" w:type="dxa"/>
            <w:shd w:val="clear" w:color="auto" w:fill="auto"/>
            <w:vAlign w:val="bottom"/>
          </w:tcPr>
          <w:p w14:paraId="528A428D" w14:textId="77777777" w:rsidR="00B92948" w:rsidRPr="003A1036" w:rsidRDefault="00B92948" w:rsidP="007D1B32">
            <w:pPr>
              <w:pStyle w:val="SingleTxtG"/>
              <w:tabs>
                <w:tab w:val="clear" w:pos="1701"/>
                <w:tab w:val="clear" w:pos="2268"/>
                <w:tab w:val="clear" w:pos="2835"/>
              </w:tabs>
              <w:spacing w:before="40" w:after="40" w:line="220" w:lineRule="exact"/>
              <w:ind w:left="113" w:right="28"/>
              <w:jc w:val="right"/>
              <w:rPr>
                <w:sz w:val="18"/>
              </w:rPr>
            </w:pPr>
            <w:proofErr w:type="spellStart"/>
            <w:r w:rsidRPr="003A1036">
              <w:rPr>
                <w:sz w:val="18"/>
              </w:rPr>
              <w:t>n.d</w:t>
            </w:r>
            <w:proofErr w:type="spellEnd"/>
            <w:r w:rsidRPr="003A1036">
              <w:rPr>
                <w:sz w:val="18"/>
              </w:rPr>
              <w:t>.</w:t>
            </w:r>
          </w:p>
        </w:tc>
        <w:tc>
          <w:tcPr>
            <w:tcW w:w="992" w:type="dxa"/>
            <w:shd w:val="clear" w:color="auto" w:fill="auto"/>
            <w:vAlign w:val="bottom"/>
          </w:tcPr>
          <w:p w14:paraId="1D28021A" w14:textId="77777777" w:rsidR="00B92948" w:rsidRPr="003A1036" w:rsidRDefault="00B92948" w:rsidP="007D1B32">
            <w:pPr>
              <w:pStyle w:val="SingleTxtG"/>
              <w:tabs>
                <w:tab w:val="clear" w:pos="1701"/>
                <w:tab w:val="clear" w:pos="2268"/>
                <w:tab w:val="clear" w:pos="2835"/>
              </w:tabs>
              <w:spacing w:before="40" w:after="40" w:line="220" w:lineRule="exact"/>
              <w:ind w:left="113" w:right="28"/>
              <w:jc w:val="right"/>
              <w:rPr>
                <w:sz w:val="18"/>
              </w:rPr>
            </w:pPr>
            <w:r w:rsidRPr="003A1036">
              <w:rPr>
                <w:sz w:val="18"/>
              </w:rPr>
              <w:t>13</w:t>
            </w:r>
          </w:p>
        </w:tc>
        <w:tc>
          <w:tcPr>
            <w:tcW w:w="992" w:type="dxa"/>
            <w:shd w:val="clear" w:color="auto" w:fill="auto"/>
            <w:vAlign w:val="bottom"/>
          </w:tcPr>
          <w:p w14:paraId="22E561FC" w14:textId="77777777" w:rsidR="00B92948" w:rsidRPr="003A1036" w:rsidRDefault="00B92948" w:rsidP="007D1B32">
            <w:pPr>
              <w:pStyle w:val="SingleTxtG"/>
              <w:tabs>
                <w:tab w:val="clear" w:pos="1701"/>
                <w:tab w:val="clear" w:pos="2268"/>
                <w:tab w:val="clear" w:pos="2835"/>
              </w:tabs>
              <w:spacing w:before="40" w:after="40" w:line="220" w:lineRule="exact"/>
              <w:ind w:left="113" w:right="28"/>
              <w:jc w:val="right"/>
              <w:rPr>
                <w:sz w:val="18"/>
              </w:rPr>
            </w:pPr>
            <w:r w:rsidRPr="003A1036">
              <w:rPr>
                <w:sz w:val="18"/>
              </w:rPr>
              <w:t>10,8</w:t>
            </w:r>
          </w:p>
        </w:tc>
        <w:tc>
          <w:tcPr>
            <w:tcW w:w="992" w:type="dxa"/>
            <w:shd w:val="clear" w:color="auto" w:fill="auto"/>
            <w:vAlign w:val="bottom"/>
          </w:tcPr>
          <w:p w14:paraId="54ECBF69" w14:textId="77777777" w:rsidR="00B92948" w:rsidRPr="003A1036" w:rsidRDefault="00B92948" w:rsidP="007D1B32">
            <w:pPr>
              <w:pStyle w:val="SingleTxtG"/>
              <w:tabs>
                <w:tab w:val="clear" w:pos="1701"/>
                <w:tab w:val="clear" w:pos="2268"/>
                <w:tab w:val="clear" w:pos="2835"/>
              </w:tabs>
              <w:spacing w:before="40" w:after="40" w:line="220" w:lineRule="exact"/>
              <w:ind w:left="113" w:right="28"/>
              <w:jc w:val="right"/>
              <w:rPr>
                <w:sz w:val="18"/>
              </w:rPr>
            </w:pPr>
            <w:r w:rsidRPr="003A1036">
              <w:rPr>
                <w:sz w:val="18"/>
              </w:rPr>
              <w:t>11,4</w:t>
            </w:r>
          </w:p>
        </w:tc>
        <w:tc>
          <w:tcPr>
            <w:tcW w:w="992" w:type="dxa"/>
            <w:shd w:val="clear" w:color="auto" w:fill="auto"/>
            <w:vAlign w:val="bottom"/>
          </w:tcPr>
          <w:p w14:paraId="19780832" w14:textId="77777777" w:rsidR="00B92948" w:rsidRPr="003A1036" w:rsidRDefault="00B92948" w:rsidP="007D1B32">
            <w:pPr>
              <w:pStyle w:val="SingleTxtG"/>
              <w:tabs>
                <w:tab w:val="clear" w:pos="1701"/>
                <w:tab w:val="clear" w:pos="2268"/>
                <w:tab w:val="clear" w:pos="2835"/>
              </w:tabs>
              <w:spacing w:before="40" w:after="40" w:line="220" w:lineRule="exact"/>
              <w:ind w:left="113" w:right="28"/>
              <w:jc w:val="right"/>
              <w:rPr>
                <w:sz w:val="18"/>
              </w:rPr>
            </w:pPr>
            <w:r w:rsidRPr="003A1036">
              <w:rPr>
                <w:sz w:val="18"/>
              </w:rPr>
              <w:t>8,3</w:t>
            </w:r>
          </w:p>
        </w:tc>
        <w:tc>
          <w:tcPr>
            <w:tcW w:w="992" w:type="dxa"/>
            <w:shd w:val="clear" w:color="auto" w:fill="auto"/>
            <w:vAlign w:val="bottom"/>
          </w:tcPr>
          <w:p w14:paraId="2CDF32F8" w14:textId="77777777" w:rsidR="00B92948" w:rsidRPr="003A1036" w:rsidRDefault="00B92948" w:rsidP="007D1B32">
            <w:pPr>
              <w:pStyle w:val="SingleTxtG"/>
              <w:tabs>
                <w:tab w:val="clear" w:pos="1701"/>
                <w:tab w:val="clear" w:pos="2268"/>
                <w:tab w:val="clear" w:pos="2835"/>
              </w:tabs>
              <w:spacing w:before="40" w:after="40" w:line="220" w:lineRule="exact"/>
              <w:ind w:left="113" w:right="28"/>
              <w:jc w:val="right"/>
              <w:rPr>
                <w:sz w:val="18"/>
              </w:rPr>
            </w:pPr>
            <w:r w:rsidRPr="003A1036">
              <w:rPr>
                <w:sz w:val="18"/>
              </w:rPr>
              <w:t>14,7</w:t>
            </w:r>
          </w:p>
        </w:tc>
      </w:tr>
      <w:tr w:rsidR="00B92948" w:rsidRPr="003A1036" w14:paraId="3F873271" w14:textId="77777777" w:rsidTr="003F10BE">
        <w:trPr>
          <w:trHeight w:val="240"/>
        </w:trPr>
        <w:tc>
          <w:tcPr>
            <w:tcW w:w="1418" w:type="dxa"/>
            <w:tcBorders>
              <w:bottom w:val="single" w:sz="12" w:space="0" w:color="auto"/>
            </w:tcBorders>
            <w:shd w:val="clear" w:color="auto" w:fill="auto"/>
          </w:tcPr>
          <w:p w14:paraId="354191AF" w14:textId="77777777" w:rsidR="00B92948" w:rsidRPr="003A1036" w:rsidRDefault="003F10BE" w:rsidP="003A1036">
            <w:pPr>
              <w:pStyle w:val="SingleTxtG"/>
              <w:tabs>
                <w:tab w:val="clear" w:pos="1701"/>
                <w:tab w:val="clear" w:pos="2268"/>
                <w:tab w:val="clear" w:pos="2835"/>
              </w:tabs>
              <w:spacing w:before="40" w:after="40" w:line="220" w:lineRule="exact"/>
              <w:ind w:left="0" w:right="0"/>
              <w:jc w:val="left"/>
              <w:rPr>
                <w:sz w:val="18"/>
              </w:rPr>
            </w:pPr>
            <w:r>
              <w:rPr>
                <w:sz w:val="18"/>
              </w:rPr>
              <w:t xml:space="preserve">Más de </w:t>
            </w:r>
            <w:r w:rsidR="00B92948" w:rsidRPr="003A1036">
              <w:rPr>
                <w:sz w:val="18"/>
              </w:rPr>
              <w:t>40</w:t>
            </w:r>
            <w:r>
              <w:rPr>
                <w:sz w:val="18"/>
              </w:rPr>
              <w:t> años</w:t>
            </w:r>
          </w:p>
        </w:tc>
        <w:tc>
          <w:tcPr>
            <w:tcW w:w="992" w:type="dxa"/>
            <w:tcBorders>
              <w:bottom w:val="single" w:sz="12" w:space="0" w:color="auto"/>
            </w:tcBorders>
            <w:shd w:val="clear" w:color="auto" w:fill="auto"/>
            <w:vAlign w:val="bottom"/>
          </w:tcPr>
          <w:p w14:paraId="2F7EC057" w14:textId="77777777" w:rsidR="00B92948" w:rsidRPr="003A1036" w:rsidRDefault="00B92948" w:rsidP="007D1B32">
            <w:pPr>
              <w:pStyle w:val="SingleTxtG"/>
              <w:tabs>
                <w:tab w:val="clear" w:pos="1701"/>
                <w:tab w:val="clear" w:pos="2268"/>
                <w:tab w:val="clear" w:pos="2835"/>
              </w:tabs>
              <w:spacing w:before="40" w:after="40" w:line="220" w:lineRule="exact"/>
              <w:ind w:left="113" w:right="28"/>
              <w:jc w:val="right"/>
              <w:rPr>
                <w:sz w:val="18"/>
              </w:rPr>
            </w:pPr>
            <w:proofErr w:type="spellStart"/>
            <w:r w:rsidRPr="003A1036">
              <w:rPr>
                <w:sz w:val="18"/>
              </w:rPr>
              <w:t>n.d</w:t>
            </w:r>
            <w:proofErr w:type="spellEnd"/>
            <w:r w:rsidRPr="003A1036">
              <w:rPr>
                <w:sz w:val="18"/>
              </w:rPr>
              <w:t>.</w:t>
            </w:r>
          </w:p>
        </w:tc>
        <w:tc>
          <w:tcPr>
            <w:tcW w:w="992" w:type="dxa"/>
            <w:tcBorders>
              <w:bottom w:val="single" w:sz="12" w:space="0" w:color="auto"/>
            </w:tcBorders>
            <w:shd w:val="clear" w:color="auto" w:fill="auto"/>
            <w:vAlign w:val="bottom"/>
          </w:tcPr>
          <w:p w14:paraId="2CA5944F" w14:textId="77777777" w:rsidR="00B92948" w:rsidRPr="003A1036" w:rsidRDefault="00B92948" w:rsidP="007D1B32">
            <w:pPr>
              <w:pStyle w:val="SingleTxtG"/>
              <w:tabs>
                <w:tab w:val="clear" w:pos="1701"/>
                <w:tab w:val="clear" w:pos="2268"/>
                <w:tab w:val="clear" w:pos="2835"/>
              </w:tabs>
              <w:spacing w:before="40" w:after="40" w:line="220" w:lineRule="exact"/>
              <w:ind w:left="113" w:right="28"/>
              <w:jc w:val="right"/>
              <w:rPr>
                <w:sz w:val="18"/>
              </w:rPr>
            </w:pPr>
            <w:r w:rsidRPr="003A1036">
              <w:rPr>
                <w:sz w:val="18"/>
              </w:rPr>
              <w:t>25,1</w:t>
            </w:r>
          </w:p>
        </w:tc>
        <w:tc>
          <w:tcPr>
            <w:tcW w:w="992" w:type="dxa"/>
            <w:tcBorders>
              <w:bottom w:val="single" w:sz="12" w:space="0" w:color="auto"/>
            </w:tcBorders>
            <w:shd w:val="clear" w:color="auto" w:fill="auto"/>
            <w:vAlign w:val="bottom"/>
          </w:tcPr>
          <w:p w14:paraId="67377835" w14:textId="77777777" w:rsidR="00B92948" w:rsidRPr="003A1036" w:rsidRDefault="00B92948" w:rsidP="007D1B32">
            <w:pPr>
              <w:pStyle w:val="SingleTxtG"/>
              <w:tabs>
                <w:tab w:val="clear" w:pos="1701"/>
                <w:tab w:val="clear" w:pos="2268"/>
                <w:tab w:val="clear" w:pos="2835"/>
              </w:tabs>
              <w:spacing w:before="40" w:after="40" w:line="220" w:lineRule="exact"/>
              <w:ind w:left="113" w:right="28"/>
              <w:jc w:val="right"/>
              <w:rPr>
                <w:sz w:val="18"/>
              </w:rPr>
            </w:pPr>
            <w:r w:rsidRPr="003A1036">
              <w:rPr>
                <w:sz w:val="18"/>
              </w:rPr>
              <w:t>24,8</w:t>
            </w:r>
          </w:p>
        </w:tc>
        <w:tc>
          <w:tcPr>
            <w:tcW w:w="992" w:type="dxa"/>
            <w:tcBorders>
              <w:bottom w:val="single" w:sz="12" w:space="0" w:color="auto"/>
            </w:tcBorders>
            <w:shd w:val="clear" w:color="auto" w:fill="auto"/>
            <w:vAlign w:val="bottom"/>
          </w:tcPr>
          <w:p w14:paraId="560B7D77" w14:textId="77777777" w:rsidR="00B92948" w:rsidRPr="003A1036" w:rsidRDefault="00B92948" w:rsidP="007D1B32">
            <w:pPr>
              <w:pStyle w:val="SingleTxtG"/>
              <w:tabs>
                <w:tab w:val="clear" w:pos="1701"/>
                <w:tab w:val="clear" w:pos="2268"/>
                <w:tab w:val="clear" w:pos="2835"/>
              </w:tabs>
              <w:spacing w:before="40" w:after="40" w:line="220" w:lineRule="exact"/>
              <w:ind w:left="113" w:right="28"/>
              <w:jc w:val="right"/>
              <w:rPr>
                <w:sz w:val="18"/>
              </w:rPr>
            </w:pPr>
            <w:r w:rsidRPr="003A1036">
              <w:rPr>
                <w:sz w:val="18"/>
              </w:rPr>
              <w:t>13,5</w:t>
            </w:r>
          </w:p>
        </w:tc>
        <w:tc>
          <w:tcPr>
            <w:tcW w:w="992" w:type="dxa"/>
            <w:tcBorders>
              <w:bottom w:val="single" w:sz="12" w:space="0" w:color="auto"/>
            </w:tcBorders>
            <w:shd w:val="clear" w:color="auto" w:fill="auto"/>
            <w:vAlign w:val="bottom"/>
          </w:tcPr>
          <w:p w14:paraId="11D933DF" w14:textId="77777777" w:rsidR="00B92948" w:rsidRPr="003A1036" w:rsidRDefault="00B92948" w:rsidP="007D1B32">
            <w:pPr>
              <w:pStyle w:val="SingleTxtG"/>
              <w:tabs>
                <w:tab w:val="clear" w:pos="1701"/>
                <w:tab w:val="clear" w:pos="2268"/>
                <w:tab w:val="clear" w:pos="2835"/>
              </w:tabs>
              <w:spacing w:before="40" w:after="40" w:line="220" w:lineRule="exact"/>
              <w:ind w:left="113" w:right="28"/>
              <w:jc w:val="right"/>
              <w:rPr>
                <w:sz w:val="18"/>
              </w:rPr>
            </w:pPr>
            <w:r w:rsidRPr="003A1036">
              <w:rPr>
                <w:sz w:val="18"/>
              </w:rPr>
              <w:t>11,8</w:t>
            </w:r>
          </w:p>
        </w:tc>
        <w:tc>
          <w:tcPr>
            <w:tcW w:w="992" w:type="dxa"/>
            <w:tcBorders>
              <w:bottom w:val="single" w:sz="12" w:space="0" w:color="auto"/>
            </w:tcBorders>
            <w:shd w:val="clear" w:color="auto" w:fill="auto"/>
            <w:vAlign w:val="bottom"/>
          </w:tcPr>
          <w:p w14:paraId="54A7AC3B" w14:textId="77777777" w:rsidR="00B92948" w:rsidRPr="003A1036" w:rsidRDefault="00B92948" w:rsidP="007D1B32">
            <w:pPr>
              <w:pStyle w:val="SingleTxtG"/>
              <w:tabs>
                <w:tab w:val="clear" w:pos="1701"/>
                <w:tab w:val="clear" w:pos="2268"/>
                <w:tab w:val="clear" w:pos="2835"/>
              </w:tabs>
              <w:spacing w:before="40" w:after="40" w:line="220" w:lineRule="exact"/>
              <w:ind w:left="113" w:right="28"/>
              <w:jc w:val="right"/>
              <w:rPr>
                <w:sz w:val="18"/>
              </w:rPr>
            </w:pPr>
            <w:r w:rsidRPr="003A1036">
              <w:rPr>
                <w:sz w:val="18"/>
              </w:rPr>
              <w:t>9,6</w:t>
            </w:r>
          </w:p>
        </w:tc>
      </w:tr>
    </w:tbl>
    <w:p w14:paraId="40A6FF2E" w14:textId="77777777" w:rsidR="00B92948" w:rsidRPr="00B92948" w:rsidRDefault="00B92948" w:rsidP="00624630">
      <w:pPr>
        <w:pStyle w:val="H23G"/>
      </w:pPr>
      <w:r w:rsidRPr="007D1B32">
        <w:rPr>
          <w:b w:val="0"/>
          <w:bCs/>
        </w:rPr>
        <w:lastRenderedPageBreak/>
        <w:tab/>
      </w:r>
      <w:r w:rsidR="00624630" w:rsidRPr="007D1B32">
        <w:rPr>
          <w:b w:val="0"/>
          <w:bCs/>
        </w:rPr>
        <w:tab/>
      </w:r>
      <w:r w:rsidRPr="007D1B32">
        <w:rPr>
          <w:b w:val="0"/>
          <w:bCs/>
        </w:rPr>
        <w:t>Cuadro 9</w:t>
      </w:r>
      <w:r w:rsidR="00624630" w:rsidRPr="007D1B32">
        <w:rPr>
          <w:b w:val="0"/>
          <w:bCs/>
        </w:rPr>
        <w:br/>
      </w:r>
      <w:r w:rsidRPr="00B92948">
        <w:tab/>
        <w:t xml:space="preserve">Tasas de mortalidad de lactantes según el nivel de educación de las madres </w:t>
      </w:r>
      <w:r w:rsidR="00624630">
        <w:br/>
      </w:r>
      <w:r w:rsidRPr="00B92948">
        <w:t>(2011-2016)</w:t>
      </w:r>
      <w:bookmarkStart w:id="55" w:name="_Toc56781456"/>
      <w:bookmarkEnd w:id="55"/>
    </w:p>
    <w:tbl>
      <w:tblPr>
        <w:tblW w:w="7370" w:type="dxa"/>
        <w:tblInd w:w="1134" w:type="dxa"/>
        <w:tblBorders>
          <w:top w:val="single" w:sz="4" w:space="0" w:color="auto"/>
        </w:tblBorders>
        <w:tblCellMar>
          <w:left w:w="0" w:type="dxa"/>
          <w:right w:w="0" w:type="dxa"/>
        </w:tblCellMar>
        <w:tblLook w:val="00A0" w:firstRow="1" w:lastRow="0" w:firstColumn="1" w:lastColumn="0" w:noHBand="0" w:noVBand="0"/>
      </w:tblPr>
      <w:tblGrid>
        <w:gridCol w:w="1701"/>
        <w:gridCol w:w="944"/>
        <w:gridCol w:w="945"/>
        <w:gridCol w:w="945"/>
        <w:gridCol w:w="945"/>
        <w:gridCol w:w="945"/>
        <w:gridCol w:w="945"/>
      </w:tblGrid>
      <w:tr w:rsidR="00B92948" w:rsidRPr="003A1036" w14:paraId="203394F5" w14:textId="77777777" w:rsidTr="007D1B32">
        <w:trPr>
          <w:trHeight w:val="240"/>
          <w:tblHeader/>
        </w:trPr>
        <w:tc>
          <w:tcPr>
            <w:tcW w:w="1701" w:type="dxa"/>
            <w:tcBorders>
              <w:top w:val="single" w:sz="4" w:space="0" w:color="auto"/>
              <w:bottom w:val="single" w:sz="12" w:space="0" w:color="auto"/>
            </w:tcBorders>
            <w:shd w:val="clear" w:color="auto" w:fill="auto"/>
            <w:vAlign w:val="bottom"/>
          </w:tcPr>
          <w:p w14:paraId="6198514A" w14:textId="77777777" w:rsidR="00B92948" w:rsidRPr="003A1036" w:rsidRDefault="00B92948" w:rsidP="003A1036">
            <w:pPr>
              <w:pStyle w:val="SingleTxtG"/>
              <w:tabs>
                <w:tab w:val="clear" w:pos="1701"/>
                <w:tab w:val="clear" w:pos="2268"/>
                <w:tab w:val="clear" w:pos="2835"/>
              </w:tabs>
              <w:spacing w:before="80" w:after="80" w:line="200" w:lineRule="exact"/>
              <w:ind w:left="0" w:right="0"/>
              <w:jc w:val="left"/>
              <w:rPr>
                <w:i/>
                <w:sz w:val="16"/>
              </w:rPr>
            </w:pPr>
            <w:r w:rsidRPr="003A1036">
              <w:rPr>
                <w:i/>
                <w:iCs/>
                <w:sz w:val="16"/>
              </w:rPr>
              <w:t>Nivel de educación</w:t>
            </w:r>
          </w:p>
        </w:tc>
        <w:tc>
          <w:tcPr>
            <w:tcW w:w="944" w:type="dxa"/>
            <w:tcBorders>
              <w:top w:val="single" w:sz="4" w:space="0" w:color="auto"/>
              <w:bottom w:val="single" w:sz="12" w:space="0" w:color="auto"/>
            </w:tcBorders>
            <w:shd w:val="clear" w:color="auto" w:fill="auto"/>
            <w:vAlign w:val="bottom"/>
          </w:tcPr>
          <w:p w14:paraId="2B736BF6" w14:textId="77777777" w:rsidR="00B92948" w:rsidRPr="003A1036" w:rsidRDefault="00B92948" w:rsidP="007D1B32">
            <w:pPr>
              <w:pStyle w:val="SingleTxtG"/>
              <w:tabs>
                <w:tab w:val="clear" w:pos="1701"/>
                <w:tab w:val="clear" w:pos="2268"/>
                <w:tab w:val="clear" w:pos="2835"/>
              </w:tabs>
              <w:spacing w:before="80" w:after="80" w:line="200" w:lineRule="exact"/>
              <w:ind w:left="113" w:right="28"/>
              <w:jc w:val="right"/>
              <w:rPr>
                <w:bCs/>
                <w:i/>
                <w:sz w:val="16"/>
              </w:rPr>
            </w:pPr>
            <w:r w:rsidRPr="003A1036">
              <w:rPr>
                <w:i/>
                <w:iCs/>
                <w:sz w:val="16"/>
              </w:rPr>
              <w:t>2011</w:t>
            </w:r>
          </w:p>
        </w:tc>
        <w:tc>
          <w:tcPr>
            <w:tcW w:w="945" w:type="dxa"/>
            <w:tcBorders>
              <w:top w:val="single" w:sz="4" w:space="0" w:color="auto"/>
              <w:bottom w:val="single" w:sz="12" w:space="0" w:color="auto"/>
            </w:tcBorders>
            <w:shd w:val="clear" w:color="auto" w:fill="auto"/>
            <w:vAlign w:val="bottom"/>
          </w:tcPr>
          <w:p w14:paraId="06017B50" w14:textId="77777777" w:rsidR="00B92948" w:rsidRPr="003A1036" w:rsidRDefault="00B92948" w:rsidP="007D1B32">
            <w:pPr>
              <w:pStyle w:val="SingleTxtG"/>
              <w:tabs>
                <w:tab w:val="clear" w:pos="1701"/>
                <w:tab w:val="clear" w:pos="2268"/>
                <w:tab w:val="clear" w:pos="2835"/>
              </w:tabs>
              <w:spacing w:before="80" w:after="80" w:line="200" w:lineRule="exact"/>
              <w:ind w:left="113" w:right="28"/>
              <w:jc w:val="right"/>
              <w:rPr>
                <w:bCs/>
                <w:i/>
                <w:sz w:val="16"/>
              </w:rPr>
            </w:pPr>
            <w:r w:rsidRPr="003A1036">
              <w:rPr>
                <w:i/>
                <w:iCs/>
                <w:sz w:val="16"/>
              </w:rPr>
              <w:t>2012</w:t>
            </w:r>
          </w:p>
        </w:tc>
        <w:tc>
          <w:tcPr>
            <w:tcW w:w="945" w:type="dxa"/>
            <w:tcBorders>
              <w:top w:val="single" w:sz="4" w:space="0" w:color="auto"/>
              <w:bottom w:val="single" w:sz="12" w:space="0" w:color="auto"/>
            </w:tcBorders>
            <w:shd w:val="clear" w:color="auto" w:fill="auto"/>
            <w:vAlign w:val="bottom"/>
          </w:tcPr>
          <w:p w14:paraId="01E44F5C" w14:textId="77777777" w:rsidR="00B92948" w:rsidRPr="003A1036" w:rsidRDefault="00B92948" w:rsidP="007D1B32">
            <w:pPr>
              <w:pStyle w:val="SingleTxtG"/>
              <w:tabs>
                <w:tab w:val="clear" w:pos="1701"/>
                <w:tab w:val="clear" w:pos="2268"/>
                <w:tab w:val="clear" w:pos="2835"/>
              </w:tabs>
              <w:spacing w:before="80" w:after="80" w:line="200" w:lineRule="exact"/>
              <w:ind w:left="113" w:right="28"/>
              <w:jc w:val="right"/>
              <w:rPr>
                <w:bCs/>
                <w:i/>
                <w:sz w:val="16"/>
              </w:rPr>
            </w:pPr>
            <w:r w:rsidRPr="003A1036">
              <w:rPr>
                <w:i/>
                <w:iCs/>
                <w:sz w:val="16"/>
              </w:rPr>
              <w:t>2013</w:t>
            </w:r>
          </w:p>
        </w:tc>
        <w:tc>
          <w:tcPr>
            <w:tcW w:w="945" w:type="dxa"/>
            <w:tcBorders>
              <w:top w:val="single" w:sz="4" w:space="0" w:color="auto"/>
              <w:bottom w:val="single" w:sz="12" w:space="0" w:color="auto"/>
            </w:tcBorders>
            <w:shd w:val="clear" w:color="auto" w:fill="auto"/>
            <w:vAlign w:val="bottom"/>
          </w:tcPr>
          <w:p w14:paraId="2EC51EBE" w14:textId="77777777" w:rsidR="00B92948" w:rsidRPr="003A1036" w:rsidRDefault="00B92948" w:rsidP="007D1B32">
            <w:pPr>
              <w:pStyle w:val="SingleTxtG"/>
              <w:tabs>
                <w:tab w:val="clear" w:pos="1701"/>
                <w:tab w:val="clear" w:pos="2268"/>
                <w:tab w:val="clear" w:pos="2835"/>
              </w:tabs>
              <w:spacing w:before="80" w:after="80" w:line="200" w:lineRule="exact"/>
              <w:ind w:left="113" w:right="28"/>
              <w:jc w:val="right"/>
              <w:rPr>
                <w:bCs/>
                <w:i/>
                <w:sz w:val="16"/>
              </w:rPr>
            </w:pPr>
            <w:r w:rsidRPr="003A1036">
              <w:rPr>
                <w:i/>
                <w:iCs/>
                <w:sz w:val="16"/>
              </w:rPr>
              <w:t>2014</w:t>
            </w:r>
          </w:p>
        </w:tc>
        <w:tc>
          <w:tcPr>
            <w:tcW w:w="945" w:type="dxa"/>
            <w:tcBorders>
              <w:top w:val="single" w:sz="4" w:space="0" w:color="auto"/>
              <w:bottom w:val="single" w:sz="12" w:space="0" w:color="auto"/>
            </w:tcBorders>
            <w:shd w:val="clear" w:color="auto" w:fill="auto"/>
            <w:vAlign w:val="bottom"/>
          </w:tcPr>
          <w:p w14:paraId="5B3919D8" w14:textId="77777777" w:rsidR="00B92948" w:rsidRPr="003A1036" w:rsidRDefault="00B92948" w:rsidP="007D1B32">
            <w:pPr>
              <w:pStyle w:val="SingleTxtG"/>
              <w:tabs>
                <w:tab w:val="clear" w:pos="1701"/>
                <w:tab w:val="clear" w:pos="2268"/>
                <w:tab w:val="clear" w:pos="2835"/>
              </w:tabs>
              <w:spacing w:before="80" w:after="80" w:line="200" w:lineRule="exact"/>
              <w:ind w:left="113" w:right="28"/>
              <w:jc w:val="right"/>
              <w:rPr>
                <w:bCs/>
                <w:i/>
                <w:sz w:val="16"/>
              </w:rPr>
            </w:pPr>
            <w:r w:rsidRPr="003A1036">
              <w:rPr>
                <w:i/>
                <w:iCs/>
                <w:sz w:val="16"/>
              </w:rPr>
              <w:t>2015</w:t>
            </w:r>
          </w:p>
        </w:tc>
        <w:tc>
          <w:tcPr>
            <w:tcW w:w="945" w:type="dxa"/>
            <w:tcBorders>
              <w:top w:val="single" w:sz="4" w:space="0" w:color="auto"/>
              <w:bottom w:val="single" w:sz="12" w:space="0" w:color="auto"/>
            </w:tcBorders>
            <w:shd w:val="clear" w:color="auto" w:fill="auto"/>
            <w:vAlign w:val="bottom"/>
          </w:tcPr>
          <w:p w14:paraId="38A15480" w14:textId="77777777" w:rsidR="00B92948" w:rsidRPr="003A1036" w:rsidRDefault="00B92948" w:rsidP="007D1B32">
            <w:pPr>
              <w:pStyle w:val="SingleTxtG"/>
              <w:tabs>
                <w:tab w:val="clear" w:pos="1701"/>
                <w:tab w:val="clear" w:pos="2268"/>
                <w:tab w:val="clear" w:pos="2835"/>
              </w:tabs>
              <w:spacing w:before="80" w:after="80" w:line="200" w:lineRule="exact"/>
              <w:ind w:left="113" w:right="28"/>
              <w:jc w:val="right"/>
              <w:rPr>
                <w:bCs/>
                <w:i/>
                <w:sz w:val="16"/>
              </w:rPr>
            </w:pPr>
            <w:r w:rsidRPr="003A1036">
              <w:rPr>
                <w:i/>
                <w:iCs/>
                <w:sz w:val="16"/>
              </w:rPr>
              <w:t>2016</w:t>
            </w:r>
          </w:p>
        </w:tc>
      </w:tr>
      <w:tr w:rsidR="00B92948" w:rsidRPr="007D1B32" w14:paraId="7A2B867A" w14:textId="77777777" w:rsidTr="007D1B32">
        <w:trPr>
          <w:trHeight w:val="240"/>
        </w:trPr>
        <w:tc>
          <w:tcPr>
            <w:tcW w:w="1701" w:type="dxa"/>
            <w:tcBorders>
              <w:top w:val="single" w:sz="12" w:space="0" w:color="auto"/>
              <w:bottom w:val="single" w:sz="4" w:space="0" w:color="auto"/>
            </w:tcBorders>
            <w:shd w:val="clear" w:color="auto" w:fill="auto"/>
          </w:tcPr>
          <w:p w14:paraId="75E64867" w14:textId="77777777" w:rsidR="00B92948" w:rsidRPr="007D1B32" w:rsidRDefault="00B92948" w:rsidP="00F917AB">
            <w:pPr>
              <w:pStyle w:val="SingleTxtG"/>
              <w:keepNext/>
              <w:tabs>
                <w:tab w:val="clear" w:pos="1701"/>
                <w:tab w:val="clear" w:pos="2268"/>
                <w:tab w:val="clear" w:pos="2835"/>
              </w:tabs>
              <w:spacing w:before="80" w:after="80" w:line="220" w:lineRule="exact"/>
              <w:ind w:left="283" w:right="0"/>
              <w:jc w:val="left"/>
              <w:rPr>
                <w:b/>
                <w:sz w:val="18"/>
              </w:rPr>
            </w:pPr>
            <w:r w:rsidRPr="007D1B32">
              <w:rPr>
                <w:b/>
                <w:bCs/>
                <w:sz w:val="18"/>
              </w:rPr>
              <w:t>Total</w:t>
            </w:r>
          </w:p>
        </w:tc>
        <w:tc>
          <w:tcPr>
            <w:tcW w:w="944" w:type="dxa"/>
            <w:tcBorders>
              <w:top w:val="single" w:sz="12" w:space="0" w:color="auto"/>
              <w:bottom w:val="single" w:sz="4" w:space="0" w:color="auto"/>
            </w:tcBorders>
            <w:shd w:val="clear" w:color="auto" w:fill="auto"/>
            <w:vAlign w:val="bottom"/>
          </w:tcPr>
          <w:p w14:paraId="1E74899C" w14:textId="77777777" w:rsidR="00B92948" w:rsidRPr="007D1B32" w:rsidRDefault="00B92948" w:rsidP="00F917AB">
            <w:pPr>
              <w:pStyle w:val="SingleTxtG"/>
              <w:keepNext/>
              <w:tabs>
                <w:tab w:val="clear" w:pos="1701"/>
                <w:tab w:val="clear" w:pos="2268"/>
                <w:tab w:val="clear" w:pos="2835"/>
              </w:tabs>
              <w:spacing w:before="80" w:after="80" w:line="220" w:lineRule="exact"/>
              <w:ind w:left="0" w:right="28"/>
              <w:jc w:val="right"/>
              <w:rPr>
                <w:b/>
                <w:sz w:val="18"/>
              </w:rPr>
            </w:pPr>
            <w:r w:rsidRPr="007D1B32">
              <w:rPr>
                <w:b/>
                <w:sz w:val="18"/>
              </w:rPr>
              <w:t>7,5</w:t>
            </w:r>
          </w:p>
        </w:tc>
        <w:tc>
          <w:tcPr>
            <w:tcW w:w="945" w:type="dxa"/>
            <w:tcBorders>
              <w:top w:val="single" w:sz="12" w:space="0" w:color="auto"/>
              <w:bottom w:val="single" w:sz="4" w:space="0" w:color="auto"/>
            </w:tcBorders>
            <w:shd w:val="clear" w:color="auto" w:fill="auto"/>
            <w:vAlign w:val="bottom"/>
          </w:tcPr>
          <w:p w14:paraId="77CFF89D" w14:textId="77777777" w:rsidR="00B92948" w:rsidRPr="007D1B32" w:rsidRDefault="00B92948" w:rsidP="00F917AB">
            <w:pPr>
              <w:pStyle w:val="SingleTxtG"/>
              <w:keepNext/>
              <w:tabs>
                <w:tab w:val="clear" w:pos="1701"/>
                <w:tab w:val="clear" w:pos="2268"/>
                <w:tab w:val="clear" w:pos="2835"/>
              </w:tabs>
              <w:spacing w:before="80" w:after="80" w:line="220" w:lineRule="exact"/>
              <w:ind w:left="0" w:right="28"/>
              <w:jc w:val="right"/>
              <w:rPr>
                <w:b/>
                <w:sz w:val="18"/>
              </w:rPr>
            </w:pPr>
            <w:r w:rsidRPr="007D1B32">
              <w:rPr>
                <w:b/>
                <w:sz w:val="18"/>
              </w:rPr>
              <w:t>9,8</w:t>
            </w:r>
          </w:p>
        </w:tc>
        <w:tc>
          <w:tcPr>
            <w:tcW w:w="945" w:type="dxa"/>
            <w:tcBorders>
              <w:top w:val="single" w:sz="12" w:space="0" w:color="auto"/>
              <w:bottom w:val="single" w:sz="4" w:space="0" w:color="auto"/>
            </w:tcBorders>
            <w:shd w:val="clear" w:color="auto" w:fill="auto"/>
            <w:vAlign w:val="bottom"/>
          </w:tcPr>
          <w:p w14:paraId="0081A22A" w14:textId="77777777" w:rsidR="00B92948" w:rsidRPr="007D1B32" w:rsidRDefault="00B92948" w:rsidP="00F917AB">
            <w:pPr>
              <w:pStyle w:val="SingleTxtG"/>
              <w:keepNext/>
              <w:tabs>
                <w:tab w:val="clear" w:pos="1701"/>
                <w:tab w:val="clear" w:pos="2268"/>
                <w:tab w:val="clear" w:pos="2835"/>
              </w:tabs>
              <w:spacing w:before="80" w:after="80" w:line="220" w:lineRule="exact"/>
              <w:ind w:left="0" w:right="28"/>
              <w:jc w:val="right"/>
              <w:rPr>
                <w:b/>
                <w:sz w:val="18"/>
              </w:rPr>
            </w:pPr>
            <w:r w:rsidRPr="007D1B32">
              <w:rPr>
                <w:b/>
                <w:sz w:val="18"/>
              </w:rPr>
              <w:t>10,2</w:t>
            </w:r>
          </w:p>
        </w:tc>
        <w:tc>
          <w:tcPr>
            <w:tcW w:w="945" w:type="dxa"/>
            <w:tcBorders>
              <w:top w:val="single" w:sz="12" w:space="0" w:color="auto"/>
              <w:bottom w:val="single" w:sz="4" w:space="0" w:color="auto"/>
            </w:tcBorders>
            <w:shd w:val="clear" w:color="auto" w:fill="auto"/>
            <w:vAlign w:val="bottom"/>
          </w:tcPr>
          <w:p w14:paraId="0836D3F1" w14:textId="77777777" w:rsidR="00B92948" w:rsidRPr="007D1B32" w:rsidRDefault="00B92948" w:rsidP="00F917AB">
            <w:pPr>
              <w:pStyle w:val="SingleTxtG"/>
              <w:keepNext/>
              <w:tabs>
                <w:tab w:val="clear" w:pos="1701"/>
                <w:tab w:val="clear" w:pos="2268"/>
                <w:tab w:val="clear" w:pos="2835"/>
              </w:tabs>
              <w:spacing w:before="80" w:after="80" w:line="220" w:lineRule="exact"/>
              <w:ind w:left="0" w:right="28"/>
              <w:jc w:val="right"/>
              <w:rPr>
                <w:b/>
                <w:sz w:val="18"/>
              </w:rPr>
            </w:pPr>
            <w:r w:rsidRPr="007D1B32">
              <w:rPr>
                <w:b/>
                <w:sz w:val="18"/>
              </w:rPr>
              <w:t>9,9</w:t>
            </w:r>
          </w:p>
        </w:tc>
        <w:tc>
          <w:tcPr>
            <w:tcW w:w="945" w:type="dxa"/>
            <w:tcBorders>
              <w:top w:val="single" w:sz="12" w:space="0" w:color="auto"/>
              <w:bottom w:val="single" w:sz="4" w:space="0" w:color="auto"/>
            </w:tcBorders>
            <w:shd w:val="clear" w:color="auto" w:fill="auto"/>
            <w:vAlign w:val="bottom"/>
          </w:tcPr>
          <w:p w14:paraId="3A6D7E3F" w14:textId="77777777" w:rsidR="00B92948" w:rsidRPr="007D1B32" w:rsidRDefault="00B92948" w:rsidP="00F917AB">
            <w:pPr>
              <w:pStyle w:val="SingleTxtG"/>
              <w:keepNext/>
              <w:tabs>
                <w:tab w:val="clear" w:pos="1701"/>
                <w:tab w:val="clear" w:pos="2268"/>
                <w:tab w:val="clear" w:pos="2835"/>
              </w:tabs>
              <w:spacing w:before="80" w:after="80" w:line="220" w:lineRule="exact"/>
              <w:ind w:left="0" w:right="28"/>
              <w:jc w:val="right"/>
              <w:rPr>
                <w:b/>
                <w:sz w:val="18"/>
              </w:rPr>
            </w:pPr>
            <w:r w:rsidRPr="007D1B32">
              <w:rPr>
                <w:b/>
                <w:sz w:val="18"/>
              </w:rPr>
              <w:t>8,6</w:t>
            </w:r>
          </w:p>
        </w:tc>
        <w:tc>
          <w:tcPr>
            <w:tcW w:w="945" w:type="dxa"/>
            <w:tcBorders>
              <w:top w:val="single" w:sz="12" w:space="0" w:color="auto"/>
              <w:bottom w:val="single" w:sz="4" w:space="0" w:color="auto"/>
            </w:tcBorders>
            <w:shd w:val="clear" w:color="auto" w:fill="auto"/>
            <w:vAlign w:val="bottom"/>
          </w:tcPr>
          <w:p w14:paraId="159116FC" w14:textId="77777777" w:rsidR="00B92948" w:rsidRPr="007D1B32" w:rsidRDefault="00B92948" w:rsidP="00F917AB">
            <w:pPr>
              <w:pStyle w:val="SingleTxtG"/>
              <w:keepNext/>
              <w:tabs>
                <w:tab w:val="clear" w:pos="1701"/>
                <w:tab w:val="clear" w:pos="2268"/>
                <w:tab w:val="clear" w:pos="2835"/>
              </w:tabs>
              <w:spacing w:before="80" w:after="80" w:line="220" w:lineRule="exact"/>
              <w:ind w:left="0" w:right="28"/>
              <w:jc w:val="right"/>
              <w:rPr>
                <w:b/>
                <w:sz w:val="18"/>
              </w:rPr>
            </w:pPr>
            <w:r w:rsidRPr="007D1B32">
              <w:rPr>
                <w:b/>
                <w:sz w:val="18"/>
              </w:rPr>
              <w:t>11,9</w:t>
            </w:r>
          </w:p>
        </w:tc>
      </w:tr>
      <w:tr w:rsidR="00B92948" w:rsidRPr="003A1036" w14:paraId="473A9727" w14:textId="77777777" w:rsidTr="007D1B32">
        <w:trPr>
          <w:trHeight w:val="240"/>
        </w:trPr>
        <w:tc>
          <w:tcPr>
            <w:tcW w:w="1701" w:type="dxa"/>
            <w:tcBorders>
              <w:top w:val="single" w:sz="4" w:space="0" w:color="auto"/>
            </w:tcBorders>
            <w:shd w:val="clear" w:color="auto" w:fill="auto"/>
          </w:tcPr>
          <w:p w14:paraId="72D2FAB7" w14:textId="77777777" w:rsidR="00B92948" w:rsidRPr="003A1036" w:rsidRDefault="00B92948" w:rsidP="003A1036">
            <w:pPr>
              <w:pStyle w:val="SingleTxtG"/>
              <w:tabs>
                <w:tab w:val="clear" w:pos="1701"/>
                <w:tab w:val="clear" w:pos="2268"/>
                <w:tab w:val="clear" w:pos="2835"/>
              </w:tabs>
              <w:spacing w:before="40" w:after="40" w:line="220" w:lineRule="exact"/>
              <w:ind w:left="0" w:right="0"/>
              <w:jc w:val="left"/>
              <w:rPr>
                <w:sz w:val="18"/>
              </w:rPr>
            </w:pPr>
            <w:r w:rsidRPr="003A1036">
              <w:rPr>
                <w:sz w:val="18"/>
              </w:rPr>
              <w:t>Sin escolarización</w:t>
            </w:r>
          </w:p>
        </w:tc>
        <w:tc>
          <w:tcPr>
            <w:tcW w:w="944" w:type="dxa"/>
            <w:tcBorders>
              <w:top w:val="single" w:sz="4" w:space="0" w:color="auto"/>
            </w:tcBorders>
            <w:shd w:val="clear" w:color="auto" w:fill="auto"/>
            <w:vAlign w:val="bottom"/>
          </w:tcPr>
          <w:p w14:paraId="22E93D30" w14:textId="77777777" w:rsidR="00B92948" w:rsidRPr="003A1036" w:rsidRDefault="00B92948" w:rsidP="007D1B32">
            <w:pPr>
              <w:pStyle w:val="SingleTxtG"/>
              <w:tabs>
                <w:tab w:val="clear" w:pos="1701"/>
                <w:tab w:val="clear" w:pos="2268"/>
                <w:tab w:val="clear" w:pos="2835"/>
              </w:tabs>
              <w:spacing w:before="40" w:after="40" w:line="220" w:lineRule="exact"/>
              <w:ind w:left="113" w:right="28"/>
              <w:jc w:val="right"/>
              <w:rPr>
                <w:sz w:val="18"/>
              </w:rPr>
            </w:pPr>
            <w:r w:rsidRPr="003A1036">
              <w:rPr>
                <w:sz w:val="18"/>
              </w:rPr>
              <w:t>10,3</w:t>
            </w:r>
          </w:p>
        </w:tc>
        <w:tc>
          <w:tcPr>
            <w:tcW w:w="945" w:type="dxa"/>
            <w:tcBorders>
              <w:top w:val="single" w:sz="4" w:space="0" w:color="auto"/>
            </w:tcBorders>
            <w:shd w:val="clear" w:color="auto" w:fill="auto"/>
            <w:vAlign w:val="bottom"/>
          </w:tcPr>
          <w:p w14:paraId="68DD13E8" w14:textId="77777777" w:rsidR="00B92948" w:rsidRPr="003A1036" w:rsidRDefault="00B92948" w:rsidP="007D1B32">
            <w:pPr>
              <w:pStyle w:val="SingleTxtG"/>
              <w:tabs>
                <w:tab w:val="clear" w:pos="1701"/>
                <w:tab w:val="clear" w:pos="2268"/>
                <w:tab w:val="clear" w:pos="2835"/>
              </w:tabs>
              <w:spacing w:before="40" w:after="40" w:line="220" w:lineRule="exact"/>
              <w:ind w:left="113" w:right="28"/>
              <w:jc w:val="right"/>
              <w:rPr>
                <w:sz w:val="18"/>
              </w:rPr>
            </w:pPr>
            <w:r w:rsidRPr="003A1036">
              <w:rPr>
                <w:sz w:val="18"/>
              </w:rPr>
              <w:t>15,9</w:t>
            </w:r>
          </w:p>
        </w:tc>
        <w:tc>
          <w:tcPr>
            <w:tcW w:w="945" w:type="dxa"/>
            <w:tcBorders>
              <w:top w:val="single" w:sz="4" w:space="0" w:color="auto"/>
            </w:tcBorders>
            <w:shd w:val="clear" w:color="auto" w:fill="auto"/>
            <w:vAlign w:val="bottom"/>
          </w:tcPr>
          <w:p w14:paraId="04519156" w14:textId="77777777" w:rsidR="00B92948" w:rsidRPr="003A1036" w:rsidRDefault="00B92948" w:rsidP="007D1B32">
            <w:pPr>
              <w:pStyle w:val="SingleTxtG"/>
              <w:tabs>
                <w:tab w:val="clear" w:pos="1701"/>
                <w:tab w:val="clear" w:pos="2268"/>
                <w:tab w:val="clear" w:pos="2835"/>
              </w:tabs>
              <w:spacing w:before="40" w:after="40" w:line="220" w:lineRule="exact"/>
              <w:ind w:left="113" w:right="28"/>
              <w:jc w:val="right"/>
              <w:rPr>
                <w:sz w:val="18"/>
              </w:rPr>
            </w:pPr>
            <w:r w:rsidRPr="003A1036">
              <w:rPr>
                <w:sz w:val="18"/>
              </w:rPr>
              <w:t>16,4</w:t>
            </w:r>
          </w:p>
        </w:tc>
        <w:tc>
          <w:tcPr>
            <w:tcW w:w="945" w:type="dxa"/>
            <w:tcBorders>
              <w:top w:val="single" w:sz="4" w:space="0" w:color="auto"/>
            </w:tcBorders>
            <w:shd w:val="clear" w:color="auto" w:fill="auto"/>
            <w:vAlign w:val="bottom"/>
          </w:tcPr>
          <w:p w14:paraId="484152DA" w14:textId="77777777" w:rsidR="00B92948" w:rsidRPr="003A1036" w:rsidRDefault="00B92948" w:rsidP="007D1B32">
            <w:pPr>
              <w:pStyle w:val="SingleTxtG"/>
              <w:tabs>
                <w:tab w:val="clear" w:pos="1701"/>
                <w:tab w:val="clear" w:pos="2268"/>
                <w:tab w:val="clear" w:pos="2835"/>
              </w:tabs>
              <w:spacing w:before="40" w:after="40" w:line="220" w:lineRule="exact"/>
              <w:ind w:left="113" w:right="28"/>
              <w:jc w:val="right"/>
              <w:rPr>
                <w:sz w:val="18"/>
              </w:rPr>
            </w:pPr>
            <w:r w:rsidRPr="003A1036">
              <w:rPr>
                <w:sz w:val="18"/>
              </w:rPr>
              <w:t>12,4</w:t>
            </w:r>
          </w:p>
        </w:tc>
        <w:tc>
          <w:tcPr>
            <w:tcW w:w="945" w:type="dxa"/>
            <w:tcBorders>
              <w:top w:val="single" w:sz="4" w:space="0" w:color="auto"/>
            </w:tcBorders>
            <w:shd w:val="clear" w:color="auto" w:fill="auto"/>
            <w:vAlign w:val="bottom"/>
          </w:tcPr>
          <w:p w14:paraId="0D146165" w14:textId="77777777" w:rsidR="00B92948" w:rsidRPr="003A1036" w:rsidRDefault="00B92948" w:rsidP="007D1B32">
            <w:pPr>
              <w:pStyle w:val="SingleTxtG"/>
              <w:tabs>
                <w:tab w:val="clear" w:pos="1701"/>
                <w:tab w:val="clear" w:pos="2268"/>
                <w:tab w:val="clear" w:pos="2835"/>
              </w:tabs>
              <w:spacing w:before="40" w:after="40" w:line="220" w:lineRule="exact"/>
              <w:ind w:left="113" w:right="28"/>
              <w:jc w:val="right"/>
              <w:rPr>
                <w:sz w:val="18"/>
              </w:rPr>
            </w:pPr>
            <w:r w:rsidRPr="003A1036">
              <w:rPr>
                <w:sz w:val="18"/>
              </w:rPr>
              <w:t>10,4</w:t>
            </w:r>
          </w:p>
        </w:tc>
        <w:tc>
          <w:tcPr>
            <w:tcW w:w="945" w:type="dxa"/>
            <w:tcBorders>
              <w:top w:val="single" w:sz="4" w:space="0" w:color="auto"/>
            </w:tcBorders>
            <w:shd w:val="clear" w:color="auto" w:fill="auto"/>
            <w:vAlign w:val="bottom"/>
          </w:tcPr>
          <w:p w14:paraId="61E91E41" w14:textId="77777777" w:rsidR="00B92948" w:rsidRPr="003A1036" w:rsidRDefault="00B92948" w:rsidP="007D1B32">
            <w:pPr>
              <w:pStyle w:val="SingleTxtG"/>
              <w:tabs>
                <w:tab w:val="clear" w:pos="1701"/>
                <w:tab w:val="clear" w:pos="2268"/>
                <w:tab w:val="clear" w:pos="2835"/>
              </w:tabs>
              <w:spacing w:before="40" w:after="40" w:line="220" w:lineRule="exact"/>
              <w:ind w:left="113" w:right="28"/>
              <w:jc w:val="right"/>
              <w:rPr>
                <w:sz w:val="18"/>
              </w:rPr>
            </w:pPr>
            <w:r w:rsidRPr="003A1036">
              <w:rPr>
                <w:sz w:val="18"/>
              </w:rPr>
              <w:t>10,7</w:t>
            </w:r>
          </w:p>
        </w:tc>
      </w:tr>
      <w:tr w:rsidR="00B92948" w:rsidRPr="003A1036" w14:paraId="4FC2B8CB" w14:textId="77777777" w:rsidTr="007D1B32">
        <w:trPr>
          <w:trHeight w:val="240"/>
        </w:trPr>
        <w:tc>
          <w:tcPr>
            <w:tcW w:w="1701" w:type="dxa"/>
            <w:shd w:val="clear" w:color="auto" w:fill="auto"/>
          </w:tcPr>
          <w:p w14:paraId="2DC59075" w14:textId="77777777" w:rsidR="00B92948" w:rsidRPr="003A1036" w:rsidRDefault="00B92948" w:rsidP="003A1036">
            <w:pPr>
              <w:pStyle w:val="SingleTxtG"/>
              <w:tabs>
                <w:tab w:val="clear" w:pos="1701"/>
                <w:tab w:val="clear" w:pos="2268"/>
                <w:tab w:val="clear" w:pos="2835"/>
              </w:tabs>
              <w:spacing w:before="40" w:after="40" w:line="220" w:lineRule="exact"/>
              <w:ind w:left="0" w:right="0"/>
              <w:jc w:val="left"/>
              <w:rPr>
                <w:sz w:val="18"/>
              </w:rPr>
            </w:pPr>
            <w:r w:rsidRPr="003A1036">
              <w:rPr>
                <w:sz w:val="18"/>
              </w:rPr>
              <w:t>Educación primaria completa</w:t>
            </w:r>
          </w:p>
        </w:tc>
        <w:tc>
          <w:tcPr>
            <w:tcW w:w="944" w:type="dxa"/>
            <w:shd w:val="clear" w:color="auto" w:fill="auto"/>
            <w:vAlign w:val="bottom"/>
          </w:tcPr>
          <w:p w14:paraId="0F439174" w14:textId="77777777" w:rsidR="00B92948" w:rsidRPr="003A1036" w:rsidRDefault="00B92948" w:rsidP="007D1B32">
            <w:pPr>
              <w:pStyle w:val="SingleTxtG"/>
              <w:tabs>
                <w:tab w:val="clear" w:pos="1701"/>
                <w:tab w:val="clear" w:pos="2268"/>
                <w:tab w:val="clear" w:pos="2835"/>
              </w:tabs>
              <w:spacing w:before="40" w:after="40" w:line="220" w:lineRule="exact"/>
              <w:ind w:left="113" w:right="28"/>
              <w:jc w:val="right"/>
              <w:rPr>
                <w:sz w:val="18"/>
              </w:rPr>
            </w:pPr>
            <w:r w:rsidRPr="003A1036">
              <w:rPr>
                <w:sz w:val="18"/>
              </w:rPr>
              <w:t>10,9</w:t>
            </w:r>
          </w:p>
        </w:tc>
        <w:tc>
          <w:tcPr>
            <w:tcW w:w="945" w:type="dxa"/>
            <w:shd w:val="clear" w:color="auto" w:fill="auto"/>
            <w:vAlign w:val="bottom"/>
          </w:tcPr>
          <w:p w14:paraId="2E2FC46B" w14:textId="77777777" w:rsidR="00B92948" w:rsidRPr="003A1036" w:rsidRDefault="00B92948" w:rsidP="007D1B32">
            <w:pPr>
              <w:pStyle w:val="SingleTxtG"/>
              <w:tabs>
                <w:tab w:val="clear" w:pos="1701"/>
                <w:tab w:val="clear" w:pos="2268"/>
                <w:tab w:val="clear" w:pos="2835"/>
              </w:tabs>
              <w:spacing w:before="40" w:after="40" w:line="220" w:lineRule="exact"/>
              <w:ind w:left="113" w:right="28"/>
              <w:jc w:val="right"/>
              <w:rPr>
                <w:sz w:val="18"/>
              </w:rPr>
            </w:pPr>
            <w:r w:rsidRPr="003A1036">
              <w:rPr>
                <w:sz w:val="18"/>
              </w:rPr>
              <w:t>11,1</w:t>
            </w:r>
          </w:p>
        </w:tc>
        <w:tc>
          <w:tcPr>
            <w:tcW w:w="945" w:type="dxa"/>
            <w:shd w:val="clear" w:color="auto" w:fill="auto"/>
            <w:vAlign w:val="bottom"/>
          </w:tcPr>
          <w:p w14:paraId="798EF5F7" w14:textId="77777777" w:rsidR="00B92948" w:rsidRPr="003A1036" w:rsidRDefault="00B92948" w:rsidP="007D1B32">
            <w:pPr>
              <w:pStyle w:val="SingleTxtG"/>
              <w:tabs>
                <w:tab w:val="clear" w:pos="1701"/>
                <w:tab w:val="clear" w:pos="2268"/>
                <w:tab w:val="clear" w:pos="2835"/>
              </w:tabs>
              <w:spacing w:before="40" w:after="40" w:line="220" w:lineRule="exact"/>
              <w:ind w:left="113" w:right="28"/>
              <w:jc w:val="right"/>
              <w:rPr>
                <w:sz w:val="18"/>
              </w:rPr>
            </w:pPr>
            <w:r w:rsidRPr="003A1036">
              <w:rPr>
                <w:sz w:val="18"/>
              </w:rPr>
              <w:t>13,7</w:t>
            </w:r>
          </w:p>
        </w:tc>
        <w:tc>
          <w:tcPr>
            <w:tcW w:w="945" w:type="dxa"/>
            <w:shd w:val="clear" w:color="auto" w:fill="auto"/>
            <w:vAlign w:val="bottom"/>
          </w:tcPr>
          <w:p w14:paraId="7C7EEE4D" w14:textId="77777777" w:rsidR="00B92948" w:rsidRPr="003A1036" w:rsidRDefault="00B92948" w:rsidP="007D1B32">
            <w:pPr>
              <w:pStyle w:val="SingleTxtG"/>
              <w:tabs>
                <w:tab w:val="clear" w:pos="1701"/>
                <w:tab w:val="clear" w:pos="2268"/>
                <w:tab w:val="clear" w:pos="2835"/>
              </w:tabs>
              <w:spacing w:before="40" w:after="40" w:line="220" w:lineRule="exact"/>
              <w:ind w:left="113" w:right="28"/>
              <w:jc w:val="right"/>
              <w:rPr>
                <w:sz w:val="18"/>
              </w:rPr>
            </w:pPr>
            <w:r w:rsidRPr="003A1036">
              <w:rPr>
                <w:sz w:val="18"/>
              </w:rPr>
              <w:t>8,7</w:t>
            </w:r>
          </w:p>
        </w:tc>
        <w:tc>
          <w:tcPr>
            <w:tcW w:w="945" w:type="dxa"/>
            <w:shd w:val="clear" w:color="auto" w:fill="auto"/>
            <w:vAlign w:val="bottom"/>
          </w:tcPr>
          <w:p w14:paraId="2C88FDA1" w14:textId="77777777" w:rsidR="00B92948" w:rsidRPr="003A1036" w:rsidRDefault="00B92948" w:rsidP="007D1B32">
            <w:pPr>
              <w:pStyle w:val="SingleTxtG"/>
              <w:tabs>
                <w:tab w:val="clear" w:pos="1701"/>
                <w:tab w:val="clear" w:pos="2268"/>
                <w:tab w:val="clear" w:pos="2835"/>
              </w:tabs>
              <w:spacing w:before="40" w:after="40" w:line="220" w:lineRule="exact"/>
              <w:ind w:left="113" w:right="28"/>
              <w:jc w:val="right"/>
              <w:rPr>
                <w:sz w:val="18"/>
              </w:rPr>
            </w:pPr>
            <w:r w:rsidRPr="003A1036">
              <w:rPr>
                <w:sz w:val="18"/>
              </w:rPr>
              <w:t>8,5</w:t>
            </w:r>
          </w:p>
        </w:tc>
        <w:tc>
          <w:tcPr>
            <w:tcW w:w="945" w:type="dxa"/>
            <w:shd w:val="clear" w:color="auto" w:fill="auto"/>
            <w:vAlign w:val="bottom"/>
          </w:tcPr>
          <w:p w14:paraId="1E76D47E" w14:textId="77777777" w:rsidR="00B92948" w:rsidRPr="003A1036" w:rsidRDefault="00B92948" w:rsidP="007D1B32">
            <w:pPr>
              <w:pStyle w:val="SingleTxtG"/>
              <w:tabs>
                <w:tab w:val="clear" w:pos="1701"/>
                <w:tab w:val="clear" w:pos="2268"/>
                <w:tab w:val="clear" w:pos="2835"/>
              </w:tabs>
              <w:spacing w:before="40" w:after="40" w:line="220" w:lineRule="exact"/>
              <w:ind w:left="113" w:right="28"/>
              <w:jc w:val="right"/>
              <w:rPr>
                <w:sz w:val="18"/>
              </w:rPr>
            </w:pPr>
            <w:r w:rsidRPr="003A1036">
              <w:rPr>
                <w:sz w:val="18"/>
              </w:rPr>
              <w:t>10,9</w:t>
            </w:r>
          </w:p>
        </w:tc>
      </w:tr>
      <w:tr w:rsidR="00B92948" w:rsidRPr="003A1036" w14:paraId="718D945F" w14:textId="77777777" w:rsidTr="007D1B32">
        <w:trPr>
          <w:trHeight w:val="240"/>
        </w:trPr>
        <w:tc>
          <w:tcPr>
            <w:tcW w:w="1701" w:type="dxa"/>
            <w:shd w:val="clear" w:color="auto" w:fill="auto"/>
          </w:tcPr>
          <w:p w14:paraId="7C382779" w14:textId="77777777" w:rsidR="00B92948" w:rsidRPr="003A1036" w:rsidRDefault="00B92948" w:rsidP="003A1036">
            <w:pPr>
              <w:pStyle w:val="SingleTxtG"/>
              <w:tabs>
                <w:tab w:val="clear" w:pos="1701"/>
                <w:tab w:val="clear" w:pos="2268"/>
                <w:tab w:val="clear" w:pos="2835"/>
              </w:tabs>
              <w:spacing w:before="40" w:after="40" w:line="220" w:lineRule="exact"/>
              <w:ind w:left="0" w:right="0"/>
              <w:jc w:val="left"/>
              <w:rPr>
                <w:sz w:val="18"/>
              </w:rPr>
            </w:pPr>
            <w:r w:rsidRPr="003A1036">
              <w:rPr>
                <w:sz w:val="18"/>
              </w:rPr>
              <w:t>Educación secundaria completa</w:t>
            </w:r>
          </w:p>
        </w:tc>
        <w:tc>
          <w:tcPr>
            <w:tcW w:w="944" w:type="dxa"/>
            <w:shd w:val="clear" w:color="auto" w:fill="auto"/>
            <w:vAlign w:val="bottom"/>
          </w:tcPr>
          <w:p w14:paraId="114F4419" w14:textId="77777777" w:rsidR="00B92948" w:rsidRPr="003A1036" w:rsidRDefault="00B92948" w:rsidP="007D1B32">
            <w:pPr>
              <w:pStyle w:val="SingleTxtG"/>
              <w:tabs>
                <w:tab w:val="clear" w:pos="1701"/>
                <w:tab w:val="clear" w:pos="2268"/>
                <w:tab w:val="clear" w:pos="2835"/>
              </w:tabs>
              <w:spacing w:before="40" w:after="40" w:line="220" w:lineRule="exact"/>
              <w:ind w:left="113" w:right="28"/>
              <w:jc w:val="right"/>
              <w:rPr>
                <w:sz w:val="18"/>
              </w:rPr>
            </w:pPr>
            <w:r w:rsidRPr="003A1036">
              <w:rPr>
                <w:sz w:val="18"/>
              </w:rPr>
              <w:t>7,0</w:t>
            </w:r>
          </w:p>
        </w:tc>
        <w:tc>
          <w:tcPr>
            <w:tcW w:w="945" w:type="dxa"/>
            <w:shd w:val="clear" w:color="auto" w:fill="auto"/>
            <w:vAlign w:val="bottom"/>
          </w:tcPr>
          <w:p w14:paraId="28F41F5E" w14:textId="77777777" w:rsidR="00B92948" w:rsidRPr="003A1036" w:rsidRDefault="00B92948" w:rsidP="007D1B32">
            <w:pPr>
              <w:pStyle w:val="SingleTxtG"/>
              <w:tabs>
                <w:tab w:val="clear" w:pos="1701"/>
                <w:tab w:val="clear" w:pos="2268"/>
                <w:tab w:val="clear" w:pos="2835"/>
              </w:tabs>
              <w:spacing w:before="40" w:after="40" w:line="220" w:lineRule="exact"/>
              <w:ind w:left="113" w:right="28"/>
              <w:jc w:val="right"/>
              <w:rPr>
                <w:sz w:val="18"/>
              </w:rPr>
            </w:pPr>
            <w:r w:rsidRPr="003A1036">
              <w:rPr>
                <w:sz w:val="18"/>
              </w:rPr>
              <w:t>9,0</w:t>
            </w:r>
          </w:p>
        </w:tc>
        <w:tc>
          <w:tcPr>
            <w:tcW w:w="945" w:type="dxa"/>
            <w:shd w:val="clear" w:color="auto" w:fill="auto"/>
            <w:vAlign w:val="bottom"/>
          </w:tcPr>
          <w:p w14:paraId="38641A0A" w14:textId="77777777" w:rsidR="00B92948" w:rsidRPr="003A1036" w:rsidRDefault="00B92948" w:rsidP="007D1B32">
            <w:pPr>
              <w:pStyle w:val="SingleTxtG"/>
              <w:tabs>
                <w:tab w:val="clear" w:pos="1701"/>
                <w:tab w:val="clear" w:pos="2268"/>
                <w:tab w:val="clear" w:pos="2835"/>
              </w:tabs>
              <w:spacing w:before="40" w:after="40" w:line="220" w:lineRule="exact"/>
              <w:ind w:left="113" w:right="28"/>
              <w:jc w:val="right"/>
              <w:rPr>
                <w:sz w:val="18"/>
              </w:rPr>
            </w:pPr>
            <w:r w:rsidRPr="003A1036">
              <w:rPr>
                <w:sz w:val="18"/>
              </w:rPr>
              <w:t>7,4</w:t>
            </w:r>
          </w:p>
        </w:tc>
        <w:tc>
          <w:tcPr>
            <w:tcW w:w="945" w:type="dxa"/>
            <w:shd w:val="clear" w:color="auto" w:fill="auto"/>
            <w:vAlign w:val="bottom"/>
          </w:tcPr>
          <w:p w14:paraId="7347B0A5" w14:textId="77777777" w:rsidR="00B92948" w:rsidRPr="003A1036" w:rsidRDefault="00B92948" w:rsidP="007D1B32">
            <w:pPr>
              <w:pStyle w:val="SingleTxtG"/>
              <w:tabs>
                <w:tab w:val="clear" w:pos="1701"/>
                <w:tab w:val="clear" w:pos="2268"/>
                <w:tab w:val="clear" w:pos="2835"/>
              </w:tabs>
              <w:spacing w:before="40" w:after="40" w:line="220" w:lineRule="exact"/>
              <w:ind w:left="113" w:right="28"/>
              <w:jc w:val="right"/>
              <w:rPr>
                <w:sz w:val="18"/>
              </w:rPr>
            </w:pPr>
            <w:r w:rsidRPr="003A1036">
              <w:rPr>
                <w:sz w:val="18"/>
              </w:rPr>
              <w:t>9,3</w:t>
            </w:r>
          </w:p>
        </w:tc>
        <w:tc>
          <w:tcPr>
            <w:tcW w:w="945" w:type="dxa"/>
            <w:shd w:val="clear" w:color="auto" w:fill="auto"/>
            <w:vAlign w:val="bottom"/>
          </w:tcPr>
          <w:p w14:paraId="2050A0EE" w14:textId="77777777" w:rsidR="00B92948" w:rsidRPr="003A1036" w:rsidRDefault="00B92948" w:rsidP="007D1B32">
            <w:pPr>
              <w:pStyle w:val="SingleTxtG"/>
              <w:tabs>
                <w:tab w:val="clear" w:pos="1701"/>
                <w:tab w:val="clear" w:pos="2268"/>
                <w:tab w:val="clear" w:pos="2835"/>
              </w:tabs>
              <w:spacing w:before="40" w:after="40" w:line="220" w:lineRule="exact"/>
              <w:ind w:left="113" w:right="28"/>
              <w:jc w:val="right"/>
              <w:rPr>
                <w:sz w:val="18"/>
              </w:rPr>
            </w:pPr>
            <w:r w:rsidRPr="003A1036">
              <w:rPr>
                <w:sz w:val="18"/>
              </w:rPr>
              <w:t>8,3</w:t>
            </w:r>
          </w:p>
        </w:tc>
        <w:tc>
          <w:tcPr>
            <w:tcW w:w="945" w:type="dxa"/>
            <w:shd w:val="clear" w:color="auto" w:fill="auto"/>
            <w:vAlign w:val="bottom"/>
          </w:tcPr>
          <w:p w14:paraId="503A8F05" w14:textId="77777777" w:rsidR="00B92948" w:rsidRPr="003A1036" w:rsidRDefault="00B92948" w:rsidP="007D1B32">
            <w:pPr>
              <w:pStyle w:val="SingleTxtG"/>
              <w:tabs>
                <w:tab w:val="clear" w:pos="1701"/>
                <w:tab w:val="clear" w:pos="2268"/>
                <w:tab w:val="clear" w:pos="2835"/>
              </w:tabs>
              <w:spacing w:before="40" w:after="40" w:line="220" w:lineRule="exact"/>
              <w:ind w:left="113" w:right="28"/>
              <w:jc w:val="right"/>
              <w:rPr>
                <w:sz w:val="18"/>
              </w:rPr>
            </w:pPr>
            <w:r w:rsidRPr="003A1036">
              <w:rPr>
                <w:sz w:val="18"/>
              </w:rPr>
              <w:t>10,6</w:t>
            </w:r>
          </w:p>
        </w:tc>
      </w:tr>
      <w:tr w:rsidR="00B92948" w:rsidRPr="003A1036" w14:paraId="4D9B2F69" w14:textId="77777777" w:rsidTr="007D1B32">
        <w:trPr>
          <w:trHeight w:val="240"/>
        </w:trPr>
        <w:tc>
          <w:tcPr>
            <w:tcW w:w="1701" w:type="dxa"/>
            <w:tcBorders>
              <w:bottom w:val="single" w:sz="12" w:space="0" w:color="auto"/>
            </w:tcBorders>
            <w:shd w:val="clear" w:color="auto" w:fill="auto"/>
          </w:tcPr>
          <w:p w14:paraId="5F81ED62" w14:textId="77777777" w:rsidR="00B92948" w:rsidRPr="003A1036" w:rsidRDefault="00B92948" w:rsidP="003A1036">
            <w:pPr>
              <w:pStyle w:val="SingleTxtG"/>
              <w:tabs>
                <w:tab w:val="clear" w:pos="1701"/>
                <w:tab w:val="clear" w:pos="2268"/>
                <w:tab w:val="clear" w:pos="2835"/>
              </w:tabs>
              <w:spacing w:before="40" w:after="40" w:line="220" w:lineRule="exact"/>
              <w:ind w:left="0" w:right="0"/>
              <w:jc w:val="left"/>
              <w:rPr>
                <w:sz w:val="18"/>
              </w:rPr>
            </w:pPr>
            <w:r w:rsidRPr="003A1036">
              <w:rPr>
                <w:sz w:val="18"/>
              </w:rPr>
              <w:t xml:space="preserve">Educación terciaria o superior completa </w:t>
            </w:r>
          </w:p>
        </w:tc>
        <w:tc>
          <w:tcPr>
            <w:tcW w:w="944" w:type="dxa"/>
            <w:tcBorders>
              <w:bottom w:val="single" w:sz="12" w:space="0" w:color="auto"/>
            </w:tcBorders>
            <w:shd w:val="clear" w:color="auto" w:fill="auto"/>
            <w:vAlign w:val="bottom"/>
          </w:tcPr>
          <w:p w14:paraId="167C9F99" w14:textId="77777777" w:rsidR="00B92948" w:rsidRPr="003A1036" w:rsidRDefault="00B92948" w:rsidP="007D1B32">
            <w:pPr>
              <w:pStyle w:val="SingleTxtG"/>
              <w:tabs>
                <w:tab w:val="clear" w:pos="1701"/>
                <w:tab w:val="clear" w:pos="2268"/>
                <w:tab w:val="clear" w:pos="2835"/>
              </w:tabs>
              <w:spacing w:before="40" w:after="40" w:line="220" w:lineRule="exact"/>
              <w:ind w:left="113" w:right="28"/>
              <w:jc w:val="right"/>
              <w:rPr>
                <w:sz w:val="18"/>
              </w:rPr>
            </w:pPr>
            <w:r w:rsidRPr="003A1036">
              <w:rPr>
                <w:sz w:val="18"/>
              </w:rPr>
              <w:t>2,4</w:t>
            </w:r>
          </w:p>
        </w:tc>
        <w:tc>
          <w:tcPr>
            <w:tcW w:w="945" w:type="dxa"/>
            <w:tcBorders>
              <w:bottom w:val="single" w:sz="12" w:space="0" w:color="auto"/>
            </w:tcBorders>
            <w:shd w:val="clear" w:color="auto" w:fill="auto"/>
            <w:vAlign w:val="bottom"/>
          </w:tcPr>
          <w:p w14:paraId="46035FA3" w14:textId="77777777" w:rsidR="00B92948" w:rsidRPr="003A1036" w:rsidRDefault="00B92948" w:rsidP="007D1B32">
            <w:pPr>
              <w:pStyle w:val="SingleTxtG"/>
              <w:tabs>
                <w:tab w:val="clear" w:pos="1701"/>
                <w:tab w:val="clear" w:pos="2268"/>
                <w:tab w:val="clear" w:pos="2835"/>
              </w:tabs>
              <w:spacing w:before="40" w:after="40" w:line="220" w:lineRule="exact"/>
              <w:ind w:left="113" w:right="28"/>
              <w:jc w:val="right"/>
              <w:rPr>
                <w:sz w:val="18"/>
              </w:rPr>
            </w:pPr>
            <w:r w:rsidRPr="003A1036">
              <w:rPr>
                <w:sz w:val="18"/>
              </w:rPr>
              <w:t>4,7</w:t>
            </w:r>
          </w:p>
        </w:tc>
        <w:tc>
          <w:tcPr>
            <w:tcW w:w="945" w:type="dxa"/>
            <w:tcBorders>
              <w:bottom w:val="single" w:sz="12" w:space="0" w:color="auto"/>
            </w:tcBorders>
            <w:shd w:val="clear" w:color="auto" w:fill="auto"/>
            <w:vAlign w:val="bottom"/>
          </w:tcPr>
          <w:p w14:paraId="0A78CCC1" w14:textId="77777777" w:rsidR="00B92948" w:rsidRPr="003A1036" w:rsidRDefault="00B92948" w:rsidP="007D1B32">
            <w:pPr>
              <w:pStyle w:val="SingleTxtG"/>
              <w:tabs>
                <w:tab w:val="clear" w:pos="1701"/>
                <w:tab w:val="clear" w:pos="2268"/>
                <w:tab w:val="clear" w:pos="2835"/>
              </w:tabs>
              <w:spacing w:before="40" w:after="40" w:line="220" w:lineRule="exact"/>
              <w:ind w:left="113" w:right="28"/>
              <w:jc w:val="right"/>
              <w:rPr>
                <w:sz w:val="18"/>
              </w:rPr>
            </w:pPr>
            <w:r w:rsidRPr="003A1036">
              <w:rPr>
                <w:sz w:val="18"/>
              </w:rPr>
              <w:t>5,9</w:t>
            </w:r>
          </w:p>
        </w:tc>
        <w:tc>
          <w:tcPr>
            <w:tcW w:w="945" w:type="dxa"/>
            <w:tcBorders>
              <w:bottom w:val="single" w:sz="12" w:space="0" w:color="auto"/>
            </w:tcBorders>
            <w:shd w:val="clear" w:color="auto" w:fill="auto"/>
            <w:vAlign w:val="bottom"/>
          </w:tcPr>
          <w:p w14:paraId="5753C81A" w14:textId="77777777" w:rsidR="00B92948" w:rsidRPr="003A1036" w:rsidRDefault="00B92948" w:rsidP="007D1B32">
            <w:pPr>
              <w:pStyle w:val="SingleTxtG"/>
              <w:tabs>
                <w:tab w:val="clear" w:pos="1701"/>
                <w:tab w:val="clear" w:pos="2268"/>
                <w:tab w:val="clear" w:pos="2835"/>
              </w:tabs>
              <w:spacing w:before="40" w:after="40" w:line="220" w:lineRule="exact"/>
              <w:ind w:left="113" w:right="28"/>
              <w:jc w:val="right"/>
              <w:rPr>
                <w:sz w:val="18"/>
              </w:rPr>
            </w:pPr>
            <w:r w:rsidRPr="003A1036">
              <w:rPr>
                <w:sz w:val="18"/>
              </w:rPr>
              <w:t>6,6</w:t>
            </w:r>
          </w:p>
        </w:tc>
        <w:tc>
          <w:tcPr>
            <w:tcW w:w="945" w:type="dxa"/>
            <w:tcBorders>
              <w:bottom w:val="single" w:sz="12" w:space="0" w:color="auto"/>
            </w:tcBorders>
            <w:shd w:val="clear" w:color="auto" w:fill="auto"/>
            <w:vAlign w:val="bottom"/>
          </w:tcPr>
          <w:p w14:paraId="44306BEE" w14:textId="77777777" w:rsidR="00B92948" w:rsidRPr="003A1036" w:rsidRDefault="00B92948" w:rsidP="007D1B32">
            <w:pPr>
              <w:pStyle w:val="SingleTxtG"/>
              <w:tabs>
                <w:tab w:val="clear" w:pos="1701"/>
                <w:tab w:val="clear" w:pos="2268"/>
                <w:tab w:val="clear" w:pos="2835"/>
              </w:tabs>
              <w:spacing w:before="40" w:after="40" w:line="220" w:lineRule="exact"/>
              <w:ind w:left="113" w:right="28"/>
              <w:jc w:val="right"/>
              <w:rPr>
                <w:sz w:val="18"/>
              </w:rPr>
            </w:pPr>
            <w:r w:rsidRPr="003A1036">
              <w:rPr>
                <w:sz w:val="18"/>
              </w:rPr>
              <w:t>5,1</w:t>
            </w:r>
          </w:p>
        </w:tc>
        <w:tc>
          <w:tcPr>
            <w:tcW w:w="945" w:type="dxa"/>
            <w:tcBorders>
              <w:bottom w:val="single" w:sz="12" w:space="0" w:color="auto"/>
            </w:tcBorders>
            <w:shd w:val="clear" w:color="auto" w:fill="auto"/>
            <w:vAlign w:val="bottom"/>
          </w:tcPr>
          <w:p w14:paraId="10A9652D" w14:textId="77777777" w:rsidR="00B92948" w:rsidRPr="003A1036" w:rsidRDefault="00B92948" w:rsidP="007D1B32">
            <w:pPr>
              <w:pStyle w:val="SingleTxtG"/>
              <w:tabs>
                <w:tab w:val="clear" w:pos="1701"/>
                <w:tab w:val="clear" w:pos="2268"/>
                <w:tab w:val="clear" w:pos="2835"/>
              </w:tabs>
              <w:spacing w:before="40" w:after="40" w:line="220" w:lineRule="exact"/>
              <w:ind w:left="113" w:right="28"/>
              <w:jc w:val="right"/>
              <w:rPr>
                <w:sz w:val="18"/>
              </w:rPr>
            </w:pPr>
            <w:r w:rsidRPr="003A1036">
              <w:rPr>
                <w:sz w:val="18"/>
              </w:rPr>
              <w:t>9</w:t>
            </w:r>
          </w:p>
        </w:tc>
      </w:tr>
    </w:tbl>
    <w:p w14:paraId="5576B499" w14:textId="77777777" w:rsidR="00B92948" w:rsidRPr="00B92948" w:rsidRDefault="00624630" w:rsidP="00624630">
      <w:pPr>
        <w:pStyle w:val="H23G"/>
      </w:pPr>
      <w:r w:rsidRPr="007D1B32">
        <w:rPr>
          <w:b w:val="0"/>
          <w:bCs/>
        </w:rPr>
        <w:tab/>
      </w:r>
      <w:r w:rsidR="00B92948" w:rsidRPr="007D1B32">
        <w:rPr>
          <w:b w:val="0"/>
          <w:bCs/>
        </w:rPr>
        <w:tab/>
        <w:t>Cuadro 10</w:t>
      </w:r>
      <w:r w:rsidRPr="007D1B32">
        <w:rPr>
          <w:b w:val="0"/>
          <w:bCs/>
        </w:rPr>
        <w:br/>
      </w:r>
      <w:r w:rsidR="00B92948" w:rsidRPr="00B92948">
        <w:tab/>
        <w:t xml:space="preserve">Mortalidad de lactantes por lugar de residencia de las madres (zona rural </w:t>
      </w:r>
      <w:r>
        <w:br/>
      </w:r>
      <w:r w:rsidR="00B92948" w:rsidRPr="00B92948">
        <w:t>o urbana) (2011-2016)</w:t>
      </w:r>
      <w:bookmarkStart w:id="56" w:name="_Toc56781457"/>
      <w:bookmarkEnd w:id="56"/>
    </w:p>
    <w:tbl>
      <w:tblPr>
        <w:tblW w:w="7370" w:type="dxa"/>
        <w:tblInd w:w="1134" w:type="dxa"/>
        <w:tblBorders>
          <w:top w:val="single" w:sz="4" w:space="0" w:color="auto"/>
        </w:tblBorders>
        <w:tblCellMar>
          <w:left w:w="0" w:type="dxa"/>
          <w:right w:w="0" w:type="dxa"/>
        </w:tblCellMar>
        <w:tblLook w:val="00A0" w:firstRow="1" w:lastRow="0" w:firstColumn="1" w:lastColumn="0" w:noHBand="0" w:noVBand="0"/>
      </w:tblPr>
      <w:tblGrid>
        <w:gridCol w:w="1082"/>
        <w:gridCol w:w="1048"/>
        <w:gridCol w:w="1048"/>
        <w:gridCol w:w="1048"/>
        <w:gridCol w:w="1048"/>
        <w:gridCol w:w="1048"/>
        <w:gridCol w:w="1048"/>
      </w:tblGrid>
      <w:tr w:rsidR="00B92948" w:rsidRPr="003A1036" w14:paraId="501ACD92" w14:textId="77777777" w:rsidTr="007D1B32">
        <w:trPr>
          <w:trHeight w:val="240"/>
          <w:tblHeader/>
        </w:trPr>
        <w:tc>
          <w:tcPr>
            <w:tcW w:w="1082" w:type="dxa"/>
            <w:tcBorders>
              <w:top w:val="single" w:sz="4" w:space="0" w:color="auto"/>
              <w:bottom w:val="single" w:sz="12" w:space="0" w:color="auto"/>
            </w:tcBorders>
            <w:shd w:val="clear" w:color="auto" w:fill="auto"/>
            <w:vAlign w:val="bottom"/>
          </w:tcPr>
          <w:p w14:paraId="45FB292C" w14:textId="77777777" w:rsidR="00B92948" w:rsidRPr="003A1036" w:rsidRDefault="00B92948" w:rsidP="003A1036">
            <w:pPr>
              <w:pStyle w:val="SingleTxtG"/>
              <w:tabs>
                <w:tab w:val="clear" w:pos="1701"/>
                <w:tab w:val="clear" w:pos="2268"/>
                <w:tab w:val="clear" w:pos="2835"/>
              </w:tabs>
              <w:spacing w:before="80" w:after="80" w:line="200" w:lineRule="exact"/>
              <w:ind w:left="0" w:right="0"/>
              <w:jc w:val="left"/>
              <w:rPr>
                <w:i/>
                <w:sz w:val="16"/>
              </w:rPr>
            </w:pPr>
          </w:p>
        </w:tc>
        <w:tc>
          <w:tcPr>
            <w:tcW w:w="1048" w:type="dxa"/>
            <w:tcBorders>
              <w:top w:val="single" w:sz="4" w:space="0" w:color="auto"/>
              <w:bottom w:val="single" w:sz="12" w:space="0" w:color="auto"/>
            </w:tcBorders>
            <w:shd w:val="clear" w:color="auto" w:fill="auto"/>
            <w:vAlign w:val="bottom"/>
          </w:tcPr>
          <w:p w14:paraId="4F6763C9" w14:textId="77777777" w:rsidR="00B92948" w:rsidRPr="003A1036" w:rsidRDefault="00B92948" w:rsidP="007D1B32">
            <w:pPr>
              <w:pStyle w:val="SingleTxtG"/>
              <w:tabs>
                <w:tab w:val="clear" w:pos="1701"/>
                <w:tab w:val="clear" w:pos="2268"/>
                <w:tab w:val="clear" w:pos="2835"/>
              </w:tabs>
              <w:spacing w:before="80" w:after="80" w:line="200" w:lineRule="exact"/>
              <w:ind w:left="113" w:rightChars="28" w:right="56"/>
              <w:jc w:val="right"/>
              <w:rPr>
                <w:bCs/>
                <w:i/>
                <w:sz w:val="16"/>
              </w:rPr>
            </w:pPr>
            <w:r w:rsidRPr="003A1036">
              <w:rPr>
                <w:i/>
                <w:iCs/>
                <w:sz w:val="16"/>
              </w:rPr>
              <w:t>2011</w:t>
            </w:r>
          </w:p>
        </w:tc>
        <w:tc>
          <w:tcPr>
            <w:tcW w:w="1048" w:type="dxa"/>
            <w:tcBorders>
              <w:top w:val="single" w:sz="4" w:space="0" w:color="auto"/>
              <w:bottom w:val="single" w:sz="12" w:space="0" w:color="auto"/>
            </w:tcBorders>
            <w:shd w:val="clear" w:color="auto" w:fill="auto"/>
            <w:vAlign w:val="bottom"/>
          </w:tcPr>
          <w:p w14:paraId="4C6BF7F3" w14:textId="77777777" w:rsidR="00B92948" w:rsidRPr="003A1036" w:rsidRDefault="00B92948" w:rsidP="007D1B32">
            <w:pPr>
              <w:pStyle w:val="SingleTxtG"/>
              <w:tabs>
                <w:tab w:val="clear" w:pos="1701"/>
                <w:tab w:val="clear" w:pos="2268"/>
                <w:tab w:val="clear" w:pos="2835"/>
              </w:tabs>
              <w:spacing w:before="80" w:after="80" w:line="200" w:lineRule="exact"/>
              <w:ind w:left="113" w:rightChars="28" w:right="56"/>
              <w:jc w:val="right"/>
              <w:rPr>
                <w:bCs/>
                <w:i/>
                <w:sz w:val="16"/>
              </w:rPr>
            </w:pPr>
            <w:r w:rsidRPr="003A1036">
              <w:rPr>
                <w:i/>
                <w:iCs/>
                <w:sz w:val="16"/>
              </w:rPr>
              <w:t>2012</w:t>
            </w:r>
          </w:p>
        </w:tc>
        <w:tc>
          <w:tcPr>
            <w:tcW w:w="1048" w:type="dxa"/>
            <w:tcBorders>
              <w:top w:val="single" w:sz="4" w:space="0" w:color="auto"/>
              <w:bottom w:val="single" w:sz="12" w:space="0" w:color="auto"/>
            </w:tcBorders>
            <w:shd w:val="clear" w:color="auto" w:fill="auto"/>
            <w:vAlign w:val="bottom"/>
          </w:tcPr>
          <w:p w14:paraId="65140EA0" w14:textId="77777777" w:rsidR="00B92948" w:rsidRPr="003A1036" w:rsidRDefault="00B92948" w:rsidP="007D1B32">
            <w:pPr>
              <w:pStyle w:val="SingleTxtG"/>
              <w:tabs>
                <w:tab w:val="clear" w:pos="1701"/>
                <w:tab w:val="clear" w:pos="2268"/>
                <w:tab w:val="clear" w:pos="2835"/>
              </w:tabs>
              <w:spacing w:before="80" w:after="80" w:line="200" w:lineRule="exact"/>
              <w:ind w:left="113" w:rightChars="28" w:right="56"/>
              <w:jc w:val="right"/>
              <w:rPr>
                <w:bCs/>
                <w:i/>
                <w:sz w:val="16"/>
              </w:rPr>
            </w:pPr>
            <w:r w:rsidRPr="003A1036">
              <w:rPr>
                <w:i/>
                <w:iCs/>
                <w:sz w:val="16"/>
              </w:rPr>
              <w:t>2013</w:t>
            </w:r>
          </w:p>
        </w:tc>
        <w:tc>
          <w:tcPr>
            <w:tcW w:w="1048" w:type="dxa"/>
            <w:tcBorders>
              <w:top w:val="single" w:sz="4" w:space="0" w:color="auto"/>
              <w:bottom w:val="single" w:sz="12" w:space="0" w:color="auto"/>
            </w:tcBorders>
            <w:shd w:val="clear" w:color="auto" w:fill="auto"/>
            <w:vAlign w:val="bottom"/>
          </w:tcPr>
          <w:p w14:paraId="4D81F8CD" w14:textId="77777777" w:rsidR="00B92948" w:rsidRPr="003A1036" w:rsidRDefault="00B92948" w:rsidP="007D1B32">
            <w:pPr>
              <w:pStyle w:val="SingleTxtG"/>
              <w:tabs>
                <w:tab w:val="clear" w:pos="1701"/>
                <w:tab w:val="clear" w:pos="2268"/>
                <w:tab w:val="clear" w:pos="2835"/>
              </w:tabs>
              <w:spacing w:before="80" w:after="80" w:line="200" w:lineRule="exact"/>
              <w:ind w:left="113" w:rightChars="28" w:right="56"/>
              <w:jc w:val="right"/>
              <w:rPr>
                <w:bCs/>
                <w:i/>
                <w:sz w:val="16"/>
              </w:rPr>
            </w:pPr>
            <w:r w:rsidRPr="003A1036">
              <w:rPr>
                <w:i/>
                <w:iCs/>
                <w:sz w:val="16"/>
              </w:rPr>
              <w:t>2014</w:t>
            </w:r>
          </w:p>
        </w:tc>
        <w:tc>
          <w:tcPr>
            <w:tcW w:w="1048" w:type="dxa"/>
            <w:tcBorders>
              <w:top w:val="single" w:sz="4" w:space="0" w:color="auto"/>
              <w:bottom w:val="single" w:sz="12" w:space="0" w:color="auto"/>
            </w:tcBorders>
            <w:shd w:val="clear" w:color="auto" w:fill="auto"/>
            <w:vAlign w:val="bottom"/>
          </w:tcPr>
          <w:p w14:paraId="0E32A0CD" w14:textId="77777777" w:rsidR="00B92948" w:rsidRPr="003A1036" w:rsidRDefault="00B92948" w:rsidP="007D1B32">
            <w:pPr>
              <w:pStyle w:val="SingleTxtG"/>
              <w:tabs>
                <w:tab w:val="clear" w:pos="1701"/>
                <w:tab w:val="clear" w:pos="2268"/>
                <w:tab w:val="clear" w:pos="2835"/>
              </w:tabs>
              <w:spacing w:before="80" w:after="80" w:line="200" w:lineRule="exact"/>
              <w:ind w:left="113" w:rightChars="28" w:right="56"/>
              <w:jc w:val="right"/>
              <w:rPr>
                <w:bCs/>
                <w:i/>
                <w:sz w:val="16"/>
              </w:rPr>
            </w:pPr>
            <w:r w:rsidRPr="003A1036">
              <w:rPr>
                <w:i/>
                <w:iCs/>
                <w:sz w:val="16"/>
              </w:rPr>
              <w:t>2015</w:t>
            </w:r>
          </w:p>
        </w:tc>
        <w:tc>
          <w:tcPr>
            <w:tcW w:w="1048" w:type="dxa"/>
            <w:tcBorders>
              <w:top w:val="single" w:sz="4" w:space="0" w:color="auto"/>
              <w:bottom w:val="single" w:sz="12" w:space="0" w:color="auto"/>
            </w:tcBorders>
            <w:shd w:val="clear" w:color="auto" w:fill="auto"/>
            <w:vAlign w:val="bottom"/>
          </w:tcPr>
          <w:p w14:paraId="474F8129" w14:textId="77777777" w:rsidR="00B92948" w:rsidRPr="003A1036" w:rsidRDefault="00B92948" w:rsidP="007D1B32">
            <w:pPr>
              <w:pStyle w:val="SingleTxtG"/>
              <w:tabs>
                <w:tab w:val="clear" w:pos="1701"/>
                <w:tab w:val="clear" w:pos="2268"/>
                <w:tab w:val="clear" w:pos="2835"/>
              </w:tabs>
              <w:spacing w:before="80" w:after="80" w:line="200" w:lineRule="exact"/>
              <w:ind w:left="113" w:rightChars="28" w:right="56"/>
              <w:jc w:val="right"/>
              <w:rPr>
                <w:bCs/>
                <w:i/>
                <w:sz w:val="16"/>
              </w:rPr>
            </w:pPr>
            <w:r w:rsidRPr="003A1036">
              <w:rPr>
                <w:i/>
                <w:iCs/>
                <w:sz w:val="16"/>
              </w:rPr>
              <w:t>2016</w:t>
            </w:r>
          </w:p>
        </w:tc>
      </w:tr>
      <w:tr w:rsidR="00B92948" w:rsidRPr="007D1B32" w14:paraId="241BEDF2" w14:textId="77777777" w:rsidTr="007D1B32">
        <w:trPr>
          <w:trHeight w:val="240"/>
        </w:trPr>
        <w:tc>
          <w:tcPr>
            <w:tcW w:w="1082" w:type="dxa"/>
            <w:tcBorders>
              <w:top w:val="single" w:sz="12" w:space="0" w:color="auto"/>
              <w:bottom w:val="single" w:sz="4" w:space="0" w:color="auto"/>
            </w:tcBorders>
            <w:shd w:val="clear" w:color="auto" w:fill="auto"/>
          </w:tcPr>
          <w:p w14:paraId="2F4D456A" w14:textId="77777777" w:rsidR="00B92948" w:rsidRPr="007D1B32" w:rsidRDefault="00B92948" w:rsidP="007D1B32">
            <w:pPr>
              <w:pStyle w:val="SingleTxtG"/>
              <w:tabs>
                <w:tab w:val="clear" w:pos="1701"/>
                <w:tab w:val="clear" w:pos="2268"/>
                <w:tab w:val="clear" w:pos="2835"/>
              </w:tabs>
              <w:spacing w:before="80" w:after="80" w:line="220" w:lineRule="exact"/>
              <w:ind w:left="283" w:right="0"/>
              <w:jc w:val="left"/>
              <w:rPr>
                <w:b/>
                <w:sz w:val="18"/>
              </w:rPr>
            </w:pPr>
            <w:r w:rsidRPr="007D1B32">
              <w:rPr>
                <w:b/>
                <w:bCs/>
                <w:sz w:val="18"/>
              </w:rPr>
              <w:t>Total</w:t>
            </w:r>
          </w:p>
        </w:tc>
        <w:tc>
          <w:tcPr>
            <w:tcW w:w="1048" w:type="dxa"/>
            <w:tcBorders>
              <w:top w:val="single" w:sz="12" w:space="0" w:color="auto"/>
              <w:bottom w:val="single" w:sz="4" w:space="0" w:color="auto"/>
            </w:tcBorders>
            <w:shd w:val="clear" w:color="auto" w:fill="auto"/>
            <w:vAlign w:val="bottom"/>
          </w:tcPr>
          <w:p w14:paraId="426CB226" w14:textId="77777777" w:rsidR="00B92948" w:rsidRPr="007D1B32" w:rsidRDefault="00B92948" w:rsidP="007D1B32">
            <w:pPr>
              <w:pStyle w:val="SingleTxtG"/>
              <w:tabs>
                <w:tab w:val="clear" w:pos="1701"/>
                <w:tab w:val="clear" w:pos="2268"/>
                <w:tab w:val="clear" w:pos="2835"/>
              </w:tabs>
              <w:spacing w:before="80" w:after="80" w:line="220" w:lineRule="exact"/>
              <w:ind w:left="0" w:rightChars="28" w:right="56"/>
              <w:jc w:val="right"/>
              <w:rPr>
                <w:b/>
                <w:sz w:val="18"/>
              </w:rPr>
            </w:pPr>
            <w:r w:rsidRPr="007D1B32">
              <w:rPr>
                <w:b/>
                <w:sz w:val="18"/>
              </w:rPr>
              <w:t>7,5</w:t>
            </w:r>
          </w:p>
        </w:tc>
        <w:tc>
          <w:tcPr>
            <w:tcW w:w="1048" w:type="dxa"/>
            <w:tcBorders>
              <w:top w:val="single" w:sz="12" w:space="0" w:color="auto"/>
              <w:bottom w:val="single" w:sz="4" w:space="0" w:color="auto"/>
            </w:tcBorders>
            <w:shd w:val="clear" w:color="auto" w:fill="auto"/>
            <w:vAlign w:val="bottom"/>
          </w:tcPr>
          <w:p w14:paraId="5EFB2FF3" w14:textId="77777777" w:rsidR="00B92948" w:rsidRPr="007D1B32" w:rsidRDefault="00B92948" w:rsidP="007D1B32">
            <w:pPr>
              <w:pStyle w:val="SingleTxtG"/>
              <w:tabs>
                <w:tab w:val="clear" w:pos="1701"/>
                <w:tab w:val="clear" w:pos="2268"/>
                <w:tab w:val="clear" w:pos="2835"/>
              </w:tabs>
              <w:spacing w:before="80" w:after="80" w:line="220" w:lineRule="exact"/>
              <w:ind w:left="0" w:rightChars="28" w:right="56"/>
              <w:jc w:val="right"/>
              <w:rPr>
                <w:b/>
                <w:sz w:val="18"/>
              </w:rPr>
            </w:pPr>
            <w:r w:rsidRPr="007D1B32">
              <w:rPr>
                <w:b/>
                <w:sz w:val="18"/>
              </w:rPr>
              <w:t>9,8</w:t>
            </w:r>
          </w:p>
        </w:tc>
        <w:tc>
          <w:tcPr>
            <w:tcW w:w="1048" w:type="dxa"/>
            <w:tcBorders>
              <w:top w:val="single" w:sz="12" w:space="0" w:color="auto"/>
              <w:bottom w:val="single" w:sz="4" w:space="0" w:color="auto"/>
            </w:tcBorders>
            <w:shd w:val="clear" w:color="auto" w:fill="auto"/>
            <w:vAlign w:val="bottom"/>
          </w:tcPr>
          <w:p w14:paraId="656B5671" w14:textId="77777777" w:rsidR="00B92948" w:rsidRPr="007D1B32" w:rsidRDefault="00B92948" w:rsidP="007D1B32">
            <w:pPr>
              <w:pStyle w:val="SingleTxtG"/>
              <w:tabs>
                <w:tab w:val="clear" w:pos="1701"/>
                <w:tab w:val="clear" w:pos="2268"/>
                <w:tab w:val="clear" w:pos="2835"/>
              </w:tabs>
              <w:spacing w:before="80" w:after="80" w:line="220" w:lineRule="exact"/>
              <w:ind w:left="0" w:rightChars="28" w:right="56"/>
              <w:jc w:val="right"/>
              <w:rPr>
                <w:b/>
                <w:sz w:val="18"/>
              </w:rPr>
            </w:pPr>
            <w:r w:rsidRPr="007D1B32">
              <w:rPr>
                <w:b/>
                <w:sz w:val="18"/>
              </w:rPr>
              <w:t>10,2</w:t>
            </w:r>
          </w:p>
        </w:tc>
        <w:tc>
          <w:tcPr>
            <w:tcW w:w="1048" w:type="dxa"/>
            <w:tcBorders>
              <w:top w:val="single" w:sz="12" w:space="0" w:color="auto"/>
              <w:bottom w:val="single" w:sz="4" w:space="0" w:color="auto"/>
            </w:tcBorders>
            <w:shd w:val="clear" w:color="auto" w:fill="auto"/>
            <w:vAlign w:val="bottom"/>
          </w:tcPr>
          <w:p w14:paraId="61E00CBC" w14:textId="77777777" w:rsidR="00B92948" w:rsidRPr="007D1B32" w:rsidRDefault="00B92948" w:rsidP="007D1B32">
            <w:pPr>
              <w:pStyle w:val="SingleTxtG"/>
              <w:tabs>
                <w:tab w:val="clear" w:pos="1701"/>
                <w:tab w:val="clear" w:pos="2268"/>
                <w:tab w:val="clear" w:pos="2835"/>
              </w:tabs>
              <w:spacing w:before="80" w:after="80" w:line="220" w:lineRule="exact"/>
              <w:ind w:left="0" w:rightChars="28" w:right="56"/>
              <w:jc w:val="right"/>
              <w:rPr>
                <w:b/>
                <w:sz w:val="18"/>
              </w:rPr>
            </w:pPr>
            <w:r w:rsidRPr="007D1B32">
              <w:rPr>
                <w:b/>
                <w:sz w:val="18"/>
              </w:rPr>
              <w:t>9,9</w:t>
            </w:r>
          </w:p>
        </w:tc>
        <w:tc>
          <w:tcPr>
            <w:tcW w:w="1048" w:type="dxa"/>
            <w:tcBorders>
              <w:top w:val="single" w:sz="12" w:space="0" w:color="auto"/>
              <w:bottom w:val="single" w:sz="4" w:space="0" w:color="auto"/>
            </w:tcBorders>
            <w:shd w:val="clear" w:color="auto" w:fill="auto"/>
            <w:vAlign w:val="bottom"/>
          </w:tcPr>
          <w:p w14:paraId="6B556069" w14:textId="77777777" w:rsidR="00B92948" w:rsidRPr="007D1B32" w:rsidRDefault="00B92948" w:rsidP="007D1B32">
            <w:pPr>
              <w:pStyle w:val="SingleTxtG"/>
              <w:tabs>
                <w:tab w:val="clear" w:pos="1701"/>
                <w:tab w:val="clear" w:pos="2268"/>
                <w:tab w:val="clear" w:pos="2835"/>
              </w:tabs>
              <w:spacing w:before="80" w:after="80" w:line="220" w:lineRule="exact"/>
              <w:ind w:left="0" w:rightChars="28" w:right="56"/>
              <w:jc w:val="right"/>
              <w:rPr>
                <w:b/>
                <w:sz w:val="18"/>
              </w:rPr>
            </w:pPr>
            <w:r w:rsidRPr="007D1B32">
              <w:rPr>
                <w:b/>
                <w:sz w:val="18"/>
              </w:rPr>
              <w:t>8,6</w:t>
            </w:r>
          </w:p>
        </w:tc>
        <w:tc>
          <w:tcPr>
            <w:tcW w:w="1048" w:type="dxa"/>
            <w:tcBorders>
              <w:top w:val="single" w:sz="12" w:space="0" w:color="auto"/>
              <w:bottom w:val="single" w:sz="4" w:space="0" w:color="auto"/>
            </w:tcBorders>
            <w:shd w:val="clear" w:color="auto" w:fill="auto"/>
            <w:vAlign w:val="bottom"/>
          </w:tcPr>
          <w:p w14:paraId="45608D5C" w14:textId="77777777" w:rsidR="00B92948" w:rsidRPr="007D1B32" w:rsidRDefault="00B92948" w:rsidP="007D1B32">
            <w:pPr>
              <w:pStyle w:val="SingleTxtG"/>
              <w:tabs>
                <w:tab w:val="clear" w:pos="1701"/>
                <w:tab w:val="clear" w:pos="2268"/>
                <w:tab w:val="clear" w:pos="2835"/>
              </w:tabs>
              <w:spacing w:before="80" w:after="80" w:line="220" w:lineRule="exact"/>
              <w:ind w:left="0" w:rightChars="28" w:right="56"/>
              <w:jc w:val="right"/>
              <w:rPr>
                <w:b/>
                <w:sz w:val="18"/>
              </w:rPr>
            </w:pPr>
            <w:r w:rsidRPr="007D1B32">
              <w:rPr>
                <w:b/>
                <w:sz w:val="18"/>
              </w:rPr>
              <w:t>11,9</w:t>
            </w:r>
          </w:p>
        </w:tc>
      </w:tr>
      <w:tr w:rsidR="00B92948" w:rsidRPr="003A1036" w14:paraId="4B57AAD9" w14:textId="77777777" w:rsidTr="007D1B32">
        <w:trPr>
          <w:trHeight w:val="240"/>
        </w:trPr>
        <w:tc>
          <w:tcPr>
            <w:tcW w:w="1082" w:type="dxa"/>
            <w:tcBorders>
              <w:top w:val="single" w:sz="4" w:space="0" w:color="auto"/>
            </w:tcBorders>
            <w:shd w:val="clear" w:color="auto" w:fill="auto"/>
          </w:tcPr>
          <w:p w14:paraId="5E84297D" w14:textId="77777777" w:rsidR="00B92948" w:rsidRPr="003A1036" w:rsidRDefault="00B92948" w:rsidP="003A1036">
            <w:pPr>
              <w:pStyle w:val="SingleTxtG"/>
              <w:tabs>
                <w:tab w:val="clear" w:pos="1701"/>
                <w:tab w:val="clear" w:pos="2268"/>
                <w:tab w:val="clear" w:pos="2835"/>
              </w:tabs>
              <w:spacing w:before="40" w:after="40" w:line="220" w:lineRule="exact"/>
              <w:ind w:left="0" w:right="0"/>
              <w:jc w:val="left"/>
              <w:rPr>
                <w:sz w:val="18"/>
              </w:rPr>
            </w:pPr>
            <w:r w:rsidRPr="003A1036">
              <w:rPr>
                <w:sz w:val="18"/>
              </w:rPr>
              <w:t>Zona rural</w:t>
            </w:r>
          </w:p>
        </w:tc>
        <w:tc>
          <w:tcPr>
            <w:tcW w:w="1048" w:type="dxa"/>
            <w:tcBorders>
              <w:top w:val="single" w:sz="4" w:space="0" w:color="auto"/>
            </w:tcBorders>
            <w:shd w:val="clear" w:color="auto" w:fill="auto"/>
            <w:vAlign w:val="bottom"/>
          </w:tcPr>
          <w:p w14:paraId="0F3892AE" w14:textId="77777777" w:rsidR="00B92948" w:rsidRPr="003A1036" w:rsidRDefault="00B92948" w:rsidP="007D1B32">
            <w:pPr>
              <w:pStyle w:val="SingleTxtG"/>
              <w:tabs>
                <w:tab w:val="clear" w:pos="1701"/>
                <w:tab w:val="clear" w:pos="2268"/>
                <w:tab w:val="clear" w:pos="2835"/>
              </w:tabs>
              <w:spacing w:before="40" w:after="40" w:line="220" w:lineRule="exact"/>
              <w:ind w:left="113" w:rightChars="28" w:right="56"/>
              <w:jc w:val="right"/>
              <w:rPr>
                <w:sz w:val="18"/>
              </w:rPr>
            </w:pPr>
            <w:proofErr w:type="spellStart"/>
            <w:r w:rsidRPr="003A1036">
              <w:rPr>
                <w:sz w:val="18"/>
              </w:rPr>
              <w:t>n.d</w:t>
            </w:r>
            <w:proofErr w:type="spellEnd"/>
            <w:r w:rsidRPr="003A1036">
              <w:rPr>
                <w:sz w:val="18"/>
              </w:rPr>
              <w:t>.</w:t>
            </w:r>
          </w:p>
        </w:tc>
        <w:tc>
          <w:tcPr>
            <w:tcW w:w="1048" w:type="dxa"/>
            <w:tcBorders>
              <w:top w:val="single" w:sz="4" w:space="0" w:color="auto"/>
            </w:tcBorders>
            <w:shd w:val="clear" w:color="auto" w:fill="auto"/>
            <w:vAlign w:val="bottom"/>
          </w:tcPr>
          <w:p w14:paraId="085FD0C4" w14:textId="77777777" w:rsidR="00B92948" w:rsidRPr="003A1036" w:rsidRDefault="00B92948" w:rsidP="007D1B32">
            <w:pPr>
              <w:pStyle w:val="SingleTxtG"/>
              <w:tabs>
                <w:tab w:val="clear" w:pos="1701"/>
                <w:tab w:val="clear" w:pos="2268"/>
                <w:tab w:val="clear" w:pos="2835"/>
              </w:tabs>
              <w:spacing w:before="40" w:after="40" w:line="220" w:lineRule="exact"/>
              <w:ind w:left="113" w:rightChars="28" w:right="56"/>
              <w:jc w:val="right"/>
              <w:rPr>
                <w:sz w:val="18"/>
              </w:rPr>
            </w:pPr>
            <w:proofErr w:type="spellStart"/>
            <w:r w:rsidRPr="003A1036">
              <w:rPr>
                <w:sz w:val="18"/>
              </w:rPr>
              <w:t>n.d</w:t>
            </w:r>
            <w:proofErr w:type="spellEnd"/>
            <w:r w:rsidRPr="003A1036">
              <w:rPr>
                <w:sz w:val="18"/>
              </w:rPr>
              <w:t>.</w:t>
            </w:r>
          </w:p>
        </w:tc>
        <w:tc>
          <w:tcPr>
            <w:tcW w:w="1048" w:type="dxa"/>
            <w:tcBorders>
              <w:top w:val="single" w:sz="4" w:space="0" w:color="auto"/>
            </w:tcBorders>
            <w:shd w:val="clear" w:color="auto" w:fill="auto"/>
            <w:vAlign w:val="bottom"/>
          </w:tcPr>
          <w:p w14:paraId="5ED8A17A" w14:textId="77777777" w:rsidR="00B92948" w:rsidRPr="003A1036" w:rsidRDefault="00B92948" w:rsidP="007D1B32">
            <w:pPr>
              <w:pStyle w:val="SingleTxtG"/>
              <w:tabs>
                <w:tab w:val="clear" w:pos="1701"/>
                <w:tab w:val="clear" w:pos="2268"/>
                <w:tab w:val="clear" w:pos="2835"/>
              </w:tabs>
              <w:spacing w:before="40" w:after="40" w:line="220" w:lineRule="exact"/>
              <w:ind w:left="113" w:rightChars="28" w:right="56"/>
              <w:jc w:val="right"/>
              <w:rPr>
                <w:sz w:val="18"/>
              </w:rPr>
            </w:pPr>
            <w:r w:rsidRPr="003A1036">
              <w:rPr>
                <w:sz w:val="18"/>
              </w:rPr>
              <w:t>10,7</w:t>
            </w:r>
          </w:p>
        </w:tc>
        <w:tc>
          <w:tcPr>
            <w:tcW w:w="1048" w:type="dxa"/>
            <w:tcBorders>
              <w:top w:val="single" w:sz="4" w:space="0" w:color="auto"/>
            </w:tcBorders>
            <w:shd w:val="clear" w:color="auto" w:fill="auto"/>
            <w:vAlign w:val="bottom"/>
          </w:tcPr>
          <w:p w14:paraId="37B7C0F4" w14:textId="77777777" w:rsidR="00B92948" w:rsidRPr="003A1036" w:rsidRDefault="00B92948" w:rsidP="007D1B32">
            <w:pPr>
              <w:pStyle w:val="SingleTxtG"/>
              <w:tabs>
                <w:tab w:val="clear" w:pos="1701"/>
                <w:tab w:val="clear" w:pos="2268"/>
                <w:tab w:val="clear" w:pos="2835"/>
              </w:tabs>
              <w:spacing w:before="40" w:after="40" w:line="220" w:lineRule="exact"/>
              <w:ind w:left="113" w:rightChars="28" w:right="56"/>
              <w:jc w:val="right"/>
              <w:rPr>
                <w:sz w:val="18"/>
              </w:rPr>
            </w:pPr>
            <w:r w:rsidRPr="003A1036">
              <w:rPr>
                <w:sz w:val="18"/>
              </w:rPr>
              <w:t>9,5</w:t>
            </w:r>
          </w:p>
        </w:tc>
        <w:tc>
          <w:tcPr>
            <w:tcW w:w="1048" w:type="dxa"/>
            <w:tcBorders>
              <w:top w:val="single" w:sz="4" w:space="0" w:color="auto"/>
            </w:tcBorders>
            <w:shd w:val="clear" w:color="auto" w:fill="auto"/>
            <w:vAlign w:val="bottom"/>
          </w:tcPr>
          <w:p w14:paraId="1F721F3E" w14:textId="77777777" w:rsidR="00B92948" w:rsidRPr="003A1036" w:rsidRDefault="00B92948" w:rsidP="007D1B32">
            <w:pPr>
              <w:pStyle w:val="SingleTxtG"/>
              <w:tabs>
                <w:tab w:val="clear" w:pos="1701"/>
                <w:tab w:val="clear" w:pos="2268"/>
                <w:tab w:val="clear" w:pos="2835"/>
              </w:tabs>
              <w:spacing w:before="40" w:after="40" w:line="220" w:lineRule="exact"/>
              <w:ind w:left="113" w:rightChars="28" w:right="56"/>
              <w:jc w:val="right"/>
              <w:rPr>
                <w:sz w:val="18"/>
              </w:rPr>
            </w:pPr>
            <w:r w:rsidRPr="003A1036">
              <w:rPr>
                <w:sz w:val="18"/>
              </w:rPr>
              <w:t>8,4</w:t>
            </w:r>
          </w:p>
        </w:tc>
        <w:tc>
          <w:tcPr>
            <w:tcW w:w="1048" w:type="dxa"/>
            <w:tcBorders>
              <w:top w:val="single" w:sz="4" w:space="0" w:color="auto"/>
            </w:tcBorders>
            <w:shd w:val="clear" w:color="auto" w:fill="auto"/>
            <w:vAlign w:val="bottom"/>
          </w:tcPr>
          <w:p w14:paraId="782555C0" w14:textId="77777777" w:rsidR="00B92948" w:rsidRPr="003A1036" w:rsidRDefault="00B92948" w:rsidP="007D1B32">
            <w:pPr>
              <w:pStyle w:val="SingleTxtG"/>
              <w:tabs>
                <w:tab w:val="clear" w:pos="1701"/>
                <w:tab w:val="clear" w:pos="2268"/>
                <w:tab w:val="clear" w:pos="2835"/>
              </w:tabs>
              <w:spacing w:before="40" w:after="40" w:line="220" w:lineRule="exact"/>
              <w:ind w:left="113" w:rightChars="28" w:right="56"/>
              <w:jc w:val="right"/>
              <w:rPr>
                <w:sz w:val="18"/>
              </w:rPr>
            </w:pPr>
            <w:r w:rsidRPr="003A1036">
              <w:rPr>
                <w:sz w:val="18"/>
              </w:rPr>
              <w:t>12,7</w:t>
            </w:r>
          </w:p>
        </w:tc>
      </w:tr>
      <w:tr w:rsidR="00B92948" w:rsidRPr="003A1036" w14:paraId="22CB2C91" w14:textId="77777777" w:rsidTr="003A1036">
        <w:trPr>
          <w:trHeight w:val="240"/>
        </w:trPr>
        <w:tc>
          <w:tcPr>
            <w:tcW w:w="1082" w:type="dxa"/>
            <w:tcBorders>
              <w:bottom w:val="single" w:sz="12" w:space="0" w:color="auto"/>
            </w:tcBorders>
            <w:shd w:val="clear" w:color="auto" w:fill="auto"/>
          </w:tcPr>
          <w:p w14:paraId="7D4229A9" w14:textId="77777777" w:rsidR="00B92948" w:rsidRPr="003A1036" w:rsidRDefault="00B92948" w:rsidP="003A1036">
            <w:pPr>
              <w:pStyle w:val="SingleTxtG"/>
              <w:tabs>
                <w:tab w:val="clear" w:pos="1701"/>
                <w:tab w:val="clear" w:pos="2268"/>
                <w:tab w:val="clear" w:pos="2835"/>
              </w:tabs>
              <w:spacing w:before="40" w:after="40" w:line="220" w:lineRule="exact"/>
              <w:ind w:left="0" w:right="0"/>
              <w:jc w:val="left"/>
              <w:rPr>
                <w:sz w:val="18"/>
              </w:rPr>
            </w:pPr>
            <w:r w:rsidRPr="003A1036">
              <w:rPr>
                <w:sz w:val="18"/>
              </w:rPr>
              <w:t xml:space="preserve">Zona urbana </w:t>
            </w:r>
          </w:p>
        </w:tc>
        <w:tc>
          <w:tcPr>
            <w:tcW w:w="1048" w:type="dxa"/>
            <w:tcBorders>
              <w:bottom w:val="single" w:sz="12" w:space="0" w:color="auto"/>
            </w:tcBorders>
            <w:shd w:val="clear" w:color="auto" w:fill="auto"/>
            <w:vAlign w:val="bottom"/>
          </w:tcPr>
          <w:p w14:paraId="6E4528A2" w14:textId="77777777" w:rsidR="00B92948" w:rsidRPr="003A1036" w:rsidRDefault="00B92948" w:rsidP="007D1B32">
            <w:pPr>
              <w:pStyle w:val="SingleTxtG"/>
              <w:tabs>
                <w:tab w:val="clear" w:pos="1701"/>
                <w:tab w:val="clear" w:pos="2268"/>
                <w:tab w:val="clear" w:pos="2835"/>
              </w:tabs>
              <w:spacing w:before="40" w:after="40" w:line="220" w:lineRule="exact"/>
              <w:ind w:left="113" w:rightChars="28" w:right="56"/>
              <w:jc w:val="right"/>
              <w:rPr>
                <w:sz w:val="18"/>
              </w:rPr>
            </w:pPr>
            <w:proofErr w:type="spellStart"/>
            <w:r w:rsidRPr="003A1036">
              <w:rPr>
                <w:sz w:val="18"/>
              </w:rPr>
              <w:t>n.d</w:t>
            </w:r>
            <w:proofErr w:type="spellEnd"/>
            <w:r w:rsidRPr="003A1036">
              <w:rPr>
                <w:sz w:val="18"/>
              </w:rPr>
              <w:t>.</w:t>
            </w:r>
          </w:p>
        </w:tc>
        <w:tc>
          <w:tcPr>
            <w:tcW w:w="1048" w:type="dxa"/>
            <w:tcBorders>
              <w:bottom w:val="single" w:sz="12" w:space="0" w:color="auto"/>
            </w:tcBorders>
            <w:shd w:val="clear" w:color="auto" w:fill="auto"/>
            <w:vAlign w:val="bottom"/>
          </w:tcPr>
          <w:p w14:paraId="6E34D2F3" w14:textId="77777777" w:rsidR="00B92948" w:rsidRPr="003A1036" w:rsidRDefault="00B92948" w:rsidP="007D1B32">
            <w:pPr>
              <w:pStyle w:val="SingleTxtG"/>
              <w:tabs>
                <w:tab w:val="clear" w:pos="1701"/>
                <w:tab w:val="clear" w:pos="2268"/>
                <w:tab w:val="clear" w:pos="2835"/>
              </w:tabs>
              <w:spacing w:before="40" w:after="40" w:line="220" w:lineRule="exact"/>
              <w:ind w:left="113" w:rightChars="28" w:right="56"/>
              <w:jc w:val="right"/>
              <w:rPr>
                <w:sz w:val="18"/>
              </w:rPr>
            </w:pPr>
            <w:proofErr w:type="spellStart"/>
            <w:r w:rsidRPr="003A1036">
              <w:rPr>
                <w:sz w:val="18"/>
              </w:rPr>
              <w:t>n.d</w:t>
            </w:r>
            <w:proofErr w:type="spellEnd"/>
            <w:r w:rsidRPr="003A1036">
              <w:rPr>
                <w:sz w:val="18"/>
              </w:rPr>
              <w:t>.</w:t>
            </w:r>
          </w:p>
        </w:tc>
        <w:tc>
          <w:tcPr>
            <w:tcW w:w="1048" w:type="dxa"/>
            <w:tcBorders>
              <w:bottom w:val="single" w:sz="12" w:space="0" w:color="auto"/>
            </w:tcBorders>
            <w:shd w:val="clear" w:color="auto" w:fill="auto"/>
            <w:vAlign w:val="bottom"/>
          </w:tcPr>
          <w:p w14:paraId="7B8D971B" w14:textId="77777777" w:rsidR="00B92948" w:rsidRPr="003A1036" w:rsidRDefault="00B92948" w:rsidP="007D1B32">
            <w:pPr>
              <w:pStyle w:val="SingleTxtG"/>
              <w:tabs>
                <w:tab w:val="clear" w:pos="1701"/>
                <w:tab w:val="clear" w:pos="2268"/>
                <w:tab w:val="clear" w:pos="2835"/>
              </w:tabs>
              <w:spacing w:before="40" w:after="40" w:line="220" w:lineRule="exact"/>
              <w:ind w:left="113" w:rightChars="28" w:right="56"/>
              <w:jc w:val="right"/>
              <w:rPr>
                <w:sz w:val="18"/>
              </w:rPr>
            </w:pPr>
            <w:r w:rsidRPr="003A1036">
              <w:rPr>
                <w:sz w:val="18"/>
              </w:rPr>
              <w:t>9,9</w:t>
            </w:r>
          </w:p>
        </w:tc>
        <w:tc>
          <w:tcPr>
            <w:tcW w:w="1048" w:type="dxa"/>
            <w:tcBorders>
              <w:bottom w:val="single" w:sz="12" w:space="0" w:color="auto"/>
            </w:tcBorders>
            <w:shd w:val="clear" w:color="auto" w:fill="auto"/>
            <w:vAlign w:val="bottom"/>
          </w:tcPr>
          <w:p w14:paraId="01EAD721" w14:textId="77777777" w:rsidR="00B92948" w:rsidRPr="003A1036" w:rsidRDefault="00B92948" w:rsidP="007D1B32">
            <w:pPr>
              <w:pStyle w:val="SingleTxtG"/>
              <w:tabs>
                <w:tab w:val="clear" w:pos="1701"/>
                <w:tab w:val="clear" w:pos="2268"/>
                <w:tab w:val="clear" w:pos="2835"/>
              </w:tabs>
              <w:spacing w:before="40" w:after="40" w:line="220" w:lineRule="exact"/>
              <w:ind w:left="113" w:rightChars="28" w:right="56"/>
              <w:jc w:val="right"/>
              <w:rPr>
                <w:sz w:val="18"/>
              </w:rPr>
            </w:pPr>
            <w:r w:rsidRPr="003A1036">
              <w:rPr>
                <w:sz w:val="18"/>
              </w:rPr>
              <w:t>10,5</w:t>
            </w:r>
          </w:p>
        </w:tc>
        <w:tc>
          <w:tcPr>
            <w:tcW w:w="1048" w:type="dxa"/>
            <w:tcBorders>
              <w:bottom w:val="single" w:sz="12" w:space="0" w:color="auto"/>
            </w:tcBorders>
            <w:shd w:val="clear" w:color="auto" w:fill="auto"/>
            <w:vAlign w:val="bottom"/>
          </w:tcPr>
          <w:p w14:paraId="294BCB41" w14:textId="77777777" w:rsidR="00B92948" w:rsidRPr="003A1036" w:rsidRDefault="00B92948" w:rsidP="007D1B32">
            <w:pPr>
              <w:pStyle w:val="SingleTxtG"/>
              <w:tabs>
                <w:tab w:val="clear" w:pos="1701"/>
                <w:tab w:val="clear" w:pos="2268"/>
                <w:tab w:val="clear" w:pos="2835"/>
              </w:tabs>
              <w:spacing w:before="40" w:after="40" w:line="220" w:lineRule="exact"/>
              <w:ind w:left="113" w:rightChars="28" w:right="56"/>
              <w:jc w:val="right"/>
              <w:rPr>
                <w:sz w:val="18"/>
              </w:rPr>
            </w:pPr>
            <w:r w:rsidRPr="003A1036">
              <w:rPr>
                <w:sz w:val="18"/>
              </w:rPr>
              <w:t>8,7</w:t>
            </w:r>
          </w:p>
        </w:tc>
        <w:tc>
          <w:tcPr>
            <w:tcW w:w="1048" w:type="dxa"/>
            <w:tcBorders>
              <w:bottom w:val="single" w:sz="12" w:space="0" w:color="auto"/>
            </w:tcBorders>
            <w:shd w:val="clear" w:color="auto" w:fill="auto"/>
            <w:vAlign w:val="bottom"/>
          </w:tcPr>
          <w:p w14:paraId="5BC15448" w14:textId="77777777" w:rsidR="00B92948" w:rsidRPr="003A1036" w:rsidRDefault="00B92948" w:rsidP="007D1B32">
            <w:pPr>
              <w:pStyle w:val="SingleTxtG"/>
              <w:tabs>
                <w:tab w:val="clear" w:pos="1701"/>
                <w:tab w:val="clear" w:pos="2268"/>
                <w:tab w:val="clear" w:pos="2835"/>
              </w:tabs>
              <w:spacing w:before="40" w:after="40" w:line="220" w:lineRule="exact"/>
              <w:ind w:left="113" w:rightChars="28" w:right="56"/>
              <w:jc w:val="right"/>
              <w:rPr>
                <w:sz w:val="18"/>
              </w:rPr>
            </w:pPr>
            <w:r w:rsidRPr="003A1036">
              <w:rPr>
                <w:sz w:val="18"/>
              </w:rPr>
              <w:t>11,3</w:t>
            </w:r>
          </w:p>
        </w:tc>
      </w:tr>
    </w:tbl>
    <w:p w14:paraId="67798B6B" w14:textId="77777777" w:rsidR="00B92948" w:rsidRPr="00B92948" w:rsidRDefault="00B92948" w:rsidP="00624630">
      <w:pPr>
        <w:pStyle w:val="SingleTxtG"/>
        <w:spacing w:before="240"/>
      </w:pPr>
      <w:r w:rsidRPr="00B92948">
        <w:t>144.</w:t>
      </w:r>
      <w:r w:rsidRPr="00B92948">
        <w:tab/>
        <w:t>El porcentaje de niños con bajo peso al nacer (menos de 2.500 gramos) se ha incrementado en forma sostenida.</w:t>
      </w:r>
    </w:p>
    <w:p w14:paraId="3CE6726B" w14:textId="77777777" w:rsidR="00B92948" w:rsidRPr="00B92948" w:rsidRDefault="00B92948" w:rsidP="00624630">
      <w:pPr>
        <w:pStyle w:val="H23G"/>
      </w:pPr>
      <w:r w:rsidRPr="007D1B32">
        <w:rPr>
          <w:b w:val="0"/>
          <w:bCs/>
        </w:rPr>
        <w:tab/>
      </w:r>
      <w:r w:rsidR="00624630" w:rsidRPr="007D1B32">
        <w:rPr>
          <w:b w:val="0"/>
          <w:bCs/>
        </w:rPr>
        <w:tab/>
      </w:r>
      <w:r w:rsidRPr="007D1B32">
        <w:rPr>
          <w:b w:val="0"/>
          <w:bCs/>
        </w:rPr>
        <w:t>Cuadro 11</w:t>
      </w:r>
      <w:r w:rsidR="00624630" w:rsidRPr="007D1B32">
        <w:rPr>
          <w:b w:val="0"/>
          <w:bCs/>
        </w:rPr>
        <w:br/>
      </w:r>
      <w:r w:rsidRPr="00B92948">
        <w:tab/>
        <w:t>Porcentaje de niños con bajo peso al nacer (menos de 2.500 gramos) (2011-2016)</w:t>
      </w:r>
      <w:bookmarkStart w:id="57" w:name="_Toc56781458"/>
      <w:bookmarkEnd w:id="57"/>
    </w:p>
    <w:tbl>
      <w:tblPr>
        <w:tblW w:w="7370" w:type="dxa"/>
        <w:tblInd w:w="1134" w:type="dxa"/>
        <w:tblBorders>
          <w:top w:val="single" w:sz="4" w:space="0" w:color="auto"/>
          <w:bottom w:val="single" w:sz="12" w:space="0" w:color="auto"/>
          <w:insideH w:val="single" w:sz="12" w:space="0" w:color="auto"/>
        </w:tblBorders>
        <w:tblCellMar>
          <w:left w:w="0" w:type="dxa"/>
          <w:right w:w="0" w:type="dxa"/>
        </w:tblCellMar>
        <w:tblLook w:val="00A0" w:firstRow="1" w:lastRow="0" w:firstColumn="1" w:lastColumn="0" w:noHBand="0" w:noVBand="0"/>
      </w:tblPr>
      <w:tblGrid>
        <w:gridCol w:w="2552"/>
        <w:gridCol w:w="803"/>
        <w:gridCol w:w="803"/>
        <w:gridCol w:w="803"/>
        <w:gridCol w:w="803"/>
        <w:gridCol w:w="803"/>
        <w:gridCol w:w="803"/>
      </w:tblGrid>
      <w:tr w:rsidR="00B92948" w:rsidRPr="003A1036" w14:paraId="4D70FF19" w14:textId="77777777" w:rsidTr="00F917AB">
        <w:trPr>
          <w:trHeight w:val="240"/>
          <w:tblHeader/>
        </w:trPr>
        <w:tc>
          <w:tcPr>
            <w:tcW w:w="2552" w:type="dxa"/>
            <w:shd w:val="clear" w:color="auto" w:fill="auto"/>
            <w:vAlign w:val="bottom"/>
          </w:tcPr>
          <w:p w14:paraId="6FC057F2" w14:textId="77777777" w:rsidR="00B92948" w:rsidRPr="003A1036" w:rsidRDefault="00B92948" w:rsidP="003A1036">
            <w:pPr>
              <w:pStyle w:val="SingleTxtG"/>
              <w:tabs>
                <w:tab w:val="clear" w:pos="1701"/>
                <w:tab w:val="clear" w:pos="2268"/>
                <w:tab w:val="clear" w:pos="2835"/>
              </w:tabs>
              <w:spacing w:before="80" w:after="80" w:line="200" w:lineRule="exact"/>
              <w:ind w:left="0" w:right="0"/>
              <w:jc w:val="left"/>
              <w:rPr>
                <w:bCs/>
                <w:i/>
                <w:sz w:val="16"/>
              </w:rPr>
            </w:pPr>
            <w:r w:rsidRPr="003A1036">
              <w:rPr>
                <w:i/>
                <w:iCs/>
                <w:sz w:val="16"/>
              </w:rPr>
              <w:t>Indicador</w:t>
            </w:r>
            <w:r w:rsidRPr="003A1036">
              <w:rPr>
                <w:i/>
                <w:sz w:val="16"/>
              </w:rPr>
              <w:t xml:space="preserve"> </w:t>
            </w:r>
          </w:p>
        </w:tc>
        <w:tc>
          <w:tcPr>
            <w:tcW w:w="803" w:type="dxa"/>
            <w:shd w:val="clear" w:color="auto" w:fill="auto"/>
            <w:vAlign w:val="bottom"/>
          </w:tcPr>
          <w:p w14:paraId="40FAE064" w14:textId="77777777" w:rsidR="00B92948" w:rsidRPr="003A1036" w:rsidRDefault="00B92948" w:rsidP="007D1B32">
            <w:pPr>
              <w:pStyle w:val="SingleTxtG"/>
              <w:tabs>
                <w:tab w:val="clear" w:pos="1701"/>
                <w:tab w:val="clear" w:pos="2268"/>
                <w:tab w:val="clear" w:pos="2835"/>
              </w:tabs>
              <w:spacing w:before="80" w:after="80" w:line="200" w:lineRule="exact"/>
              <w:ind w:left="113" w:right="28"/>
              <w:jc w:val="right"/>
              <w:rPr>
                <w:bCs/>
                <w:i/>
                <w:sz w:val="16"/>
              </w:rPr>
            </w:pPr>
            <w:r w:rsidRPr="003A1036">
              <w:rPr>
                <w:i/>
                <w:iCs/>
                <w:sz w:val="16"/>
              </w:rPr>
              <w:t>2011</w:t>
            </w:r>
          </w:p>
        </w:tc>
        <w:tc>
          <w:tcPr>
            <w:tcW w:w="803" w:type="dxa"/>
            <w:shd w:val="clear" w:color="auto" w:fill="auto"/>
            <w:vAlign w:val="bottom"/>
          </w:tcPr>
          <w:p w14:paraId="737F315E" w14:textId="77777777" w:rsidR="00B92948" w:rsidRPr="003A1036" w:rsidRDefault="00B92948" w:rsidP="007D1B32">
            <w:pPr>
              <w:pStyle w:val="SingleTxtG"/>
              <w:tabs>
                <w:tab w:val="clear" w:pos="1701"/>
                <w:tab w:val="clear" w:pos="2268"/>
                <w:tab w:val="clear" w:pos="2835"/>
              </w:tabs>
              <w:spacing w:before="80" w:after="80" w:line="200" w:lineRule="exact"/>
              <w:ind w:left="113" w:right="28"/>
              <w:jc w:val="right"/>
              <w:rPr>
                <w:bCs/>
                <w:i/>
                <w:sz w:val="16"/>
              </w:rPr>
            </w:pPr>
            <w:r w:rsidRPr="003A1036">
              <w:rPr>
                <w:i/>
                <w:iCs/>
                <w:sz w:val="16"/>
              </w:rPr>
              <w:t>2012</w:t>
            </w:r>
          </w:p>
        </w:tc>
        <w:tc>
          <w:tcPr>
            <w:tcW w:w="803" w:type="dxa"/>
            <w:shd w:val="clear" w:color="auto" w:fill="auto"/>
            <w:vAlign w:val="bottom"/>
          </w:tcPr>
          <w:p w14:paraId="7195E991" w14:textId="77777777" w:rsidR="00B92948" w:rsidRPr="003A1036" w:rsidRDefault="00B92948" w:rsidP="007D1B32">
            <w:pPr>
              <w:pStyle w:val="SingleTxtG"/>
              <w:tabs>
                <w:tab w:val="clear" w:pos="1701"/>
                <w:tab w:val="clear" w:pos="2268"/>
                <w:tab w:val="clear" w:pos="2835"/>
              </w:tabs>
              <w:spacing w:before="80" w:after="80" w:line="200" w:lineRule="exact"/>
              <w:ind w:left="113" w:right="28"/>
              <w:jc w:val="right"/>
              <w:rPr>
                <w:bCs/>
                <w:i/>
                <w:sz w:val="16"/>
              </w:rPr>
            </w:pPr>
            <w:r w:rsidRPr="003A1036">
              <w:rPr>
                <w:i/>
                <w:iCs/>
                <w:sz w:val="16"/>
              </w:rPr>
              <w:t>2013</w:t>
            </w:r>
          </w:p>
        </w:tc>
        <w:tc>
          <w:tcPr>
            <w:tcW w:w="803" w:type="dxa"/>
            <w:shd w:val="clear" w:color="auto" w:fill="auto"/>
            <w:vAlign w:val="bottom"/>
          </w:tcPr>
          <w:p w14:paraId="1F2E5AC9" w14:textId="77777777" w:rsidR="00B92948" w:rsidRPr="003A1036" w:rsidRDefault="00B92948" w:rsidP="007D1B32">
            <w:pPr>
              <w:pStyle w:val="SingleTxtG"/>
              <w:tabs>
                <w:tab w:val="clear" w:pos="1701"/>
                <w:tab w:val="clear" w:pos="2268"/>
                <w:tab w:val="clear" w:pos="2835"/>
              </w:tabs>
              <w:spacing w:before="80" w:after="80" w:line="200" w:lineRule="exact"/>
              <w:ind w:left="113" w:right="28"/>
              <w:jc w:val="right"/>
              <w:rPr>
                <w:bCs/>
                <w:i/>
                <w:sz w:val="16"/>
              </w:rPr>
            </w:pPr>
            <w:r w:rsidRPr="003A1036">
              <w:rPr>
                <w:i/>
                <w:iCs/>
                <w:sz w:val="16"/>
              </w:rPr>
              <w:t>2014</w:t>
            </w:r>
          </w:p>
        </w:tc>
        <w:tc>
          <w:tcPr>
            <w:tcW w:w="803" w:type="dxa"/>
            <w:shd w:val="clear" w:color="auto" w:fill="auto"/>
            <w:vAlign w:val="bottom"/>
          </w:tcPr>
          <w:p w14:paraId="505D9547" w14:textId="77777777" w:rsidR="00B92948" w:rsidRPr="003A1036" w:rsidRDefault="00B92948" w:rsidP="007D1B32">
            <w:pPr>
              <w:pStyle w:val="SingleTxtG"/>
              <w:tabs>
                <w:tab w:val="clear" w:pos="1701"/>
                <w:tab w:val="clear" w:pos="2268"/>
                <w:tab w:val="clear" w:pos="2835"/>
              </w:tabs>
              <w:spacing w:before="80" w:after="80" w:line="200" w:lineRule="exact"/>
              <w:ind w:left="113" w:right="28"/>
              <w:jc w:val="right"/>
              <w:rPr>
                <w:bCs/>
                <w:i/>
                <w:sz w:val="16"/>
              </w:rPr>
            </w:pPr>
            <w:r w:rsidRPr="003A1036">
              <w:rPr>
                <w:i/>
                <w:iCs/>
                <w:sz w:val="16"/>
              </w:rPr>
              <w:t>2015</w:t>
            </w:r>
          </w:p>
        </w:tc>
        <w:tc>
          <w:tcPr>
            <w:tcW w:w="803" w:type="dxa"/>
            <w:shd w:val="clear" w:color="auto" w:fill="auto"/>
            <w:vAlign w:val="bottom"/>
          </w:tcPr>
          <w:p w14:paraId="3134B0D7" w14:textId="77777777" w:rsidR="00B92948" w:rsidRPr="003A1036" w:rsidRDefault="00B92948" w:rsidP="007D1B32">
            <w:pPr>
              <w:pStyle w:val="SingleTxtG"/>
              <w:tabs>
                <w:tab w:val="clear" w:pos="1701"/>
                <w:tab w:val="clear" w:pos="2268"/>
                <w:tab w:val="clear" w:pos="2835"/>
              </w:tabs>
              <w:spacing w:before="80" w:after="80" w:line="200" w:lineRule="exact"/>
              <w:ind w:left="113" w:right="28"/>
              <w:jc w:val="right"/>
              <w:rPr>
                <w:bCs/>
                <w:i/>
                <w:sz w:val="16"/>
              </w:rPr>
            </w:pPr>
            <w:r w:rsidRPr="003A1036">
              <w:rPr>
                <w:i/>
                <w:iCs/>
                <w:sz w:val="16"/>
              </w:rPr>
              <w:t>2016</w:t>
            </w:r>
          </w:p>
        </w:tc>
      </w:tr>
      <w:tr w:rsidR="00B92948" w:rsidRPr="003A1036" w14:paraId="4BFB5795" w14:textId="77777777" w:rsidTr="00F917AB">
        <w:trPr>
          <w:trHeight w:val="240"/>
        </w:trPr>
        <w:tc>
          <w:tcPr>
            <w:tcW w:w="2552" w:type="dxa"/>
            <w:shd w:val="clear" w:color="auto" w:fill="auto"/>
          </w:tcPr>
          <w:p w14:paraId="02F73781" w14:textId="77777777" w:rsidR="00B92948" w:rsidRPr="003A1036" w:rsidRDefault="00B92948" w:rsidP="003A1036">
            <w:pPr>
              <w:pStyle w:val="SingleTxtG"/>
              <w:tabs>
                <w:tab w:val="clear" w:pos="1701"/>
                <w:tab w:val="clear" w:pos="2268"/>
                <w:tab w:val="clear" w:pos="2835"/>
              </w:tabs>
              <w:spacing w:before="40" w:after="40" w:line="220" w:lineRule="exact"/>
              <w:ind w:left="0" w:right="0"/>
              <w:jc w:val="left"/>
              <w:rPr>
                <w:bCs/>
                <w:sz w:val="18"/>
              </w:rPr>
            </w:pPr>
            <w:r w:rsidRPr="003A1036">
              <w:rPr>
                <w:sz w:val="18"/>
              </w:rPr>
              <w:t>Porcentaje de nacidos vivos con un peso inferior a 2.500 gramos por número total de nacidos vivos</w:t>
            </w:r>
          </w:p>
        </w:tc>
        <w:tc>
          <w:tcPr>
            <w:tcW w:w="803" w:type="dxa"/>
            <w:shd w:val="clear" w:color="auto" w:fill="auto"/>
            <w:vAlign w:val="bottom"/>
          </w:tcPr>
          <w:p w14:paraId="61190609" w14:textId="77777777" w:rsidR="00B92948" w:rsidRPr="003A1036" w:rsidRDefault="00B92948" w:rsidP="007D1B32">
            <w:pPr>
              <w:pStyle w:val="SingleTxtG"/>
              <w:tabs>
                <w:tab w:val="clear" w:pos="1701"/>
                <w:tab w:val="clear" w:pos="2268"/>
                <w:tab w:val="clear" w:pos="2835"/>
              </w:tabs>
              <w:spacing w:before="40" w:after="40" w:line="220" w:lineRule="exact"/>
              <w:ind w:left="113" w:right="28"/>
              <w:jc w:val="right"/>
              <w:rPr>
                <w:sz w:val="18"/>
              </w:rPr>
            </w:pPr>
            <w:r w:rsidRPr="003A1036">
              <w:rPr>
                <w:sz w:val="18"/>
              </w:rPr>
              <w:t>7,0</w:t>
            </w:r>
          </w:p>
        </w:tc>
        <w:tc>
          <w:tcPr>
            <w:tcW w:w="803" w:type="dxa"/>
            <w:shd w:val="clear" w:color="auto" w:fill="auto"/>
            <w:vAlign w:val="bottom"/>
          </w:tcPr>
          <w:p w14:paraId="18096DA0" w14:textId="77777777" w:rsidR="00B92948" w:rsidRPr="003A1036" w:rsidRDefault="00B92948" w:rsidP="007D1B32">
            <w:pPr>
              <w:pStyle w:val="SingleTxtG"/>
              <w:tabs>
                <w:tab w:val="clear" w:pos="1701"/>
                <w:tab w:val="clear" w:pos="2268"/>
                <w:tab w:val="clear" w:pos="2835"/>
              </w:tabs>
              <w:spacing w:before="40" w:after="40" w:line="220" w:lineRule="exact"/>
              <w:ind w:left="113" w:right="28"/>
              <w:jc w:val="right"/>
              <w:rPr>
                <w:sz w:val="18"/>
              </w:rPr>
            </w:pPr>
            <w:r w:rsidRPr="003A1036">
              <w:rPr>
                <w:sz w:val="18"/>
              </w:rPr>
              <w:t>7,2</w:t>
            </w:r>
          </w:p>
        </w:tc>
        <w:tc>
          <w:tcPr>
            <w:tcW w:w="803" w:type="dxa"/>
            <w:shd w:val="clear" w:color="auto" w:fill="auto"/>
            <w:vAlign w:val="bottom"/>
          </w:tcPr>
          <w:p w14:paraId="3CBF6240" w14:textId="77777777" w:rsidR="00B92948" w:rsidRPr="003A1036" w:rsidRDefault="00B92948" w:rsidP="007D1B32">
            <w:pPr>
              <w:pStyle w:val="SingleTxtG"/>
              <w:tabs>
                <w:tab w:val="clear" w:pos="1701"/>
                <w:tab w:val="clear" w:pos="2268"/>
                <w:tab w:val="clear" w:pos="2835"/>
              </w:tabs>
              <w:spacing w:before="40" w:after="40" w:line="220" w:lineRule="exact"/>
              <w:ind w:left="113" w:right="28"/>
              <w:jc w:val="right"/>
              <w:rPr>
                <w:sz w:val="18"/>
              </w:rPr>
            </w:pPr>
            <w:r w:rsidRPr="003A1036">
              <w:rPr>
                <w:sz w:val="18"/>
              </w:rPr>
              <w:t>7,4</w:t>
            </w:r>
          </w:p>
        </w:tc>
        <w:tc>
          <w:tcPr>
            <w:tcW w:w="803" w:type="dxa"/>
            <w:shd w:val="clear" w:color="auto" w:fill="auto"/>
            <w:vAlign w:val="bottom"/>
          </w:tcPr>
          <w:p w14:paraId="152903E6" w14:textId="77777777" w:rsidR="00B92948" w:rsidRPr="003A1036" w:rsidRDefault="00B92948" w:rsidP="007D1B32">
            <w:pPr>
              <w:pStyle w:val="SingleTxtG"/>
              <w:tabs>
                <w:tab w:val="clear" w:pos="1701"/>
                <w:tab w:val="clear" w:pos="2268"/>
                <w:tab w:val="clear" w:pos="2835"/>
              </w:tabs>
              <w:spacing w:before="40" w:after="40" w:line="220" w:lineRule="exact"/>
              <w:ind w:left="113" w:right="28"/>
              <w:jc w:val="right"/>
              <w:rPr>
                <w:sz w:val="18"/>
              </w:rPr>
            </w:pPr>
            <w:r w:rsidRPr="003A1036">
              <w:rPr>
                <w:sz w:val="18"/>
              </w:rPr>
              <w:t>7,2</w:t>
            </w:r>
          </w:p>
        </w:tc>
        <w:tc>
          <w:tcPr>
            <w:tcW w:w="803" w:type="dxa"/>
            <w:shd w:val="clear" w:color="auto" w:fill="auto"/>
            <w:vAlign w:val="bottom"/>
          </w:tcPr>
          <w:p w14:paraId="61874F71" w14:textId="77777777" w:rsidR="00B92948" w:rsidRPr="003A1036" w:rsidRDefault="00B92948" w:rsidP="007D1B32">
            <w:pPr>
              <w:pStyle w:val="SingleTxtG"/>
              <w:tabs>
                <w:tab w:val="clear" w:pos="1701"/>
                <w:tab w:val="clear" w:pos="2268"/>
                <w:tab w:val="clear" w:pos="2835"/>
              </w:tabs>
              <w:spacing w:before="40" w:after="40" w:line="220" w:lineRule="exact"/>
              <w:ind w:left="113" w:right="28"/>
              <w:jc w:val="right"/>
              <w:rPr>
                <w:sz w:val="18"/>
              </w:rPr>
            </w:pPr>
            <w:r w:rsidRPr="003A1036">
              <w:rPr>
                <w:sz w:val="18"/>
              </w:rPr>
              <w:t>7,6</w:t>
            </w:r>
          </w:p>
        </w:tc>
        <w:tc>
          <w:tcPr>
            <w:tcW w:w="803" w:type="dxa"/>
            <w:shd w:val="clear" w:color="auto" w:fill="auto"/>
            <w:vAlign w:val="bottom"/>
          </w:tcPr>
          <w:p w14:paraId="1EFF876E" w14:textId="77777777" w:rsidR="00B92948" w:rsidRPr="003A1036" w:rsidRDefault="00B92948" w:rsidP="007D1B32">
            <w:pPr>
              <w:pStyle w:val="SingleTxtG"/>
              <w:tabs>
                <w:tab w:val="clear" w:pos="1701"/>
                <w:tab w:val="clear" w:pos="2268"/>
                <w:tab w:val="clear" w:pos="2835"/>
              </w:tabs>
              <w:spacing w:before="40" w:after="40" w:line="220" w:lineRule="exact"/>
              <w:ind w:left="113" w:right="28"/>
              <w:jc w:val="right"/>
              <w:rPr>
                <w:sz w:val="18"/>
              </w:rPr>
            </w:pPr>
            <w:r w:rsidRPr="003A1036">
              <w:rPr>
                <w:sz w:val="18"/>
              </w:rPr>
              <w:t>8,2</w:t>
            </w:r>
          </w:p>
        </w:tc>
      </w:tr>
    </w:tbl>
    <w:p w14:paraId="045BDA0E" w14:textId="77777777" w:rsidR="00B92948" w:rsidRPr="00B92948" w:rsidRDefault="00B92948" w:rsidP="00624630">
      <w:pPr>
        <w:pStyle w:val="SingleTxtG"/>
        <w:spacing w:before="240"/>
      </w:pPr>
      <w:r w:rsidRPr="00B92948">
        <w:t>145.</w:t>
      </w:r>
      <w:r w:rsidRPr="00B92948">
        <w:tab/>
        <w:t xml:space="preserve">A efectos de garantizar la protección contra las enfermedades infecciosas, se practican </w:t>
      </w:r>
      <w:proofErr w:type="spellStart"/>
      <w:r w:rsidRPr="00B92948">
        <w:t>inmunoprofilaxis</w:t>
      </w:r>
      <w:proofErr w:type="spellEnd"/>
      <w:r w:rsidRPr="00B92948">
        <w:t xml:space="preserve"> y quimioprofilaxis obligatorias de conformidad con la Ley de Protección de la Población contra las Enfermedades Infecciosas y el Reglamento para la </w:t>
      </w:r>
      <w:proofErr w:type="spellStart"/>
      <w:r w:rsidRPr="00B92948">
        <w:t>Inmunoprofilaxis</w:t>
      </w:r>
      <w:proofErr w:type="spellEnd"/>
      <w:r w:rsidRPr="00B92948">
        <w:t xml:space="preserve"> y la Quimioprofilaxis</w:t>
      </w:r>
      <w:r w:rsidRPr="00B92948">
        <w:rPr>
          <w:rStyle w:val="Refdenotaalpie"/>
        </w:rPr>
        <w:footnoteReference w:id="38"/>
      </w:r>
      <w:r w:rsidRPr="00B92948">
        <w:t>.</w:t>
      </w:r>
    </w:p>
    <w:p w14:paraId="52C90647" w14:textId="77777777" w:rsidR="00B92948" w:rsidRPr="00624630" w:rsidRDefault="00B92948" w:rsidP="00624630">
      <w:pPr>
        <w:pStyle w:val="H23G"/>
        <w:rPr>
          <w:bCs/>
        </w:rPr>
      </w:pPr>
      <w:r w:rsidRPr="007D1B32">
        <w:rPr>
          <w:b w:val="0"/>
          <w:bCs/>
        </w:rPr>
        <w:tab/>
      </w:r>
      <w:r w:rsidR="00624630" w:rsidRPr="007D1B32">
        <w:rPr>
          <w:b w:val="0"/>
          <w:bCs/>
        </w:rPr>
        <w:tab/>
      </w:r>
      <w:r w:rsidRPr="007D1B32">
        <w:rPr>
          <w:b w:val="0"/>
          <w:bCs/>
        </w:rPr>
        <w:t>Cuadro 12</w:t>
      </w:r>
      <w:r w:rsidR="00624630" w:rsidRPr="007D1B32">
        <w:rPr>
          <w:b w:val="0"/>
          <w:bCs/>
        </w:rPr>
        <w:br/>
      </w:r>
      <w:r w:rsidRPr="00B92948">
        <w:tab/>
        <w:t xml:space="preserve">Porcentaje de niños de 1 </w:t>
      </w:r>
      <w:proofErr w:type="gramStart"/>
      <w:r w:rsidRPr="00B92948">
        <w:t>año de edad</w:t>
      </w:r>
      <w:proofErr w:type="gramEnd"/>
      <w:r w:rsidRPr="00B92948">
        <w:t xml:space="preserve"> que están plenamente inmunizados </w:t>
      </w:r>
      <w:r w:rsidR="00624630">
        <w:br/>
      </w:r>
      <w:r w:rsidRPr="00B92948">
        <w:t xml:space="preserve">contra la tuberculosis, la difteria, la tos ferina, el tétanos, la poliomielitis </w:t>
      </w:r>
      <w:r w:rsidR="00624630">
        <w:br/>
      </w:r>
      <w:r w:rsidRPr="00B92948">
        <w:t>y el sarampión</w:t>
      </w:r>
      <w:r w:rsidRPr="00624630">
        <w:rPr>
          <w:rStyle w:val="Refdenotaalpie"/>
          <w:b w:val="0"/>
          <w:bCs/>
        </w:rPr>
        <w:footnoteReference w:id="39"/>
      </w:r>
      <w:bookmarkStart w:id="58" w:name="_Toc56781459"/>
      <w:bookmarkEnd w:id="58"/>
    </w:p>
    <w:tbl>
      <w:tblPr>
        <w:tblW w:w="7370" w:type="dxa"/>
        <w:tblInd w:w="1134" w:type="dxa"/>
        <w:tblBorders>
          <w:top w:val="single" w:sz="4" w:space="0" w:color="auto"/>
        </w:tblBorders>
        <w:tblCellMar>
          <w:left w:w="0" w:type="dxa"/>
          <w:right w:w="0" w:type="dxa"/>
        </w:tblCellMar>
        <w:tblLook w:val="00A0" w:firstRow="1" w:lastRow="0" w:firstColumn="1" w:lastColumn="0" w:noHBand="0" w:noVBand="0"/>
      </w:tblPr>
      <w:tblGrid>
        <w:gridCol w:w="1244"/>
        <w:gridCol w:w="1021"/>
        <w:gridCol w:w="1021"/>
        <w:gridCol w:w="1021"/>
        <w:gridCol w:w="1021"/>
        <w:gridCol w:w="1021"/>
        <w:gridCol w:w="1021"/>
      </w:tblGrid>
      <w:tr w:rsidR="00B92948" w:rsidRPr="003A1036" w14:paraId="52ACD22A" w14:textId="77777777" w:rsidTr="003A1036">
        <w:trPr>
          <w:trHeight w:val="240"/>
          <w:tblHeader/>
        </w:trPr>
        <w:tc>
          <w:tcPr>
            <w:tcW w:w="1244" w:type="dxa"/>
            <w:tcBorders>
              <w:top w:val="single" w:sz="4" w:space="0" w:color="auto"/>
              <w:bottom w:val="single" w:sz="12" w:space="0" w:color="auto"/>
            </w:tcBorders>
            <w:shd w:val="clear" w:color="auto" w:fill="auto"/>
            <w:vAlign w:val="bottom"/>
          </w:tcPr>
          <w:p w14:paraId="0502BEAB" w14:textId="77777777" w:rsidR="00B92948" w:rsidRPr="003A1036" w:rsidRDefault="00B92948" w:rsidP="003A1036">
            <w:pPr>
              <w:pStyle w:val="SingleTxtG"/>
              <w:tabs>
                <w:tab w:val="clear" w:pos="1701"/>
                <w:tab w:val="clear" w:pos="2268"/>
                <w:tab w:val="clear" w:pos="2835"/>
              </w:tabs>
              <w:spacing w:before="80" w:after="80" w:line="200" w:lineRule="exact"/>
              <w:ind w:left="0" w:right="0"/>
              <w:jc w:val="left"/>
              <w:rPr>
                <w:i/>
                <w:sz w:val="16"/>
              </w:rPr>
            </w:pPr>
            <w:r w:rsidRPr="003A1036">
              <w:rPr>
                <w:i/>
                <w:iCs/>
                <w:sz w:val="16"/>
              </w:rPr>
              <w:t>Vacuna/Año</w:t>
            </w:r>
          </w:p>
        </w:tc>
        <w:tc>
          <w:tcPr>
            <w:tcW w:w="1021" w:type="dxa"/>
            <w:tcBorders>
              <w:top w:val="single" w:sz="4" w:space="0" w:color="auto"/>
              <w:bottom w:val="single" w:sz="12" w:space="0" w:color="auto"/>
            </w:tcBorders>
            <w:shd w:val="clear" w:color="auto" w:fill="auto"/>
            <w:vAlign w:val="bottom"/>
          </w:tcPr>
          <w:p w14:paraId="555956AC" w14:textId="77777777" w:rsidR="00B92948" w:rsidRPr="003A1036" w:rsidRDefault="00B92948" w:rsidP="007D1B32">
            <w:pPr>
              <w:pStyle w:val="SingleTxtG"/>
              <w:tabs>
                <w:tab w:val="clear" w:pos="1701"/>
                <w:tab w:val="clear" w:pos="2268"/>
                <w:tab w:val="clear" w:pos="2835"/>
              </w:tabs>
              <w:spacing w:before="80" w:after="80" w:line="200" w:lineRule="exact"/>
              <w:ind w:left="113" w:right="28"/>
              <w:jc w:val="right"/>
              <w:rPr>
                <w:bCs/>
                <w:i/>
                <w:sz w:val="16"/>
              </w:rPr>
            </w:pPr>
            <w:r w:rsidRPr="003A1036">
              <w:rPr>
                <w:i/>
                <w:iCs/>
                <w:sz w:val="16"/>
              </w:rPr>
              <w:t>2011</w:t>
            </w:r>
          </w:p>
        </w:tc>
        <w:tc>
          <w:tcPr>
            <w:tcW w:w="1021" w:type="dxa"/>
            <w:tcBorders>
              <w:top w:val="single" w:sz="4" w:space="0" w:color="auto"/>
              <w:bottom w:val="single" w:sz="12" w:space="0" w:color="auto"/>
            </w:tcBorders>
            <w:shd w:val="clear" w:color="auto" w:fill="auto"/>
            <w:vAlign w:val="bottom"/>
          </w:tcPr>
          <w:p w14:paraId="5F5EF94C" w14:textId="77777777" w:rsidR="00B92948" w:rsidRPr="003A1036" w:rsidRDefault="00B92948" w:rsidP="007D1B32">
            <w:pPr>
              <w:pStyle w:val="SingleTxtG"/>
              <w:tabs>
                <w:tab w:val="clear" w:pos="1701"/>
                <w:tab w:val="clear" w:pos="2268"/>
                <w:tab w:val="clear" w:pos="2835"/>
              </w:tabs>
              <w:spacing w:before="80" w:after="80" w:line="200" w:lineRule="exact"/>
              <w:ind w:left="113" w:right="28"/>
              <w:jc w:val="right"/>
              <w:rPr>
                <w:bCs/>
                <w:i/>
                <w:sz w:val="16"/>
              </w:rPr>
            </w:pPr>
            <w:r w:rsidRPr="003A1036">
              <w:rPr>
                <w:i/>
                <w:iCs/>
                <w:sz w:val="16"/>
              </w:rPr>
              <w:t>2012</w:t>
            </w:r>
          </w:p>
        </w:tc>
        <w:tc>
          <w:tcPr>
            <w:tcW w:w="1021" w:type="dxa"/>
            <w:tcBorders>
              <w:top w:val="single" w:sz="4" w:space="0" w:color="auto"/>
              <w:bottom w:val="single" w:sz="12" w:space="0" w:color="auto"/>
            </w:tcBorders>
            <w:shd w:val="clear" w:color="auto" w:fill="auto"/>
            <w:vAlign w:val="bottom"/>
          </w:tcPr>
          <w:p w14:paraId="598EB944" w14:textId="77777777" w:rsidR="00B92948" w:rsidRPr="003A1036" w:rsidRDefault="00B92948" w:rsidP="007D1B32">
            <w:pPr>
              <w:pStyle w:val="SingleTxtG"/>
              <w:tabs>
                <w:tab w:val="clear" w:pos="1701"/>
                <w:tab w:val="clear" w:pos="2268"/>
                <w:tab w:val="clear" w:pos="2835"/>
              </w:tabs>
              <w:spacing w:before="80" w:after="80" w:line="200" w:lineRule="exact"/>
              <w:ind w:left="113" w:right="28"/>
              <w:jc w:val="right"/>
              <w:rPr>
                <w:bCs/>
                <w:i/>
                <w:sz w:val="16"/>
              </w:rPr>
            </w:pPr>
            <w:r w:rsidRPr="003A1036">
              <w:rPr>
                <w:i/>
                <w:iCs/>
                <w:sz w:val="16"/>
              </w:rPr>
              <w:t>2013</w:t>
            </w:r>
          </w:p>
        </w:tc>
        <w:tc>
          <w:tcPr>
            <w:tcW w:w="1021" w:type="dxa"/>
            <w:tcBorders>
              <w:top w:val="single" w:sz="4" w:space="0" w:color="auto"/>
              <w:bottom w:val="single" w:sz="12" w:space="0" w:color="auto"/>
            </w:tcBorders>
            <w:shd w:val="clear" w:color="auto" w:fill="auto"/>
            <w:vAlign w:val="bottom"/>
          </w:tcPr>
          <w:p w14:paraId="53664BAE" w14:textId="77777777" w:rsidR="00B92948" w:rsidRPr="003A1036" w:rsidRDefault="00B92948" w:rsidP="007D1B32">
            <w:pPr>
              <w:pStyle w:val="SingleTxtG"/>
              <w:tabs>
                <w:tab w:val="clear" w:pos="1701"/>
                <w:tab w:val="clear" w:pos="2268"/>
                <w:tab w:val="clear" w:pos="2835"/>
              </w:tabs>
              <w:spacing w:before="80" w:after="80" w:line="200" w:lineRule="exact"/>
              <w:ind w:left="113" w:right="28"/>
              <w:jc w:val="right"/>
              <w:rPr>
                <w:bCs/>
                <w:i/>
                <w:sz w:val="16"/>
              </w:rPr>
            </w:pPr>
            <w:r w:rsidRPr="003A1036">
              <w:rPr>
                <w:i/>
                <w:iCs/>
                <w:sz w:val="16"/>
              </w:rPr>
              <w:t>2014</w:t>
            </w:r>
          </w:p>
        </w:tc>
        <w:tc>
          <w:tcPr>
            <w:tcW w:w="1021" w:type="dxa"/>
            <w:tcBorders>
              <w:top w:val="single" w:sz="4" w:space="0" w:color="auto"/>
              <w:bottom w:val="single" w:sz="12" w:space="0" w:color="auto"/>
            </w:tcBorders>
            <w:shd w:val="clear" w:color="auto" w:fill="auto"/>
            <w:vAlign w:val="bottom"/>
          </w:tcPr>
          <w:p w14:paraId="16723438" w14:textId="77777777" w:rsidR="00B92948" w:rsidRPr="003A1036" w:rsidRDefault="00B92948" w:rsidP="007D1B32">
            <w:pPr>
              <w:pStyle w:val="SingleTxtG"/>
              <w:tabs>
                <w:tab w:val="clear" w:pos="1701"/>
                <w:tab w:val="clear" w:pos="2268"/>
                <w:tab w:val="clear" w:pos="2835"/>
              </w:tabs>
              <w:spacing w:before="80" w:after="80" w:line="200" w:lineRule="exact"/>
              <w:ind w:left="113" w:right="28"/>
              <w:jc w:val="right"/>
              <w:rPr>
                <w:bCs/>
                <w:i/>
                <w:sz w:val="16"/>
              </w:rPr>
            </w:pPr>
            <w:r w:rsidRPr="003A1036">
              <w:rPr>
                <w:i/>
                <w:iCs/>
                <w:sz w:val="16"/>
              </w:rPr>
              <w:t>2015</w:t>
            </w:r>
          </w:p>
        </w:tc>
        <w:tc>
          <w:tcPr>
            <w:tcW w:w="1021" w:type="dxa"/>
            <w:tcBorders>
              <w:top w:val="single" w:sz="4" w:space="0" w:color="auto"/>
              <w:bottom w:val="single" w:sz="12" w:space="0" w:color="auto"/>
            </w:tcBorders>
            <w:shd w:val="clear" w:color="auto" w:fill="auto"/>
            <w:vAlign w:val="bottom"/>
          </w:tcPr>
          <w:p w14:paraId="364A124D" w14:textId="77777777" w:rsidR="00B92948" w:rsidRPr="003A1036" w:rsidRDefault="00B92948" w:rsidP="007D1B32">
            <w:pPr>
              <w:pStyle w:val="SingleTxtG"/>
              <w:tabs>
                <w:tab w:val="clear" w:pos="1701"/>
                <w:tab w:val="clear" w:pos="2268"/>
                <w:tab w:val="clear" w:pos="2835"/>
              </w:tabs>
              <w:spacing w:before="80" w:after="80" w:line="200" w:lineRule="exact"/>
              <w:ind w:left="113" w:right="28"/>
              <w:jc w:val="right"/>
              <w:rPr>
                <w:bCs/>
                <w:i/>
                <w:sz w:val="16"/>
              </w:rPr>
            </w:pPr>
            <w:r w:rsidRPr="003A1036">
              <w:rPr>
                <w:i/>
                <w:iCs/>
                <w:sz w:val="16"/>
              </w:rPr>
              <w:t>2016</w:t>
            </w:r>
          </w:p>
        </w:tc>
      </w:tr>
      <w:tr w:rsidR="00B92948" w:rsidRPr="003A1036" w14:paraId="1B805015" w14:textId="77777777" w:rsidTr="003A1036">
        <w:trPr>
          <w:trHeight w:val="240"/>
        </w:trPr>
        <w:tc>
          <w:tcPr>
            <w:tcW w:w="1244" w:type="dxa"/>
            <w:tcBorders>
              <w:top w:val="single" w:sz="12" w:space="0" w:color="auto"/>
            </w:tcBorders>
            <w:shd w:val="clear" w:color="auto" w:fill="auto"/>
          </w:tcPr>
          <w:p w14:paraId="4B0765F5" w14:textId="77777777" w:rsidR="00B92948" w:rsidRPr="003A1036" w:rsidRDefault="00B92948" w:rsidP="003A1036">
            <w:pPr>
              <w:pStyle w:val="SingleTxtG"/>
              <w:tabs>
                <w:tab w:val="clear" w:pos="1701"/>
                <w:tab w:val="clear" w:pos="2268"/>
                <w:tab w:val="clear" w:pos="2835"/>
              </w:tabs>
              <w:spacing w:before="40" w:after="40" w:line="220" w:lineRule="exact"/>
              <w:ind w:left="0" w:right="0"/>
              <w:jc w:val="left"/>
              <w:rPr>
                <w:sz w:val="18"/>
              </w:rPr>
            </w:pPr>
            <w:r w:rsidRPr="003A1036">
              <w:rPr>
                <w:sz w:val="18"/>
              </w:rPr>
              <w:t>Difteria</w:t>
            </w:r>
          </w:p>
        </w:tc>
        <w:tc>
          <w:tcPr>
            <w:tcW w:w="1021" w:type="dxa"/>
            <w:tcBorders>
              <w:top w:val="single" w:sz="12" w:space="0" w:color="auto"/>
            </w:tcBorders>
            <w:shd w:val="clear" w:color="auto" w:fill="auto"/>
            <w:vAlign w:val="bottom"/>
          </w:tcPr>
          <w:p w14:paraId="75DF3387" w14:textId="77777777" w:rsidR="00B92948" w:rsidRPr="003A1036" w:rsidRDefault="00B92948" w:rsidP="007D1B32">
            <w:pPr>
              <w:pStyle w:val="SingleTxtG"/>
              <w:tabs>
                <w:tab w:val="clear" w:pos="1701"/>
                <w:tab w:val="clear" w:pos="2268"/>
                <w:tab w:val="clear" w:pos="2835"/>
              </w:tabs>
              <w:spacing w:before="40" w:after="40" w:line="220" w:lineRule="exact"/>
              <w:ind w:left="113" w:right="28"/>
              <w:jc w:val="right"/>
              <w:rPr>
                <w:sz w:val="18"/>
              </w:rPr>
            </w:pPr>
            <w:r w:rsidRPr="003A1036">
              <w:rPr>
                <w:sz w:val="18"/>
              </w:rPr>
              <w:t>95,9</w:t>
            </w:r>
          </w:p>
        </w:tc>
        <w:tc>
          <w:tcPr>
            <w:tcW w:w="1021" w:type="dxa"/>
            <w:tcBorders>
              <w:top w:val="single" w:sz="12" w:space="0" w:color="auto"/>
            </w:tcBorders>
            <w:shd w:val="clear" w:color="auto" w:fill="auto"/>
            <w:vAlign w:val="bottom"/>
          </w:tcPr>
          <w:p w14:paraId="0EC8C5D8" w14:textId="77777777" w:rsidR="00B92948" w:rsidRPr="003A1036" w:rsidRDefault="00B92948" w:rsidP="007D1B32">
            <w:pPr>
              <w:pStyle w:val="SingleTxtG"/>
              <w:tabs>
                <w:tab w:val="clear" w:pos="1701"/>
                <w:tab w:val="clear" w:pos="2268"/>
                <w:tab w:val="clear" w:pos="2835"/>
              </w:tabs>
              <w:spacing w:before="40" w:after="40" w:line="220" w:lineRule="exact"/>
              <w:ind w:left="113" w:right="28"/>
              <w:jc w:val="right"/>
              <w:rPr>
                <w:sz w:val="18"/>
              </w:rPr>
            </w:pPr>
            <w:r w:rsidRPr="003A1036">
              <w:rPr>
                <w:sz w:val="18"/>
              </w:rPr>
              <w:t>94,7</w:t>
            </w:r>
          </w:p>
        </w:tc>
        <w:tc>
          <w:tcPr>
            <w:tcW w:w="1021" w:type="dxa"/>
            <w:tcBorders>
              <w:top w:val="single" w:sz="12" w:space="0" w:color="auto"/>
            </w:tcBorders>
            <w:shd w:val="clear" w:color="auto" w:fill="auto"/>
            <w:vAlign w:val="bottom"/>
          </w:tcPr>
          <w:p w14:paraId="475AB66D" w14:textId="77777777" w:rsidR="00B92948" w:rsidRPr="003A1036" w:rsidRDefault="00B92948" w:rsidP="007D1B32">
            <w:pPr>
              <w:pStyle w:val="SingleTxtG"/>
              <w:tabs>
                <w:tab w:val="clear" w:pos="1701"/>
                <w:tab w:val="clear" w:pos="2268"/>
                <w:tab w:val="clear" w:pos="2835"/>
              </w:tabs>
              <w:spacing w:before="40" w:after="40" w:line="220" w:lineRule="exact"/>
              <w:ind w:left="113" w:right="28"/>
              <w:jc w:val="right"/>
              <w:rPr>
                <w:sz w:val="18"/>
              </w:rPr>
            </w:pPr>
            <w:r w:rsidRPr="003A1036">
              <w:rPr>
                <w:sz w:val="18"/>
              </w:rPr>
              <w:t>98,2</w:t>
            </w:r>
          </w:p>
        </w:tc>
        <w:tc>
          <w:tcPr>
            <w:tcW w:w="1021" w:type="dxa"/>
            <w:tcBorders>
              <w:top w:val="single" w:sz="12" w:space="0" w:color="auto"/>
            </w:tcBorders>
            <w:shd w:val="clear" w:color="auto" w:fill="auto"/>
            <w:vAlign w:val="bottom"/>
          </w:tcPr>
          <w:p w14:paraId="7E154DF5" w14:textId="77777777" w:rsidR="00B92948" w:rsidRPr="003A1036" w:rsidRDefault="00B92948" w:rsidP="007D1B32">
            <w:pPr>
              <w:pStyle w:val="SingleTxtG"/>
              <w:tabs>
                <w:tab w:val="clear" w:pos="1701"/>
                <w:tab w:val="clear" w:pos="2268"/>
                <w:tab w:val="clear" w:pos="2835"/>
              </w:tabs>
              <w:spacing w:before="40" w:after="40" w:line="220" w:lineRule="exact"/>
              <w:ind w:left="113" w:right="28"/>
              <w:jc w:val="right"/>
              <w:rPr>
                <w:sz w:val="18"/>
              </w:rPr>
            </w:pPr>
            <w:r w:rsidRPr="003A1036">
              <w:rPr>
                <w:sz w:val="18"/>
              </w:rPr>
              <w:t>95,4</w:t>
            </w:r>
          </w:p>
        </w:tc>
        <w:tc>
          <w:tcPr>
            <w:tcW w:w="1021" w:type="dxa"/>
            <w:tcBorders>
              <w:top w:val="single" w:sz="12" w:space="0" w:color="auto"/>
            </w:tcBorders>
            <w:shd w:val="clear" w:color="auto" w:fill="auto"/>
            <w:vAlign w:val="bottom"/>
          </w:tcPr>
          <w:p w14:paraId="125CB275" w14:textId="77777777" w:rsidR="00B92948" w:rsidRPr="003A1036" w:rsidRDefault="00B92948" w:rsidP="007D1B32">
            <w:pPr>
              <w:pStyle w:val="SingleTxtG"/>
              <w:tabs>
                <w:tab w:val="clear" w:pos="1701"/>
                <w:tab w:val="clear" w:pos="2268"/>
                <w:tab w:val="clear" w:pos="2835"/>
              </w:tabs>
              <w:spacing w:before="40" w:after="40" w:line="220" w:lineRule="exact"/>
              <w:ind w:left="113" w:right="28"/>
              <w:jc w:val="right"/>
              <w:rPr>
                <w:sz w:val="18"/>
              </w:rPr>
            </w:pPr>
            <w:r w:rsidRPr="003A1036">
              <w:rPr>
                <w:sz w:val="18"/>
              </w:rPr>
              <w:t>91,3</w:t>
            </w:r>
          </w:p>
        </w:tc>
        <w:tc>
          <w:tcPr>
            <w:tcW w:w="1021" w:type="dxa"/>
            <w:tcBorders>
              <w:top w:val="single" w:sz="12" w:space="0" w:color="auto"/>
            </w:tcBorders>
            <w:shd w:val="clear" w:color="auto" w:fill="auto"/>
            <w:vAlign w:val="bottom"/>
          </w:tcPr>
          <w:p w14:paraId="0936EF20" w14:textId="77777777" w:rsidR="00B92948" w:rsidRPr="003A1036" w:rsidRDefault="00B92948" w:rsidP="007D1B32">
            <w:pPr>
              <w:pStyle w:val="SingleTxtG"/>
              <w:tabs>
                <w:tab w:val="clear" w:pos="1701"/>
                <w:tab w:val="clear" w:pos="2268"/>
                <w:tab w:val="clear" w:pos="2835"/>
              </w:tabs>
              <w:spacing w:before="40" w:after="40" w:line="220" w:lineRule="exact"/>
              <w:ind w:left="113" w:right="28"/>
              <w:jc w:val="right"/>
              <w:rPr>
                <w:sz w:val="18"/>
              </w:rPr>
            </w:pPr>
            <w:r w:rsidRPr="003A1036">
              <w:rPr>
                <w:sz w:val="18"/>
              </w:rPr>
              <w:t>95,3</w:t>
            </w:r>
          </w:p>
        </w:tc>
      </w:tr>
      <w:tr w:rsidR="00B92948" w:rsidRPr="003A1036" w14:paraId="1E421A3D" w14:textId="77777777" w:rsidTr="003A1036">
        <w:trPr>
          <w:trHeight w:val="240"/>
        </w:trPr>
        <w:tc>
          <w:tcPr>
            <w:tcW w:w="1244" w:type="dxa"/>
            <w:shd w:val="clear" w:color="auto" w:fill="auto"/>
          </w:tcPr>
          <w:p w14:paraId="248CE49C" w14:textId="77777777" w:rsidR="00B92948" w:rsidRPr="003A1036" w:rsidRDefault="00B92948" w:rsidP="003A1036">
            <w:pPr>
              <w:pStyle w:val="SingleTxtG"/>
              <w:tabs>
                <w:tab w:val="clear" w:pos="1701"/>
                <w:tab w:val="clear" w:pos="2268"/>
                <w:tab w:val="clear" w:pos="2835"/>
              </w:tabs>
              <w:spacing w:before="40" w:after="40" w:line="220" w:lineRule="exact"/>
              <w:ind w:left="0" w:right="0"/>
              <w:jc w:val="left"/>
              <w:rPr>
                <w:sz w:val="18"/>
              </w:rPr>
            </w:pPr>
            <w:r w:rsidRPr="003A1036">
              <w:rPr>
                <w:sz w:val="18"/>
              </w:rPr>
              <w:t>Tétanos</w:t>
            </w:r>
          </w:p>
        </w:tc>
        <w:tc>
          <w:tcPr>
            <w:tcW w:w="1021" w:type="dxa"/>
            <w:shd w:val="clear" w:color="auto" w:fill="auto"/>
            <w:vAlign w:val="bottom"/>
          </w:tcPr>
          <w:p w14:paraId="4C2B0A3D" w14:textId="77777777" w:rsidR="00B92948" w:rsidRPr="003A1036" w:rsidRDefault="00B92948" w:rsidP="007D1B32">
            <w:pPr>
              <w:pStyle w:val="SingleTxtG"/>
              <w:tabs>
                <w:tab w:val="clear" w:pos="1701"/>
                <w:tab w:val="clear" w:pos="2268"/>
                <w:tab w:val="clear" w:pos="2835"/>
              </w:tabs>
              <w:spacing w:before="40" w:after="40" w:line="220" w:lineRule="exact"/>
              <w:ind w:left="113" w:right="28"/>
              <w:jc w:val="right"/>
              <w:rPr>
                <w:sz w:val="18"/>
              </w:rPr>
            </w:pPr>
            <w:r w:rsidRPr="003A1036">
              <w:rPr>
                <w:sz w:val="18"/>
              </w:rPr>
              <w:t>95,9</w:t>
            </w:r>
          </w:p>
        </w:tc>
        <w:tc>
          <w:tcPr>
            <w:tcW w:w="1021" w:type="dxa"/>
            <w:shd w:val="clear" w:color="auto" w:fill="auto"/>
            <w:vAlign w:val="bottom"/>
          </w:tcPr>
          <w:p w14:paraId="2A34B0A3" w14:textId="77777777" w:rsidR="00B92948" w:rsidRPr="003A1036" w:rsidRDefault="00B92948" w:rsidP="007D1B32">
            <w:pPr>
              <w:pStyle w:val="SingleTxtG"/>
              <w:tabs>
                <w:tab w:val="clear" w:pos="1701"/>
                <w:tab w:val="clear" w:pos="2268"/>
                <w:tab w:val="clear" w:pos="2835"/>
              </w:tabs>
              <w:spacing w:before="40" w:after="40" w:line="220" w:lineRule="exact"/>
              <w:ind w:left="113" w:right="28"/>
              <w:jc w:val="right"/>
              <w:rPr>
                <w:sz w:val="18"/>
              </w:rPr>
            </w:pPr>
            <w:r w:rsidRPr="003A1036">
              <w:rPr>
                <w:sz w:val="18"/>
              </w:rPr>
              <w:t>94,7</w:t>
            </w:r>
          </w:p>
        </w:tc>
        <w:tc>
          <w:tcPr>
            <w:tcW w:w="1021" w:type="dxa"/>
            <w:shd w:val="clear" w:color="auto" w:fill="auto"/>
            <w:vAlign w:val="bottom"/>
          </w:tcPr>
          <w:p w14:paraId="426914F6" w14:textId="77777777" w:rsidR="00B92948" w:rsidRPr="003A1036" w:rsidRDefault="00B92948" w:rsidP="007D1B32">
            <w:pPr>
              <w:pStyle w:val="SingleTxtG"/>
              <w:tabs>
                <w:tab w:val="clear" w:pos="1701"/>
                <w:tab w:val="clear" w:pos="2268"/>
                <w:tab w:val="clear" w:pos="2835"/>
              </w:tabs>
              <w:spacing w:before="40" w:after="40" w:line="220" w:lineRule="exact"/>
              <w:ind w:left="113" w:right="28"/>
              <w:jc w:val="right"/>
              <w:rPr>
                <w:sz w:val="18"/>
              </w:rPr>
            </w:pPr>
            <w:r w:rsidRPr="003A1036">
              <w:rPr>
                <w:sz w:val="18"/>
              </w:rPr>
              <w:t>98,2</w:t>
            </w:r>
          </w:p>
        </w:tc>
        <w:tc>
          <w:tcPr>
            <w:tcW w:w="1021" w:type="dxa"/>
            <w:shd w:val="clear" w:color="auto" w:fill="auto"/>
            <w:vAlign w:val="bottom"/>
          </w:tcPr>
          <w:p w14:paraId="5456009A" w14:textId="77777777" w:rsidR="00B92948" w:rsidRPr="003A1036" w:rsidRDefault="00B92948" w:rsidP="007D1B32">
            <w:pPr>
              <w:pStyle w:val="SingleTxtG"/>
              <w:tabs>
                <w:tab w:val="clear" w:pos="1701"/>
                <w:tab w:val="clear" w:pos="2268"/>
                <w:tab w:val="clear" w:pos="2835"/>
              </w:tabs>
              <w:spacing w:before="40" w:after="40" w:line="220" w:lineRule="exact"/>
              <w:ind w:left="113" w:right="28"/>
              <w:jc w:val="right"/>
              <w:rPr>
                <w:sz w:val="18"/>
              </w:rPr>
            </w:pPr>
            <w:r w:rsidRPr="003A1036">
              <w:rPr>
                <w:sz w:val="18"/>
              </w:rPr>
              <w:t>95,4</w:t>
            </w:r>
          </w:p>
        </w:tc>
        <w:tc>
          <w:tcPr>
            <w:tcW w:w="1021" w:type="dxa"/>
            <w:shd w:val="clear" w:color="auto" w:fill="auto"/>
            <w:vAlign w:val="bottom"/>
          </w:tcPr>
          <w:p w14:paraId="0261E89E" w14:textId="77777777" w:rsidR="00B92948" w:rsidRPr="003A1036" w:rsidRDefault="00B92948" w:rsidP="007D1B32">
            <w:pPr>
              <w:pStyle w:val="SingleTxtG"/>
              <w:tabs>
                <w:tab w:val="clear" w:pos="1701"/>
                <w:tab w:val="clear" w:pos="2268"/>
                <w:tab w:val="clear" w:pos="2835"/>
              </w:tabs>
              <w:spacing w:before="40" w:after="40" w:line="220" w:lineRule="exact"/>
              <w:ind w:left="113" w:right="28"/>
              <w:jc w:val="right"/>
              <w:rPr>
                <w:sz w:val="18"/>
              </w:rPr>
            </w:pPr>
            <w:r w:rsidRPr="003A1036">
              <w:rPr>
                <w:sz w:val="18"/>
              </w:rPr>
              <w:t>91,3</w:t>
            </w:r>
          </w:p>
        </w:tc>
        <w:tc>
          <w:tcPr>
            <w:tcW w:w="1021" w:type="dxa"/>
            <w:shd w:val="clear" w:color="auto" w:fill="auto"/>
            <w:vAlign w:val="bottom"/>
          </w:tcPr>
          <w:p w14:paraId="0125B29E" w14:textId="77777777" w:rsidR="00B92948" w:rsidRPr="003A1036" w:rsidRDefault="00B92948" w:rsidP="007D1B32">
            <w:pPr>
              <w:pStyle w:val="SingleTxtG"/>
              <w:tabs>
                <w:tab w:val="clear" w:pos="1701"/>
                <w:tab w:val="clear" w:pos="2268"/>
                <w:tab w:val="clear" w:pos="2835"/>
              </w:tabs>
              <w:spacing w:before="40" w:after="40" w:line="220" w:lineRule="exact"/>
              <w:ind w:left="113" w:right="28"/>
              <w:jc w:val="right"/>
              <w:rPr>
                <w:sz w:val="18"/>
              </w:rPr>
            </w:pPr>
            <w:r w:rsidRPr="003A1036">
              <w:rPr>
                <w:sz w:val="18"/>
              </w:rPr>
              <w:t>95,3</w:t>
            </w:r>
          </w:p>
        </w:tc>
      </w:tr>
      <w:tr w:rsidR="00B92948" w:rsidRPr="003A1036" w14:paraId="77E7C73F" w14:textId="77777777" w:rsidTr="003A1036">
        <w:trPr>
          <w:trHeight w:val="240"/>
        </w:trPr>
        <w:tc>
          <w:tcPr>
            <w:tcW w:w="1244" w:type="dxa"/>
            <w:shd w:val="clear" w:color="auto" w:fill="auto"/>
          </w:tcPr>
          <w:p w14:paraId="68F56188" w14:textId="77777777" w:rsidR="00B92948" w:rsidRPr="003A1036" w:rsidRDefault="00B92948" w:rsidP="003A1036">
            <w:pPr>
              <w:pStyle w:val="SingleTxtG"/>
              <w:tabs>
                <w:tab w:val="clear" w:pos="1701"/>
                <w:tab w:val="clear" w:pos="2268"/>
                <w:tab w:val="clear" w:pos="2835"/>
              </w:tabs>
              <w:spacing w:before="40" w:after="40" w:line="220" w:lineRule="exact"/>
              <w:ind w:left="0" w:right="0"/>
              <w:jc w:val="left"/>
              <w:rPr>
                <w:sz w:val="18"/>
              </w:rPr>
            </w:pPr>
            <w:r w:rsidRPr="003A1036">
              <w:rPr>
                <w:sz w:val="18"/>
              </w:rPr>
              <w:t>Tos ferina</w:t>
            </w:r>
          </w:p>
        </w:tc>
        <w:tc>
          <w:tcPr>
            <w:tcW w:w="1021" w:type="dxa"/>
            <w:shd w:val="clear" w:color="auto" w:fill="auto"/>
            <w:vAlign w:val="bottom"/>
          </w:tcPr>
          <w:p w14:paraId="28AB8120" w14:textId="77777777" w:rsidR="00B92948" w:rsidRPr="003A1036" w:rsidRDefault="00B92948" w:rsidP="007D1B32">
            <w:pPr>
              <w:pStyle w:val="SingleTxtG"/>
              <w:tabs>
                <w:tab w:val="clear" w:pos="1701"/>
                <w:tab w:val="clear" w:pos="2268"/>
                <w:tab w:val="clear" w:pos="2835"/>
              </w:tabs>
              <w:spacing w:before="40" w:after="40" w:line="220" w:lineRule="exact"/>
              <w:ind w:left="113" w:right="28"/>
              <w:jc w:val="right"/>
              <w:rPr>
                <w:sz w:val="18"/>
              </w:rPr>
            </w:pPr>
            <w:r w:rsidRPr="003A1036">
              <w:rPr>
                <w:sz w:val="18"/>
              </w:rPr>
              <w:t>95,9</w:t>
            </w:r>
          </w:p>
        </w:tc>
        <w:tc>
          <w:tcPr>
            <w:tcW w:w="1021" w:type="dxa"/>
            <w:shd w:val="clear" w:color="auto" w:fill="auto"/>
            <w:vAlign w:val="bottom"/>
          </w:tcPr>
          <w:p w14:paraId="56857B32" w14:textId="77777777" w:rsidR="00B92948" w:rsidRPr="003A1036" w:rsidRDefault="00B92948" w:rsidP="007D1B32">
            <w:pPr>
              <w:pStyle w:val="SingleTxtG"/>
              <w:tabs>
                <w:tab w:val="clear" w:pos="1701"/>
                <w:tab w:val="clear" w:pos="2268"/>
                <w:tab w:val="clear" w:pos="2835"/>
              </w:tabs>
              <w:spacing w:before="40" w:after="40" w:line="220" w:lineRule="exact"/>
              <w:ind w:left="113" w:right="28"/>
              <w:jc w:val="right"/>
              <w:rPr>
                <w:sz w:val="18"/>
              </w:rPr>
            </w:pPr>
            <w:r w:rsidRPr="003A1036">
              <w:rPr>
                <w:sz w:val="18"/>
              </w:rPr>
              <w:t>94,7</w:t>
            </w:r>
          </w:p>
        </w:tc>
        <w:tc>
          <w:tcPr>
            <w:tcW w:w="1021" w:type="dxa"/>
            <w:shd w:val="clear" w:color="auto" w:fill="auto"/>
            <w:vAlign w:val="bottom"/>
          </w:tcPr>
          <w:p w14:paraId="59D40D72" w14:textId="77777777" w:rsidR="00B92948" w:rsidRPr="003A1036" w:rsidRDefault="00B92948" w:rsidP="007D1B32">
            <w:pPr>
              <w:pStyle w:val="SingleTxtG"/>
              <w:tabs>
                <w:tab w:val="clear" w:pos="1701"/>
                <w:tab w:val="clear" w:pos="2268"/>
                <w:tab w:val="clear" w:pos="2835"/>
              </w:tabs>
              <w:spacing w:before="40" w:after="40" w:line="220" w:lineRule="exact"/>
              <w:ind w:left="113" w:right="28"/>
              <w:jc w:val="right"/>
              <w:rPr>
                <w:sz w:val="18"/>
              </w:rPr>
            </w:pPr>
            <w:r w:rsidRPr="003A1036">
              <w:rPr>
                <w:sz w:val="18"/>
              </w:rPr>
              <w:t>98,2</w:t>
            </w:r>
          </w:p>
        </w:tc>
        <w:tc>
          <w:tcPr>
            <w:tcW w:w="1021" w:type="dxa"/>
            <w:shd w:val="clear" w:color="auto" w:fill="auto"/>
            <w:vAlign w:val="bottom"/>
          </w:tcPr>
          <w:p w14:paraId="3714B7EA" w14:textId="77777777" w:rsidR="00B92948" w:rsidRPr="003A1036" w:rsidRDefault="00B92948" w:rsidP="007D1B32">
            <w:pPr>
              <w:pStyle w:val="SingleTxtG"/>
              <w:tabs>
                <w:tab w:val="clear" w:pos="1701"/>
                <w:tab w:val="clear" w:pos="2268"/>
                <w:tab w:val="clear" w:pos="2835"/>
              </w:tabs>
              <w:spacing w:before="40" w:after="40" w:line="220" w:lineRule="exact"/>
              <w:ind w:left="113" w:right="28"/>
              <w:jc w:val="right"/>
              <w:rPr>
                <w:sz w:val="18"/>
              </w:rPr>
            </w:pPr>
            <w:r w:rsidRPr="003A1036">
              <w:rPr>
                <w:sz w:val="18"/>
              </w:rPr>
              <w:t>95,4</w:t>
            </w:r>
          </w:p>
        </w:tc>
        <w:tc>
          <w:tcPr>
            <w:tcW w:w="1021" w:type="dxa"/>
            <w:shd w:val="clear" w:color="auto" w:fill="auto"/>
            <w:vAlign w:val="bottom"/>
          </w:tcPr>
          <w:p w14:paraId="30E05C42" w14:textId="77777777" w:rsidR="00B92948" w:rsidRPr="003A1036" w:rsidRDefault="00B92948" w:rsidP="007D1B32">
            <w:pPr>
              <w:pStyle w:val="SingleTxtG"/>
              <w:tabs>
                <w:tab w:val="clear" w:pos="1701"/>
                <w:tab w:val="clear" w:pos="2268"/>
                <w:tab w:val="clear" w:pos="2835"/>
              </w:tabs>
              <w:spacing w:before="40" w:after="40" w:line="220" w:lineRule="exact"/>
              <w:ind w:left="113" w:right="28"/>
              <w:jc w:val="right"/>
              <w:rPr>
                <w:sz w:val="18"/>
              </w:rPr>
            </w:pPr>
            <w:r w:rsidRPr="003A1036">
              <w:rPr>
                <w:sz w:val="18"/>
              </w:rPr>
              <w:t>91,3</w:t>
            </w:r>
          </w:p>
        </w:tc>
        <w:tc>
          <w:tcPr>
            <w:tcW w:w="1021" w:type="dxa"/>
            <w:shd w:val="clear" w:color="auto" w:fill="auto"/>
            <w:vAlign w:val="bottom"/>
          </w:tcPr>
          <w:p w14:paraId="2A40180F" w14:textId="77777777" w:rsidR="00B92948" w:rsidRPr="003A1036" w:rsidRDefault="00B92948" w:rsidP="007D1B32">
            <w:pPr>
              <w:pStyle w:val="SingleTxtG"/>
              <w:tabs>
                <w:tab w:val="clear" w:pos="1701"/>
                <w:tab w:val="clear" w:pos="2268"/>
                <w:tab w:val="clear" w:pos="2835"/>
              </w:tabs>
              <w:spacing w:before="40" w:after="40" w:line="220" w:lineRule="exact"/>
              <w:ind w:left="113" w:right="28"/>
              <w:jc w:val="right"/>
              <w:rPr>
                <w:sz w:val="18"/>
              </w:rPr>
            </w:pPr>
            <w:r w:rsidRPr="003A1036">
              <w:rPr>
                <w:sz w:val="18"/>
              </w:rPr>
              <w:t>95,3</w:t>
            </w:r>
          </w:p>
        </w:tc>
      </w:tr>
      <w:tr w:rsidR="00B92948" w:rsidRPr="003A1036" w14:paraId="74C739CA" w14:textId="77777777" w:rsidTr="003A1036">
        <w:trPr>
          <w:trHeight w:val="240"/>
        </w:trPr>
        <w:tc>
          <w:tcPr>
            <w:tcW w:w="1244" w:type="dxa"/>
            <w:shd w:val="clear" w:color="auto" w:fill="auto"/>
          </w:tcPr>
          <w:p w14:paraId="11D3A6E3" w14:textId="77777777" w:rsidR="00B92948" w:rsidRPr="003A1036" w:rsidRDefault="00B92948" w:rsidP="003A1036">
            <w:pPr>
              <w:pStyle w:val="SingleTxtG"/>
              <w:tabs>
                <w:tab w:val="clear" w:pos="1701"/>
                <w:tab w:val="clear" w:pos="2268"/>
                <w:tab w:val="clear" w:pos="2835"/>
              </w:tabs>
              <w:spacing w:before="40" w:after="40" w:line="220" w:lineRule="exact"/>
              <w:ind w:left="0" w:right="0"/>
              <w:jc w:val="left"/>
              <w:rPr>
                <w:sz w:val="18"/>
              </w:rPr>
            </w:pPr>
            <w:r w:rsidRPr="003A1036">
              <w:rPr>
                <w:sz w:val="18"/>
              </w:rPr>
              <w:t>Poliomielitis</w:t>
            </w:r>
          </w:p>
        </w:tc>
        <w:tc>
          <w:tcPr>
            <w:tcW w:w="1021" w:type="dxa"/>
            <w:shd w:val="clear" w:color="auto" w:fill="auto"/>
            <w:vAlign w:val="bottom"/>
          </w:tcPr>
          <w:p w14:paraId="7FB6149F" w14:textId="77777777" w:rsidR="00B92948" w:rsidRPr="003A1036" w:rsidRDefault="00B92948" w:rsidP="007D1B32">
            <w:pPr>
              <w:pStyle w:val="SingleTxtG"/>
              <w:tabs>
                <w:tab w:val="clear" w:pos="1701"/>
                <w:tab w:val="clear" w:pos="2268"/>
                <w:tab w:val="clear" w:pos="2835"/>
              </w:tabs>
              <w:spacing w:before="40" w:after="40" w:line="220" w:lineRule="exact"/>
              <w:ind w:left="113" w:right="28"/>
              <w:jc w:val="right"/>
              <w:rPr>
                <w:sz w:val="18"/>
              </w:rPr>
            </w:pPr>
            <w:r w:rsidRPr="003A1036">
              <w:rPr>
                <w:sz w:val="18"/>
              </w:rPr>
              <w:t>97,0</w:t>
            </w:r>
          </w:p>
        </w:tc>
        <w:tc>
          <w:tcPr>
            <w:tcW w:w="1021" w:type="dxa"/>
            <w:shd w:val="clear" w:color="auto" w:fill="auto"/>
            <w:vAlign w:val="bottom"/>
          </w:tcPr>
          <w:p w14:paraId="074226E1" w14:textId="77777777" w:rsidR="00B92948" w:rsidRPr="003A1036" w:rsidRDefault="00B92948" w:rsidP="007D1B32">
            <w:pPr>
              <w:pStyle w:val="SingleTxtG"/>
              <w:tabs>
                <w:tab w:val="clear" w:pos="1701"/>
                <w:tab w:val="clear" w:pos="2268"/>
                <w:tab w:val="clear" w:pos="2835"/>
              </w:tabs>
              <w:spacing w:before="40" w:after="40" w:line="220" w:lineRule="exact"/>
              <w:ind w:left="113" w:right="28"/>
              <w:jc w:val="right"/>
              <w:rPr>
                <w:sz w:val="18"/>
              </w:rPr>
            </w:pPr>
            <w:r w:rsidRPr="003A1036">
              <w:rPr>
                <w:sz w:val="18"/>
              </w:rPr>
              <w:t>96,9</w:t>
            </w:r>
          </w:p>
        </w:tc>
        <w:tc>
          <w:tcPr>
            <w:tcW w:w="1021" w:type="dxa"/>
            <w:shd w:val="clear" w:color="auto" w:fill="auto"/>
            <w:vAlign w:val="bottom"/>
          </w:tcPr>
          <w:p w14:paraId="0FDA36D2" w14:textId="77777777" w:rsidR="00B92948" w:rsidRPr="003A1036" w:rsidRDefault="00B92948" w:rsidP="007D1B32">
            <w:pPr>
              <w:pStyle w:val="SingleTxtG"/>
              <w:tabs>
                <w:tab w:val="clear" w:pos="1701"/>
                <w:tab w:val="clear" w:pos="2268"/>
                <w:tab w:val="clear" w:pos="2835"/>
              </w:tabs>
              <w:spacing w:before="40" w:after="40" w:line="220" w:lineRule="exact"/>
              <w:ind w:left="113" w:right="28"/>
              <w:jc w:val="right"/>
              <w:rPr>
                <w:sz w:val="18"/>
              </w:rPr>
            </w:pPr>
            <w:r w:rsidRPr="003A1036">
              <w:rPr>
                <w:sz w:val="18"/>
              </w:rPr>
              <w:t>97,9</w:t>
            </w:r>
          </w:p>
        </w:tc>
        <w:tc>
          <w:tcPr>
            <w:tcW w:w="1021" w:type="dxa"/>
            <w:shd w:val="clear" w:color="auto" w:fill="auto"/>
            <w:vAlign w:val="bottom"/>
          </w:tcPr>
          <w:p w14:paraId="4175C8CA" w14:textId="77777777" w:rsidR="00B92948" w:rsidRPr="003A1036" w:rsidRDefault="00B92948" w:rsidP="007D1B32">
            <w:pPr>
              <w:pStyle w:val="SingleTxtG"/>
              <w:tabs>
                <w:tab w:val="clear" w:pos="1701"/>
                <w:tab w:val="clear" w:pos="2268"/>
                <w:tab w:val="clear" w:pos="2835"/>
              </w:tabs>
              <w:spacing w:before="40" w:after="40" w:line="220" w:lineRule="exact"/>
              <w:ind w:left="113" w:right="28"/>
              <w:jc w:val="right"/>
              <w:rPr>
                <w:sz w:val="18"/>
              </w:rPr>
            </w:pPr>
            <w:r w:rsidRPr="003A1036">
              <w:rPr>
                <w:sz w:val="18"/>
              </w:rPr>
              <w:t>95,6</w:t>
            </w:r>
          </w:p>
        </w:tc>
        <w:tc>
          <w:tcPr>
            <w:tcW w:w="1021" w:type="dxa"/>
            <w:shd w:val="clear" w:color="auto" w:fill="auto"/>
            <w:vAlign w:val="bottom"/>
          </w:tcPr>
          <w:p w14:paraId="5EA4D78E" w14:textId="77777777" w:rsidR="00B92948" w:rsidRPr="003A1036" w:rsidRDefault="00B92948" w:rsidP="007D1B32">
            <w:pPr>
              <w:pStyle w:val="SingleTxtG"/>
              <w:tabs>
                <w:tab w:val="clear" w:pos="1701"/>
                <w:tab w:val="clear" w:pos="2268"/>
                <w:tab w:val="clear" w:pos="2835"/>
              </w:tabs>
              <w:spacing w:before="40" w:after="40" w:line="220" w:lineRule="exact"/>
              <w:ind w:left="113" w:right="28"/>
              <w:jc w:val="right"/>
              <w:rPr>
                <w:sz w:val="18"/>
              </w:rPr>
            </w:pPr>
            <w:r w:rsidRPr="003A1036">
              <w:rPr>
                <w:sz w:val="18"/>
              </w:rPr>
              <w:t>92,1</w:t>
            </w:r>
          </w:p>
        </w:tc>
        <w:tc>
          <w:tcPr>
            <w:tcW w:w="1021" w:type="dxa"/>
            <w:shd w:val="clear" w:color="auto" w:fill="auto"/>
            <w:vAlign w:val="bottom"/>
          </w:tcPr>
          <w:p w14:paraId="74EE4B2F" w14:textId="77777777" w:rsidR="00B92948" w:rsidRPr="003A1036" w:rsidRDefault="00B92948" w:rsidP="007D1B32">
            <w:pPr>
              <w:pStyle w:val="SingleTxtG"/>
              <w:tabs>
                <w:tab w:val="clear" w:pos="1701"/>
                <w:tab w:val="clear" w:pos="2268"/>
                <w:tab w:val="clear" w:pos="2835"/>
              </w:tabs>
              <w:spacing w:before="40" w:after="40" w:line="220" w:lineRule="exact"/>
              <w:ind w:left="113" w:right="28"/>
              <w:jc w:val="right"/>
              <w:rPr>
                <w:sz w:val="18"/>
              </w:rPr>
            </w:pPr>
            <w:r w:rsidRPr="003A1036">
              <w:rPr>
                <w:sz w:val="18"/>
              </w:rPr>
              <w:t>95,3</w:t>
            </w:r>
          </w:p>
        </w:tc>
      </w:tr>
      <w:tr w:rsidR="00B92948" w:rsidRPr="003A1036" w14:paraId="399D0EBA" w14:textId="77777777" w:rsidTr="003A1036">
        <w:trPr>
          <w:trHeight w:val="240"/>
        </w:trPr>
        <w:tc>
          <w:tcPr>
            <w:tcW w:w="1244" w:type="dxa"/>
            <w:tcBorders>
              <w:bottom w:val="single" w:sz="12" w:space="0" w:color="auto"/>
            </w:tcBorders>
            <w:shd w:val="clear" w:color="auto" w:fill="auto"/>
          </w:tcPr>
          <w:p w14:paraId="1A00F3FE" w14:textId="77777777" w:rsidR="00B92948" w:rsidRPr="003A1036" w:rsidRDefault="00B92948" w:rsidP="003A1036">
            <w:pPr>
              <w:pStyle w:val="SingleTxtG"/>
              <w:tabs>
                <w:tab w:val="clear" w:pos="1701"/>
                <w:tab w:val="clear" w:pos="2268"/>
                <w:tab w:val="clear" w:pos="2835"/>
              </w:tabs>
              <w:spacing w:before="40" w:after="40" w:line="220" w:lineRule="exact"/>
              <w:ind w:left="0" w:right="0"/>
              <w:jc w:val="left"/>
              <w:rPr>
                <w:sz w:val="18"/>
              </w:rPr>
            </w:pPr>
            <w:r w:rsidRPr="003A1036">
              <w:rPr>
                <w:sz w:val="18"/>
              </w:rPr>
              <w:t>Sarampión</w:t>
            </w:r>
          </w:p>
        </w:tc>
        <w:tc>
          <w:tcPr>
            <w:tcW w:w="1021" w:type="dxa"/>
            <w:tcBorders>
              <w:bottom w:val="single" w:sz="12" w:space="0" w:color="auto"/>
            </w:tcBorders>
            <w:shd w:val="clear" w:color="auto" w:fill="auto"/>
            <w:vAlign w:val="bottom"/>
          </w:tcPr>
          <w:p w14:paraId="319D299F" w14:textId="77777777" w:rsidR="00B92948" w:rsidRPr="003A1036" w:rsidRDefault="00B92948" w:rsidP="007D1B32">
            <w:pPr>
              <w:pStyle w:val="SingleTxtG"/>
              <w:tabs>
                <w:tab w:val="clear" w:pos="1701"/>
                <w:tab w:val="clear" w:pos="2268"/>
                <w:tab w:val="clear" w:pos="2835"/>
              </w:tabs>
              <w:spacing w:before="40" w:after="40" w:line="220" w:lineRule="exact"/>
              <w:ind w:left="113" w:right="28"/>
              <w:jc w:val="right"/>
              <w:rPr>
                <w:sz w:val="18"/>
              </w:rPr>
            </w:pPr>
            <w:r w:rsidRPr="003A1036">
              <w:rPr>
                <w:sz w:val="18"/>
              </w:rPr>
              <w:t>96,8</w:t>
            </w:r>
          </w:p>
        </w:tc>
        <w:tc>
          <w:tcPr>
            <w:tcW w:w="1021" w:type="dxa"/>
            <w:tcBorders>
              <w:bottom w:val="single" w:sz="12" w:space="0" w:color="auto"/>
            </w:tcBorders>
            <w:shd w:val="clear" w:color="auto" w:fill="auto"/>
            <w:vAlign w:val="bottom"/>
          </w:tcPr>
          <w:p w14:paraId="75528423" w14:textId="77777777" w:rsidR="00B92948" w:rsidRPr="003A1036" w:rsidRDefault="00B92948" w:rsidP="007D1B32">
            <w:pPr>
              <w:pStyle w:val="SingleTxtG"/>
              <w:tabs>
                <w:tab w:val="clear" w:pos="1701"/>
                <w:tab w:val="clear" w:pos="2268"/>
                <w:tab w:val="clear" w:pos="2835"/>
              </w:tabs>
              <w:spacing w:before="40" w:after="40" w:line="220" w:lineRule="exact"/>
              <w:ind w:left="113" w:right="28"/>
              <w:jc w:val="right"/>
              <w:rPr>
                <w:sz w:val="18"/>
              </w:rPr>
            </w:pPr>
            <w:r w:rsidRPr="003A1036">
              <w:rPr>
                <w:sz w:val="18"/>
              </w:rPr>
              <w:t>96,1</w:t>
            </w:r>
          </w:p>
        </w:tc>
        <w:tc>
          <w:tcPr>
            <w:tcW w:w="1021" w:type="dxa"/>
            <w:tcBorders>
              <w:bottom w:val="single" w:sz="12" w:space="0" w:color="auto"/>
            </w:tcBorders>
            <w:shd w:val="clear" w:color="auto" w:fill="auto"/>
            <w:vAlign w:val="bottom"/>
          </w:tcPr>
          <w:p w14:paraId="79A42893" w14:textId="77777777" w:rsidR="00B92948" w:rsidRPr="003A1036" w:rsidRDefault="00B92948" w:rsidP="007D1B32">
            <w:pPr>
              <w:pStyle w:val="SingleTxtG"/>
              <w:tabs>
                <w:tab w:val="clear" w:pos="1701"/>
                <w:tab w:val="clear" w:pos="2268"/>
                <w:tab w:val="clear" w:pos="2835"/>
              </w:tabs>
              <w:spacing w:before="40" w:after="40" w:line="220" w:lineRule="exact"/>
              <w:ind w:left="113" w:right="28"/>
              <w:jc w:val="right"/>
              <w:rPr>
                <w:sz w:val="18"/>
              </w:rPr>
            </w:pPr>
            <w:r w:rsidRPr="003A1036">
              <w:rPr>
                <w:sz w:val="18"/>
              </w:rPr>
              <w:t>96,1</w:t>
            </w:r>
          </w:p>
        </w:tc>
        <w:tc>
          <w:tcPr>
            <w:tcW w:w="1021" w:type="dxa"/>
            <w:tcBorders>
              <w:bottom w:val="single" w:sz="12" w:space="0" w:color="auto"/>
            </w:tcBorders>
            <w:shd w:val="clear" w:color="auto" w:fill="auto"/>
            <w:vAlign w:val="bottom"/>
          </w:tcPr>
          <w:p w14:paraId="29B584F7" w14:textId="77777777" w:rsidR="00B92948" w:rsidRPr="003A1036" w:rsidRDefault="00B92948" w:rsidP="007D1B32">
            <w:pPr>
              <w:pStyle w:val="SingleTxtG"/>
              <w:tabs>
                <w:tab w:val="clear" w:pos="1701"/>
                <w:tab w:val="clear" w:pos="2268"/>
                <w:tab w:val="clear" w:pos="2835"/>
              </w:tabs>
              <w:spacing w:before="40" w:after="40" w:line="220" w:lineRule="exact"/>
              <w:ind w:left="113" w:right="28"/>
              <w:jc w:val="right"/>
              <w:rPr>
                <w:sz w:val="18"/>
              </w:rPr>
            </w:pPr>
            <w:r w:rsidRPr="003A1036">
              <w:rPr>
                <w:sz w:val="18"/>
              </w:rPr>
              <w:t>93,3</w:t>
            </w:r>
          </w:p>
        </w:tc>
        <w:tc>
          <w:tcPr>
            <w:tcW w:w="1021" w:type="dxa"/>
            <w:tcBorders>
              <w:bottom w:val="single" w:sz="12" w:space="0" w:color="auto"/>
            </w:tcBorders>
            <w:shd w:val="clear" w:color="auto" w:fill="auto"/>
            <w:vAlign w:val="bottom"/>
          </w:tcPr>
          <w:p w14:paraId="33BAD16C" w14:textId="77777777" w:rsidR="00B92948" w:rsidRPr="003A1036" w:rsidRDefault="00B92948" w:rsidP="007D1B32">
            <w:pPr>
              <w:pStyle w:val="SingleTxtG"/>
              <w:tabs>
                <w:tab w:val="clear" w:pos="1701"/>
                <w:tab w:val="clear" w:pos="2268"/>
                <w:tab w:val="clear" w:pos="2835"/>
              </w:tabs>
              <w:spacing w:before="40" w:after="40" w:line="220" w:lineRule="exact"/>
              <w:ind w:left="113" w:right="28"/>
              <w:jc w:val="right"/>
              <w:rPr>
                <w:sz w:val="18"/>
              </w:rPr>
            </w:pPr>
            <w:r w:rsidRPr="003A1036">
              <w:rPr>
                <w:sz w:val="18"/>
              </w:rPr>
              <w:t>88,8</w:t>
            </w:r>
          </w:p>
        </w:tc>
        <w:tc>
          <w:tcPr>
            <w:tcW w:w="1021" w:type="dxa"/>
            <w:tcBorders>
              <w:bottom w:val="single" w:sz="12" w:space="0" w:color="auto"/>
            </w:tcBorders>
            <w:shd w:val="clear" w:color="auto" w:fill="auto"/>
            <w:vAlign w:val="bottom"/>
          </w:tcPr>
          <w:p w14:paraId="2100DFF9" w14:textId="77777777" w:rsidR="00B92948" w:rsidRPr="003A1036" w:rsidRDefault="00B92948" w:rsidP="007D1B32">
            <w:pPr>
              <w:pStyle w:val="SingleTxtG"/>
              <w:tabs>
                <w:tab w:val="clear" w:pos="1701"/>
                <w:tab w:val="clear" w:pos="2268"/>
                <w:tab w:val="clear" w:pos="2835"/>
              </w:tabs>
              <w:spacing w:before="40" w:after="40" w:line="220" w:lineRule="exact"/>
              <w:ind w:left="113" w:right="28"/>
              <w:jc w:val="right"/>
              <w:rPr>
                <w:sz w:val="18"/>
              </w:rPr>
            </w:pPr>
            <w:r w:rsidRPr="003A1036">
              <w:rPr>
                <w:sz w:val="18"/>
              </w:rPr>
              <w:t>82,1</w:t>
            </w:r>
          </w:p>
        </w:tc>
      </w:tr>
    </w:tbl>
    <w:p w14:paraId="594AC30C" w14:textId="77777777" w:rsidR="00B92948" w:rsidRPr="00B92948" w:rsidRDefault="00B92948" w:rsidP="00624630">
      <w:pPr>
        <w:pStyle w:val="H23G"/>
      </w:pPr>
      <w:r w:rsidRPr="00B92948">
        <w:lastRenderedPageBreak/>
        <w:tab/>
        <w:t>c)</w:t>
      </w:r>
      <w:r w:rsidRPr="00B92948">
        <w:tab/>
        <w:t xml:space="preserve">Derechos de salud reproductiva de los adolescentes y medidas para promover </w:t>
      </w:r>
      <w:r w:rsidR="00624630">
        <w:br/>
      </w:r>
      <w:r w:rsidRPr="00B92948">
        <w:t>un estilo de vida saludable</w:t>
      </w:r>
      <w:bookmarkStart w:id="59" w:name="_Toc56781460"/>
      <w:bookmarkEnd w:id="59"/>
    </w:p>
    <w:p w14:paraId="24297628" w14:textId="77777777" w:rsidR="00B92948" w:rsidRPr="00B92948" w:rsidRDefault="00B92948" w:rsidP="00B92948">
      <w:pPr>
        <w:pStyle w:val="SingleTxtG"/>
      </w:pPr>
      <w:r w:rsidRPr="00B92948">
        <w:t>146.</w:t>
      </w:r>
      <w:r w:rsidRPr="00B92948">
        <w:tab/>
        <w:t>El embarazo en la adolescencia es un problema de salud grave debido a la posible aparición de complicaciones durante el embarazo y el parto, así como a las consecuencias para la salud mental de las adolescentes embarazadas. Las estadísticas muestran una tendencia decreciente.</w:t>
      </w:r>
    </w:p>
    <w:p w14:paraId="65A6AB5B" w14:textId="77777777" w:rsidR="00B92948" w:rsidRPr="00624630" w:rsidRDefault="00624630" w:rsidP="00624630">
      <w:pPr>
        <w:pStyle w:val="H23G"/>
      </w:pPr>
      <w:r w:rsidRPr="007D1B32">
        <w:rPr>
          <w:b w:val="0"/>
          <w:bCs/>
        </w:rPr>
        <w:tab/>
      </w:r>
      <w:r w:rsidR="00B92948" w:rsidRPr="007D1B32">
        <w:rPr>
          <w:b w:val="0"/>
          <w:bCs/>
        </w:rPr>
        <w:tab/>
        <w:t>Cuadro 13</w:t>
      </w:r>
      <w:r w:rsidRPr="007D1B32">
        <w:rPr>
          <w:b w:val="0"/>
          <w:bCs/>
        </w:rPr>
        <w:br/>
      </w:r>
      <w:r w:rsidR="00B92948" w:rsidRPr="00B92948">
        <w:tab/>
        <w:t xml:space="preserve">Porcentaje de nacimientos de madres menores de 19 años y tasas de embarazos </w:t>
      </w:r>
      <w:r>
        <w:br/>
      </w:r>
      <w:r w:rsidR="00B92948" w:rsidRPr="00B92948">
        <w:t>en la adolescencia por cada 1.000 niñas de 15 a 19 años</w:t>
      </w:r>
      <w:r w:rsidR="00B92948" w:rsidRPr="00624630">
        <w:rPr>
          <w:rStyle w:val="Refdenotaalpie"/>
          <w:b w:val="0"/>
          <w:bCs/>
        </w:rPr>
        <w:footnoteReference w:id="40"/>
      </w:r>
      <w:bookmarkStart w:id="60" w:name="_Toc56781461"/>
      <w:bookmarkEnd w:id="60"/>
    </w:p>
    <w:tbl>
      <w:tblPr>
        <w:tblW w:w="7370" w:type="dxa"/>
        <w:tblInd w:w="1134" w:type="dxa"/>
        <w:tblBorders>
          <w:top w:val="single" w:sz="4" w:space="0" w:color="auto"/>
        </w:tblBorders>
        <w:tblCellMar>
          <w:left w:w="0" w:type="dxa"/>
          <w:right w:w="0" w:type="dxa"/>
        </w:tblCellMar>
        <w:tblLook w:val="00A0" w:firstRow="1" w:lastRow="0" w:firstColumn="1" w:lastColumn="0" w:noHBand="0" w:noVBand="0"/>
      </w:tblPr>
      <w:tblGrid>
        <w:gridCol w:w="2977"/>
        <w:gridCol w:w="732"/>
        <w:gridCol w:w="732"/>
        <w:gridCol w:w="732"/>
        <w:gridCol w:w="732"/>
        <w:gridCol w:w="732"/>
        <w:gridCol w:w="733"/>
      </w:tblGrid>
      <w:tr w:rsidR="00B92948" w:rsidRPr="003A1036" w14:paraId="7072A9E3" w14:textId="77777777" w:rsidTr="007D1B32">
        <w:trPr>
          <w:trHeight w:val="240"/>
          <w:tblHeader/>
        </w:trPr>
        <w:tc>
          <w:tcPr>
            <w:tcW w:w="2977" w:type="dxa"/>
            <w:tcBorders>
              <w:top w:val="single" w:sz="4" w:space="0" w:color="auto"/>
              <w:bottom w:val="single" w:sz="12" w:space="0" w:color="auto"/>
            </w:tcBorders>
            <w:shd w:val="clear" w:color="auto" w:fill="auto"/>
            <w:vAlign w:val="bottom"/>
          </w:tcPr>
          <w:p w14:paraId="46089F32" w14:textId="77777777" w:rsidR="00B92948" w:rsidRPr="003A1036" w:rsidRDefault="00B92948" w:rsidP="003A1036">
            <w:pPr>
              <w:pStyle w:val="SingleTxtG"/>
              <w:tabs>
                <w:tab w:val="clear" w:pos="1701"/>
                <w:tab w:val="clear" w:pos="2268"/>
                <w:tab w:val="clear" w:pos="2835"/>
              </w:tabs>
              <w:spacing w:before="80" w:after="80" w:line="200" w:lineRule="exact"/>
              <w:ind w:left="0" w:right="0"/>
              <w:jc w:val="left"/>
              <w:rPr>
                <w:i/>
                <w:sz w:val="16"/>
              </w:rPr>
            </w:pPr>
            <w:r w:rsidRPr="003A1036">
              <w:rPr>
                <w:i/>
                <w:iCs/>
                <w:sz w:val="16"/>
              </w:rPr>
              <w:t>Indicador</w:t>
            </w:r>
          </w:p>
        </w:tc>
        <w:tc>
          <w:tcPr>
            <w:tcW w:w="732" w:type="dxa"/>
            <w:tcBorders>
              <w:top w:val="single" w:sz="4" w:space="0" w:color="auto"/>
              <w:bottom w:val="single" w:sz="12" w:space="0" w:color="auto"/>
            </w:tcBorders>
            <w:shd w:val="clear" w:color="auto" w:fill="auto"/>
            <w:vAlign w:val="bottom"/>
          </w:tcPr>
          <w:p w14:paraId="53D01289" w14:textId="77777777" w:rsidR="00B92948" w:rsidRPr="003A1036" w:rsidRDefault="00B92948" w:rsidP="007D1B32">
            <w:pPr>
              <w:pStyle w:val="SingleTxtG"/>
              <w:tabs>
                <w:tab w:val="clear" w:pos="1701"/>
                <w:tab w:val="clear" w:pos="2268"/>
                <w:tab w:val="clear" w:pos="2835"/>
              </w:tabs>
              <w:spacing w:before="80" w:after="80" w:line="200" w:lineRule="exact"/>
              <w:ind w:left="113" w:right="28"/>
              <w:jc w:val="right"/>
              <w:rPr>
                <w:i/>
                <w:sz w:val="16"/>
              </w:rPr>
            </w:pPr>
            <w:r w:rsidRPr="003A1036">
              <w:rPr>
                <w:i/>
                <w:iCs/>
                <w:sz w:val="16"/>
              </w:rPr>
              <w:t>2011</w:t>
            </w:r>
          </w:p>
        </w:tc>
        <w:tc>
          <w:tcPr>
            <w:tcW w:w="732" w:type="dxa"/>
            <w:tcBorders>
              <w:top w:val="single" w:sz="4" w:space="0" w:color="auto"/>
              <w:bottom w:val="single" w:sz="12" w:space="0" w:color="auto"/>
            </w:tcBorders>
            <w:shd w:val="clear" w:color="auto" w:fill="auto"/>
            <w:vAlign w:val="bottom"/>
          </w:tcPr>
          <w:p w14:paraId="7063F5A5" w14:textId="77777777" w:rsidR="00B92948" w:rsidRPr="003A1036" w:rsidRDefault="00B92948" w:rsidP="007D1B32">
            <w:pPr>
              <w:pStyle w:val="SingleTxtG"/>
              <w:tabs>
                <w:tab w:val="clear" w:pos="1701"/>
                <w:tab w:val="clear" w:pos="2268"/>
                <w:tab w:val="clear" w:pos="2835"/>
              </w:tabs>
              <w:spacing w:before="80" w:after="80" w:line="200" w:lineRule="exact"/>
              <w:ind w:left="113" w:right="28"/>
              <w:jc w:val="right"/>
              <w:rPr>
                <w:i/>
                <w:sz w:val="16"/>
              </w:rPr>
            </w:pPr>
            <w:r w:rsidRPr="003A1036">
              <w:rPr>
                <w:i/>
                <w:iCs/>
                <w:sz w:val="16"/>
              </w:rPr>
              <w:t>2012</w:t>
            </w:r>
          </w:p>
        </w:tc>
        <w:tc>
          <w:tcPr>
            <w:tcW w:w="732" w:type="dxa"/>
            <w:tcBorders>
              <w:top w:val="single" w:sz="4" w:space="0" w:color="auto"/>
              <w:bottom w:val="single" w:sz="12" w:space="0" w:color="auto"/>
            </w:tcBorders>
            <w:shd w:val="clear" w:color="auto" w:fill="auto"/>
            <w:vAlign w:val="bottom"/>
          </w:tcPr>
          <w:p w14:paraId="45D3C004" w14:textId="77777777" w:rsidR="00B92948" w:rsidRPr="003A1036" w:rsidRDefault="00B92948" w:rsidP="007D1B32">
            <w:pPr>
              <w:pStyle w:val="SingleTxtG"/>
              <w:tabs>
                <w:tab w:val="clear" w:pos="1701"/>
                <w:tab w:val="clear" w:pos="2268"/>
                <w:tab w:val="clear" w:pos="2835"/>
              </w:tabs>
              <w:spacing w:before="80" w:after="80" w:line="200" w:lineRule="exact"/>
              <w:ind w:left="113" w:right="28"/>
              <w:jc w:val="right"/>
              <w:rPr>
                <w:i/>
                <w:sz w:val="16"/>
              </w:rPr>
            </w:pPr>
            <w:r w:rsidRPr="003A1036">
              <w:rPr>
                <w:i/>
                <w:iCs/>
                <w:sz w:val="16"/>
              </w:rPr>
              <w:t>2013</w:t>
            </w:r>
          </w:p>
        </w:tc>
        <w:tc>
          <w:tcPr>
            <w:tcW w:w="732" w:type="dxa"/>
            <w:tcBorders>
              <w:top w:val="single" w:sz="4" w:space="0" w:color="auto"/>
              <w:bottom w:val="single" w:sz="12" w:space="0" w:color="auto"/>
            </w:tcBorders>
            <w:shd w:val="clear" w:color="auto" w:fill="auto"/>
            <w:vAlign w:val="bottom"/>
          </w:tcPr>
          <w:p w14:paraId="677A23B4" w14:textId="77777777" w:rsidR="00B92948" w:rsidRPr="003A1036" w:rsidRDefault="00B92948" w:rsidP="007D1B32">
            <w:pPr>
              <w:pStyle w:val="SingleTxtG"/>
              <w:tabs>
                <w:tab w:val="clear" w:pos="1701"/>
                <w:tab w:val="clear" w:pos="2268"/>
                <w:tab w:val="clear" w:pos="2835"/>
              </w:tabs>
              <w:spacing w:before="80" w:after="80" w:line="200" w:lineRule="exact"/>
              <w:ind w:left="113" w:right="28"/>
              <w:jc w:val="right"/>
              <w:rPr>
                <w:i/>
                <w:sz w:val="16"/>
              </w:rPr>
            </w:pPr>
            <w:r w:rsidRPr="003A1036">
              <w:rPr>
                <w:i/>
                <w:iCs/>
                <w:sz w:val="16"/>
              </w:rPr>
              <w:t>2014</w:t>
            </w:r>
          </w:p>
        </w:tc>
        <w:tc>
          <w:tcPr>
            <w:tcW w:w="732" w:type="dxa"/>
            <w:tcBorders>
              <w:top w:val="single" w:sz="4" w:space="0" w:color="auto"/>
              <w:bottom w:val="single" w:sz="12" w:space="0" w:color="auto"/>
            </w:tcBorders>
            <w:shd w:val="clear" w:color="auto" w:fill="auto"/>
            <w:vAlign w:val="bottom"/>
          </w:tcPr>
          <w:p w14:paraId="53B8B0D1" w14:textId="77777777" w:rsidR="00B92948" w:rsidRPr="003A1036" w:rsidRDefault="00B92948" w:rsidP="007D1B32">
            <w:pPr>
              <w:pStyle w:val="SingleTxtG"/>
              <w:tabs>
                <w:tab w:val="clear" w:pos="1701"/>
                <w:tab w:val="clear" w:pos="2268"/>
                <w:tab w:val="clear" w:pos="2835"/>
              </w:tabs>
              <w:spacing w:before="80" w:after="80" w:line="200" w:lineRule="exact"/>
              <w:ind w:left="113" w:right="28"/>
              <w:jc w:val="right"/>
              <w:rPr>
                <w:i/>
                <w:sz w:val="16"/>
              </w:rPr>
            </w:pPr>
            <w:r w:rsidRPr="003A1036">
              <w:rPr>
                <w:i/>
                <w:iCs/>
                <w:sz w:val="16"/>
              </w:rPr>
              <w:t>2015</w:t>
            </w:r>
          </w:p>
        </w:tc>
        <w:tc>
          <w:tcPr>
            <w:tcW w:w="733" w:type="dxa"/>
            <w:tcBorders>
              <w:top w:val="single" w:sz="4" w:space="0" w:color="auto"/>
              <w:bottom w:val="single" w:sz="12" w:space="0" w:color="auto"/>
            </w:tcBorders>
            <w:shd w:val="clear" w:color="auto" w:fill="auto"/>
            <w:vAlign w:val="bottom"/>
          </w:tcPr>
          <w:p w14:paraId="6F642880" w14:textId="77777777" w:rsidR="00B92948" w:rsidRPr="003A1036" w:rsidRDefault="00B92948" w:rsidP="007D1B32">
            <w:pPr>
              <w:pStyle w:val="SingleTxtG"/>
              <w:tabs>
                <w:tab w:val="clear" w:pos="1701"/>
                <w:tab w:val="clear" w:pos="2268"/>
                <w:tab w:val="clear" w:pos="2835"/>
              </w:tabs>
              <w:spacing w:before="80" w:after="80" w:line="200" w:lineRule="exact"/>
              <w:ind w:left="113" w:right="28"/>
              <w:jc w:val="right"/>
              <w:rPr>
                <w:i/>
                <w:sz w:val="16"/>
              </w:rPr>
            </w:pPr>
            <w:r w:rsidRPr="003A1036">
              <w:rPr>
                <w:i/>
                <w:iCs/>
                <w:sz w:val="16"/>
              </w:rPr>
              <w:t>2016</w:t>
            </w:r>
          </w:p>
        </w:tc>
      </w:tr>
      <w:tr w:rsidR="00B92948" w:rsidRPr="003A1036" w14:paraId="484636E8" w14:textId="77777777" w:rsidTr="007D1B32">
        <w:trPr>
          <w:trHeight w:val="240"/>
        </w:trPr>
        <w:tc>
          <w:tcPr>
            <w:tcW w:w="2977" w:type="dxa"/>
            <w:tcBorders>
              <w:top w:val="single" w:sz="12" w:space="0" w:color="auto"/>
            </w:tcBorders>
            <w:shd w:val="clear" w:color="auto" w:fill="auto"/>
          </w:tcPr>
          <w:p w14:paraId="79EC5F2D" w14:textId="77777777" w:rsidR="00B92948" w:rsidRPr="003A1036" w:rsidRDefault="00B92948" w:rsidP="003A1036">
            <w:pPr>
              <w:pStyle w:val="SingleTxtG"/>
              <w:tabs>
                <w:tab w:val="clear" w:pos="1701"/>
                <w:tab w:val="clear" w:pos="2268"/>
                <w:tab w:val="clear" w:pos="2835"/>
              </w:tabs>
              <w:spacing w:before="40" w:after="40" w:line="220" w:lineRule="exact"/>
              <w:ind w:left="0" w:right="0"/>
              <w:jc w:val="left"/>
              <w:rPr>
                <w:sz w:val="18"/>
              </w:rPr>
            </w:pPr>
            <w:r w:rsidRPr="003A1036">
              <w:rPr>
                <w:sz w:val="18"/>
              </w:rPr>
              <w:t xml:space="preserve">Porcentaje de nacimientos de madres menores de 19 </w:t>
            </w:r>
            <w:proofErr w:type="gramStart"/>
            <w:r w:rsidRPr="003A1036">
              <w:rPr>
                <w:sz w:val="18"/>
              </w:rPr>
              <w:t>años de edad</w:t>
            </w:r>
            <w:proofErr w:type="gramEnd"/>
            <w:r w:rsidRPr="003A1036">
              <w:rPr>
                <w:sz w:val="18"/>
              </w:rPr>
              <w:t xml:space="preserve"> por número total de nacimientos </w:t>
            </w:r>
          </w:p>
        </w:tc>
        <w:tc>
          <w:tcPr>
            <w:tcW w:w="732" w:type="dxa"/>
            <w:tcBorders>
              <w:top w:val="single" w:sz="12" w:space="0" w:color="auto"/>
            </w:tcBorders>
            <w:shd w:val="clear" w:color="auto" w:fill="auto"/>
            <w:vAlign w:val="bottom"/>
          </w:tcPr>
          <w:p w14:paraId="7C0C28F8" w14:textId="77777777" w:rsidR="00B92948" w:rsidRPr="003A1036" w:rsidRDefault="00B92948" w:rsidP="007D1B32">
            <w:pPr>
              <w:pStyle w:val="SingleTxtG"/>
              <w:tabs>
                <w:tab w:val="clear" w:pos="1701"/>
                <w:tab w:val="clear" w:pos="2268"/>
                <w:tab w:val="clear" w:pos="2835"/>
              </w:tabs>
              <w:spacing w:before="40" w:after="40" w:line="220" w:lineRule="exact"/>
              <w:ind w:left="113" w:right="28"/>
              <w:jc w:val="right"/>
              <w:rPr>
                <w:sz w:val="18"/>
              </w:rPr>
            </w:pPr>
            <w:r w:rsidRPr="003A1036">
              <w:rPr>
                <w:sz w:val="18"/>
              </w:rPr>
              <w:t>6,1</w:t>
            </w:r>
          </w:p>
        </w:tc>
        <w:tc>
          <w:tcPr>
            <w:tcW w:w="732" w:type="dxa"/>
            <w:tcBorders>
              <w:top w:val="single" w:sz="12" w:space="0" w:color="auto"/>
            </w:tcBorders>
            <w:shd w:val="clear" w:color="auto" w:fill="auto"/>
            <w:vAlign w:val="bottom"/>
          </w:tcPr>
          <w:p w14:paraId="798CBA63" w14:textId="77777777" w:rsidR="00B92948" w:rsidRPr="003A1036" w:rsidRDefault="00B92948" w:rsidP="007D1B32">
            <w:pPr>
              <w:pStyle w:val="SingleTxtG"/>
              <w:tabs>
                <w:tab w:val="clear" w:pos="1701"/>
                <w:tab w:val="clear" w:pos="2268"/>
                <w:tab w:val="clear" w:pos="2835"/>
              </w:tabs>
              <w:spacing w:before="40" w:after="40" w:line="220" w:lineRule="exact"/>
              <w:ind w:left="113" w:right="28"/>
              <w:jc w:val="right"/>
              <w:rPr>
                <w:sz w:val="18"/>
              </w:rPr>
            </w:pPr>
            <w:r w:rsidRPr="003A1036">
              <w:rPr>
                <w:sz w:val="18"/>
              </w:rPr>
              <w:t>5,8</w:t>
            </w:r>
          </w:p>
        </w:tc>
        <w:tc>
          <w:tcPr>
            <w:tcW w:w="732" w:type="dxa"/>
            <w:tcBorders>
              <w:top w:val="single" w:sz="12" w:space="0" w:color="auto"/>
            </w:tcBorders>
            <w:shd w:val="clear" w:color="auto" w:fill="auto"/>
            <w:vAlign w:val="bottom"/>
          </w:tcPr>
          <w:p w14:paraId="26D75164" w14:textId="77777777" w:rsidR="00B92948" w:rsidRPr="003A1036" w:rsidRDefault="00B92948" w:rsidP="007D1B32">
            <w:pPr>
              <w:pStyle w:val="SingleTxtG"/>
              <w:tabs>
                <w:tab w:val="clear" w:pos="1701"/>
                <w:tab w:val="clear" w:pos="2268"/>
                <w:tab w:val="clear" w:pos="2835"/>
              </w:tabs>
              <w:spacing w:before="40" w:after="40" w:line="220" w:lineRule="exact"/>
              <w:ind w:left="113" w:right="28"/>
              <w:jc w:val="right"/>
              <w:rPr>
                <w:sz w:val="18"/>
              </w:rPr>
            </w:pPr>
            <w:r w:rsidRPr="003A1036">
              <w:rPr>
                <w:sz w:val="18"/>
              </w:rPr>
              <w:t>5,8</w:t>
            </w:r>
          </w:p>
        </w:tc>
        <w:tc>
          <w:tcPr>
            <w:tcW w:w="732" w:type="dxa"/>
            <w:tcBorders>
              <w:top w:val="single" w:sz="12" w:space="0" w:color="auto"/>
            </w:tcBorders>
            <w:shd w:val="clear" w:color="auto" w:fill="auto"/>
            <w:vAlign w:val="bottom"/>
          </w:tcPr>
          <w:p w14:paraId="2D5A32AF" w14:textId="77777777" w:rsidR="00B92948" w:rsidRPr="003A1036" w:rsidRDefault="00B92948" w:rsidP="007D1B32">
            <w:pPr>
              <w:pStyle w:val="SingleTxtG"/>
              <w:tabs>
                <w:tab w:val="clear" w:pos="1701"/>
                <w:tab w:val="clear" w:pos="2268"/>
                <w:tab w:val="clear" w:pos="2835"/>
              </w:tabs>
              <w:spacing w:before="40" w:after="40" w:line="220" w:lineRule="exact"/>
              <w:ind w:left="113" w:right="28"/>
              <w:jc w:val="right"/>
              <w:rPr>
                <w:sz w:val="18"/>
              </w:rPr>
            </w:pPr>
            <w:r w:rsidRPr="003A1036">
              <w:rPr>
                <w:sz w:val="18"/>
              </w:rPr>
              <w:t>5,1</w:t>
            </w:r>
          </w:p>
        </w:tc>
        <w:tc>
          <w:tcPr>
            <w:tcW w:w="732" w:type="dxa"/>
            <w:tcBorders>
              <w:top w:val="single" w:sz="12" w:space="0" w:color="auto"/>
            </w:tcBorders>
            <w:shd w:val="clear" w:color="auto" w:fill="auto"/>
            <w:vAlign w:val="bottom"/>
          </w:tcPr>
          <w:p w14:paraId="785736BE" w14:textId="77777777" w:rsidR="00B92948" w:rsidRPr="003A1036" w:rsidRDefault="00B92948" w:rsidP="007D1B32">
            <w:pPr>
              <w:pStyle w:val="SingleTxtG"/>
              <w:tabs>
                <w:tab w:val="clear" w:pos="1701"/>
                <w:tab w:val="clear" w:pos="2268"/>
                <w:tab w:val="clear" w:pos="2835"/>
              </w:tabs>
              <w:spacing w:before="40" w:after="40" w:line="220" w:lineRule="exact"/>
              <w:ind w:left="113" w:right="28"/>
              <w:jc w:val="right"/>
              <w:rPr>
                <w:sz w:val="18"/>
              </w:rPr>
            </w:pPr>
            <w:r w:rsidRPr="003A1036">
              <w:rPr>
                <w:sz w:val="18"/>
              </w:rPr>
              <w:t>5</w:t>
            </w:r>
          </w:p>
        </w:tc>
        <w:tc>
          <w:tcPr>
            <w:tcW w:w="733" w:type="dxa"/>
            <w:tcBorders>
              <w:top w:val="single" w:sz="12" w:space="0" w:color="auto"/>
            </w:tcBorders>
            <w:shd w:val="clear" w:color="auto" w:fill="auto"/>
            <w:vAlign w:val="bottom"/>
          </w:tcPr>
          <w:p w14:paraId="44DC08B1" w14:textId="77777777" w:rsidR="00B92948" w:rsidRPr="003A1036" w:rsidRDefault="00B92948" w:rsidP="007D1B32">
            <w:pPr>
              <w:pStyle w:val="SingleTxtG"/>
              <w:tabs>
                <w:tab w:val="clear" w:pos="1701"/>
                <w:tab w:val="clear" w:pos="2268"/>
                <w:tab w:val="clear" w:pos="2835"/>
              </w:tabs>
              <w:spacing w:before="40" w:after="40" w:line="220" w:lineRule="exact"/>
              <w:ind w:left="113" w:right="28"/>
              <w:jc w:val="right"/>
              <w:rPr>
                <w:sz w:val="18"/>
              </w:rPr>
            </w:pPr>
            <w:r w:rsidRPr="003A1036">
              <w:rPr>
                <w:sz w:val="18"/>
              </w:rPr>
              <w:t>4</w:t>
            </w:r>
            <w:r w:rsidR="00F917AB">
              <w:rPr>
                <w:sz w:val="18"/>
              </w:rPr>
              <w:t>,</w:t>
            </w:r>
            <w:r w:rsidRPr="003A1036">
              <w:rPr>
                <w:sz w:val="18"/>
              </w:rPr>
              <w:t>47</w:t>
            </w:r>
          </w:p>
        </w:tc>
      </w:tr>
      <w:tr w:rsidR="00B92948" w:rsidRPr="003A1036" w14:paraId="496BBC4D" w14:textId="77777777" w:rsidTr="007D1B32">
        <w:trPr>
          <w:trHeight w:val="240"/>
        </w:trPr>
        <w:tc>
          <w:tcPr>
            <w:tcW w:w="2977" w:type="dxa"/>
            <w:tcBorders>
              <w:bottom w:val="single" w:sz="12" w:space="0" w:color="auto"/>
            </w:tcBorders>
            <w:shd w:val="clear" w:color="auto" w:fill="auto"/>
          </w:tcPr>
          <w:p w14:paraId="48B53C7F" w14:textId="77777777" w:rsidR="00B92948" w:rsidRPr="003A1036" w:rsidRDefault="00B92948" w:rsidP="003A1036">
            <w:pPr>
              <w:pStyle w:val="SingleTxtG"/>
              <w:tabs>
                <w:tab w:val="clear" w:pos="1701"/>
                <w:tab w:val="clear" w:pos="2268"/>
                <w:tab w:val="clear" w:pos="2835"/>
              </w:tabs>
              <w:spacing w:before="40" w:after="40" w:line="220" w:lineRule="exact"/>
              <w:ind w:left="0" w:right="0"/>
              <w:jc w:val="left"/>
              <w:rPr>
                <w:sz w:val="18"/>
              </w:rPr>
            </w:pPr>
            <w:r w:rsidRPr="003A1036">
              <w:rPr>
                <w:sz w:val="18"/>
              </w:rPr>
              <w:t xml:space="preserve">Embarazo en la adolescencia </w:t>
            </w:r>
            <w:r w:rsidR="00F917AB">
              <w:rPr>
                <w:sz w:val="18"/>
              </w:rPr>
              <w:br/>
            </w:r>
            <w:r w:rsidRPr="003A1036">
              <w:rPr>
                <w:sz w:val="18"/>
              </w:rPr>
              <w:t>(15 a 19</w:t>
            </w:r>
            <w:r w:rsidR="00F917AB">
              <w:rPr>
                <w:sz w:val="18"/>
              </w:rPr>
              <w:t> </w:t>
            </w:r>
            <w:proofErr w:type="gramStart"/>
            <w:r w:rsidRPr="003A1036">
              <w:rPr>
                <w:sz w:val="18"/>
              </w:rPr>
              <w:t>años de edad</w:t>
            </w:r>
            <w:proofErr w:type="gramEnd"/>
            <w:r w:rsidRPr="003A1036">
              <w:rPr>
                <w:sz w:val="18"/>
              </w:rPr>
              <w:t xml:space="preserve">) por cada </w:t>
            </w:r>
            <w:r w:rsidR="00F917AB">
              <w:rPr>
                <w:sz w:val="18"/>
              </w:rPr>
              <w:br/>
            </w:r>
            <w:r w:rsidRPr="003A1036">
              <w:rPr>
                <w:sz w:val="18"/>
              </w:rPr>
              <w:t>1.000 niñas de</w:t>
            </w:r>
            <w:r w:rsidR="00F917AB">
              <w:rPr>
                <w:sz w:val="18"/>
              </w:rPr>
              <w:t xml:space="preserve"> </w:t>
            </w:r>
            <w:r w:rsidRPr="003A1036">
              <w:rPr>
                <w:sz w:val="18"/>
              </w:rPr>
              <w:t>15</w:t>
            </w:r>
            <w:r w:rsidR="00F917AB">
              <w:rPr>
                <w:sz w:val="18"/>
              </w:rPr>
              <w:t xml:space="preserve"> </w:t>
            </w:r>
            <w:r w:rsidRPr="003A1036">
              <w:rPr>
                <w:sz w:val="18"/>
              </w:rPr>
              <w:t>a 19 años</w:t>
            </w:r>
          </w:p>
        </w:tc>
        <w:tc>
          <w:tcPr>
            <w:tcW w:w="732" w:type="dxa"/>
            <w:tcBorders>
              <w:bottom w:val="single" w:sz="12" w:space="0" w:color="auto"/>
            </w:tcBorders>
            <w:shd w:val="clear" w:color="auto" w:fill="auto"/>
            <w:vAlign w:val="bottom"/>
          </w:tcPr>
          <w:p w14:paraId="6BDEA249" w14:textId="77777777" w:rsidR="00B92948" w:rsidRPr="003A1036" w:rsidRDefault="00B92948" w:rsidP="007D1B32">
            <w:pPr>
              <w:pStyle w:val="SingleTxtG"/>
              <w:tabs>
                <w:tab w:val="clear" w:pos="1701"/>
                <w:tab w:val="clear" w:pos="2268"/>
                <w:tab w:val="clear" w:pos="2835"/>
              </w:tabs>
              <w:spacing w:before="40" w:after="40" w:line="220" w:lineRule="exact"/>
              <w:ind w:left="113" w:right="28"/>
              <w:jc w:val="right"/>
              <w:rPr>
                <w:sz w:val="18"/>
              </w:rPr>
            </w:pPr>
            <w:proofErr w:type="spellStart"/>
            <w:r w:rsidRPr="003A1036">
              <w:rPr>
                <w:sz w:val="18"/>
              </w:rPr>
              <w:t>n.d</w:t>
            </w:r>
            <w:proofErr w:type="spellEnd"/>
            <w:r w:rsidRPr="003A1036">
              <w:rPr>
                <w:sz w:val="18"/>
              </w:rPr>
              <w:t>.</w:t>
            </w:r>
          </w:p>
        </w:tc>
        <w:tc>
          <w:tcPr>
            <w:tcW w:w="732" w:type="dxa"/>
            <w:tcBorders>
              <w:bottom w:val="single" w:sz="12" w:space="0" w:color="auto"/>
            </w:tcBorders>
            <w:shd w:val="clear" w:color="auto" w:fill="auto"/>
            <w:vAlign w:val="bottom"/>
          </w:tcPr>
          <w:p w14:paraId="5704B5AA" w14:textId="77777777" w:rsidR="00B92948" w:rsidRPr="003A1036" w:rsidRDefault="00B92948" w:rsidP="007D1B32">
            <w:pPr>
              <w:pStyle w:val="SingleTxtG"/>
              <w:tabs>
                <w:tab w:val="clear" w:pos="1701"/>
                <w:tab w:val="clear" w:pos="2268"/>
                <w:tab w:val="clear" w:pos="2835"/>
              </w:tabs>
              <w:spacing w:before="40" w:after="40" w:line="220" w:lineRule="exact"/>
              <w:ind w:left="113" w:right="28"/>
              <w:jc w:val="right"/>
              <w:rPr>
                <w:sz w:val="18"/>
              </w:rPr>
            </w:pPr>
            <w:proofErr w:type="spellStart"/>
            <w:r w:rsidRPr="003A1036">
              <w:rPr>
                <w:sz w:val="18"/>
              </w:rPr>
              <w:t>n.d</w:t>
            </w:r>
            <w:proofErr w:type="spellEnd"/>
            <w:r w:rsidRPr="003A1036">
              <w:rPr>
                <w:sz w:val="18"/>
              </w:rPr>
              <w:t>.</w:t>
            </w:r>
          </w:p>
        </w:tc>
        <w:tc>
          <w:tcPr>
            <w:tcW w:w="732" w:type="dxa"/>
            <w:tcBorders>
              <w:bottom w:val="single" w:sz="12" w:space="0" w:color="auto"/>
            </w:tcBorders>
            <w:shd w:val="clear" w:color="auto" w:fill="auto"/>
            <w:vAlign w:val="bottom"/>
          </w:tcPr>
          <w:p w14:paraId="6ABA315E" w14:textId="77777777" w:rsidR="00B92948" w:rsidRPr="003A1036" w:rsidRDefault="00B92948" w:rsidP="007D1B32">
            <w:pPr>
              <w:pStyle w:val="SingleTxtG"/>
              <w:tabs>
                <w:tab w:val="clear" w:pos="1701"/>
                <w:tab w:val="clear" w:pos="2268"/>
                <w:tab w:val="clear" w:pos="2835"/>
              </w:tabs>
              <w:spacing w:before="40" w:after="40" w:line="220" w:lineRule="exact"/>
              <w:ind w:left="113" w:right="28"/>
              <w:jc w:val="right"/>
              <w:rPr>
                <w:sz w:val="18"/>
              </w:rPr>
            </w:pPr>
            <w:proofErr w:type="spellStart"/>
            <w:r w:rsidRPr="003A1036">
              <w:rPr>
                <w:sz w:val="18"/>
              </w:rPr>
              <w:t>n.d</w:t>
            </w:r>
            <w:proofErr w:type="spellEnd"/>
            <w:r w:rsidRPr="003A1036">
              <w:rPr>
                <w:sz w:val="18"/>
              </w:rPr>
              <w:t>.</w:t>
            </w:r>
          </w:p>
        </w:tc>
        <w:tc>
          <w:tcPr>
            <w:tcW w:w="732" w:type="dxa"/>
            <w:tcBorders>
              <w:bottom w:val="single" w:sz="12" w:space="0" w:color="auto"/>
            </w:tcBorders>
            <w:shd w:val="clear" w:color="auto" w:fill="auto"/>
            <w:vAlign w:val="bottom"/>
          </w:tcPr>
          <w:p w14:paraId="0404D199" w14:textId="77777777" w:rsidR="00B92948" w:rsidRPr="003A1036" w:rsidRDefault="00B92948" w:rsidP="007D1B32">
            <w:pPr>
              <w:pStyle w:val="SingleTxtG"/>
              <w:tabs>
                <w:tab w:val="clear" w:pos="1701"/>
                <w:tab w:val="clear" w:pos="2268"/>
                <w:tab w:val="clear" w:pos="2835"/>
              </w:tabs>
              <w:spacing w:before="40" w:after="40" w:line="220" w:lineRule="exact"/>
              <w:ind w:left="113" w:right="28"/>
              <w:jc w:val="right"/>
              <w:rPr>
                <w:sz w:val="18"/>
              </w:rPr>
            </w:pPr>
            <w:r w:rsidRPr="003A1036">
              <w:rPr>
                <w:sz w:val="18"/>
              </w:rPr>
              <w:t>21,9</w:t>
            </w:r>
          </w:p>
        </w:tc>
        <w:tc>
          <w:tcPr>
            <w:tcW w:w="732" w:type="dxa"/>
            <w:tcBorders>
              <w:bottom w:val="single" w:sz="12" w:space="0" w:color="auto"/>
            </w:tcBorders>
            <w:shd w:val="clear" w:color="auto" w:fill="auto"/>
            <w:vAlign w:val="bottom"/>
          </w:tcPr>
          <w:p w14:paraId="47E98404" w14:textId="77777777" w:rsidR="00B92948" w:rsidRPr="003A1036" w:rsidRDefault="00B92948" w:rsidP="007D1B32">
            <w:pPr>
              <w:pStyle w:val="SingleTxtG"/>
              <w:tabs>
                <w:tab w:val="clear" w:pos="1701"/>
                <w:tab w:val="clear" w:pos="2268"/>
                <w:tab w:val="clear" w:pos="2835"/>
              </w:tabs>
              <w:spacing w:before="40" w:after="40" w:line="220" w:lineRule="exact"/>
              <w:ind w:left="113" w:right="28"/>
              <w:jc w:val="right"/>
              <w:rPr>
                <w:sz w:val="18"/>
              </w:rPr>
            </w:pPr>
            <w:r w:rsidRPr="003A1036">
              <w:rPr>
                <w:sz w:val="18"/>
              </w:rPr>
              <w:t>20,4</w:t>
            </w:r>
          </w:p>
        </w:tc>
        <w:tc>
          <w:tcPr>
            <w:tcW w:w="733" w:type="dxa"/>
            <w:tcBorders>
              <w:bottom w:val="single" w:sz="12" w:space="0" w:color="auto"/>
            </w:tcBorders>
            <w:shd w:val="clear" w:color="auto" w:fill="auto"/>
            <w:vAlign w:val="bottom"/>
          </w:tcPr>
          <w:p w14:paraId="647A7873" w14:textId="77777777" w:rsidR="00B92948" w:rsidRPr="003A1036" w:rsidRDefault="00B92948" w:rsidP="007D1B32">
            <w:pPr>
              <w:pStyle w:val="SingleTxtG"/>
              <w:tabs>
                <w:tab w:val="clear" w:pos="1701"/>
                <w:tab w:val="clear" w:pos="2268"/>
                <w:tab w:val="clear" w:pos="2835"/>
              </w:tabs>
              <w:spacing w:before="40" w:after="40" w:line="220" w:lineRule="exact"/>
              <w:ind w:left="113" w:right="28"/>
              <w:jc w:val="right"/>
              <w:rPr>
                <w:sz w:val="18"/>
              </w:rPr>
            </w:pPr>
            <w:r w:rsidRPr="003A1036">
              <w:rPr>
                <w:sz w:val="18"/>
              </w:rPr>
              <w:t>19,5</w:t>
            </w:r>
          </w:p>
        </w:tc>
      </w:tr>
    </w:tbl>
    <w:p w14:paraId="4523BEB9" w14:textId="77777777" w:rsidR="00B92948" w:rsidRPr="00B92948" w:rsidRDefault="00B92948" w:rsidP="00624630">
      <w:pPr>
        <w:pStyle w:val="SingleTxtG"/>
        <w:spacing w:before="240"/>
      </w:pPr>
      <w:r w:rsidRPr="00B92948">
        <w:t>147.</w:t>
      </w:r>
      <w:r w:rsidRPr="00B92948">
        <w:tab/>
        <w:t xml:space="preserve">A fin de sensibilizar a los progenitores y a los niños de 12 a 18 </w:t>
      </w:r>
      <w:proofErr w:type="gramStart"/>
      <w:r w:rsidRPr="00B92948">
        <w:t>años de edad</w:t>
      </w:r>
      <w:proofErr w:type="gramEnd"/>
      <w:r w:rsidRPr="00B92948">
        <w:t xml:space="preserve"> sobre los</w:t>
      </w:r>
      <w:r w:rsidR="00F917AB">
        <w:t> </w:t>
      </w:r>
      <w:r w:rsidRPr="00B92948">
        <w:t>efectos negativos del embarazo y el matrimonio infantiles, en cooperación con la ONG local HERA, en 2017 el UNICEF organizó mesas redondas en varios municipios cuya población era principalmente romaní en los que este fenómeno se produce con mayor frecuencia. Según el Programa Nacional de Salud Pública, los Centros de Salud Pública imparten anualmente en las escuelas primarias y secundarias formación sobre enfermedades de transmisión sexual y embarazos no deseados. También se ha capacitado a profesionales de estos Centros sobre la prevención del embarazo en la adolescencia. Además, se introdujo un módulo sobre salud sexual y reproductiva de los adolescentes en los programas de estudios de los médicos que cursan la residencia de medicina familiar.</w:t>
      </w:r>
    </w:p>
    <w:p w14:paraId="07589681" w14:textId="77777777" w:rsidR="00B92948" w:rsidRPr="00B92948" w:rsidRDefault="00B92948" w:rsidP="00B92948">
      <w:pPr>
        <w:pStyle w:val="SingleTxtG"/>
      </w:pPr>
      <w:r w:rsidRPr="00B92948">
        <w:t>148.</w:t>
      </w:r>
      <w:r w:rsidRPr="00B92948">
        <w:tab/>
        <w:t>Desde 2012, los Centros de Salud Pública también han estado funcionando como centros de asesoramiento de salud sexual y reproductiva que proporcionan asesoramiento experto y anticonceptivos gratuitos.</w:t>
      </w:r>
    </w:p>
    <w:p w14:paraId="6C92776D" w14:textId="77777777" w:rsidR="00B92948" w:rsidRPr="00624630" w:rsidRDefault="00624630" w:rsidP="00624630">
      <w:pPr>
        <w:pStyle w:val="H23G"/>
      </w:pPr>
      <w:r w:rsidRPr="007D1B32">
        <w:rPr>
          <w:b w:val="0"/>
          <w:bCs/>
        </w:rPr>
        <w:tab/>
      </w:r>
      <w:r w:rsidR="00B92948" w:rsidRPr="007D1B32">
        <w:rPr>
          <w:b w:val="0"/>
          <w:bCs/>
        </w:rPr>
        <w:tab/>
        <w:t>Cuadro 14</w:t>
      </w:r>
      <w:r w:rsidRPr="007D1B32">
        <w:rPr>
          <w:b w:val="0"/>
          <w:bCs/>
        </w:rPr>
        <w:br/>
      </w:r>
      <w:r w:rsidR="00B92948" w:rsidRPr="00B92948">
        <w:tab/>
        <w:t xml:space="preserve">Informe sobre la labor de los centros de asesoramiento de salud sexual </w:t>
      </w:r>
      <w:r>
        <w:br/>
      </w:r>
      <w:r w:rsidR="00B92948" w:rsidRPr="00B92948">
        <w:t>y reproductiva (2012-2017)</w:t>
      </w:r>
      <w:r w:rsidR="00B92948" w:rsidRPr="00624630">
        <w:rPr>
          <w:rStyle w:val="Refdenotaalpie"/>
          <w:b w:val="0"/>
          <w:bCs/>
        </w:rPr>
        <w:footnoteReference w:id="41"/>
      </w:r>
      <w:bookmarkStart w:id="61" w:name="_Toc56781462"/>
      <w:bookmarkEnd w:id="61"/>
    </w:p>
    <w:tbl>
      <w:tblPr>
        <w:tblW w:w="8504" w:type="dxa"/>
        <w:tblInd w:w="1134" w:type="dxa"/>
        <w:tblBorders>
          <w:top w:val="single" w:sz="4" w:space="0" w:color="auto"/>
        </w:tblBorders>
        <w:tblLayout w:type="fixed"/>
        <w:tblCellMar>
          <w:left w:w="0" w:type="dxa"/>
          <w:right w:w="0" w:type="dxa"/>
        </w:tblCellMar>
        <w:tblLook w:val="00A0" w:firstRow="1" w:lastRow="0" w:firstColumn="1" w:lastColumn="0" w:noHBand="0" w:noVBand="0"/>
      </w:tblPr>
      <w:tblGrid>
        <w:gridCol w:w="2810"/>
        <w:gridCol w:w="813"/>
        <w:gridCol w:w="813"/>
        <w:gridCol w:w="814"/>
        <w:gridCol w:w="813"/>
        <w:gridCol w:w="814"/>
        <w:gridCol w:w="813"/>
        <w:gridCol w:w="814"/>
      </w:tblGrid>
      <w:tr w:rsidR="00B92948" w:rsidRPr="003A1036" w14:paraId="136AD54A" w14:textId="77777777" w:rsidTr="00C92471">
        <w:trPr>
          <w:trHeight w:val="240"/>
          <w:tblHeader/>
        </w:trPr>
        <w:tc>
          <w:tcPr>
            <w:tcW w:w="2810" w:type="dxa"/>
            <w:tcBorders>
              <w:top w:val="single" w:sz="4" w:space="0" w:color="auto"/>
              <w:bottom w:val="single" w:sz="12" w:space="0" w:color="auto"/>
            </w:tcBorders>
            <w:shd w:val="clear" w:color="auto" w:fill="auto"/>
            <w:noWrap/>
            <w:vAlign w:val="bottom"/>
          </w:tcPr>
          <w:p w14:paraId="49FC8303" w14:textId="77777777" w:rsidR="00B92948" w:rsidRPr="003A1036" w:rsidRDefault="00B92948" w:rsidP="003A1036">
            <w:pPr>
              <w:pStyle w:val="SingleTxtG"/>
              <w:tabs>
                <w:tab w:val="clear" w:pos="1701"/>
                <w:tab w:val="clear" w:pos="2268"/>
                <w:tab w:val="clear" w:pos="2835"/>
              </w:tabs>
              <w:spacing w:before="80" w:after="80" w:line="200" w:lineRule="exact"/>
              <w:ind w:left="0" w:right="0"/>
              <w:jc w:val="left"/>
              <w:rPr>
                <w:bCs/>
                <w:i/>
                <w:sz w:val="16"/>
              </w:rPr>
            </w:pPr>
          </w:p>
        </w:tc>
        <w:tc>
          <w:tcPr>
            <w:tcW w:w="813" w:type="dxa"/>
            <w:tcBorders>
              <w:top w:val="single" w:sz="4" w:space="0" w:color="auto"/>
              <w:bottom w:val="single" w:sz="12" w:space="0" w:color="auto"/>
            </w:tcBorders>
            <w:shd w:val="clear" w:color="auto" w:fill="auto"/>
            <w:noWrap/>
            <w:vAlign w:val="bottom"/>
          </w:tcPr>
          <w:p w14:paraId="773AF203" w14:textId="77777777" w:rsidR="00B92948" w:rsidRPr="003A1036" w:rsidRDefault="00B92948" w:rsidP="007D1B32">
            <w:pPr>
              <w:pStyle w:val="SingleTxtG"/>
              <w:tabs>
                <w:tab w:val="clear" w:pos="1701"/>
                <w:tab w:val="clear" w:pos="2268"/>
                <w:tab w:val="clear" w:pos="2835"/>
              </w:tabs>
              <w:spacing w:before="80" w:after="80" w:line="200" w:lineRule="exact"/>
              <w:ind w:left="113" w:right="28"/>
              <w:jc w:val="right"/>
              <w:rPr>
                <w:i/>
                <w:sz w:val="16"/>
              </w:rPr>
            </w:pPr>
            <w:r w:rsidRPr="003A1036">
              <w:rPr>
                <w:i/>
                <w:iCs/>
                <w:sz w:val="16"/>
              </w:rPr>
              <w:t>2012</w:t>
            </w:r>
          </w:p>
        </w:tc>
        <w:tc>
          <w:tcPr>
            <w:tcW w:w="813" w:type="dxa"/>
            <w:tcBorders>
              <w:top w:val="single" w:sz="4" w:space="0" w:color="auto"/>
              <w:bottom w:val="single" w:sz="12" w:space="0" w:color="auto"/>
            </w:tcBorders>
            <w:shd w:val="clear" w:color="auto" w:fill="auto"/>
            <w:vAlign w:val="bottom"/>
          </w:tcPr>
          <w:p w14:paraId="2B635AD2" w14:textId="77777777" w:rsidR="00B92948" w:rsidRPr="003A1036" w:rsidRDefault="00B92948" w:rsidP="007D1B32">
            <w:pPr>
              <w:pStyle w:val="SingleTxtG"/>
              <w:tabs>
                <w:tab w:val="clear" w:pos="1701"/>
                <w:tab w:val="clear" w:pos="2268"/>
                <w:tab w:val="clear" w:pos="2835"/>
              </w:tabs>
              <w:spacing w:before="80" w:after="80" w:line="200" w:lineRule="exact"/>
              <w:ind w:left="113" w:right="28"/>
              <w:jc w:val="right"/>
              <w:rPr>
                <w:i/>
                <w:sz w:val="16"/>
              </w:rPr>
            </w:pPr>
            <w:r w:rsidRPr="003A1036">
              <w:rPr>
                <w:i/>
                <w:iCs/>
                <w:sz w:val="16"/>
              </w:rPr>
              <w:t>2013</w:t>
            </w:r>
          </w:p>
        </w:tc>
        <w:tc>
          <w:tcPr>
            <w:tcW w:w="814" w:type="dxa"/>
            <w:tcBorders>
              <w:top w:val="single" w:sz="4" w:space="0" w:color="auto"/>
              <w:bottom w:val="single" w:sz="12" w:space="0" w:color="auto"/>
            </w:tcBorders>
            <w:shd w:val="clear" w:color="auto" w:fill="auto"/>
            <w:vAlign w:val="bottom"/>
          </w:tcPr>
          <w:p w14:paraId="1D9FFC57" w14:textId="77777777" w:rsidR="00B92948" w:rsidRPr="003A1036" w:rsidRDefault="00B92948" w:rsidP="007D1B32">
            <w:pPr>
              <w:pStyle w:val="SingleTxtG"/>
              <w:tabs>
                <w:tab w:val="clear" w:pos="1701"/>
                <w:tab w:val="clear" w:pos="2268"/>
                <w:tab w:val="clear" w:pos="2835"/>
              </w:tabs>
              <w:spacing w:before="80" w:after="80" w:line="200" w:lineRule="exact"/>
              <w:ind w:left="113" w:right="28"/>
              <w:jc w:val="right"/>
              <w:rPr>
                <w:i/>
                <w:sz w:val="16"/>
              </w:rPr>
            </w:pPr>
            <w:r w:rsidRPr="003A1036">
              <w:rPr>
                <w:i/>
                <w:iCs/>
                <w:sz w:val="16"/>
              </w:rPr>
              <w:t>2014</w:t>
            </w:r>
          </w:p>
        </w:tc>
        <w:tc>
          <w:tcPr>
            <w:tcW w:w="813" w:type="dxa"/>
            <w:tcBorders>
              <w:top w:val="single" w:sz="4" w:space="0" w:color="auto"/>
              <w:bottom w:val="single" w:sz="12" w:space="0" w:color="auto"/>
            </w:tcBorders>
            <w:shd w:val="clear" w:color="auto" w:fill="auto"/>
            <w:vAlign w:val="bottom"/>
          </w:tcPr>
          <w:p w14:paraId="1DA0451D" w14:textId="77777777" w:rsidR="00B92948" w:rsidRPr="003A1036" w:rsidRDefault="00B92948" w:rsidP="007D1B32">
            <w:pPr>
              <w:pStyle w:val="SingleTxtG"/>
              <w:tabs>
                <w:tab w:val="clear" w:pos="1701"/>
                <w:tab w:val="clear" w:pos="2268"/>
                <w:tab w:val="clear" w:pos="2835"/>
              </w:tabs>
              <w:spacing w:before="80" w:after="80" w:line="200" w:lineRule="exact"/>
              <w:ind w:left="113" w:right="28"/>
              <w:jc w:val="right"/>
              <w:rPr>
                <w:i/>
                <w:sz w:val="16"/>
              </w:rPr>
            </w:pPr>
            <w:r w:rsidRPr="003A1036">
              <w:rPr>
                <w:i/>
                <w:iCs/>
                <w:sz w:val="16"/>
              </w:rPr>
              <w:t>2015</w:t>
            </w:r>
          </w:p>
        </w:tc>
        <w:tc>
          <w:tcPr>
            <w:tcW w:w="814" w:type="dxa"/>
            <w:tcBorders>
              <w:top w:val="single" w:sz="4" w:space="0" w:color="auto"/>
              <w:bottom w:val="single" w:sz="12" w:space="0" w:color="auto"/>
            </w:tcBorders>
            <w:shd w:val="clear" w:color="auto" w:fill="auto"/>
            <w:vAlign w:val="bottom"/>
          </w:tcPr>
          <w:p w14:paraId="28882328" w14:textId="77777777" w:rsidR="00B92948" w:rsidRPr="003A1036" w:rsidRDefault="00B92948" w:rsidP="007D1B32">
            <w:pPr>
              <w:pStyle w:val="SingleTxtG"/>
              <w:tabs>
                <w:tab w:val="clear" w:pos="1701"/>
                <w:tab w:val="clear" w:pos="2268"/>
                <w:tab w:val="clear" w:pos="2835"/>
              </w:tabs>
              <w:spacing w:before="80" w:after="80" w:line="200" w:lineRule="exact"/>
              <w:ind w:left="113" w:right="28"/>
              <w:jc w:val="right"/>
              <w:rPr>
                <w:i/>
                <w:sz w:val="16"/>
              </w:rPr>
            </w:pPr>
            <w:r w:rsidRPr="003A1036">
              <w:rPr>
                <w:i/>
                <w:iCs/>
                <w:sz w:val="16"/>
              </w:rPr>
              <w:t>2016</w:t>
            </w:r>
          </w:p>
        </w:tc>
        <w:tc>
          <w:tcPr>
            <w:tcW w:w="813" w:type="dxa"/>
            <w:tcBorders>
              <w:top w:val="single" w:sz="4" w:space="0" w:color="auto"/>
              <w:bottom w:val="single" w:sz="12" w:space="0" w:color="auto"/>
            </w:tcBorders>
            <w:shd w:val="clear" w:color="auto" w:fill="auto"/>
            <w:vAlign w:val="bottom"/>
          </w:tcPr>
          <w:p w14:paraId="09B98329" w14:textId="77777777" w:rsidR="00B92948" w:rsidRPr="003A1036" w:rsidRDefault="00B92948" w:rsidP="007D1B32">
            <w:pPr>
              <w:pStyle w:val="SingleTxtG"/>
              <w:tabs>
                <w:tab w:val="clear" w:pos="1701"/>
                <w:tab w:val="clear" w:pos="2268"/>
                <w:tab w:val="clear" w:pos="2835"/>
              </w:tabs>
              <w:spacing w:before="80" w:after="80" w:line="200" w:lineRule="exact"/>
              <w:ind w:left="113" w:right="28"/>
              <w:jc w:val="right"/>
              <w:rPr>
                <w:i/>
                <w:sz w:val="16"/>
              </w:rPr>
            </w:pPr>
            <w:r w:rsidRPr="003A1036">
              <w:rPr>
                <w:i/>
                <w:iCs/>
                <w:sz w:val="16"/>
              </w:rPr>
              <w:t>2017</w:t>
            </w:r>
          </w:p>
        </w:tc>
        <w:tc>
          <w:tcPr>
            <w:tcW w:w="814" w:type="dxa"/>
            <w:tcBorders>
              <w:top w:val="single" w:sz="4" w:space="0" w:color="auto"/>
              <w:bottom w:val="single" w:sz="12" w:space="0" w:color="auto"/>
            </w:tcBorders>
            <w:shd w:val="clear" w:color="auto" w:fill="auto"/>
            <w:vAlign w:val="bottom"/>
          </w:tcPr>
          <w:p w14:paraId="2CE97644" w14:textId="77777777" w:rsidR="00B92948" w:rsidRPr="003A1036" w:rsidRDefault="00B92948" w:rsidP="007D1B32">
            <w:pPr>
              <w:pStyle w:val="SingleTxtG"/>
              <w:tabs>
                <w:tab w:val="clear" w:pos="1701"/>
                <w:tab w:val="clear" w:pos="2268"/>
                <w:tab w:val="clear" w:pos="2835"/>
              </w:tabs>
              <w:spacing w:before="80" w:after="80" w:line="200" w:lineRule="exact"/>
              <w:ind w:left="113" w:right="28"/>
              <w:jc w:val="right"/>
              <w:rPr>
                <w:i/>
                <w:sz w:val="16"/>
              </w:rPr>
            </w:pPr>
            <w:r w:rsidRPr="003A1036">
              <w:rPr>
                <w:i/>
                <w:iCs/>
                <w:sz w:val="16"/>
              </w:rPr>
              <w:t>Total</w:t>
            </w:r>
          </w:p>
        </w:tc>
      </w:tr>
      <w:tr w:rsidR="00B92948" w:rsidRPr="003A1036" w14:paraId="7CF8023C" w14:textId="77777777" w:rsidTr="00C92471">
        <w:trPr>
          <w:trHeight w:val="240"/>
        </w:trPr>
        <w:tc>
          <w:tcPr>
            <w:tcW w:w="2810" w:type="dxa"/>
            <w:tcBorders>
              <w:top w:val="single" w:sz="12" w:space="0" w:color="auto"/>
            </w:tcBorders>
            <w:shd w:val="clear" w:color="auto" w:fill="auto"/>
          </w:tcPr>
          <w:p w14:paraId="04852F69" w14:textId="77777777" w:rsidR="00B92948" w:rsidRPr="003A1036" w:rsidRDefault="00B92948" w:rsidP="003A1036">
            <w:pPr>
              <w:pStyle w:val="SingleTxtG"/>
              <w:tabs>
                <w:tab w:val="clear" w:pos="1701"/>
                <w:tab w:val="clear" w:pos="2268"/>
                <w:tab w:val="clear" w:pos="2835"/>
              </w:tabs>
              <w:spacing w:before="40" w:after="40" w:line="220" w:lineRule="exact"/>
              <w:ind w:left="0" w:right="0"/>
              <w:jc w:val="left"/>
              <w:rPr>
                <w:sz w:val="18"/>
              </w:rPr>
            </w:pPr>
            <w:r w:rsidRPr="003A1036">
              <w:rPr>
                <w:sz w:val="18"/>
              </w:rPr>
              <w:t xml:space="preserve">Número de jóvenes a los que se ha impartido asesoramiento </w:t>
            </w:r>
          </w:p>
        </w:tc>
        <w:tc>
          <w:tcPr>
            <w:tcW w:w="813" w:type="dxa"/>
            <w:tcBorders>
              <w:top w:val="single" w:sz="12" w:space="0" w:color="auto"/>
            </w:tcBorders>
            <w:shd w:val="clear" w:color="auto" w:fill="auto"/>
            <w:noWrap/>
            <w:vAlign w:val="bottom"/>
          </w:tcPr>
          <w:p w14:paraId="0478731D" w14:textId="77777777" w:rsidR="00B92948" w:rsidRPr="003A1036" w:rsidRDefault="00B92948" w:rsidP="007D1B32">
            <w:pPr>
              <w:pStyle w:val="SingleTxtG"/>
              <w:tabs>
                <w:tab w:val="clear" w:pos="1701"/>
                <w:tab w:val="clear" w:pos="2268"/>
                <w:tab w:val="clear" w:pos="2835"/>
              </w:tabs>
              <w:spacing w:before="40" w:after="40" w:line="220" w:lineRule="exact"/>
              <w:ind w:left="113" w:right="28"/>
              <w:jc w:val="right"/>
              <w:rPr>
                <w:sz w:val="18"/>
              </w:rPr>
            </w:pPr>
            <w:r w:rsidRPr="003A1036">
              <w:rPr>
                <w:sz w:val="18"/>
              </w:rPr>
              <w:t>1 050</w:t>
            </w:r>
          </w:p>
        </w:tc>
        <w:tc>
          <w:tcPr>
            <w:tcW w:w="813" w:type="dxa"/>
            <w:tcBorders>
              <w:top w:val="single" w:sz="12" w:space="0" w:color="auto"/>
            </w:tcBorders>
            <w:shd w:val="clear" w:color="auto" w:fill="auto"/>
            <w:noWrap/>
            <w:vAlign w:val="bottom"/>
          </w:tcPr>
          <w:p w14:paraId="1BE4DA35" w14:textId="77777777" w:rsidR="00B92948" w:rsidRPr="003A1036" w:rsidRDefault="00B92948" w:rsidP="007D1B32">
            <w:pPr>
              <w:pStyle w:val="SingleTxtG"/>
              <w:tabs>
                <w:tab w:val="clear" w:pos="1701"/>
                <w:tab w:val="clear" w:pos="2268"/>
                <w:tab w:val="clear" w:pos="2835"/>
              </w:tabs>
              <w:spacing w:before="40" w:after="40" w:line="220" w:lineRule="exact"/>
              <w:ind w:left="113" w:right="28"/>
              <w:jc w:val="right"/>
              <w:rPr>
                <w:sz w:val="18"/>
              </w:rPr>
            </w:pPr>
            <w:r w:rsidRPr="003A1036">
              <w:rPr>
                <w:sz w:val="18"/>
              </w:rPr>
              <w:t>1 153</w:t>
            </w:r>
          </w:p>
        </w:tc>
        <w:tc>
          <w:tcPr>
            <w:tcW w:w="814" w:type="dxa"/>
            <w:tcBorders>
              <w:top w:val="single" w:sz="12" w:space="0" w:color="auto"/>
            </w:tcBorders>
            <w:shd w:val="clear" w:color="auto" w:fill="auto"/>
            <w:noWrap/>
            <w:vAlign w:val="bottom"/>
          </w:tcPr>
          <w:p w14:paraId="3593DF59" w14:textId="77777777" w:rsidR="00B92948" w:rsidRPr="003A1036" w:rsidRDefault="00B92948" w:rsidP="007D1B32">
            <w:pPr>
              <w:pStyle w:val="SingleTxtG"/>
              <w:tabs>
                <w:tab w:val="clear" w:pos="1701"/>
                <w:tab w:val="clear" w:pos="2268"/>
                <w:tab w:val="clear" w:pos="2835"/>
              </w:tabs>
              <w:spacing w:before="40" w:after="40" w:line="220" w:lineRule="exact"/>
              <w:ind w:left="113" w:right="28"/>
              <w:jc w:val="right"/>
              <w:rPr>
                <w:sz w:val="18"/>
              </w:rPr>
            </w:pPr>
            <w:r w:rsidRPr="003A1036">
              <w:rPr>
                <w:sz w:val="18"/>
              </w:rPr>
              <w:t>1 387</w:t>
            </w:r>
          </w:p>
        </w:tc>
        <w:tc>
          <w:tcPr>
            <w:tcW w:w="813" w:type="dxa"/>
            <w:tcBorders>
              <w:top w:val="single" w:sz="12" w:space="0" w:color="auto"/>
            </w:tcBorders>
            <w:shd w:val="clear" w:color="auto" w:fill="auto"/>
            <w:noWrap/>
            <w:vAlign w:val="bottom"/>
          </w:tcPr>
          <w:p w14:paraId="04EC26BD" w14:textId="77777777" w:rsidR="00B92948" w:rsidRPr="003A1036" w:rsidRDefault="00B92948" w:rsidP="007D1B32">
            <w:pPr>
              <w:pStyle w:val="SingleTxtG"/>
              <w:tabs>
                <w:tab w:val="clear" w:pos="1701"/>
                <w:tab w:val="clear" w:pos="2268"/>
                <w:tab w:val="clear" w:pos="2835"/>
              </w:tabs>
              <w:spacing w:before="40" w:after="40" w:line="220" w:lineRule="exact"/>
              <w:ind w:left="113" w:right="28"/>
              <w:jc w:val="right"/>
              <w:rPr>
                <w:sz w:val="18"/>
              </w:rPr>
            </w:pPr>
            <w:r w:rsidRPr="003A1036">
              <w:rPr>
                <w:sz w:val="18"/>
              </w:rPr>
              <w:t>741</w:t>
            </w:r>
          </w:p>
        </w:tc>
        <w:tc>
          <w:tcPr>
            <w:tcW w:w="814" w:type="dxa"/>
            <w:tcBorders>
              <w:top w:val="single" w:sz="12" w:space="0" w:color="auto"/>
            </w:tcBorders>
            <w:shd w:val="clear" w:color="auto" w:fill="auto"/>
            <w:noWrap/>
            <w:vAlign w:val="bottom"/>
          </w:tcPr>
          <w:p w14:paraId="7296C61F" w14:textId="77777777" w:rsidR="00B92948" w:rsidRPr="003A1036" w:rsidRDefault="00B92948" w:rsidP="007D1B32">
            <w:pPr>
              <w:pStyle w:val="SingleTxtG"/>
              <w:tabs>
                <w:tab w:val="clear" w:pos="1701"/>
                <w:tab w:val="clear" w:pos="2268"/>
                <w:tab w:val="clear" w:pos="2835"/>
              </w:tabs>
              <w:spacing w:before="40" w:after="40" w:line="220" w:lineRule="exact"/>
              <w:ind w:left="113" w:right="28"/>
              <w:jc w:val="right"/>
              <w:rPr>
                <w:sz w:val="18"/>
              </w:rPr>
            </w:pPr>
            <w:r w:rsidRPr="003A1036">
              <w:rPr>
                <w:sz w:val="18"/>
              </w:rPr>
              <w:t>1 207</w:t>
            </w:r>
          </w:p>
        </w:tc>
        <w:tc>
          <w:tcPr>
            <w:tcW w:w="813" w:type="dxa"/>
            <w:tcBorders>
              <w:top w:val="single" w:sz="12" w:space="0" w:color="auto"/>
            </w:tcBorders>
            <w:shd w:val="clear" w:color="auto" w:fill="auto"/>
            <w:vAlign w:val="bottom"/>
          </w:tcPr>
          <w:p w14:paraId="1D3B8C93" w14:textId="77777777" w:rsidR="00B92948" w:rsidRPr="003A1036" w:rsidRDefault="00B92948" w:rsidP="007D1B32">
            <w:pPr>
              <w:pStyle w:val="SingleTxtG"/>
              <w:tabs>
                <w:tab w:val="clear" w:pos="1701"/>
                <w:tab w:val="clear" w:pos="2268"/>
                <w:tab w:val="clear" w:pos="2835"/>
              </w:tabs>
              <w:spacing w:before="40" w:after="40" w:line="220" w:lineRule="exact"/>
              <w:ind w:left="113" w:right="28"/>
              <w:jc w:val="right"/>
              <w:rPr>
                <w:sz w:val="18"/>
              </w:rPr>
            </w:pPr>
            <w:r w:rsidRPr="003A1036">
              <w:rPr>
                <w:sz w:val="18"/>
              </w:rPr>
              <w:t>779</w:t>
            </w:r>
          </w:p>
        </w:tc>
        <w:tc>
          <w:tcPr>
            <w:tcW w:w="814" w:type="dxa"/>
            <w:tcBorders>
              <w:top w:val="single" w:sz="12" w:space="0" w:color="auto"/>
            </w:tcBorders>
            <w:shd w:val="clear" w:color="auto" w:fill="auto"/>
            <w:noWrap/>
            <w:vAlign w:val="bottom"/>
          </w:tcPr>
          <w:p w14:paraId="108C99E1" w14:textId="77777777" w:rsidR="00B92948" w:rsidRPr="003A1036" w:rsidRDefault="00B92948" w:rsidP="007D1B32">
            <w:pPr>
              <w:pStyle w:val="SingleTxtG"/>
              <w:tabs>
                <w:tab w:val="clear" w:pos="1701"/>
                <w:tab w:val="clear" w:pos="2268"/>
                <w:tab w:val="clear" w:pos="2835"/>
              </w:tabs>
              <w:spacing w:before="40" w:after="40" w:line="220" w:lineRule="exact"/>
              <w:ind w:left="113" w:right="28"/>
              <w:jc w:val="right"/>
              <w:rPr>
                <w:sz w:val="18"/>
              </w:rPr>
            </w:pPr>
            <w:r w:rsidRPr="003A1036">
              <w:rPr>
                <w:sz w:val="18"/>
              </w:rPr>
              <w:t>6 317</w:t>
            </w:r>
          </w:p>
        </w:tc>
      </w:tr>
      <w:tr w:rsidR="00B92948" w:rsidRPr="003A1036" w14:paraId="5F78BF2E" w14:textId="77777777" w:rsidTr="00C92471">
        <w:trPr>
          <w:trHeight w:val="240"/>
        </w:trPr>
        <w:tc>
          <w:tcPr>
            <w:tcW w:w="2810" w:type="dxa"/>
            <w:shd w:val="clear" w:color="auto" w:fill="auto"/>
            <w:noWrap/>
          </w:tcPr>
          <w:p w14:paraId="517AAC29" w14:textId="77777777" w:rsidR="00B92948" w:rsidRPr="003A1036" w:rsidRDefault="00B92948" w:rsidP="003A1036">
            <w:pPr>
              <w:pStyle w:val="SingleTxtG"/>
              <w:tabs>
                <w:tab w:val="clear" w:pos="1701"/>
                <w:tab w:val="clear" w:pos="2268"/>
                <w:tab w:val="clear" w:pos="2835"/>
              </w:tabs>
              <w:spacing w:before="40" w:after="40" w:line="220" w:lineRule="exact"/>
              <w:ind w:left="0" w:right="0"/>
              <w:jc w:val="left"/>
              <w:rPr>
                <w:sz w:val="18"/>
              </w:rPr>
            </w:pPr>
            <w:r w:rsidRPr="003A1036">
              <w:rPr>
                <w:sz w:val="18"/>
              </w:rPr>
              <w:t>Número de preservativos distribuidos</w:t>
            </w:r>
          </w:p>
        </w:tc>
        <w:tc>
          <w:tcPr>
            <w:tcW w:w="813" w:type="dxa"/>
            <w:shd w:val="clear" w:color="auto" w:fill="auto"/>
            <w:noWrap/>
            <w:vAlign w:val="bottom"/>
          </w:tcPr>
          <w:p w14:paraId="6A2B7E2E" w14:textId="77777777" w:rsidR="00B92948" w:rsidRPr="003A1036" w:rsidRDefault="00B92948" w:rsidP="007D1B32">
            <w:pPr>
              <w:pStyle w:val="SingleTxtG"/>
              <w:tabs>
                <w:tab w:val="clear" w:pos="1701"/>
                <w:tab w:val="clear" w:pos="2268"/>
                <w:tab w:val="clear" w:pos="2835"/>
              </w:tabs>
              <w:spacing w:before="40" w:after="40" w:line="220" w:lineRule="exact"/>
              <w:ind w:left="113" w:right="28"/>
              <w:jc w:val="right"/>
              <w:rPr>
                <w:sz w:val="18"/>
              </w:rPr>
            </w:pPr>
            <w:r w:rsidRPr="003A1036">
              <w:rPr>
                <w:sz w:val="18"/>
              </w:rPr>
              <w:t>6 415</w:t>
            </w:r>
          </w:p>
        </w:tc>
        <w:tc>
          <w:tcPr>
            <w:tcW w:w="813" w:type="dxa"/>
            <w:shd w:val="clear" w:color="auto" w:fill="auto"/>
            <w:noWrap/>
            <w:vAlign w:val="bottom"/>
          </w:tcPr>
          <w:p w14:paraId="21948A06" w14:textId="77777777" w:rsidR="00B92948" w:rsidRPr="003A1036" w:rsidRDefault="00B92948" w:rsidP="007D1B32">
            <w:pPr>
              <w:pStyle w:val="SingleTxtG"/>
              <w:tabs>
                <w:tab w:val="clear" w:pos="1701"/>
                <w:tab w:val="clear" w:pos="2268"/>
                <w:tab w:val="clear" w:pos="2835"/>
              </w:tabs>
              <w:spacing w:before="40" w:after="40" w:line="220" w:lineRule="exact"/>
              <w:ind w:left="113" w:right="28"/>
              <w:jc w:val="right"/>
              <w:rPr>
                <w:sz w:val="18"/>
              </w:rPr>
            </w:pPr>
            <w:r w:rsidRPr="003A1036">
              <w:rPr>
                <w:sz w:val="18"/>
              </w:rPr>
              <w:t>8 845</w:t>
            </w:r>
          </w:p>
        </w:tc>
        <w:tc>
          <w:tcPr>
            <w:tcW w:w="814" w:type="dxa"/>
            <w:shd w:val="clear" w:color="auto" w:fill="auto"/>
            <w:noWrap/>
            <w:vAlign w:val="bottom"/>
          </w:tcPr>
          <w:p w14:paraId="5A7FBD74" w14:textId="77777777" w:rsidR="00B92948" w:rsidRPr="003A1036" w:rsidRDefault="00B92948" w:rsidP="007D1B32">
            <w:pPr>
              <w:pStyle w:val="SingleTxtG"/>
              <w:tabs>
                <w:tab w:val="clear" w:pos="1701"/>
                <w:tab w:val="clear" w:pos="2268"/>
                <w:tab w:val="clear" w:pos="2835"/>
              </w:tabs>
              <w:spacing w:before="40" w:after="40" w:line="220" w:lineRule="exact"/>
              <w:ind w:left="113" w:right="28"/>
              <w:jc w:val="right"/>
              <w:rPr>
                <w:sz w:val="18"/>
              </w:rPr>
            </w:pPr>
            <w:r w:rsidRPr="003A1036">
              <w:rPr>
                <w:sz w:val="18"/>
              </w:rPr>
              <w:t>6 488</w:t>
            </w:r>
          </w:p>
        </w:tc>
        <w:tc>
          <w:tcPr>
            <w:tcW w:w="813" w:type="dxa"/>
            <w:shd w:val="clear" w:color="auto" w:fill="auto"/>
            <w:noWrap/>
            <w:vAlign w:val="bottom"/>
          </w:tcPr>
          <w:p w14:paraId="7193EA99" w14:textId="77777777" w:rsidR="00B92948" w:rsidRPr="003A1036" w:rsidRDefault="00B92948" w:rsidP="007D1B32">
            <w:pPr>
              <w:pStyle w:val="SingleTxtG"/>
              <w:tabs>
                <w:tab w:val="clear" w:pos="1701"/>
                <w:tab w:val="clear" w:pos="2268"/>
                <w:tab w:val="clear" w:pos="2835"/>
              </w:tabs>
              <w:spacing w:before="40" w:after="40" w:line="220" w:lineRule="exact"/>
              <w:ind w:left="113" w:right="28"/>
              <w:jc w:val="right"/>
              <w:rPr>
                <w:sz w:val="18"/>
              </w:rPr>
            </w:pPr>
            <w:r w:rsidRPr="003A1036">
              <w:rPr>
                <w:sz w:val="18"/>
              </w:rPr>
              <w:t>1 262</w:t>
            </w:r>
          </w:p>
        </w:tc>
        <w:tc>
          <w:tcPr>
            <w:tcW w:w="814" w:type="dxa"/>
            <w:shd w:val="clear" w:color="auto" w:fill="auto"/>
            <w:noWrap/>
            <w:vAlign w:val="bottom"/>
          </w:tcPr>
          <w:p w14:paraId="529BD928" w14:textId="77777777" w:rsidR="00B92948" w:rsidRPr="003A1036" w:rsidRDefault="00B92948" w:rsidP="007D1B32">
            <w:pPr>
              <w:pStyle w:val="SingleTxtG"/>
              <w:tabs>
                <w:tab w:val="clear" w:pos="1701"/>
                <w:tab w:val="clear" w:pos="2268"/>
                <w:tab w:val="clear" w:pos="2835"/>
              </w:tabs>
              <w:spacing w:before="40" w:after="40" w:line="220" w:lineRule="exact"/>
              <w:ind w:left="113" w:right="28"/>
              <w:jc w:val="right"/>
              <w:rPr>
                <w:sz w:val="18"/>
              </w:rPr>
            </w:pPr>
            <w:r w:rsidRPr="003A1036">
              <w:rPr>
                <w:sz w:val="18"/>
              </w:rPr>
              <w:t>3 563</w:t>
            </w:r>
          </w:p>
        </w:tc>
        <w:tc>
          <w:tcPr>
            <w:tcW w:w="813" w:type="dxa"/>
            <w:shd w:val="clear" w:color="auto" w:fill="auto"/>
            <w:vAlign w:val="bottom"/>
          </w:tcPr>
          <w:p w14:paraId="3FE6AAD3" w14:textId="77777777" w:rsidR="00B92948" w:rsidRPr="003A1036" w:rsidRDefault="00B92948" w:rsidP="007D1B32">
            <w:pPr>
              <w:pStyle w:val="SingleTxtG"/>
              <w:tabs>
                <w:tab w:val="clear" w:pos="1701"/>
                <w:tab w:val="clear" w:pos="2268"/>
                <w:tab w:val="clear" w:pos="2835"/>
              </w:tabs>
              <w:spacing w:before="40" w:after="40" w:line="220" w:lineRule="exact"/>
              <w:ind w:left="113" w:right="28"/>
              <w:jc w:val="right"/>
              <w:rPr>
                <w:sz w:val="18"/>
              </w:rPr>
            </w:pPr>
            <w:r w:rsidRPr="003A1036">
              <w:rPr>
                <w:sz w:val="18"/>
              </w:rPr>
              <w:t>2 205</w:t>
            </w:r>
          </w:p>
        </w:tc>
        <w:tc>
          <w:tcPr>
            <w:tcW w:w="814" w:type="dxa"/>
            <w:shd w:val="clear" w:color="auto" w:fill="auto"/>
            <w:noWrap/>
            <w:vAlign w:val="bottom"/>
          </w:tcPr>
          <w:p w14:paraId="0F342B95" w14:textId="77777777" w:rsidR="00B92948" w:rsidRPr="003A1036" w:rsidRDefault="00B92948" w:rsidP="007D1B32">
            <w:pPr>
              <w:pStyle w:val="SingleTxtG"/>
              <w:tabs>
                <w:tab w:val="clear" w:pos="1701"/>
                <w:tab w:val="clear" w:pos="2268"/>
                <w:tab w:val="clear" w:pos="2835"/>
              </w:tabs>
              <w:spacing w:before="40" w:after="40" w:line="220" w:lineRule="exact"/>
              <w:ind w:left="113" w:right="28"/>
              <w:jc w:val="right"/>
              <w:rPr>
                <w:sz w:val="18"/>
              </w:rPr>
            </w:pPr>
            <w:r w:rsidRPr="003A1036">
              <w:rPr>
                <w:sz w:val="18"/>
              </w:rPr>
              <w:t>28 778</w:t>
            </w:r>
          </w:p>
        </w:tc>
      </w:tr>
      <w:tr w:rsidR="00B92948" w:rsidRPr="003A1036" w14:paraId="007AB24C" w14:textId="77777777" w:rsidTr="00C92471">
        <w:trPr>
          <w:trHeight w:val="240"/>
        </w:trPr>
        <w:tc>
          <w:tcPr>
            <w:tcW w:w="2810" w:type="dxa"/>
            <w:shd w:val="clear" w:color="auto" w:fill="auto"/>
            <w:noWrap/>
          </w:tcPr>
          <w:p w14:paraId="364B2F90" w14:textId="77777777" w:rsidR="00B92948" w:rsidRPr="003A1036" w:rsidRDefault="00B92948" w:rsidP="003A1036">
            <w:pPr>
              <w:pStyle w:val="SingleTxtG"/>
              <w:tabs>
                <w:tab w:val="clear" w:pos="1701"/>
                <w:tab w:val="clear" w:pos="2268"/>
                <w:tab w:val="clear" w:pos="2835"/>
              </w:tabs>
              <w:spacing w:before="40" w:after="40" w:line="220" w:lineRule="exact"/>
              <w:ind w:left="0" w:right="0"/>
              <w:jc w:val="left"/>
              <w:rPr>
                <w:sz w:val="18"/>
              </w:rPr>
            </w:pPr>
            <w:r w:rsidRPr="003A1036">
              <w:rPr>
                <w:sz w:val="18"/>
              </w:rPr>
              <w:t>Número de lubricantes íntimos distribuidos</w:t>
            </w:r>
          </w:p>
        </w:tc>
        <w:tc>
          <w:tcPr>
            <w:tcW w:w="813" w:type="dxa"/>
            <w:shd w:val="clear" w:color="auto" w:fill="auto"/>
            <w:noWrap/>
            <w:vAlign w:val="bottom"/>
          </w:tcPr>
          <w:p w14:paraId="7D6C77B5" w14:textId="77777777" w:rsidR="00B92948" w:rsidRPr="003A1036" w:rsidRDefault="00B92948" w:rsidP="007D1B32">
            <w:pPr>
              <w:pStyle w:val="SingleTxtG"/>
              <w:tabs>
                <w:tab w:val="clear" w:pos="1701"/>
                <w:tab w:val="clear" w:pos="2268"/>
                <w:tab w:val="clear" w:pos="2835"/>
              </w:tabs>
              <w:spacing w:before="40" w:after="40" w:line="220" w:lineRule="exact"/>
              <w:ind w:left="113" w:right="28"/>
              <w:jc w:val="right"/>
              <w:rPr>
                <w:sz w:val="18"/>
              </w:rPr>
            </w:pPr>
            <w:r w:rsidRPr="003A1036">
              <w:rPr>
                <w:sz w:val="18"/>
              </w:rPr>
              <w:t>358</w:t>
            </w:r>
          </w:p>
        </w:tc>
        <w:tc>
          <w:tcPr>
            <w:tcW w:w="813" w:type="dxa"/>
            <w:shd w:val="clear" w:color="auto" w:fill="auto"/>
            <w:noWrap/>
            <w:vAlign w:val="bottom"/>
          </w:tcPr>
          <w:p w14:paraId="45395723" w14:textId="77777777" w:rsidR="00B92948" w:rsidRPr="003A1036" w:rsidRDefault="00B92948" w:rsidP="007D1B32">
            <w:pPr>
              <w:pStyle w:val="SingleTxtG"/>
              <w:tabs>
                <w:tab w:val="clear" w:pos="1701"/>
                <w:tab w:val="clear" w:pos="2268"/>
                <w:tab w:val="clear" w:pos="2835"/>
              </w:tabs>
              <w:spacing w:before="40" w:after="40" w:line="220" w:lineRule="exact"/>
              <w:ind w:left="113" w:right="28"/>
              <w:jc w:val="right"/>
              <w:rPr>
                <w:sz w:val="18"/>
              </w:rPr>
            </w:pPr>
            <w:r w:rsidRPr="003A1036">
              <w:rPr>
                <w:sz w:val="18"/>
              </w:rPr>
              <w:t>2 866</w:t>
            </w:r>
          </w:p>
        </w:tc>
        <w:tc>
          <w:tcPr>
            <w:tcW w:w="814" w:type="dxa"/>
            <w:shd w:val="clear" w:color="auto" w:fill="auto"/>
            <w:noWrap/>
            <w:vAlign w:val="bottom"/>
          </w:tcPr>
          <w:p w14:paraId="43D0A145" w14:textId="77777777" w:rsidR="00B92948" w:rsidRPr="003A1036" w:rsidRDefault="00B92948" w:rsidP="007D1B32">
            <w:pPr>
              <w:pStyle w:val="SingleTxtG"/>
              <w:tabs>
                <w:tab w:val="clear" w:pos="1701"/>
                <w:tab w:val="clear" w:pos="2268"/>
                <w:tab w:val="clear" w:pos="2835"/>
              </w:tabs>
              <w:spacing w:before="40" w:after="40" w:line="220" w:lineRule="exact"/>
              <w:ind w:left="113" w:right="28"/>
              <w:jc w:val="right"/>
              <w:rPr>
                <w:sz w:val="18"/>
              </w:rPr>
            </w:pPr>
            <w:r w:rsidRPr="003A1036">
              <w:rPr>
                <w:sz w:val="18"/>
              </w:rPr>
              <w:t>449</w:t>
            </w:r>
          </w:p>
        </w:tc>
        <w:tc>
          <w:tcPr>
            <w:tcW w:w="813" w:type="dxa"/>
            <w:shd w:val="clear" w:color="auto" w:fill="auto"/>
            <w:noWrap/>
            <w:vAlign w:val="bottom"/>
          </w:tcPr>
          <w:p w14:paraId="35C7BFD0" w14:textId="77777777" w:rsidR="00B92948" w:rsidRPr="003A1036" w:rsidRDefault="00B92948" w:rsidP="007D1B32">
            <w:pPr>
              <w:pStyle w:val="SingleTxtG"/>
              <w:tabs>
                <w:tab w:val="clear" w:pos="1701"/>
                <w:tab w:val="clear" w:pos="2268"/>
                <w:tab w:val="clear" w:pos="2835"/>
              </w:tabs>
              <w:spacing w:before="40" w:after="40" w:line="220" w:lineRule="exact"/>
              <w:ind w:left="113" w:right="28"/>
              <w:jc w:val="right"/>
              <w:rPr>
                <w:sz w:val="18"/>
              </w:rPr>
            </w:pPr>
            <w:r w:rsidRPr="003A1036">
              <w:rPr>
                <w:sz w:val="18"/>
              </w:rPr>
              <w:t>-</w:t>
            </w:r>
          </w:p>
        </w:tc>
        <w:tc>
          <w:tcPr>
            <w:tcW w:w="814" w:type="dxa"/>
            <w:shd w:val="clear" w:color="auto" w:fill="auto"/>
            <w:noWrap/>
            <w:vAlign w:val="bottom"/>
          </w:tcPr>
          <w:p w14:paraId="4B16700B" w14:textId="77777777" w:rsidR="00B92948" w:rsidRPr="003A1036" w:rsidRDefault="00B92948" w:rsidP="007D1B32">
            <w:pPr>
              <w:pStyle w:val="SingleTxtG"/>
              <w:tabs>
                <w:tab w:val="clear" w:pos="1701"/>
                <w:tab w:val="clear" w:pos="2268"/>
                <w:tab w:val="clear" w:pos="2835"/>
              </w:tabs>
              <w:spacing w:before="40" w:after="40" w:line="220" w:lineRule="exact"/>
              <w:ind w:left="113" w:right="28"/>
              <w:jc w:val="right"/>
              <w:rPr>
                <w:sz w:val="18"/>
              </w:rPr>
            </w:pPr>
            <w:r w:rsidRPr="003A1036">
              <w:rPr>
                <w:sz w:val="18"/>
              </w:rPr>
              <w:t>-</w:t>
            </w:r>
          </w:p>
        </w:tc>
        <w:tc>
          <w:tcPr>
            <w:tcW w:w="813" w:type="dxa"/>
            <w:shd w:val="clear" w:color="auto" w:fill="auto"/>
            <w:noWrap/>
            <w:vAlign w:val="bottom"/>
          </w:tcPr>
          <w:p w14:paraId="36D53BE6" w14:textId="77777777" w:rsidR="00B92948" w:rsidRPr="003A1036" w:rsidRDefault="00B92948" w:rsidP="007D1B32">
            <w:pPr>
              <w:pStyle w:val="SingleTxtG"/>
              <w:tabs>
                <w:tab w:val="clear" w:pos="1701"/>
                <w:tab w:val="clear" w:pos="2268"/>
                <w:tab w:val="clear" w:pos="2835"/>
              </w:tabs>
              <w:spacing w:before="40" w:after="40" w:line="220" w:lineRule="exact"/>
              <w:ind w:left="113" w:right="28"/>
              <w:jc w:val="right"/>
              <w:rPr>
                <w:sz w:val="18"/>
              </w:rPr>
            </w:pPr>
            <w:r w:rsidRPr="003A1036">
              <w:rPr>
                <w:sz w:val="18"/>
              </w:rPr>
              <w:t xml:space="preserve"> </w:t>
            </w:r>
          </w:p>
        </w:tc>
        <w:tc>
          <w:tcPr>
            <w:tcW w:w="814" w:type="dxa"/>
            <w:shd w:val="clear" w:color="auto" w:fill="auto"/>
            <w:noWrap/>
            <w:vAlign w:val="bottom"/>
          </w:tcPr>
          <w:p w14:paraId="2D67C198" w14:textId="77777777" w:rsidR="00B92948" w:rsidRPr="003A1036" w:rsidRDefault="00B92948" w:rsidP="007D1B32">
            <w:pPr>
              <w:pStyle w:val="SingleTxtG"/>
              <w:tabs>
                <w:tab w:val="clear" w:pos="1701"/>
                <w:tab w:val="clear" w:pos="2268"/>
                <w:tab w:val="clear" w:pos="2835"/>
              </w:tabs>
              <w:spacing w:before="40" w:after="40" w:line="220" w:lineRule="exact"/>
              <w:ind w:left="113" w:right="28"/>
              <w:jc w:val="right"/>
              <w:rPr>
                <w:sz w:val="18"/>
              </w:rPr>
            </w:pPr>
            <w:r w:rsidRPr="003A1036">
              <w:rPr>
                <w:sz w:val="18"/>
              </w:rPr>
              <w:t>3 673</w:t>
            </w:r>
          </w:p>
        </w:tc>
      </w:tr>
      <w:tr w:rsidR="00B92948" w:rsidRPr="003A1036" w14:paraId="647A3B25" w14:textId="77777777" w:rsidTr="00C92471">
        <w:trPr>
          <w:trHeight w:val="240"/>
        </w:trPr>
        <w:tc>
          <w:tcPr>
            <w:tcW w:w="2810" w:type="dxa"/>
            <w:shd w:val="clear" w:color="auto" w:fill="auto"/>
            <w:noWrap/>
          </w:tcPr>
          <w:p w14:paraId="7E16CB6C" w14:textId="77777777" w:rsidR="00B92948" w:rsidRPr="003A1036" w:rsidRDefault="00B92948" w:rsidP="003A1036">
            <w:pPr>
              <w:pStyle w:val="SingleTxtG"/>
              <w:tabs>
                <w:tab w:val="clear" w:pos="1701"/>
                <w:tab w:val="clear" w:pos="2268"/>
                <w:tab w:val="clear" w:pos="2835"/>
              </w:tabs>
              <w:spacing w:before="40" w:after="40" w:line="220" w:lineRule="exact"/>
              <w:ind w:left="0" w:right="0"/>
              <w:jc w:val="left"/>
              <w:rPr>
                <w:sz w:val="18"/>
              </w:rPr>
            </w:pPr>
            <w:r w:rsidRPr="003A1036">
              <w:rPr>
                <w:sz w:val="18"/>
              </w:rPr>
              <w:t xml:space="preserve">Número de anticonceptivos orales distribuidos </w:t>
            </w:r>
          </w:p>
        </w:tc>
        <w:tc>
          <w:tcPr>
            <w:tcW w:w="813" w:type="dxa"/>
            <w:shd w:val="clear" w:color="auto" w:fill="auto"/>
            <w:noWrap/>
            <w:vAlign w:val="bottom"/>
          </w:tcPr>
          <w:p w14:paraId="4B86E8D1" w14:textId="77777777" w:rsidR="00B92948" w:rsidRPr="003A1036" w:rsidRDefault="00B92948" w:rsidP="007D1B32">
            <w:pPr>
              <w:pStyle w:val="SingleTxtG"/>
              <w:tabs>
                <w:tab w:val="clear" w:pos="1701"/>
                <w:tab w:val="clear" w:pos="2268"/>
                <w:tab w:val="clear" w:pos="2835"/>
              </w:tabs>
              <w:spacing w:before="40" w:after="40" w:line="220" w:lineRule="exact"/>
              <w:ind w:left="113" w:right="28"/>
              <w:jc w:val="right"/>
              <w:rPr>
                <w:sz w:val="18"/>
              </w:rPr>
            </w:pPr>
            <w:r w:rsidRPr="003A1036">
              <w:rPr>
                <w:sz w:val="18"/>
              </w:rPr>
              <w:t>305</w:t>
            </w:r>
          </w:p>
        </w:tc>
        <w:tc>
          <w:tcPr>
            <w:tcW w:w="813" w:type="dxa"/>
            <w:shd w:val="clear" w:color="auto" w:fill="auto"/>
            <w:noWrap/>
            <w:vAlign w:val="bottom"/>
          </w:tcPr>
          <w:p w14:paraId="119E859A" w14:textId="77777777" w:rsidR="00B92948" w:rsidRPr="003A1036" w:rsidRDefault="00B92948" w:rsidP="007D1B32">
            <w:pPr>
              <w:pStyle w:val="SingleTxtG"/>
              <w:tabs>
                <w:tab w:val="clear" w:pos="1701"/>
                <w:tab w:val="clear" w:pos="2268"/>
                <w:tab w:val="clear" w:pos="2835"/>
              </w:tabs>
              <w:spacing w:before="40" w:after="40" w:line="220" w:lineRule="exact"/>
              <w:ind w:left="113" w:right="28"/>
              <w:jc w:val="right"/>
              <w:rPr>
                <w:sz w:val="18"/>
              </w:rPr>
            </w:pPr>
            <w:r w:rsidRPr="003A1036">
              <w:rPr>
                <w:sz w:val="18"/>
              </w:rPr>
              <w:t>-</w:t>
            </w:r>
          </w:p>
        </w:tc>
        <w:tc>
          <w:tcPr>
            <w:tcW w:w="814" w:type="dxa"/>
            <w:shd w:val="clear" w:color="auto" w:fill="auto"/>
            <w:noWrap/>
            <w:vAlign w:val="bottom"/>
          </w:tcPr>
          <w:p w14:paraId="09781919" w14:textId="77777777" w:rsidR="00B92948" w:rsidRPr="003A1036" w:rsidRDefault="00B92948" w:rsidP="007D1B32">
            <w:pPr>
              <w:pStyle w:val="SingleTxtG"/>
              <w:tabs>
                <w:tab w:val="clear" w:pos="1701"/>
                <w:tab w:val="clear" w:pos="2268"/>
                <w:tab w:val="clear" w:pos="2835"/>
              </w:tabs>
              <w:spacing w:before="40" w:after="40" w:line="220" w:lineRule="exact"/>
              <w:ind w:left="113" w:right="28"/>
              <w:jc w:val="right"/>
              <w:rPr>
                <w:sz w:val="18"/>
              </w:rPr>
            </w:pPr>
            <w:r w:rsidRPr="003A1036">
              <w:rPr>
                <w:sz w:val="18"/>
              </w:rPr>
              <w:t>-</w:t>
            </w:r>
          </w:p>
        </w:tc>
        <w:tc>
          <w:tcPr>
            <w:tcW w:w="813" w:type="dxa"/>
            <w:shd w:val="clear" w:color="auto" w:fill="auto"/>
            <w:noWrap/>
            <w:vAlign w:val="bottom"/>
          </w:tcPr>
          <w:p w14:paraId="5F6797BE" w14:textId="77777777" w:rsidR="00B92948" w:rsidRPr="003A1036" w:rsidRDefault="00B92948" w:rsidP="007D1B32">
            <w:pPr>
              <w:pStyle w:val="SingleTxtG"/>
              <w:tabs>
                <w:tab w:val="clear" w:pos="1701"/>
                <w:tab w:val="clear" w:pos="2268"/>
                <w:tab w:val="clear" w:pos="2835"/>
              </w:tabs>
              <w:spacing w:before="40" w:after="40" w:line="220" w:lineRule="exact"/>
              <w:ind w:left="113" w:right="28"/>
              <w:jc w:val="right"/>
              <w:rPr>
                <w:sz w:val="18"/>
              </w:rPr>
            </w:pPr>
            <w:r w:rsidRPr="003A1036">
              <w:rPr>
                <w:sz w:val="18"/>
              </w:rPr>
              <w:t>-</w:t>
            </w:r>
          </w:p>
        </w:tc>
        <w:tc>
          <w:tcPr>
            <w:tcW w:w="814" w:type="dxa"/>
            <w:shd w:val="clear" w:color="auto" w:fill="auto"/>
            <w:noWrap/>
            <w:vAlign w:val="bottom"/>
          </w:tcPr>
          <w:p w14:paraId="24352EB0" w14:textId="77777777" w:rsidR="00B92948" w:rsidRPr="003A1036" w:rsidRDefault="00B92948" w:rsidP="007D1B32">
            <w:pPr>
              <w:pStyle w:val="SingleTxtG"/>
              <w:tabs>
                <w:tab w:val="clear" w:pos="1701"/>
                <w:tab w:val="clear" w:pos="2268"/>
                <w:tab w:val="clear" w:pos="2835"/>
              </w:tabs>
              <w:spacing w:before="40" w:after="40" w:line="220" w:lineRule="exact"/>
              <w:ind w:left="113" w:right="28"/>
              <w:jc w:val="right"/>
              <w:rPr>
                <w:sz w:val="18"/>
              </w:rPr>
            </w:pPr>
            <w:r w:rsidRPr="003A1036">
              <w:rPr>
                <w:sz w:val="18"/>
              </w:rPr>
              <w:t>-</w:t>
            </w:r>
          </w:p>
        </w:tc>
        <w:tc>
          <w:tcPr>
            <w:tcW w:w="813" w:type="dxa"/>
            <w:shd w:val="clear" w:color="auto" w:fill="auto"/>
            <w:noWrap/>
            <w:vAlign w:val="bottom"/>
          </w:tcPr>
          <w:p w14:paraId="274CE789" w14:textId="77777777" w:rsidR="00B92948" w:rsidRPr="003A1036" w:rsidRDefault="00B92948" w:rsidP="007D1B32">
            <w:pPr>
              <w:pStyle w:val="SingleTxtG"/>
              <w:tabs>
                <w:tab w:val="clear" w:pos="1701"/>
                <w:tab w:val="clear" w:pos="2268"/>
                <w:tab w:val="clear" w:pos="2835"/>
              </w:tabs>
              <w:spacing w:before="40" w:after="40" w:line="220" w:lineRule="exact"/>
              <w:ind w:left="113" w:right="28"/>
              <w:jc w:val="right"/>
              <w:rPr>
                <w:sz w:val="18"/>
              </w:rPr>
            </w:pPr>
            <w:r w:rsidRPr="003A1036">
              <w:rPr>
                <w:sz w:val="18"/>
              </w:rPr>
              <w:t xml:space="preserve"> </w:t>
            </w:r>
          </w:p>
        </w:tc>
        <w:tc>
          <w:tcPr>
            <w:tcW w:w="814" w:type="dxa"/>
            <w:shd w:val="clear" w:color="auto" w:fill="auto"/>
            <w:noWrap/>
            <w:vAlign w:val="bottom"/>
          </w:tcPr>
          <w:p w14:paraId="4C5B4531" w14:textId="77777777" w:rsidR="00B92948" w:rsidRPr="003A1036" w:rsidRDefault="00B92948" w:rsidP="007D1B32">
            <w:pPr>
              <w:pStyle w:val="SingleTxtG"/>
              <w:tabs>
                <w:tab w:val="clear" w:pos="1701"/>
                <w:tab w:val="clear" w:pos="2268"/>
                <w:tab w:val="clear" w:pos="2835"/>
              </w:tabs>
              <w:spacing w:before="40" w:after="40" w:line="220" w:lineRule="exact"/>
              <w:ind w:left="113" w:right="28"/>
              <w:jc w:val="right"/>
              <w:rPr>
                <w:sz w:val="18"/>
              </w:rPr>
            </w:pPr>
            <w:r w:rsidRPr="003A1036">
              <w:rPr>
                <w:sz w:val="18"/>
              </w:rPr>
              <w:t>305</w:t>
            </w:r>
          </w:p>
        </w:tc>
      </w:tr>
      <w:tr w:rsidR="00B92948" w:rsidRPr="003A1036" w14:paraId="2F925F37" w14:textId="77777777" w:rsidTr="00C92471">
        <w:trPr>
          <w:trHeight w:val="240"/>
        </w:trPr>
        <w:tc>
          <w:tcPr>
            <w:tcW w:w="2810" w:type="dxa"/>
            <w:shd w:val="clear" w:color="auto" w:fill="auto"/>
            <w:noWrap/>
          </w:tcPr>
          <w:p w14:paraId="403BEC2F" w14:textId="77777777" w:rsidR="00B92948" w:rsidRPr="003A1036" w:rsidRDefault="00B92948" w:rsidP="003A1036">
            <w:pPr>
              <w:pStyle w:val="SingleTxtG"/>
              <w:tabs>
                <w:tab w:val="clear" w:pos="1701"/>
                <w:tab w:val="clear" w:pos="2268"/>
                <w:tab w:val="clear" w:pos="2835"/>
              </w:tabs>
              <w:spacing w:before="40" w:after="40" w:line="220" w:lineRule="exact"/>
              <w:ind w:left="0" w:right="0"/>
              <w:jc w:val="left"/>
              <w:rPr>
                <w:sz w:val="18"/>
              </w:rPr>
            </w:pPr>
            <w:r w:rsidRPr="003A1036">
              <w:rPr>
                <w:sz w:val="18"/>
              </w:rPr>
              <w:t>Material de promoción</w:t>
            </w:r>
          </w:p>
        </w:tc>
        <w:tc>
          <w:tcPr>
            <w:tcW w:w="813" w:type="dxa"/>
            <w:shd w:val="clear" w:color="auto" w:fill="auto"/>
            <w:noWrap/>
            <w:vAlign w:val="bottom"/>
          </w:tcPr>
          <w:p w14:paraId="55E09692" w14:textId="77777777" w:rsidR="00B92948" w:rsidRPr="003A1036" w:rsidRDefault="00B92948" w:rsidP="007D1B32">
            <w:pPr>
              <w:pStyle w:val="SingleTxtG"/>
              <w:tabs>
                <w:tab w:val="clear" w:pos="1701"/>
                <w:tab w:val="clear" w:pos="2268"/>
                <w:tab w:val="clear" w:pos="2835"/>
              </w:tabs>
              <w:spacing w:before="40" w:after="40" w:line="220" w:lineRule="exact"/>
              <w:ind w:left="113" w:right="28"/>
              <w:jc w:val="right"/>
              <w:rPr>
                <w:sz w:val="18"/>
              </w:rPr>
            </w:pPr>
            <w:r w:rsidRPr="003A1036">
              <w:rPr>
                <w:sz w:val="18"/>
              </w:rPr>
              <w:t>740</w:t>
            </w:r>
          </w:p>
        </w:tc>
        <w:tc>
          <w:tcPr>
            <w:tcW w:w="813" w:type="dxa"/>
            <w:shd w:val="clear" w:color="auto" w:fill="auto"/>
            <w:noWrap/>
            <w:vAlign w:val="bottom"/>
          </w:tcPr>
          <w:p w14:paraId="23FD5487" w14:textId="77777777" w:rsidR="00B92948" w:rsidRPr="003A1036" w:rsidRDefault="00B92948" w:rsidP="007D1B32">
            <w:pPr>
              <w:pStyle w:val="SingleTxtG"/>
              <w:tabs>
                <w:tab w:val="clear" w:pos="1701"/>
                <w:tab w:val="clear" w:pos="2268"/>
                <w:tab w:val="clear" w:pos="2835"/>
              </w:tabs>
              <w:spacing w:before="40" w:after="40" w:line="220" w:lineRule="exact"/>
              <w:ind w:left="113" w:right="28"/>
              <w:jc w:val="right"/>
              <w:rPr>
                <w:sz w:val="18"/>
              </w:rPr>
            </w:pPr>
            <w:r w:rsidRPr="003A1036">
              <w:rPr>
                <w:sz w:val="18"/>
              </w:rPr>
              <w:t>-</w:t>
            </w:r>
          </w:p>
        </w:tc>
        <w:tc>
          <w:tcPr>
            <w:tcW w:w="814" w:type="dxa"/>
            <w:shd w:val="clear" w:color="auto" w:fill="auto"/>
            <w:noWrap/>
            <w:vAlign w:val="bottom"/>
          </w:tcPr>
          <w:p w14:paraId="48A091B0" w14:textId="77777777" w:rsidR="00B92948" w:rsidRPr="003A1036" w:rsidRDefault="00B92948" w:rsidP="007D1B32">
            <w:pPr>
              <w:pStyle w:val="SingleTxtG"/>
              <w:tabs>
                <w:tab w:val="clear" w:pos="1701"/>
                <w:tab w:val="clear" w:pos="2268"/>
                <w:tab w:val="clear" w:pos="2835"/>
              </w:tabs>
              <w:spacing w:before="40" w:after="40" w:line="220" w:lineRule="exact"/>
              <w:ind w:left="113" w:right="28"/>
              <w:jc w:val="right"/>
              <w:rPr>
                <w:sz w:val="18"/>
              </w:rPr>
            </w:pPr>
            <w:r w:rsidRPr="003A1036">
              <w:rPr>
                <w:sz w:val="18"/>
              </w:rPr>
              <w:t>-</w:t>
            </w:r>
          </w:p>
        </w:tc>
        <w:tc>
          <w:tcPr>
            <w:tcW w:w="813" w:type="dxa"/>
            <w:shd w:val="clear" w:color="auto" w:fill="auto"/>
            <w:noWrap/>
            <w:vAlign w:val="bottom"/>
          </w:tcPr>
          <w:p w14:paraId="5301F430" w14:textId="77777777" w:rsidR="00B92948" w:rsidRPr="003A1036" w:rsidRDefault="00B92948" w:rsidP="007D1B32">
            <w:pPr>
              <w:pStyle w:val="SingleTxtG"/>
              <w:tabs>
                <w:tab w:val="clear" w:pos="1701"/>
                <w:tab w:val="clear" w:pos="2268"/>
                <w:tab w:val="clear" w:pos="2835"/>
              </w:tabs>
              <w:spacing w:before="40" w:after="40" w:line="220" w:lineRule="exact"/>
              <w:ind w:left="113" w:right="28"/>
              <w:jc w:val="right"/>
              <w:rPr>
                <w:sz w:val="18"/>
              </w:rPr>
            </w:pPr>
            <w:r w:rsidRPr="003A1036">
              <w:rPr>
                <w:sz w:val="18"/>
              </w:rPr>
              <w:t>714</w:t>
            </w:r>
          </w:p>
        </w:tc>
        <w:tc>
          <w:tcPr>
            <w:tcW w:w="814" w:type="dxa"/>
            <w:shd w:val="clear" w:color="auto" w:fill="auto"/>
            <w:noWrap/>
            <w:vAlign w:val="bottom"/>
          </w:tcPr>
          <w:p w14:paraId="0D01BAD2" w14:textId="77777777" w:rsidR="00B92948" w:rsidRPr="003A1036" w:rsidRDefault="00B92948" w:rsidP="007D1B32">
            <w:pPr>
              <w:pStyle w:val="SingleTxtG"/>
              <w:tabs>
                <w:tab w:val="clear" w:pos="1701"/>
                <w:tab w:val="clear" w:pos="2268"/>
                <w:tab w:val="clear" w:pos="2835"/>
              </w:tabs>
              <w:spacing w:before="40" w:after="40" w:line="220" w:lineRule="exact"/>
              <w:ind w:left="113" w:right="28"/>
              <w:jc w:val="right"/>
              <w:rPr>
                <w:sz w:val="18"/>
              </w:rPr>
            </w:pPr>
            <w:r w:rsidRPr="003A1036">
              <w:rPr>
                <w:sz w:val="18"/>
              </w:rPr>
              <w:t>751</w:t>
            </w:r>
          </w:p>
        </w:tc>
        <w:tc>
          <w:tcPr>
            <w:tcW w:w="813" w:type="dxa"/>
            <w:shd w:val="clear" w:color="auto" w:fill="auto"/>
            <w:noWrap/>
            <w:vAlign w:val="bottom"/>
          </w:tcPr>
          <w:p w14:paraId="1668B48D" w14:textId="77777777" w:rsidR="00B92948" w:rsidRPr="003A1036" w:rsidRDefault="00B92948" w:rsidP="007D1B32">
            <w:pPr>
              <w:pStyle w:val="SingleTxtG"/>
              <w:tabs>
                <w:tab w:val="clear" w:pos="1701"/>
                <w:tab w:val="clear" w:pos="2268"/>
                <w:tab w:val="clear" w:pos="2835"/>
              </w:tabs>
              <w:spacing w:before="40" w:after="40" w:line="220" w:lineRule="exact"/>
              <w:ind w:left="113" w:right="28"/>
              <w:jc w:val="right"/>
              <w:rPr>
                <w:sz w:val="18"/>
              </w:rPr>
            </w:pPr>
            <w:r w:rsidRPr="003A1036">
              <w:rPr>
                <w:sz w:val="18"/>
              </w:rPr>
              <w:t>1 003</w:t>
            </w:r>
          </w:p>
        </w:tc>
        <w:tc>
          <w:tcPr>
            <w:tcW w:w="814" w:type="dxa"/>
            <w:shd w:val="clear" w:color="auto" w:fill="auto"/>
            <w:noWrap/>
            <w:vAlign w:val="bottom"/>
          </w:tcPr>
          <w:p w14:paraId="49E349C8" w14:textId="77777777" w:rsidR="00B92948" w:rsidRPr="003A1036" w:rsidRDefault="00B92948" w:rsidP="007D1B32">
            <w:pPr>
              <w:pStyle w:val="SingleTxtG"/>
              <w:tabs>
                <w:tab w:val="clear" w:pos="1701"/>
                <w:tab w:val="clear" w:pos="2268"/>
                <w:tab w:val="clear" w:pos="2835"/>
              </w:tabs>
              <w:spacing w:before="40" w:after="40" w:line="220" w:lineRule="exact"/>
              <w:ind w:left="113" w:right="28"/>
              <w:jc w:val="right"/>
              <w:rPr>
                <w:sz w:val="18"/>
              </w:rPr>
            </w:pPr>
            <w:r w:rsidRPr="003A1036">
              <w:rPr>
                <w:sz w:val="18"/>
              </w:rPr>
              <w:t>3208</w:t>
            </w:r>
          </w:p>
        </w:tc>
      </w:tr>
      <w:tr w:rsidR="00B92948" w:rsidRPr="003A1036" w14:paraId="6FEC6964" w14:textId="77777777" w:rsidTr="00C92471">
        <w:trPr>
          <w:trHeight w:val="240"/>
        </w:trPr>
        <w:tc>
          <w:tcPr>
            <w:tcW w:w="2810" w:type="dxa"/>
            <w:shd w:val="clear" w:color="auto" w:fill="auto"/>
            <w:noWrap/>
          </w:tcPr>
          <w:p w14:paraId="1D5B877E" w14:textId="77777777" w:rsidR="00B92948" w:rsidRPr="003A1036" w:rsidRDefault="00B92948" w:rsidP="003A1036">
            <w:pPr>
              <w:pStyle w:val="SingleTxtG"/>
              <w:tabs>
                <w:tab w:val="clear" w:pos="1701"/>
                <w:tab w:val="clear" w:pos="2268"/>
                <w:tab w:val="clear" w:pos="2835"/>
              </w:tabs>
              <w:spacing w:before="40" w:after="40" w:line="220" w:lineRule="exact"/>
              <w:ind w:left="0" w:right="0"/>
              <w:jc w:val="left"/>
              <w:rPr>
                <w:sz w:val="18"/>
              </w:rPr>
            </w:pPr>
            <w:r w:rsidRPr="003A1036">
              <w:rPr>
                <w:sz w:val="18"/>
              </w:rPr>
              <w:t>Conferencias</w:t>
            </w:r>
          </w:p>
        </w:tc>
        <w:tc>
          <w:tcPr>
            <w:tcW w:w="813" w:type="dxa"/>
            <w:shd w:val="clear" w:color="auto" w:fill="auto"/>
            <w:noWrap/>
            <w:vAlign w:val="bottom"/>
          </w:tcPr>
          <w:p w14:paraId="5B699D53" w14:textId="77777777" w:rsidR="00B92948" w:rsidRPr="003A1036" w:rsidRDefault="00B92948" w:rsidP="007D1B32">
            <w:pPr>
              <w:pStyle w:val="SingleTxtG"/>
              <w:tabs>
                <w:tab w:val="clear" w:pos="1701"/>
                <w:tab w:val="clear" w:pos="2268"/>
                <w:tab w:val="clear" w:pos="2835"/>
              </w:tabs>
              <w:spacing w:before="40" w:after="40" w:line="220" w:lineRule="exact"/>
              <w:ind w:left="113" w:right="28"/>
              <w:jc w:val="right"/>
              <w:rPr>
                <w:sz w:val="18"/>
              </w:rPr>
            </w:pPr>
            <w:r w:rsidRPr="003A1036">
              <w:rPr>
                <w:sz w:val="18"/>
              </w:rPr>
              <w:t>85</w:t>
            </w:r>
          </w:p>
        </w:tc>
        <w:tc>
          <w:tcPr>
            <w:tcW w:w="813" w:type="dxa"/>
            <w:shd w:val="clear" w:color="auto" w:fill="auto"/>
            <w:noWrap/>
            <w:vAlign w:val="bottom"/>
          </w:tcPr>
          <w:p w14:paraId="7DC56DF6" w14:textId="77777777" w:rsidR="00B92948" w:rsidRPr="003A1036" w:rsidRDefault="00B92948" w:rsidP="007D1B32">
            <w:pPr>
              <w:pStyle w:val="SingleTxtG"/>
              <w:tabs>
                <w:tab w:val="clear" w:pos="1701"/>
                <w:tab w:val="clear" w:pos="2268"/>
                <w:tab w:val="clear" w:pos="2835"/>
              </w:tabs>
              <w:spacing w:before="40" w:after="40" w:line="220" w:lineRule="exact"/>
              <w:ind w:left="113" w:right="28"/>
              <w:jc w:val="right"/>
              <w:rPr>
                <w:sz w:val="18"/>
              </w:rPr>
            </w:pPr>
            <w:r w:rsidRPr="003A1036">
              <w:rPr>
                <w:sz w:val="18"/>
              </w:rPr>
              <w:t>-</w:t>
            </w:r>
          </w:p>
        </w:tc>
        <w:tc>
          <w:tcPr>
            <w:tcW w:w="814" w:type="dxa"/>
            <w:shd w:val="clear" w:color="auto" w:fill="auto"/>
            <w:noWrap/>
            <w:vAlign w:val="bottom"/>
          </w:tcPr>
          <w:p w14:paraId="1A187D64" w14:textId="77777777" w:rsidR="00B92948" w:rsidRPr="003A1036" w:rsidRDefault="00B92948" w:rsidP="007D1B32">
            <w:pPr>
              <w:pStyle w:val="SingleTxtG"/>
              <w:tabs>
                <w:tab w:val="clear" w:pos="1701"/>
                <w:tab w:val="clear" w:pos="2268"/>
                <w:tab w:val="clear" w:pos="2835"/>
              </w:tabs>
              <w:spacing w:before="40" w:after="40" w:line="220" w:lineRule="exact"/>
              <w:ind w:left="113" w:right="28"/>
              <w:jc w:val="right"/>
              <w:rPr>
                <w:sz w:val="18"/>
              </w:rPr>
            </w:pPr>
            <w:r w:rsidRPr="003A1036">
              <w:rPr>
                <w:sz w:val="18"/>
              </w:rPr>
              <w:t>-</w:t>
            </w:r>
          </w:p>
        </w:tc>
        <w:tc>
          <w:tcPr>
            <w:tcW w:w="813" w:type="dxa"/>
            <w:shd w:val="clear" w:color="auto" w:fill="auto"/>
            <w:noWrap/>
            <w:vAlign w:val="bottom"/>
          </w:tcPr>
          <w:p w14:paraId="388F2518" w14:textId="77777777" w:rsidR="00B92948" w:rsidRPr="003A1036" w:rsidRDefault="00B92948" w:rsidP="007D1B32">
            <w:pPr>
              <w:pStyle w:val="SingleTxtG"/>
              <w:tabs>
                <w:tab w:val="clear" w:pos="1701"/>
                <w:tab w:val="clear" w:pos="2268"/>
                <w:tab w:val="clear" w:pos="2835"/>
              </w:tabs>
              <w:spacing w:before="40" w:after="40" w:line="220" w:lineRule="exact"/>
              <w:ind w:left="113" w:right="28"/>
              <w:jc w:val="right"/>
              <w:rPr>
                <w:sz w:val="18"/>
              </w:rPr>
            </w:pPr>
            <w:r w:rsidRPr="003A1036">
              <w:rPr>
                <w:sz w:val="18"/>
              </w:rPr>
              <w:t>63</w:t>
            </w:r>
          </w:p>
        </w:tc>
        <w:tc>
          <w:tcPr>
            <w:tcW w:w="814" w:type="dxa"/>
            <w:shd w:val="clear" w:color="auto" w:fill="auto"/>
            <w:noWrap/>
            <w:vAlign w:val="bottom"/>
          </w:tcPr>
          <w:p w14:paraId="668ED34C" w14:textId="77777777" w:rsidR="00B92948" w:rsidRPr="003A1036" w:rsidRDefault="00B92948" w:rsidP="007D1B32">
            <w:pPr>
              <w:pStyle w:val="SingleTxtG"/>
              <w:tabs>
                <w:tab w:val="clear" w:pos="1701"/>
                <w:tab w:val="clear" w:pos="2268"/>
                <w:tab w:val="clear" w:pos="2835"/>
              </w:tabs>
              <w:spacing w:before="40" w:after="40" w:line="220" w:lineRule="exact"/>
              <w:ind w:left="113" w:right="28"/>
              <w:jc w:val="right"/>
              <w:rPr>
                <w:sz w:val="18"/>
              </w:rPr>
            </w:pPr>
            <w:r w:rsidRPr="003A1036">
              <w:rPr>
                <w:sz w:val="18"/>
              </w:rPr>
              <w:t>9</w:t>
            </w:r>
          </w:p>
        </w:tc>
        <w:tc>
          <w:tcPr>
            <w:tcW w:w="813" w:type="dxa"/>
            <w:shd w:val="clear" w:color="auto" w:fill="auto"/>
            <w:noWrap/>
            <w:vAlign w:val="bottom"/>
          </w:tcPr>
          <w:p w14:paraId="104CF2B0" w14:textId="77777777" w:rsidR="00B92948" w:rsidRPr="003A1036" w:rsidRDefault="00B92948" w:rsidP="007D1B32">
            <w:pPr>
              <w:pStyle w:val="SingleTxtG"/>
              <w:tabs>
                <w:tab w:val="clear" w:pos="1701"/>
                <w:tab w:val="clear" w:pos="2268"/>
                <w:tab w:val="clear" w:pos="2835"/>
              </w:tabs>
              <w:spacing w:before="40" w:after="40" w:line="220" w:lineRule="exact"/>
              <w:ind w:left="113" w:right="28"/>
              <w:jc w:val="right"/>
              <w:rPr>
                <w:sz w:val="18"/>
              </w:rPr>
            </w:pPr>
            <w:r w:rsidRPr="003A1036">
              <w:rPr>
                <w:sz w:val="18"/>
              </w:rPr>
              <w:t>250</w:t>
            </w:r>
          </w:p>
        </w:tc>
        <w:tc>
          <w:tcPr>
            <w:tcW w:w="814" w:type="dxa"/>
            <w:shd w:val="clear" w:color="auto" w:fill="auto"/>
            <w:noWrap/>
            <w:vAlign w:val="bottom"/>
          </w:tcPr>
          <w:p w14:paraId="730708E0" w14:textId="77777777" w:rsidR="00B92948" w:rsidRPr="003A1036" w:rsidRDefault="00B92948" w:rsidP="007D1B32">
            <w:pPr>
              <w:pStyle w:val="SingleTxtG"/>
              <w:tabs>
                <w:tab w:val="clear" w:pos="1701"/>
                <w:tab w:val="clear" w:pos="2268"/>
                <w:tab w:val="clear" w:pos="2835"/>
              </w:tabs>
              <w:spacing w:before="40" w:after="40" w:line="220" w:lineRule="exact"/>
              <w:ind w:left="113" w:right="28"/>
              <w:jc w:val="right"/>
              <w:rPr>
                <w:sz w:val="18"/>
              </w:rPr>
            </w:pPr>
            <w:r w:rsidRPr="003A1036">
              <w:rPr>
                <w:sz w:val="18"/>
              </w:rPr>
              <w:t>407</w:t>
            </w:r>
          </w:p>
        </w:tc>
      </w:tr>
      <w:tr w:rsidR="00B92948" w:rsidRPr="003A1036" w14:paraId="3B199E0D" w14:textId="77777777" w:rsidTr="00C92471">
        <w:trPr>
          <w:trHeight w:val="240"/>
        </w:trPr>
        <w:tc>
          <w:tcPr>
            <w:tcW w:w="2810" w:type="dxa"/>
            <w:tcBorders>
              <w:bottom w:val="single" w:sz="12" w:space="0" w:color="auto"/>
            </w:tcBorders>
            <w:shd w:val="clear" w:color="auto" w:fill="auto"/>
            <w:noWrap/>
          </w:tcPr>
          <w:p w14:paraId="5B941072" w14:textId="77777777" w:rsidR="00B92948" w:rsidRPr="003A1036" w:rsidRDefault="00B92948" w:rsidP="003A1036">
            <w:pPr>
              <w:pStyle w:val="SingleTxtG"/>
              <w:tabs>
                <w:tab w:val="clear" w:pos="1701"/>
                <w:tab w:val="clear" w:pos="2268"/>
                <w:tab w:val="clear" w:pos="2835"/>
              </w:tabs>
              <w:spacing w:before="40" w:after="40" w:line="220" w:lineRule="exact"/>
              <w:ind w:left="0" w:right="0"/>
              <w:jc w:val="left"/>
              <w:rPr>
                <w:sz w:val="18"/>
              </w:rPr>
            </w:pPr>
            <w:r w:rsidRPr="003A1036">
              <w:rPr>
                <w:sz w:val="18"/>
              </w:rPr>
              <w:t>Encuestas</w:t>
            </w:r>
          </w:p>
        </w:tc>
        <w:tc>
          <w:tcPr>
            <w:tcW w:w="813" w:type="dxa"/>
            <w:tcBorders>
              <w:bottom w:val="single" w:sz="12" w:space="0" w:color="auto"/>
            </w:tcBorders>
            <w:shd w:val="clear" w:color="auto" w:fill="auto"/>
            <w:noWrap/>
            <w:vAlign w:val="bottom"/>
          </w:tcPr>
          <w:p w14:paraId="5A47CDA3" w14:textId="77777777" w:rsidR="00B92948" w:rsidRPr="003A1036" w:rsidRDefault="00B92948" w:rsidP="007D1B32">
            <w:pPr>
              <w:pStyle w:val="SingleTxtG"/>
              <w:tabs>
                <w:tab w:val="clear" w:pos="1701"/>
                <w:tab w:val="clear" w:pos="2268"/>
                <w:tab w:val="clear" w:pos="2835"/>
              </w:tabs>
              <w:spacing w:before="40" w:after="40" w:line="220" w:lineRule="exact"/>
              <w:ind w:left="113" w:right="28"/>
              <w:jc w:val="right"/>
              <w:rPr>
                <w:sz w:val="18"/>
              </w:rPr>
            </w:pPr>
            <w:r w:rsidRPr="003A1036">
              <w:rPr>
                <w:sz w:val="18"/>
              </w:rPr>
              <w:t xml:space="preserve"> </w:t>
            </w:r>
          </w:p>
        </w:tc>
        <w:tc>
          <w:tcPr>
            <w:tcW w:w="813" w:type="dxa"/>
            <w:tcBorders>
              <w:bottom w:val="single" w:sz="12" w:space="0" w:color="auto"/>
            </w:tcBorders>
            <w:shd w:val="clear" w:color="auto" w:fill="auto"/>
            <w:noWrap/>
            <w:vAlign w:val="bottom"/>
          </w:tcPr>
          <w:p w14:paraId="0FA8D975" w14:textId="77777777" w:rsidR="00B92948" w:rsidRPr="003A1036" w:rsidRDefault="00B92948" w:rsidP="007D1B32">
            <w:pPr>
              <w:pStyle w:val="SingleTxtG"/>
              <w:tabs>
                <w:tab w:val="clear" w:pos="1701"/>
                <w:tab w:val="clear" w:pos="2268"/>
                <w:tab w:val="clear" w:pos="2835"/>
              </w:tabs>
              <w:spacing w:before="40" w:after="40" w:line="220" w:lineRule="exact"/>
              <w:ind w:left="113" w:right="28"/>
              <w:jc w:val="right"/>
              <w:rPr>
                <w:sz w:val="18"/>
              </w:rPr>
            </w:pPr>
            <w:r w:rsidRPr="003A1036">
              <w:rPr>
                <w:sz w:val="18"/>
              </w:rPr>
              <w:t xml:space="preserve"> </w:t>
            </w:r>
          </w:p>
        </w:tc>
        <w:tc>
          <w:tcPr>
            <w:tcW w:w="814" w:type="dxa"/>
            <w:tcBorders>
              <w:bottom w:val="single" w:sz="12" w:space="0" w:color="auto"/>
            </w:tcBorders>
            <w:shd w:val="clear" w:color="auto" w:fill="auto"/>
            <w:noWrap/>
            <w:vAlign w:val="bottom"/>
          </w:tcPr>
          <w:p w14:paraId="5BAB1EEA" w14:textId="77777777" w:rsidR="00B92948" w:rsidRPr="003A1036" w:rsidRDefault="00B92948" w:rsidP="007D1B32">
            <w:pPr>
              <w:pStyle w:val="SingleTxtG"/>
              <w:tabs>
                <w:tab w:val="clear" w:pos="1701"/>
                <w:tab w:val="clear" w:pos="2268"/>
                <w:tab w:val="clear" w:pos="2835"/>
              </w:tabs>
              <w:spacing w:before="40" w:after="40" w:line="220" w:lineRule="exact"/>
              <w:ind w:left="113" w:right="28"/>
              <w:jc w:val="right"/>
              <w:rPr>
                <w:sz w:val="18"/>
              </w:rPr>
            </w:pPr>
            <w:r w:rsidRPr="003A1036">
              <w:rPr>
                <w:sz w:val="18"/>
              </w:rPr>
              <w:t xml:space="preserve"> </w:t>
            </w:r>
          </w:p>
        </w:tc>
        <w:tc>
          <w:tcPr>
            <w:tcW w:w="813" w:type="dxa"/>
            <w:tcBorders>
              <w:bottom w:val="single" w:sz="12" w:space="0" w:color="auto"/>
            </w:tcBorders>
            <w:shd w:val="clear" w:color="auto" w:fill="auto"/>
            <w:noWrap/>
            <w:vAlign w:val="bottom"/>
          </w:tcPr>
          <w:p w14:paraId="4ECDE6CD" w14:textId="77777777" w:rsidR="00B92948" w:rsidRPr="003A1036" w:rsidRDefault="00B92948" w:rsidP="007D1B32">
            <w:pPr>
              <w:pStyle w:val="SingleTxtG"/>
              <w:tabs>
                <w:tab w:val="clear" w:pos="1701"/>
                <w:tab w:val="clear" w:pos="2268"/>
                <w:tab w:val="clear" w:pos="2835"/>
              </w:tabs>
              <w:spacing w:before="40" w:after="40" w:line="220" w:lineRule="exact"/>
              <w:ind w:left="113" w:right="28"/>
              <w:jc w:val="right"/>
              <w:rPr>
                <w:sz w:val="18"/>
              </w:rPr>
            </w:pPr>
            <w:r w:rsidRPr="003A1036">
              <w:rPr>
                <w:sz w:val="18"/>
              </w:rPr>
              <w:t xml:space="preserve"> </w:t>
            </w:r>
          </w:p>
        </w:tc>
        <w:tc>
          <w:tcPr>
            <w:tcW w:w="814" w:type="dxa"/>
            <w:tcBorders>
              <w:bottom w:val="single" w:sz="12" w:space="0" w:color="auto"/>
            </w:tcBorders>
            <w:shd w:val="clear" w:color="auto" w:fill="auto"/>
            <w:noWrap/>
            <w:vAlign w:val="bottom"/>
          </w:tcPr>
          <w:p w14:paraId="4C1C209C" w14:textId="77777777" w:rsidR="00B92948" w:rsidRPr="003A1036" w:rsidRDefault="00B92948" w:rsidP="007D1B32">
            <w:pPr>
              <w:pStyle w:val="SingleTxtG"/>
              <w:tabs>
                <w:tab w:val="clear" w:pos="1701"/>
                <w:tab w:val="clear" w:pos="2268"/>
                <w:tab w:val="clear" w:pos="2835"/>
              </w:tabs>
              <w:spacing w:before="40" w:after="40" w:line="220" w:lineRule="exact"/>
              <w:ind w:left="113" w:right="28"/>
              <w:jc w:val="right"/>
              <w:rPr>
                <w:sz w:val="18"/>
              </w:rPr>
            </w:pPr>
            <w:r w:rsidRPr="003A1036">
              <w:rPr>
                <w:sz w:val="18"/>
              </w:rPr>
              <w:t>62</w:t>
            </w:r>
          </w:p>
        </w:tc>
        <w:tc>
          <w:tcPr>
            <w:tcW w:w="813" w:type="dxa"/>
            <w:tcBorders>
              <w:bottom w:val="single" w:sz="12" w:space="0" w:color="auto"/>
            </w:tcBorders>
            <w:shd w:val="clear" w:color="auto" w:fill="auto"/>
            <w:noWrap/>
            <w:vAlign w:val="bottom"/>
          </w:tcPr>
          <w:p w14:paraId="6E1BEE37" w14:textId="77777777" w:rsidR="00B92948" w:rsidRPr="003A1036" w:rsidRDefault="00B92948" w:rsidP="007D1B32">
            <w:pPr>
              <w:pStyle w:val="SingleTxtG"/>
              <w:tabs>
                <w:tab w:val="clear" w:pos="1701"/>
                <w:tab w:val="clear" w:pos="2268"/>
                <w:tab w:val="clear" w:pos="2835"/>
              </w:tabs>
              <w:spacing w:before="40" w:after="40" w:line="220" w:lineRule="exact"/>
              <w:ind w:left="113" w:right="28"/>
              <w:jc w:val="right"/>
              <w:rPr>
                <w:sz w:val="18"/>
              </w:rPr>
            </w:pPr>
            <w:r w:rsidRPr="003A1036">
              <w:rPr>
                <w:sz w:val="18"/>
              </w:rPr>
              <w:t>203</w:t>
            </w:r>
          </w:p>
        </w:tc>
        <w:tc>
          <w:tcPr>
            <w:tcW w:w="814" w:type="dxa"/>
            <w:tcBorders>
              <w:bottom w:val="single" w:sz="12" w:space="0" w:color="auto"/>
            </w:tcBorders>
            <w:shd w:val="clear" w:color="auto" w:fill="auto"/>
            <w:noWrap/>
            <w:vAlign w:val="bottom"/>
          </w:tcPr>
          <w:p w14:paraId="408EA340" w14:textId="77777777" w:rsidR="00B92948" w:rsidRPr="003A1036" w:rsidRDefault="00B92948" w:rsidP="007D1B32">
            <w:pPr>
              <w:pStyle w:val="SingleTxtG"/>
              <w:tabs>
                <w:tab w:val="clear" w:pos="1701"/>
                <w:tab w:val="clear" w:pos="2268"/>
                <w:tab w:val="clear" w:pos="2835"/>
              </w:tabs>
              <w:spacing w:before="40" w:after="40" w:line="220" w:lineRule="exact"/>
              <w:ind w:left="113" w:right="28"/>
              <w:jc w:val="right"/>
              <w:rPr>
                <w:sz w:val="18"/>
              </w:rPr>
            </w:pPr>
            <w:r w:rsidRPr="003A1036">
              <w:rPr>
                <w:sz w:val="18"/>
              </w:rPr>
              <w:t>265</w:t>
            </w:r>
          </w:p>
        </w:tc>
      </w:tr>
    </w:tbl>
    <w:p w14:paraId="60D11D5B" w14:textId="77777777" w:rsidR="00B92948" w:rsidRPr="00B92948" w:rsidRDefault="00B92948" w:rsidP="00624630">
      <w:pPr>
        <w:pStyle w:val="SingleTxtG"/>
        <w:spacing w:before="240"/>
      </w:pPr>
      <w:r w:rsidRPr="00B92948">
        <w:t>149.</w:t>
      </w:r>
      <w:r w:rsidRPr="00B92948">
        <w:tab/>
        <w:t xml:space="preserve">A fin de promover la salud sexual y reproductiva, las ONG han realizado actividades en dos centros de información para jóvenes </w:t>
      </w:r>
      <w:r w:rsidR="00147E0E">
        <w:t>“</w:t>
      </w:r>
      <w:r w:rsidRPr="00B92948">
        <w:t>Quiero Saber</w:t>
      </w:r>
      <w:r w:rsidR="00147E0E">
        <w:t>”</w:t>
      </w:r>
      <w:r w:rsidRPr="00B92948">
        <w:t xml:space="preserve"> en Skopie, en los que se ofrece gratuitamente a grupos de jóvenes vulnerables y marginados reconocimientos médicos gratuitos, asesoramiento y pruebas de detección de infecciones de transmisión sexual. En </w:t>
      </w:r>
      <w:r w:rsidRPr="00B92948">
        <w:lastRenderedPageBreak/>
        <w:t>diez años de funcionamiento, se han prestado más de 80.000 servicios a unos 25.000 jóvenes, el 20</w:t>
      </w:r>
      <w:r w:rsidR="000C0C75">
        <w:t> %</w:t>
      </w:r>
      <w:r w:rsidRPr="00B92948">
        <w:t xml:space="preserve"> de ellos estudiantes universitarios y de escuelas secundarias.</w:t>
      </w:r>
    </w:p>
    <w:p w14:paraId="51601495" w14:textId="77777777" w:rsidR="00B92948" w:rsidRPr="00B92948" w:rsidRDefault="00B92948" w:rsidP="00B92948">
      <w:pPr>
        <w:pStyle w:val="SingleTxtG"/>
      </w:pPr>
      <w:r w:rsidRPr="00B92948">
        <w:t>150.</w:t>
      </w:r>
      <w:r w:rsidRPr="00B92948">
        <w:tab/>
        <w:t>El Programa de Educación sobre Competencias para la Vida, actualmente en curso y que comenzó a impartirse en las escuelas primarias y secundarias en 2009, incorpora algunos de los temas considerados indispensables para toda educación integral sobre la salud sexual y reproductiva.</w:t>
      </w:r>
    </w:p>
    <w:p w14:paraId="6E0280E0" w14:textId="77777777" w:rsidR="00B92948" w:rsidRPr="00B92948" w:rsidRDefault="00B92948" w:rsidP="00B92948">
      <w:pPr>
        <w:pStyle w:val="SingleTxtG"/>
      </w:pPr>
      <w:r w:rsidRPr="00B92948">
        <w:t>151.</w:t>
      </w:r>
      <w:r w:rsidRPr="00B92948">
        <w:tab/>
        <w:t>Sobre la base del análisis realizado en relación con los manuales de competencias para la vida sobre la representación de temas relativos a los derechos de salud sexual y reproductiva, de conformidad con el Marco para la Educación Sexual Integral, se ha preparado un manual para maestros de escuela primaria sobre temas relativos a los derechos de salud sexual y reproductiva que se ha utilizado para ejecutar un proyecto piloto de educación sexual integral en dos escuelas primarias de la ciudad de Skopie.</w:t>
      </w:r>
    </w:p>
    <w:p w14:paraId="71170F07" w14:textId="77777777" w:rsidR="00B92948" w:rsidRPr="00B92948" w:rsidRDefault="00B92948" w:rsidP="00B92948">
      <w:pPr>
        <w:pStyle w:val="SingleTxtG"/>
      </w:pPr>
      <w:r w:rsidRPr="00B92948">
        <w:t>152.</w:t>
      </w:r>
      <w:r w:rsidRPr="00B92948">
        <w:tab/>
        <w:t>El programa de enseñanza entre pares en relación con los derechos de salud sexual y reproductiva se viene impartiendo desde hace casi 20 años en el país. Inicialmente, su objetivo es educar a los jóvenes en la prevención del VIH y luego impartir información entre pares sobre la anticoncepción, la protección contra las infecciones de transmisión sexual y los comportamientos seguros de salud sexual y reproductiva. En la actualidad, el programa se ejecuta en varias escuelas y en los Centros Juveniles de Salud Sexual y Reproductiva de Skopie. Como se prevé en los manuales de enseñanza entre pares sobre los temas relativos a los derechos de salud sexual y reproductiva, el programa consta de 12 horas de trabajo (10</w:t>
      </w:r>
      <w:r w:rsidR="00C457D0">
        <w:t> </w:t>
      </w:r>
      <w:r w:rsidRPr="00B92948">
        <w:t>efectivas)</w:t>
      </w:r>
      <w:r w:rsidRPr="00B92948">
        <w:rPr>
          <w:rStyle w:val="Refdenotaalpie"/>
        </w:rPr>
        <w:footnoteReference w:id="42"/>
      </w:r>
      <w:r w:rsidRPr="00B92948">
        <w:t>. También se han establecido normas de capacitación para la enseñanza entre pares, así como un sistema de tutoría y supervisión de la ejecución, en tanto que el impacto del programa en los conocimientos y actitudes de los participantes se supervisa mediante pruebas previas y posteriores.</w:t>
      </w:r>
    </w:p>
    <w:p w14:paraId="1CA870E9" w14:textId="77777777" w:rsidR="00B92948" w:rsidRPr="00B92948" w:rsidRDefault="00B92948" w:rsidP="00624630">
      <w:pPr>
        <w:pStyle w:val="H23G"/>
      </w:pPr>
      <w:r w:rsidRPr="00B92948">
        <w:tab/>
        <w:t>d)</w:t>
      </w:r>
      <w:r w:rsidRPr="00B92948">
        <w:tab/>
        <w:t>Medidas para proteger a los niños contra el uso indebido de sustancias (art. 33)</w:t>
      </w:r>
      <w:bookmarkStart w:id="62" w:name="_Toc56781463"/>
      <w:bookmarkEnd w:id="62"/>
    </w:p>
    <w:p w14:paraId="05006DBE" w14:textId="77777777" w:rsidR="00B92948" w:rsidRPr="00B92948" w:rsidRDefault="00B92948" w:rsidP="00B92948">
      <w:pPr>
        <w:pStyle w:val="SingleTxtG"/>
      </w:pPr>
      <w:r w:rsidRPr="00B92948">
        <w:t>153.</w:t>
      </w:r>
      <w:r w:rsidRPr="00B92948">
        <w:tab/>
        <w:t>El Gobierno aprobó la Estrategia Nacional sobre Drogas 2014-2020 y el correspondiente Plan de Acción 2014-2017. El objetivo de la Estrategia es reducir la demanda y la oferta de drogas, así como los riesgos sanitarios y sociales y los daños causados por las drogas.</w:t>
      </w:r>
    </w:p>
    <w:p w14:paraId="7C7ED65B" w14:textId="77777777" w:rsidR="00B92948" w:rsidRPr="00B92948" w:rsidRDefault="00B92948" w:rsidP="00B92948">
      <w:pPr>
        <w:pStyle w:val="SingleTxtG"/>
      </w:pPr>
      <w:r w:rsidRPr="00B92948">
        <w:t>154.</w:t>
      </w:r>
      <w:r w:rsidRPr="00B92948">
        <w:tab/>
        <w:t xml:space="preserve">Se abrieron centros de asesoramiento sobre la prevención del consumo de drogas y otras sustancias psicoactivas para estudiantes secundarios en Skopie (2012) y en el barrio </w:t>
      </w:r>
      <w:proofErr w:type="spellStart"/>
      <w:r w:rsidRPr="00B92948">
        <w:t>Shuto</w:t>
      </w:r>
      <w:proofErr w:type="spellEnd"/>
      <w:r w:rsidRPr="00B92948">
        <w:t xml:space="preserve"> </w:t>
      </w:r>
      <w:proofErr w:type="spellStart"/>
      <w:r w:rsidRPr="00B92948">
        <w:t>Orizari</w:t>
      </w:r>
      <w:proofErr w:type="spellEnd"/>
      <w:r w:rsidRPr="00B92948">
        <w:t xml:space="preserve">, cuya población es principalmente romaní (2016). </w:t>
      </w:r>
    </w:p>
    <w:p w14:paraId="28F25413" w14:textId="77777777" w:rsidR="00B92948" w:rsidRPr="00B92948" w:rsidRDefault="00B92948" w:rsidP="00B92948">
      <w:pPr>
        <w:pStyle w:val="SingleTxtG"/>
      </w:pPr>
      <w:r w:rsidRPr="00B92948">
        <w:t>155.</w:t>
      </w:r>
      <w:r w:rsidRPr="00B92948">
        <w:tab/>
        <w:t xml:space="preserve">En las escuelas primarias se está ejecutando un programa de prevención del consumo de drogas titulado </w:t>
      </w:r>
      <w:r w:rsidR="00147E0E">
        <w:t>“</w:t>
      </w:r>
      <w:r w:rsidRPr="00B92948">
        <w:t>Aptitudes Adolescentes</w:t>
      </w:r>
      <w:r w:rsidR="00147E0E">
        <w:t>”</w:t>
      </w:r>
      <w:r w:rsidRPr="00B92948">
        <w:t>, y se imparte educación entre pares con la ayuda de la Cruz Roja para prevenir el uso indebido de sustancias. En 2017 se celebraron reuniones de trabajo y se impartió capacitación al personal profesional de las escuelas secundarias sobre nuevas sustancias sicotrópicas y violencia contra los niños en las escuelas.</w:t>
      </w:r>
    </w:p>
    <w:p w14:paraId="73902FD8" w14:textId="77777777" w:rsidR="00B92948" w:rsidRPr="00B92948" w:rsidRDefault="00B92948" w:rsidP="00B92948">
      <w:pPr>
        <w:pStyle w:val="SingleTxtG"/>
      </w:pPr>
      <w:r w:rsidRPr="00B92948">
        <w:t>156.</w:t>
      </w:r>
      <w:r w:rsidRPr="00B92948">
        <w:tab/>
        <w:t xml:space="preserve">Con el apoyo de la ciudad de Skopie, la ONG </w:t>
      </w:r>
      <w:proofErr w:type="spellStart"/>
      <w:r w:rsidRPr="00B92948">
        <w:t>HOPS</w:t>
      </w:r>
      <w:proofErr w:type="spellEnd"/>
      <w:r w:rsidRPr="00B92948">
        <w:t xml:space="preserve"> desarrolló un programa para los hijos de consumidores de drogas en el centro de día de rehabilitación, en cuyo marco un consejero, un psicólogo y un asistente social trabajan con estos niños según sea necesario.</w:t>
      </w:r>
    </w:p>
    <w:p w14:paraId="7D887497" w14:textId="77777777" w:rsidR="00B92948" w:rsidRPr="00B92948" w:rsidRDefault="00B92948" w:rsidP="00B92948">
      <w:pPr>
        <w:pStyle w:val="SingleTxtG"/>
      </w:pPr>
      <w:r w:rsidRPr="00B92948">
        <w:t>157.</w:t>
      </w:r>
      <w:r w:rsidRPr="00B92948">
        <w:tab/>
        <w:t xml:space="preserve">Además, con el apoyo del Grupo Pompidou del Consejo de Europa y el Ministerio de Salud, se ha elaborado el instrumento de autoevaluación del riesgo del consumo de drogas en línea </w:t>
      </w:r>
      <w:proofErr w:type="spellStart"/>
      <w:r w:rsidRPr="00B92948">
        <w:t>www.drughelp.eu</w:t>
      </w:r>
      <w:proofErr w:type="spellEnd"/>
      <w:r w:rsidRPr="00B92948">
        <w:t xml:space="preserve">, que informa a los consumidores de drogas de los lugares del país a los que pueden acudir en busca de ayuda y apoyo. </w:t>
      </w:r>
    </w:p>
    <w:p w14:paraId="76EDC042" w14:textId="77777777" w:rsidR="00B92948" w:rsidRPr="00B92948" w:rsidRDefault="00B92948" w:rsidP="00B92948">
      <w:pPr>
        <w:pStyle w:val="SingleTxtG"/>
      </w:pPr>
      <w:r w:rsidRPr="00B92948">
        <w:t>158.</w:t>
      </w:r>
      <w:r w:rsidRPr="00B92948">
        <w:tab/>
        <w:t xml:space="preserve">En lo que respecta a la rehabilitación, se está trabajando en la elaboración de un protocolo para el tratamiento y la atención de niños consumidores de sustancias, que se encuentra en la fase final de preparación a la espera de su finalización y posterior aprobación por el Gobierno. </w:t>
      </w:r>
    </w:p>
    <w:p w14:paraId="19F5AA7A" w14:textId="77777777" w:rsidR="00B92948" w:rsidRPr="00B92948" w:rsidRDefault="00B92948" w:rsidP="00B92948">
      <w:pPr>
        <w:pStyle w:val="SingleTxtG"/>
      </w:pPr>
      <w:r w:rsidRPr="00B92948">
        <w:t>159.</w:t>
      </w:r>
      <w:r w:rsidRPr="00B92948">
        <w:tab/>
        <w:t xml:space="preserve">En cuanto a la prevención del consumo de alcohol, la Ley de Comercio dispone la prohibición de la venta de alcohol a menores de edad, así como la prohibición general de la </w:t>
      </w:r>
      <w:r w:rsidRPr="00B92948">
        <w:lastRenderedPageBreak/>
        <w:t>venta de alcohol entre las 19 horas y las 6 horas de la mañana siguiente. Como parte del Programa de Salud Pública, los Centros de Salud Pública ha</w:t>
      </w:r>
      <w:r w:rsidR="004B2CE2">
        <w:t>n</w:t>
      </w:r>
      <w:r w:rsidRPr="00B92948">
        <w:t xml:space="preserve"> impartido anualmente en las escuelas primarias y secundarias educación</w:t>
      </w:r>
      <w:r w:rsidRPr="00B92948">
        <w:rPr>
          <w:lang w:val="en-GB"/>
        </w:rPr>
        <w:t xml:space="preserve"> </w:t>
      </w:r>
      <w:r w:rsidRPr="00B92948">
        <w:t xml:space="preserve">sobre la prevención de enfermedades relacionadas con adicciones, entre otras cuestiones de salud pública. </w:t>
      </w:r>
    </w:p>
    <w:p w14:paraId="0099BF99" w14:textId="77777777" w:rsidR="00B92948" w:rsidRPr="00B92948" w:rsidRDefault="00B92948" w:rsidP="00B92948">
      <w:pPr>
        <w:pStyle w:val="SingleTxtG"/>
      </w:pPr>
      <w:r w:rsidRPr="00B92948">
        <w:t>160.</w:t>
      </w:r>
      <w:r w:rsidRPr="00B92948">
        <w:tab/>
        <w:t xml:space="preserve">Según los datos obtenidos del Centro de Control e Información sobre Envenenamiento, el número de casos de intoxicación alcohólica entre los adolescentes ha disminuido ligeramente en los últimos tres años. </w:t>
      </w:r>
    </w:p>
    <w:tbl>
      <w:tblPr>
        <w:tblW w:w="7370" w:type="dxa"/>
        <w:tblInd w:w="1134" w:type="dxa"/>
        <w:tblBorders>
          <w:top w:val="single" w:sz="4" w:space="0" w:color="auto"/>
          <w:bottom w:val="single" w:sz="12" w:space="0" w:color="auto"/>
          <w:insideH w:val="single" w:sz="12" w:space="0" w:color="auto"/>
        </w:tblBorders>
        <w:tblCellMar>
          <w:left w:w="0" w:type="dxa"/>
          <w:right w:w="0" w:type="dxa"/>
        </w:tblCellMar>
        <w:tblLook w:val="00A0" w:firstRow="1" w:lastRow="0" w:firstColumn="1" w:lastColumn="0" w:noHBand="0" w:noVBand="0"/>
      </w:tblPr>
      <w:tblGrid>
        <w:gridCol w:w="1021"/>
        <w:gridCol w:w="1059"/>
        <w:gridCol w:w="1058"/>
        <w:gridCol w:w="1058"/>
        <w:gridCol w:w="1058"/>
        <w:gridCol w:w="1058"/>
        <w:gridCol w:w="1058"/>
      </w:tblGrid>
      <w:tr w:rsidR="00B92948" w:rsidRPr="003A1036" w14:paraId="65817F52" w14:textId="77777777" w:rsidTr="003A1036">
        <w:trPr>
          <w:trHeight w:val="240"/>
          <w:tblHeader/>
        </w:trPr>
        <w:tc>
          <w:tcPr>
            <w:tcW w:w="1360" w:type="dxa"/>
            <w:shd w:val="clear" w:color="auto" w:fill="auto"/>
            <w:vAlign w:val="bottom"/>
          </w:tcPr>
          <w:p w14:paraId="255809AE" w14:textId="77777777" w:rsidR="00B92948" w:rsidRPr="003A1036" w:rsidRDefault="00B92948" w:rsidP="00C92471">
            <w:pPr>
              <w:pStyle w:val="SingleTxtG"/>
              <w:tabs>
                <w:tab w:val="clear" w:pos="1701"/>
                <w:tab w:val="clear" w:pos="2268"/>
                <w:tab w:val="clear" w:pos="2835"/>
              </w:tabs>
              <w:spacing w:before="80" w:after="80" w:line="200" w:lineRule="exact"/>
              <w:ind w:left="0" w:right="28"/>
              <w:jc w:val="right"/>
              <w:rPr>
                <w:i/>
                <w:sz w:val="16"/>
              </w:rPr>
            </w:pPr>
            <w:r w:rsidRPr="003A1036">
              <w:rPr>
                <w:i/>
                <w:iCs/>
                <w:sz w:val="16"/>
              </w:rPr>
              <w:t>2011</w:t>
            </w:r>
          </w:p>
        </w:tc>
        <w:tc>
          <w:tcPr>
            <w:tcW w:w="1360" w:type="dxa"/>
            <w:shd w:val="clear" w:color="auto" w:fill="auto"/>
            <w:vAlign w:val="bottom"/>
          </w:tcPr>
          <w:p w14:paraId="3D781B6C" w14:textId="77777777" w:rsidR="00B92948" w:rsidRPr="003A1036" w:rsidRDefault="00B92948" w:rsidP="00C92471">
            <w:pPr>
              <w:pStyle w:val="SingleTxtG"/>
              <w:tabs>
                <w:tab w:val="clear" w:pos="1701"/>
                <w:tab w:val="clear" w:pos="2268"/>
                <w:tab w:val="clear" w:pos="2835"/>
              </w:tabs>
              <w:spacing w:before="80" w:after="80" w:line="200" w:lineRule="exact"/>
              <w:ind w:left="113" w:right="28"/>
              <w:jc w:val="right"/>
              <w:rPr>
                <w:i/>
                <w:sz w:val="16"/>
              </w:rPr>
            </w:pPr>
            <w:r w:rsidRPr="003A1036">
              <w:rPr>
                <w:i/>
                <w:iCs/>
                <w:sz w:val="16"/>
              </w:rPr>
              <w:t>2012</w:t>
            </w:r>
          </w:p>
        </w:tc>
        <w:tc>
          <w:tcPr>
            <w:tcW w:w="1360" w:type="dxa"/>
            <w:shd w:val="clear" w:color="auto" w:fill="auto"/>
            <w:vAlign w:val="bottom"/>
          </w:tcPr>
          <w:p w14:paraId="43C0E0F4" w14:textId="77777777" w:rsidR="00B92948" w:rsidRPr="003A1036" w:rsidRDefault="00B92948" w:rsidP="00C92471">
            <w:pPr>
              <w:pStyle w:val="SingleTxtG"/>
              <w:tabs>
                <w:tab w:val="clear" w:pos="1701"/>
                <w:tab w:val="clear" w:pos="2268"/>
                <w:tab w:val="clear" w:pos="2835"/>
              </w:tabs>
              <w:spacing w:before="80" w:after="80" w:line="200" w:lineRule="exact"/>
              <w:ind w:left="113" w:right="28"/>
              <w:jc w:val="right"/>
              <w:rPr>
                <w:i/>
                <w:sz w:val="16"/>
              </w:rPr>
            </w:pPr>
            <w:r w:rsidRPr="003A1036">
              <w:rPr>
                <w:i/>
                <w:iCs/>
                <w:sz w:val="16"/>
              </w:rPr>
              <w:t>2013</w:t>
            </w:r>
          </w:p>
        </w:tc>
        <w:tc>
          <w:tcPr>
            <w:tcW w:w="1360" w:type="dxa"/>
            <w:shd w:val="clear" w:color="auto" w:fill="auto"/>
            <w:vAlign w:val="bottom"/>
          </w:tcPr>
          <w:p w14:paraId="5982C336" w14:textId="77777777" w:rsidR="00B92948" w:rsidRPr="003A1036" w:rsidRDefault="00B92948" w:rsidP="00C92471">
            <w:pPr>
              <w:pStyle w:val="SingleTxtG"/>
              <w:tabs>
                <w:tab w:val="clear" w:pos="1701"/>
                <w:tab w:val="clear" w:pos="2268"/>
                <w:tab w:val="clear" w:pos="2835"/>
              </w:tabs>
              <w:spacing w:before="80" w:after="80" w:line="200" w:lineRule="exact"/>
              <w:ind w:left="113" w:right="28"/>
              <w:jc w:val="right"/>
              <w:rPr>
                <w:i/>
                <w:sz w:val="16"/>
              </w:rPr>
            </w:pPr>
            <w:r w:rsidRPr="003A1036">
              <w:rPr>
                <w:i/>
                <w:iCs/>
                <w:sz w:val="16"/>
              </w:rPr>
              <w:t>2014</w:t>
            </w:r>
          </w:p>
        </w:tc>
        <w:tc>
          <w:tcPr>
            <w:tcW w:w="1360" w:type="dxa"/>
            <w:shd w:val="clear" w:color="auto" w:fill="auto"/>
            <w:vAlign w:val="bottom"/>
          </w:tcPr>
          <w:p w14:paraId="0887CEE7" w14:textId="77777777" w:rsidR="00B92948" w:rsidRPr="003A1036" w:rsidRDefault="00B92948" w:rsidP="00C92471">
            <w:pPr>
              <w:pStyle w:val="SingleTxtG"/>
              <w:tabs>
                <w:tab w:val="clear" w:pos="1701"/>
                <w:tab w:val="clear" w:pos="2268"/>
                <w:tab w:val="clear" w:pos="2835"/>
              </w:tabs>
              <w:spacing w:before="80" w:after="80" w:line="200" w:lineRule="exact"/>
              <w:ind w:left="113" w:right="28"/>
              <w:jc w:val="right"/>
              <w:rPr>
                <w:i/>
                <w:sz w:val="16"/>
              </w:rPr>
            </w:pPr>
            <w:r w:rsidRPr="003A1036">
              <w:rPr>
                <w:i/>
                <w:iCs/>
                <w:sz w:val="16"/>
              </w:rPr>
              <w:t>2015</w:t>
            </w:r>
          </w:p>
        </w:tc>
        <w:tc>
          <w:tcPr>
            <w:tcW w:w="1360" w:type="dxa"/>
            <w:shd w:val="clear" w:color="auto" w:fill="auto"/>
            <w:vAlign w:val="bottom"/>
          </w:tcPr>
          <w:p w14:paraId="5D19370D" w14:textId="77777777" w:rsidR="00B92948" w:rsidRPr="003A1036" w:rsidRDefault="00B92948" w:rsidP="00C92471">
            <w:pPr>
              <w:pStyle w:val="SingleTxtG"/>
              <w:tabs>
                <w:tab w:val="clear" w:pos="1701"/>
                <w:tab w:val="clear" w:pos="2268"/>
                <w:tab w:val="clear" w:pos="2835"/>
              </w:tabs>
              <w:spacing w:before="80" w:after="80" w:line="200" w:lineRule="exact"/>
              <w:ind w:left="113" w:right="28"/>
              <w:jc w:val="right"/>
              <w:rPr>
                <w:i/>
                <w:sz w:val="16"/>
              </w:rPr>
            </w:pPr>
            <w:r w:rsidRPr="003A1036">
              <w:rPr>
                <w:i/>
                <w:iCs/>
                <w:sz w:val="16"/>
              </w:rPr>
              <w:t>2016</w:t>
            </w:r>
          </w:p>
        </w:tc>
        <w:tc>
          <w:tcPr>
            <w:tcW w:w="1360" w:type="dxa"/>
            <w:shd w:val="clear" w:color="auto" w:fill="auto"/>
            <w:vAlign w:val="bottom"/>
          </w:tcPr>
          <w:p w14:paraId="2B61E456" w14:textId="77777777" w:rsidR="00B92948" w:rsidRPr="003A1036" w:rsidRDefault="00B92948" w:rsidP="00C92471">
            <w:pPr>
              <w:pStyle w:val="SingleTxtG"/>
              <w:tabs>
                <w:tab w:val="clear" w:pos="1701"/>
                <w:tab w:val="clear" w:pos="2268"/>
                <w:tab w:val="clear" w:pos="2835"/>
              </w:tabs>
              <w:spacing w:before="80" w:after="80" w:line="200" w:lineRule="exact"/>
              <w:ind w:left="113" w:right="28"/>
              <w:jc w:val="right"/>
              <w:rPr>
                <w:i/>
                <w:sz w:val="16"/>
              </w:rPr>
            </w:pPr>
            <w:r w:rsidRPr="003A1036">
              <w:rPr>
                <w:i/>
                <w:iCs/>
                <w:sz w:val="16"/>
              </w:rPr>
              <w:t>2017</w:t>
            </w:r>
          </w:p>
        </w:tc>
      </w:tr>
      <w:tr w:rsidR="00B92948" w:rsidRPr="003A1036" w14:paraId="043CFC8D" w14:textId="77777777" w:rsidTr="003A1036">
        <w:trPr>
          <w:trHeight w:val="240"/>
        </w:trPr>
        <w:tc>
          <w:tcPr>
            <w:tcW w:w="1360" w:type="dxa"/>
            <w:shd w:val="clear" w:color="auto" w:fill="auto"/>
          </w:tcPr>
          <w:p w14:paraId="33FE62F4" w14:textId="77777777" w:rsidR="00B92948" w:rsidRPr="003A1036" w:rsidRDefault="00B92948" w:rsidP="00C92471">
            <w:pPr>
              <w:pStyle w:val="SingleTxtG"/>
              <w:tabs>
                <w:tab w:val="clear" w:pos="1701"/>
                <w:tab w:val="clear" w:pos="2268"/>
                <w:tab w:val="clear" w:pos="2835"/>
              </w:tabs>
              <w:spacing w:before="40" w:after="40" w:line="220" w:lineRule="exact"/>
              <w:ind w:left="0" w:right="28"/>
              <w:jc w:val="right"/>
              <w:rPr>
                <w:sz w:val="18"/>
              </w:rPr>
            </w:pPr>
            <w:r w:rsidRPr="003A1036">
              <w:rPr>
                <w:sz w:val="18"/>
              </w:rPr>
              <w:t>65</w:t>
            </w:r>
          </w:p>
        </w:tc>
        <w:tc>
          <w:tcPr>
            <w:tcW w:w="1360" w:type="dxa"/>
            <w:shd w:val="clear" w:color="auto" w:fill="auto"/>
            <w:vAlign w:val="bottom"/>
          </w:tcPr>
          <w:p w14:paraId="4126EF46" w14:textId="77777777" w:rsidR="00B92948" w:rsidRPr="003A1036" w:rsidRDefault="00B92948" w:rsidP="00C92471">
            <w:pPr>
              <w:pStyle w:val="SingleTxtG"/>
              <w:tabs>
                <w:tab w:val="clear" w:pos="1701"/>
                <w:tab w:val="clear" w:pos="2268"/>
                <w:tab w:val="clear" w:pos="2835"/>
              </w:tabs>
              <w:spacing w:before="40" w:after="40" w:line="220" w:lineRule="exact"/>
              <w:ind w:left="113" w:right="28"/>
              <w:jc w:val="right"/>
              <w:rPr>
                <w:sz w:val="18"/>
              </w:rPr>
            </w:pPr>
            <w:r w:rsidRPr="003A1036">
              <w:rPr>
                <w:sz w:val="18"/>
              </w:rPr>
              <w:t>73</w:t>
            </w:r>
          </w:p>
        </w:tc>
        <w:tc>
          <w:tcPr>
            <w:tcW w:w="1360" w:type="dxa"/>
            <w:shd w:val="clear" w:color="auto" w:fill="auto"/>
            <w:vAlign w:val="bottom"/>
          </w:tcPr>
          <w:p w14:paraId="0DB638F5" w14:textId="77777777" w:rsidR="00B92948" w:rsidRPr="003A1036" w:rsidRDefault="00B92948" w:rsidP="00C92471">
            <w:pPr>
              <w:pStyle w:val="SingleTxtG"/>
              <w:tabs>
                <w:tab w:val="clear" w:pos="1701"/>
                <w:tab w:val="clear" w:pos="2268"/>
                <w:tab w:val="clear" w:pos="2835"/>
              </w:tabs>
              <w:spacing w:before="40" w:after="40" w:line="220" w:lineRule="exact"/>
              <w:ind w:left="113" w:right="28"/>
              <w:jc w:val="right"/>
              <w:rPr>
                <w:sz w:val="18"/>
              </w:rPr>
            </w:pPr>
            <w:r w:rsidRPr="003A1036">
              <w:rPr>
                <w:sz w:val="18"/>
              </w:rPr>
              <w:t>70</w:t>
            </w:r>
          </w:p>
        </w:tc>
        <w:tc>
          <w:tcPr>
            <w:tcW w:w="1360" w:type="dxa"/>
            <w:shd w:val="clear" w:color="auto" w:fill="auto"/>
            <w:vAlign w:val="bottom"/>
          </w:tcPr>
          <w:p w14:paraId="22B3D164" w14:textId="77777777" w:rsidR="00B92948" w:rsidRPr="003A1036" w:rsidRDefault="00B92948" w:rsidP="00C92471">
            <w:pPr>
              <w:pStyle w:val="SingleTxtG"/>
              <w:tabs>
                <w:tab w:val="clear" w:pos="1701"/>
                <w:tab w:val="clear" w:pos="2268"/>
                <w:tab w:val="clear" w:pos="2835"/>
              </w:tabs>
              <w:spacing w:before="40" w:after="40" w:line="220" w:lineRule="exact"/>
              <w:ind w:left="113" w:right="28"/>
              <w:jc w:val="right"/>
              <w:rPr>
                <w:sz w:val="18"/>
              </w:rPr>
            </w:pPr>
            <w:r w:rsidRPr="003A1036">
              <w:rPr>
                <w:sz w:val="18"/>
              </w:rPr>
              <w:t>97</w:t>
            </w:r>
          </w:p>
        </w:tc>
        <w:tc>
          <w:tcPr>
            <w:tcW w:w="1360" w:type="dxa"/>
            <w:shd w:val="clear" w:color="auto" w:fill="auto"/>
            <w:vAlign w:val="bottom"/>
          </w:tcPr>
          <w:p w14:paraId="6774C09E" w14:textId="77777777" w:rsidR="00B92948" w:rsidRPr="003A1036" w:rsidRDefault="00B92948" w:rsidP="00C92471">
            <w:pPr>
              <w:pStyle w:val="SingleTxtG"/>
              <w:tabs>
                <w:tab w:val="clear" w:pos="1701"/>
                <w:tab w:val="clear" w:pos="2268"/>
                <w:tab w:val="clear" w:pos="2835"/>
              </w:tabs>
              <w:spacing w:before="40" w:after="40" w:line="220" w:lineRule="exact"/>
              <w:ind w:left="113" w:right="28"/>
              <w:jc w:val="right"/>
              <w:rPr>
                <w:sz w:val="18"/>
              </w:rPr>
            </w:pPr>
            <w:r w:rsidRPr="003A1036">
              <w:rPr>
                <w:sz w:val="18"/>
              </w:rPr>
              <w:t>48</w:t>
            </w:r>
          </w:p>
        </w:tc>
        <w:tc>
          <w:tcPr>
            <w:tcW w:w="1360" w:type="dxa"/>
            <w:shd w:val="clear" w:color="auto" w:fill="auto"/>
            <w:vAlign w:val="bottom"/>
          </w:tcPr>
          <w:p w14:paraId="050E5EB2" w14:textId="77777777" w:rsidR="00B92948" w:rsidRPr="003A1036" w:rsidRDefault="00B92948" w:rsidP="00C92471">
            <w:pPr>
              <w:pStyle w:val="SingleTxtG"/>
              <w:tabs>
                <w:tab w:val="clear" w:pos="1701"/>
                <w:tab w:val="clear" w:pos="2268"/>
                <w:tab w:val="clear" w:pos="2835"/>
              </w:tabs>
              <w:spacing w:before="40" w:after="40" w:line="220" w:lineRule="exact"/>
              <w:ind w:left="113" w:right="28"/>
              <w:jc w:val="right"/>
              <w:rPr>
                <w:sz w:val="18"/>
              </w:rPr>
            </w:pPr>
            <w:r w:rsidRPr="003A1036">
              <w:rPr>
                <w:sz w:val="18"/>
              </w:rPr>
              <w:t>39</w:t>
            </w:r>
          </w:p>
        </w:tc>
        <w:tc>
          <w:tcPr>
            <w:tcW w:w="1360" w:type="dxa"/>
            <w:shd w:val="clear" w:color="auto" w:fill="auto"/>
            <w:vAlign w:val="bottom"/>
          </w:tcPr>
          <w:p w14:paraId="1353785B" w14:textId="77777777" w:rsidR="00B92948" w:rsidRPr="003A1036" w:rsidRDefault="00B92948" w:rsidP="00C92471">
            <w:pPr>
              <w:pStyle w:val="SingleTxtG"/>
              <w:tabs>
                <w:tab w:val="clear" w:pos="1701"/>
                <w:tab w:val="clear" w:pos="2268"/>
                <w:tab w:val="clear" w:pos="2835"/>
              </w:tabs>
              <w:spacing w:before="40" w:after="40" w:line="220" w:lineRule="exact"/>
              <w:ind w:left="113" w:right="28"/>
              <w:jc w:val="right"/>
              <w:rPr>
                <w:sz w:val="18"/>
              </w:rPr>
            </w:pPr>
            <w:r w:rsidRPr="003A1036">
              <w:rPr>
                <w:sz w:val="18"/>
              </w:rPr>
              <w:t>51</w:t>
            </w:r>
          </w:p>
        </w:tc>
      </w:tr>
    </w:tbl>
    <w:p w14:paraId="32B15742" w14:textId="77777777" w:rsidR="00B92948" w:rsidRPr="00B92948" w:rsidRDefault="00B92948" w:rsidP="00624630">
      <w:pPr>
        <w:pStyle w:val="SingleTxtG"/>
        <w:spacing w:before="240"/>
      </w:pPr>
      <w:r w:rsidRPr="00B92948">
        <w:t>161.</w:t>
      </w:r>
      <w:r w:rsidRPr="00B92948">
        <w:tab/>
        <w:t>Se ha preparado la Estrategia sobre la Prevención y el Control de las Consecuencias Perjudiciales del Uso y el Abuso del Alcohol para la Salud de la Población, junto con el Plan de Acción correspondiente para el período que finaliza en 2027, en el que se esbozan planes para la adopción de una serie de medidas destinadas a prevenir el consumo de alcohol entre los menores de edad.</w:t>
      </w:r>
    </w:p>
    <w:p w14:paraId="586D54FE" w14:textId="77777777" w:rsidR="00B92948" w:rsidRPr="00B92948" w:rsidRDefault="00B92948" w:rsidP="00B92948">
      <w:pPr>
        <w:pStyle w:val="SingleTxtG"/>
      </w:pPr>
      <w:r w:rsidRPr="00B92948">
        <w:t>162.</w:t>
      </w:r>
      <w:r w:rsidRPr="00B92948">
        <w:tab/>
        <w:t>Las Encuestas Escolares sobre el Alcohol y Otras Drogas (</w:t>
      </w:r>
      <w:proofErr w:type="spellStart"/>
      <w:r w:rsidRPr="00B92948">
        <w:t>ESPAD</w:t>
      </w:r>
      <w:proofErr w:type="spellEnd"/>
      <w:r w:rsidRPr="00B92948">
        <w:t xml:space="preserve">) realizadas en 2015 entre 2.430 estudiantes de 15 y 16 </w:t>
      </w:r>
      <w:proofErr w:type="gramStart"/>
      <w:r w:rsidRPr="00B92948">
        <w:t>años de edad</w:t>
      </w:r>
      <w:proofErr w:type="gramEnd"/>
      <w:r w:rsidRPr="00B92948">
        <w:t xml:space="preserve"> mostró que el 5</w:t>
      </w:r>
      <w:r w:rsidR="000C0C75">
        <w:t> %</w:t>
      </w:r>
      <w:r w:rsidRPr="00B92948">
        <w:t xml:space="preserve"> de estos había consumido marihuana a lo largo de su vida, la mayoría de ellos había probado la marihuana 1 o 2 veces, el 2,1</w:t>
      </w:r>
      <w:r w:rsidR="000C0C75">
        <w:t> %</w:t>
      </w:r>
      <w:r w:rsidRPr="00B92948">
        <w:t xml:space="preserve"> de los estudiantes había consumido éxtasis a lo largo de su vida, el 1,1</w:t>
      </w:r>
      <w:r w:rsidR="000C0C75">
        <w:t> %</w:t>
      </w:r>
      <w:r w:rsidRPr="00B92948">
        <w:t xml:space="preserve"> de ellos lo había consumido 1 o 2 veces. El 1,9</w:t>
      </w:r>
      <w:r w:rsidR="000C0C75">
        <w:t> %</w:t>
      </w:r>
      <w:r w:rsidRPr="00B92948">
        <w:t xml:space="preserve"> de los estudiantes había consumido sustancias inhalables.</w:t>
      </w:r>
    </w:p>
    <w:p w14:paraId="75628231" w14:textId="77777777" w:rsidR="00B92948" w:rsidRPr="00B92948" w:rsidRDefault="00B92948" w:rsidP="00B92948">
      <w:pPr>
        <w:pStyle w:val="SingleTxtG"/>
      </w:pPr>
      <w:r w:rsidRPr="00B92948">
        <w:t>163.</w:t>
      </w:r>
      <w:r w:rsidRPr="00B92948">
        <w:tab/>
        <w:t>El número de personas que había consumido otros tipos de drogas a lo largo de sus vidas era del 0,6</w:t>
      </w:r>
      <w:r w:rsidR="000C0C75">
        <w:t> %</w:t>
      </w:r>
      <w:r w:rsidRPr="00B92948">
        <w:t xml:space="preserve"> para los hongos alucinógenos y los esteroides anabolizantes, el 0,9</w:t>
      </w:r>
      <w:r w:rsidR="000C0C75">
        <w:t> %</w:t>
      </w:r>
      <w:r w:rsidRPr="00B92948">
        <w:t xml:space="preserve"> para el ácido lisérgico y el 0,9</w:t>
      </w:r>
      <w:r w:rsidR="000C0C75">
        <w:t> %</w:t>
      </w:r>
      <w:r w:rsidRPr="00B92948">
        <w:t xml:space="preserve"> para la heroína. En comparación con estudios anteriores, el uso de la heroína, el ácido lisérgico y esteroides anabolizantes se había mantenido estable. Entre 2008 y 2015 se observaron porcentajes crecientes en el consumo de cocaína (del 0,9</w:t>
      </w:r>
      <w:r w:rsidR="000C0C75">
        <w:t> %</w:t>
      </w:r>
      <w:r w:rsidRPr="00B92948">
        <w:t xml:space="preserve"> en 2008 al 1,5</w:t>
      </w:r>
      <w:r w:rsidR="000C0C75">
        <w:t> %</w:t>
      </w:r>
      <w:r w:rsidRPr="00B92948">
        <w:t xml:space="preserve"> en 2015), mientras que el número de personas que informaron del consumo de hongos alucinógenos disminuyó (del 1,2</w:t>
      </w:r>
      <w:r w:rsidR="000C0C75">
        <w:t> %</w:t>
      </w:r>
      <w:r w:rsidRPr="00B92948">
        <w:t xml:space="preserve"> en 2008 al 0,6</w:t>
      </w:r>
      <w:r w:rsidR="000C0C75">
        <w:t> %</w:t>
      </w:r>
      <w:r w:rsidRPr="00B92948">
        <w:t xml:space="preserve"> en 2015). Los resultados indican que el consumo de la mayoría de las drogas ilícitas se mantuvo estable, aunque se registró un ligero aumento del uso de marihuana, cocaína y éxtasis. Hay nuevas sustancias en el mercado, que representan el 3,7</w:t>
      </w:r>
      <w:r w:rsidR="000C0C75">
        <w:t> %</w:t>
      </w:r>
      <w:r w:rsidRPr="00B92948">
        <w:t xml:space="preserve"> del consumo. El uso de sedantes (sin prescripción médica) asciende al 11</w:t>
      </w:r>
      <w:r w:rsidR="000C0C75">
        <w:t> %</w:t>
      </w:r>
      <w:r w:rsidRPr="00B92948">
        <w:t>, en particular entre las mujeres, y se registra una curva ascendente en comparación con períodos anteriores, mientras que el uso de bebidas energéticas es cada vez más común.</w:t>
      </w:r>
    </w:p>
    <w:p w14:paraId="5F297D8C" w14:textId="77777777" w:rsidR="00B92948" w:rsidRPr="00B92948" w:rsidRDefault="00B92948" w:rsidP="00624630">
      <w:pPr>
        <w:pStyle w:val="H1G"/>
      </w:pPr>
      <w:r w:rsidRPr="00B92948">
        <w:tab/>
        <w:t>8.</w:t>
      </w:r>
      <w:r w:rsidRPr="00B92948">
        <w:tab/>
        <w:t>Educación, esparcimiento y actividades culturales (arts. 28 a 31)</w:t>
      </w:r>
      <w:bookmarkStart w:id="63" w:name="_Toc56781464"/>
      <w:bookmarkEnd w:id="63"/>
    </w:p>
    <w:p w14:paraId="55C2457D" w14:textId="77777777" w:rsidR="00B92948" w:rsidRPr="00B92948" w:rsidRDefault="00B92948" w:rsidP="00624630">
      <w:pPr>
        <w:pStyle w:val="H23G"/>
      </w:pPr>
      <w:r w:rsidRPr="00B92948">
        <w:tab/>
        <w:t>a)</w:t>
      </w:r>
      <w:r w:rsidRPr="00B92948">
        <w:tab/>
        <w:t xml:space="preserve">La Constitución garantiza el derecho a la educación para todos en igualdad </w:t>
      </w:r>
      <w:r w:rsidR="00624630">
        <w:br/>
      </w:r>
      <w:r w:rsidRPr="00B92948">
        <w:t>de condiciones. La enseñanza primaria es obligatoria y gratuita para todos. La</w:t>
      </w:r>
      <w:r w:rsidR="00624630">
        <w:t> </w:t>
      </w:r>
      <w:r w:rsidRPr="00B92948">
        <w:t xml:space="preserve">educación secundaria también es obligatoria para todos los ciudadanos. </w:t>
      </w:r>
      <w:r w:rsidR="00624630">
        <w:br/>
      </w:r>
      <w:r w:rsidRPr="00B92948">
        <w:t>Se imparte utilizando planes de educación secundaria general y de formación profesional, así como programas de educación secundaria especial para ciertas categorías de estudiantes</w:t>
      </w:r>
      <w:bookmarkStart w:id="64" w:name="_Toc56781465"/>
      <w:bookmarkEnd w:id="64"/>
    </w:p>
    <w:p w14:paraId="18F0C041" w14:textId="77777777" w:rsidR="00B92948" w:rsidRPr="00B92948" w:rsidRDefault="00B92948" w:rsidP="00B92948">
      <w:pPr>
        <w:pStyle w:val="SingleTxtG"/>
      </w:pPr>
      <w:r w:rsidRPr="00B92948">
        <w:t>164.</w:t>
      </w:r>
      <w:r w:rsidRPr="00B92948">
        <w:tab/>
        <w:t>La educación es gratuita en las escuelas secundarias públicas; los estudiantes tienen derecho a transporte gratuito si sus lugares de residencia o los dormitorios estudiantiles en los que se alojan están situados a más de 2,5 km de las escuelas secundarias a las que asisten.</w:t>
      </w:r>
    </w:p>
    <w:p w14:paraId="670C2A0B" w14:textId="77777777" w:rsidR="00B92948" w:rsidRPr="00B92948" w:rsidRDefault="00B92948" w:rsidP="00B92948">
      <w:pPr>
        <w:pStyle w:val="SingleTxtG"/>
      </w:pPr>
      <w:r w:rsidRPr="00B92948">
        <w:t>165.</w:t>
      </w:r>
      <w:r w:rsidRPr="00B92948">
        <w:tab/>
        <w:t>En lo que respecta a la enseñanza superior, tanto los nacionales del país como los extranjeros, independientemente de que se aplique o no el principio de reciprocidad, así como los apátridas, tienen derecho a la enseñanza superior en igualdad de condiciones. Las condiciones y la forma de matriculación en los programas de estudio están exhaustivamente reglamentadas en el artículo 149 de la Ley de Educación Superior.</w:t>
      </w:r>
    </w:p>
    <w:p w14:paraId="58B5DD2F" w14:textId="77777777" w:rsidR="00B92948" w:rsidRPr="00B92948" w:rsidRDefault="00B92948" w:rsidP="00B92948">
      <w:pPr>
        <w:pStyle w:val="SingleTxtG"/>
      </w:pPr>
      <w:r w:rsidRPr="00B92948">
        <w:t>166.</w:t>
      </w:r>
      <w:r w:rsidRPr="00B92948">
        <w:tab/>
        <w:t>Con miras a proporcionar información sobre las cualificaciones educativas y profesionales y los servicios de orientación profesional, se han abierto centros de orientación profesional para estudiantes de 52 escuelas secundarias.</w:t>
      </w:r>
    </w:p>
    <w:p w14:paraId="53F33136" w14:textId="77777777" w:rsidR="00B92948" w:rsidRPr="00B92948" w:rsidRDefault="00B92948" w:rsidP="00B92948">
      <w:pPr>
        <w:pStyle w:val="SingleTxtG"/>
      </w:pPr>
      <w:r w:rsidRPr="00B92948">
        <w:lastRenderedPageBreak/>
        <w:t>167.</w:t>
      </w:r>
      <w:r w:rsidRPr="00B92948">
        <w:tab/>
        <w:t>Se han previsto medidas para estimular la matriculación en la enseñanza secundaria obligatoria, así como para sancionar el incumplimiento.</w:t>
      </w:r>
    </w:p>
    <w:p w14:paraId="33B3B5FE" w14:textId="77777777" w:rsidR="00B92948" w:rsidRPr="00B92948" w:rsidRDefault="00B92948" w:rsidP="00B92948">
      <w:pPr>
        <w:pStyle w:val="SingleTxtG"/>
      </w:pPr>
      <w:r w:rsidRPr="00B92948">
        <w:t>168.</w:t>
      </w:r>
      <w:r w:rsidRPr="00B92948">
        <w:tab/>
        <w:t>Para impulsar la permanencia en las escuelas y reducir la tasa de deserción escolar, todos los años el Ministerio de Educación y Ciencia concede becas a los niños vulnerables (incluidos los niños con discapacidad) en la enseñanza primaria y secundaria, y también presta asistencia de tutoría y asesoramiento a esta categoría de estudiantes. De conformidad con la Ley de Enseñanza Primaria y la Ley de Enseñanza Secundaria, se han establecido sanciones para los progenitores o tutores que no hayan matriculado a sus hijos en la escuela.</w:t>
      </w:r>
    </w:p>
    <w:p w14:paraId="10598ECB" w14:textId="77777777" w:rsidR="00B92948" w:rsidRPr="00B92948" w:rsidRDefault="00B92948" w:rsidP="0095553A">
      <w:pPr>
        <w:pStyle w:val="H23G"/>
      </w:pPr>
      <w:r w:rsidRPr="00B92948">
        <w:tab/>
        <w:t>b)</w:t>
      </w:r>
      <w:r w:rsidRPr="00B92948">
        <w:tab/>
        <w:t>Objetivos de la educación</w:t>
      </w:r>
      <w:bookmarkStart w:id="65" w:name="_Toc56781466"/>
      <w:bookmarkEnd w:id="65"/>
    </w:p>
    <w:p w14:paraId="56C7BA17" w14:textId="77777777" w:rsidR="00B92948" w:rsidRPr="00B92948" w:rsidRDefault="00B92948" w:rsidP="00B92948">
      <w:pPr>
        <w:pStyle w:val="SingleTxtG"/>
      </w:pPr>
      <w:r w:rsidRPr="00B92948">
        <w:t>169.</w:t>
      </w:r>
      <w:r w:rsidRPr="00B92948">
        <w:tab/>
        <w:t>Como se establece en la legislación nacional, los objetivos de la educación se han centrado en:</w:t>
      </w:r>
    </w:p>
    <w:p w14:paraId="473AF4F9" w14:textId="77777777" w:rsidR="00B92948" w:rsidRPr="00B92948" w:rsidRDefault="00B92948" w:rsidP="0095553A">
      <w:pPr>
        <w:pStyle w:val="Bullet1G"/>
      </w:pPr>
      <w:r w:rsidRPr="00B92948">
        <w:tab/>
        <w:t>Fomentar la alfabetización y la capacidad de los estudiantes para comprender el idioma macedonio y su alfabeto cirílico, y comunicarse y expresarse en estos, así como en los idiomas de los miembros de las diferentes comunidades del país y sus correspondientes escrituras</w:t>
      </w:r>
      <w:r w:rsidR="00C92471">
        <w:t>.</w:t>
      </w:r>
    </w:p>
    <w:p w14:paraId="3BD4CE85" w14:textId="77777777" w:rsidR="00B92948" w:rsidRPr="00B92948" w:rsidRDefault="00B92948" w:rsidP="0095553A">
      <w:pPr>
        <w:pStyle w:val="Bullet1G"/>
      </w:pPr>
      <w:r w:rsidRPr="00B92948">
        <w:tab/>
        <w:t>Promover el desarrollo armonioso, emocional y social de los estudiantes</w:t>
      </w:r>
      <w:r w:rsidR="00C92471">
        <w:t>.</w:t>
      </w:r>
    </w:p>
    <w:p w14:paraId="6E03AAE4" w14:textId="77777777" w:rsidR="00B92948" w:rsidRPr="00B92948" w:rsidRDefault="00B92948" w:rsidP="0095553A">
      <w:pPr>
        <w:pStyle w:val="Bullet1G"/>
      </w:pPr>
      <w:r w:rsidRPr="00B92948">
        <w:tab/>
        <w:t>Desarrollar la confianza de los estudiantes en sí mismos y la conciencia de su individualidad y la responsabilidad de sus actos en relación con su sentido de pertenencia nacional y cultural y el fomento de este</w:t>
      </w:r>
      <w:r w:rsidR="00C92471">
        <w:t>.</w:t>
      </w:r>
    </w:p>
    <w:p w14:paraId="1DBFE038" w14:textId="77777777" w:rsidR="00B92948" w:rsidRPr="00B92948" w:rsidRDefault="00B92948" w:rsidP="0095553A">
      <w:pPr>
        <w:pStyle w:val="Bullet1G"/>
      </w:pPr>
      <w:r w:rsidRPr="00B92948">
        <w:tab/>
        <w:t>Educar a los estudiantes en la tolerancia mutua y el respeto de la diversidad y las libertades y derechos humanos básicos, y en los valores culturales y de la civilización en general</w:t>
      </w:r>
      <w:r w:rsidR="00C92471">
        <w:t>.</w:t>
      </w:r>
    </w:p>
    <w:p w14:paraId="650993B1" w14:textId="77777777" w:rsidR="00B92948" w:rsidRPr="00B92948" w:rsidRDefault="00B92948" w:rsidP="0095553A">
      <w:pPr>
        <w:pStyle w:val="Bullet1G"/>
      </w:pPr>
      <w:r w:rsidRPr="00B92948">
        <w:tab/>
        <w:t>Desarrollar las capacidades de investigación, experimentación y resolución de problemas</w:t>
      </w:r>
      <w:r w:rsidR="00C92471">
        <w:t>.</w:t>
      </w:r>
    </w:p>
    <w:p w14:paraId="3B73D4DA" w14:textId="77777777" w:rsidR="00B92948" w:rsidRPr="00B92948" w:rsidRDefault="00B92948" w:rsidP="0095553A">
      <w:pPr>
        <w:pStyle w:val="Bullet1G"/>
      </w:pPr>
      <w:r w:rsidRPr="00B92948">
        <w:tab/>
        <w:t>Incluir a los estudiantes con necesidades educativas especiales y prestarles la debida atención</w:t>
      </w:r>
      <w:r w:rsidR="00C92471">
        <w:t>.</w:t>
      </w:r>
    </w:p>
    <w:p w14:paraId="65B98A15" w14:textId="77777777" w:rsidR="00B92948" w:rsidRPr="00B92948" w:rsidRDefault="00B92948" w:rsidP="0095553A">
      <w:pPr>
        <w:pStyle w:val="Bullet1G"/>
      </w:pPr>
      <w:r w:rsidRPr="00B92948">
        <w:tab/>
        <w:t>Desarrollar el talento de los alumnos en diferentes ámbitos</w:t>
      </w:r>
      <w:r w:rsidR="00C92471">
        <w:t>.</w:t>
      </w:r>
    </w:p>
    <w:p w14:paraId="19F32E22" w14:textId="77777777" w:rsidR="00B92948" w:rsidRPr="00B92948" w:rsidRDefault="00B92948" w:rsidP="0095553A">
      <w:pPr>
        <w:pStyle w:val="Bullet1G"/>
      </w:pPr>
      <w:r w:rsidRPr="00B92948">
        <w:tab/>
        <w:t>Crear un estilo de vida y una crianza saludables para que los estudiantes asuman la responsabilidad de la propia salud y la protección del medio ambiente.</w:t>
      </w:r>
    </w:p>
    <w:p w14:paraId="213D9469" w14:textId="77777777" w:rsidR="00B92948" w:rsidRPr="00B92948" w:rsidRDefault="00B92948" w:rsidP="0095553A">
      <w:pPr>
        <w:pStyle w:val="H23G"/>
      </w:pPr>
      <w:r w:rsidRPr="00B92948">
        <w:tab/>
        <w:t>c)</w:t>
      </w:r>
      <w:r w:rsidRPr="00B92948">
        <w:tab/>
        <w:t>Derecho a la cultura de los niños de origen indígena y de los niños pertenecientes a</w:t>
      </w:r>
      <w:r w:rsidR="0095553A">
        <w:t> </w:t>
      </w:r>
      <w:r w:rsidRPr="00B92948">
        <w:t>minorías (art. 30)</w:t>
      </w:r>
      <w:bookmarkStart w:id="66" w:name="_Toc56781467"/>
      <w:bookmarkEnd w:id="66"/>
    </w:p>
    <w:p w14:paraId="5273539D" w14:textId="77777777" w:rsidR="00B92948" w:rsidRPr="00B92948" w:rsidRDefault="00B92948" w:rsidP="00B92948">
      <w:pPr>
        <w:pStyle w:val="SingleTxtG"/>
      </w:pPr>
      <w:r w:rsidRPr="00B92948">
        <w:t>170.</w:t>
      </w:r>
      <w:r w:rsidRPr="00B92948">
        <w:tab/>
        <w:t xml:space="preserve">El derecho a la educación en la lengua materna está garantizado por la Constitución. De conformidad con el artículo 48 de esta, las personas que pertenecen a comunidades étnicas tienen derecho a expresar, cultivar y desarrollar libremente su identidad y características étnicas mediante el establecimiento de instituciones culturales y artísticas y asociaciones científicas y de otra índole. </w:t>
      </w:r>
    </w:p>
    <w:p w14:paraId="2D5B9536" w14:textId="77777777" w:rsidR="00B92948" w:rsidRPr="00B92948" w:rsidRDefault="00B92948" w:rsidP="00B92948">
      <w:pPr>
        <w:pStyle w:val="SingleTxtG"/>
      </w:pPr>
      <w:r w:rsidRPr="00B92948">
        <w:t>171.</w:t>
      </w:r>
      <w:r w:rsidRPr="00B92948">
        <w:tab/>
        <w:t xml:space="preserve">De conformidad con el </w:t>
      </w:r>
      <w:r w:rsidRPr="006C6A08">
        <w:t>artículo 9 2)</w:t>
      </w:r>
      <w:r w:rsidRPr="00B92948">
        <w:t xml:space="preserve"> de la Ley de Enseñanza Primaria, se imparte a los alumnos pertenecientes a comunidades enseñanza en una lengua distinta del macedonio y su alfabeto cirílico, en la lengua y el alfabeto de la comunidad respectiva, de la manera dispuesta por esta Ley.</w:t>
      </w:r>
    </w:p>
    <w:p w14:paraId="2D781707" w14:textId="77777777" w:rsidR="00B92948" w:rsidRPr="00B92948" w:rsidRDefault="00B92948" w:rsidP="00B92948">
      <w:pPr>
        <w:pStyle w:val="SingleTxtG"/>
      </w:pPr>
      <w:r w:rsidRPr="00B92948">
        <w:t>172.</w:t>
      </w:r>
      <w:r w:rsidRPr="00B92948">
        <w:tab/>
        <w:t>De conformidad con el artículo 8 de la Ley de Enseñanza Primaria, los niños extranjeros o apátridas que residen en el país tienen derecho a la enseñanza primaria en las mismas condiciones que los niños que son ciudadanos del país. Sus clases se organizan en su lengua materna, sobre la base de acuerdos internacionales ratificados con arreglo a la Constitución.</w:t>
      </w:r>
    </w:p>
    <w:p w14:paraId="73183C49" w14:textId="77777777" w:rsidR="00B92948" w:rsidRPr="00B92948" w:rsidRDefault="00B92948" w:rsidP="00B92948">
      <w:pPr>
        <w:pStyle w:val="SingleTxtG"/>
      </w:pPr>
      <w:r w:rsidRPr="00B92948">
        <w:t>173.</w:t>
      </w:r>
      <w:r w:rsidRPr="00B92948">
        <w:tab/>
        <w:t>La enseñanza primaria se imparte en cuatro idiomas: macedonio, albanés, turco y serbio. De los 129 libros de texto aprobados, el 97</w:t>
      </w:r>
      <w:r w:rsidR="000C0C75">
        <w:t> %</w:t>
      </w:r>
      <w:r w:rsidRPr="00B92948">
        <w:t xml:space="preserve"> está traducido al idioma en que se dictan las clases. Estos libros se publican digitalmente en todos los idiomas en el sitio web oficial del Ministerio de Educación y Ciencia. Se han aprobado libros de texto para el estudio de la lengua y la cultura de la comunidad pertinente dirigidos a los alumnos de los grados </w:t>
      </w:r>
      <w:r w:rsidR="009B58DB">
        <w:t>tercero</w:t>
      </w:r>
      <w:r w:rsidRPr="00B92948">
        <w:t xml:space="preserve"> </w:t>
      </w:r>
      <w:r w:rsidRPr="00B92948">
        <w:lastRenderedPageBreak/>
        <w:t xml:space="preserve">a </w:t>
      </w:r>
      <w:r w:rsidR="009B58DB">
        <w:t>noveno</w:t>
      </w:r>
      <w:r w:rsidRPr="00B92948">
        <w:t xml:space="preserve"> pertenecientes a las comunidades étnicas que no reciben instrucción en su lengua materna. La enseñanza en la escuela secundaria y la formación profesional secundaria se</w:t>
      </w:r>
      <w:r w:rsidR="009B58DB">
        <w:t xml:space="preserve"> </w:t>
      </w:r>
      <w:r w:rsidRPr="00B92948">
        <w:t>imparten en tres idiomas de instrucción: macedonio, albanés y turco. En el año escolar 2017/18, se introdujo el idioma bosnio en las escuelas.</w:t>
      </w:r>
    </w:p>
    <w:p w14:paraId="03CDA712" w14:textId="77777777" w:rsidR="00B92948" w:rsidRPr="00B92948" w:rsidRDefault="00B92948" w:rsidP="0095553A">
      <w:pPr>
        <w:pStyle w:val="H23G"/>
      </w:pPr>
      <w:r w:rsidRPr="00B92948">
        <w:tab/>
        <w:t>d)</w:t>
      </w:r>
      <w:r w:rsidRPr="00B92948">
        <w:tab/>
        <w:t xml:space="preserve">Descanso, juego, esparcimiento y actividades recreativas, culturales </w:t>
      </w:r>
      <w:r w:rsidR="009B58DB">
        <w:br/>
      </w:r>
      <w:r w:rsidRPr="00B92948">
        <w:t>y artísticas (art. 31)</w:t>
      </w:r>
      <w:bookmarkStart w:id="67" w:name="_Toc56781468"/>
      <w:bookmarkEnd w:id="67"/>
    </w:p>
    <w:p w14:paraId="038F1C68" w14:textId="77777777" w:rsidR="00B92948" w:rsidRPr="00B92948" w:rsidRDefault="00B92948" w:rsidP="00B92948">
      <w:pPr>
        <w:pStyle w:val="SingleTxtG"/>
      </w:pPr>
      <w:r w:rsidRPr="00B92948">
        <w:t>174.</w:t>
      </w:r>
      <w:r w:rsidRPr="00B92948">
        <w:tab/>
        <w:t>En el marco de sus competencias, el Ministerio de Educación y Ciencia regula la permanencia de los niños en las escuelas. Los períodos de clase son de 40 minutos y, una vez finalizados, el niño queda liberado de la obligación de permanecer en la escuela, excepto en los casos en que participe en actividades extraescolares. Según los diferentes intereses de los alumnos, la escuela primaria organiza actividades gratuitas para los alumnos, determinadas por el programa de trabajo anual de la escuela. Se realizan concursos a nivel municipal, regional y nacional para los alumnos que muestran un rendimiento especial en ciertas materias.</w:t>
      </w:r>
      <w:bookmarkStart w:id="68" w:name="OLE_LINK1"/>
      <w:bookmarkStart w:id="69" w:name="OLE_LINK2"/>
      <w:bookmarkEnd w:id="68"/>
      <w:bookmarkEnd w:id="69"/>
    </w:p>
    <w:p w14:paraId="24418478" w14:textId="77777777" w:rsidR="00B92948" w:rsidRPr="00B92948" w:rsidRDefault="00B92948" w:rsidP="00B92948">
      <w:pPr>
        <w:pStyle w:val="SingleTxtG"/>
      </w:pPr>
      <w:r w:rsidRPr="00B92948">
        <w:t>175.</w:t>
      </w:r>
      <w:r w:rsidRPr="00B92948">
        <w:tab/>
        <w:t xml:space="preserve">Todos los años escolares, el Ministerio de Educación y Ciencia aprueba un calendario para la organización y el trabajo de las escuelas primarias y secundarias. </w:t>
      </w:r>
    </w:p>
    <w:p w14:paraId="0083BC66" w14:textId="77777777" w:rsidR="00B92948" w:rsidRPr="00B92948" w:rsidRDefault="00B92948" w:rsidP="00B92948">
      <w:pPr>
        <w:pStyle w:val="SingleTxtG"/>
      </w:pPr>
      <w:r w:rsidRPr="00B92948">
        <w:t>176.</w:t>
      </w:r>
      <w:r w:rsidRPr="00B92948">
        <w:tab/>
        <w:t xml:space="preserve">La Ley de Protección de los Derechos del Niño contiene disposiciones relativas al derecho al descanso y las actividades recreativas del niño. </w:t>
      </w:r>
    </w:p>
    <w:p w14:paraId="58DF4F7F" w14:textId="77777777" w:rsidR="00B92948" w:rsidRPr="00B92948" w:rsidRDefault="00B92948" w:rsidP="0095553A">
      <w:pPr>
        <w:pStyle w:val="H1G"/>
      </w:pPr>
      <w:r w:rsidRPr="00B92948">
        <w:tab/>
        <w:t>9.</w:t>
      </w:r>
      <w:r w:rsidRPr="00B92948">
        <w:tab/>
        <w:t xml:space="preserve">Medidas especiales de protección (arts. 22, 30, 32, 33, 35, 36, </w:t>
      </w:r>
      <w:r w:rsidR="0095553A">
        <w:br/>
      </w:r>
      <w:r w:rsidRPr="00B92948">
        <w:t xml:space="preserve">37 b) a d), y 38 a 40) </w:t>
      </w:r>
      <w:bookmarkStart w:id="70" w:name="_Toc56781469"/>
      <w:bookmarkEnd w:id="70"/>
    </w:p>
    <w:p w14:paraId="09F9AF0E" w14:textId="77777777" w:rsidR="00B92948" w:rsidRPr="00B92948" w:rsidRDefault="00B92948" w:rsidP="0095553A">
      <w:pPr>
        <w:pStyle w:val="H23G"/>
      </w:pPr>
      <w:r w:rsidRPr="00B92948">
        <w:tab/>
        <w:t>a)</w:t>
      </w:r>
      <w:r w:rsidRPr="00B92948">
        <w:tab/>
        <w:t xml:space="preserve">Niños fuera de su país de origen que tratan de obtener la condición de refugiado </w:t>
      </w:r>
      <w:r w:rsidR="0095553A">
        <w:br/>
      </w:r>
      <w:r w:rsidRPr="00B92948">
        <w:t>(art. 22), niños no acompañados solicitantes de asilo, niños desplazados, niños migrantes y niños afectados por la migración</w:t>
      </w:r>
      <w:bookmarkStart w:id="71" w:name="_Toc56781470"/>
      <w:bookmarkEnd w:id="71"/>
    </w:p>
    <w:p w14:paraId="4ABD6AF3" w14:textId="77777777" w:rsidR="00B92948" w:rsidRPr="00B92948" w:rsidRDefault="00B92948" w:rsidP="00B92948">
      <w:pPr>
        <w:pStyle w:val="SingleTxtG"/>
      </w:pPr>
      <w:r w:rsidRPr="00B92948">
        <w:t>177.</w:t>
      </w:r>
      <w:r w:rsidRPr="00B92948">
        <w:tab/>
        <w:t>Los niños solicitantes de asilo acompañados por la familia durante el procedimiento de solicitud de asilo son alojados en el único Centro de Recepción de Solicitantes de Asilo, situado en Skopie. El Centro, que se inauguró en 2008, cumple las normas internacionales de acogida de solicitantes de asilo en lo que respecta al alojamiento, el acceso a asistencia jurídica e información, así como a la realización de talleres educativos, especialmente para niños. En la práctica, los solicitantes de asilo permanecen allí muy poco tiempo, por lo que los niños no tienen la oportunidad de participar en el sistema de educación ordinario. Los trabajadores sociales, los psicólogos, los educadores, los consejeros y otros servicios profesionales activos en el Centro se ocupan de la protección de las familias y los niños durante su estancia allí.</w:t>
      </w:r>
    </w:p>
    <w:p w14:paraId="5FBCD553" w14:textId="77777777" w:rsidR="00B92948" w:rsidRPr="00B92948" w:rsidRDefault="00B92948" w:rsidP="00B92948">
      <w:pPr>
        <w:pStyle w:val="SingleTxtG"/>
      </w:pPr>
      <w:r w:rsidRPr="00B92948">
        <w:t>178.</w:t>
      </w:r>
      <w:r w:rsidRPr="00B92948">
        <w:tab/>
        <w:t>Las medidas legislativas para el nombramiento de un tutor de oficio se aplican para la admisión de los niños no acompañados. El tutor también dirige el procedimiento para el cuidado adecuado de los niños.</w:t>
      </w:r>
    </w:p>
    <w:p w14:paraId="6A50C451" w14:textId="77777777" w:rsidR="00B92948" w:rsidRPr="00B92948" w:rsidRDefault="00B92948" w:rsidP="00B92948">
      <w:pPr>
        <w:pStyle w:val="SingleTxtG"/>
      </w:pPr>
      <w:r w:rsidRPr="00B92948">
        <w:t>179.</w:t>
      </w:r>
      <w:r w:rsidRPr="00B92948">
        <w:tab/>
        <w:t>Para el período 2014-2018, el Ministerio de Trabajo y Política Social concertó acuerdos anuales con la Oficina del Alto Comisionado de las Naciones Unidas para los Refugiados (ACNUR) que, al igual que los memorandos de cooperación que el Ministerio celebra con una ONG asociada, abordaban cuestiones relativas a la acogida de los solicitantes de asilo (niños y categorías vulnerables)</w:t>
      </w:r>
      <w:r w:rsidRPr="00B92948">
        <w:rPr>
          <w:rStyle w:val="Refdenotaalpie"/>
        </w:rPr>
        <w:footnoteReference w:id="43"/>
      </w:r>
      <w:r w:rsidRPr="00B92948">
        <w:t xml:space="preserve">. De conformidad con la Ley de Protección Internacional y Temporal (de abril de 2018), el Ministerio también se encarga de adoptar reglamentos especiales y normas sobre la acogida de solicitantes de asilo, niños no acompañados y categorías de personas vulnerables bajo protección internacional. Al mismo tiempo, el Ministerio está trabajando en </w:t>
      </w:r>
      <w:proofErr w:type="spellStart"/>
      <w:r w:rsidRPr="00B92948">
        <w:t>pos</w:t>
      </w:r>
      <w:proofErr w:type="spellEnd"/>
      <w:r w:rsidRPr="00B92948">
        <w:t xml:space="preserve"> de la adopción de un protocolo interministerial que define el procedimiento y las obligaciones relacionadas con la reunificación familiar y la búsqueda de familiares.</w:t>
      </w:r>
    </w:p>
    <w:p w14:paraId="3788383C" w14:textId="77777777" w:rsidR="00B92948" w:rsidRPr="00B92948" w:rsidRDefault="00B92948" w:rsidP="00B92948">
      <w:pPr>
        <w:pStyle w:val="SingleTxtG"/>
      </w:pPr>
      <w:r w:rsidRPr="00B92948">
        <w:t>180.</w:t>
      </w:r>
      <w:r w:rsidRPr="00B92948">
        <w:tab/>
        <w:t xml:space="preserve">Durante la última crisis de refugiados de 2015, el Ministerio de Trabajo y Política Social, en cooperación con el UNICEF, contrató a asistentes sociales para que trabajaran sobre el terreno, con formación para elaborar perfiles de diferentes tipos de riesgos sociales, </w:t>
      </w:r>
      <w:r w:rsidRPr="00B92948">
        <w:lastRenderedPageBreak/>
        <w:t>con el fin de identificarlos rápidamente e intervenir adecuadamente en casos concretos. En este contexto, el Ministerio formó parte del grupo de trabajo encargado de redactar y aprobar dos procedimientos operativos estándar para tratar con menores no acompañados y con categorías vulnerables de refugiados (en los que el Ministerio del Interior es la institución de ejecución).</w:t>
      </w:r>
    </w:p>
    <w:p w14:paraId="7FE22358" w14:textId="77777777" w:rsidR="00B92948" w:rsidRPr="00B92948" w:rsidRDefault="00B92948" w:rsidP="00B92948">
      <w:pPr>
        <w:pStyle w:val="SingleTxtG"/>
      </w:pPr>
      <w:r w:rsidRPr="00B92948">
        <w:t>181.</w:t>
      </w:r>
      <w:r w:rsidRPr="00B92948">
        <w:tab/>
        <w:t>En 2009 se creó el Centro de Integración de Refugiados y Extranjeros con el fin de elaborar planes individuales de integración y supervisar las actividades previstas para ellos. Sigue pendiente la obligación de elaborar mecanismos especiales para la detección de niños que participaron en conflictos armados y la capacitación adecuada del personal que trabajaría con esta categoría de niños.</w:t>
      </w:r>
    </w:p>
    <w:p w14:paraId="2172E719" w14:textId="77777777" w:rsidR="00B92948" w:rsidRPr="00B92948" w:rsidRDefault="00B92948" w:rsidP="00B92948">
      <w:pPr>
        <w:pStyle w:val="SingleTxtG"/>
      </w:pPr>
      <w:r w:rsidRPr="00B92948">
        <w:t>182.</w:t>
      </w:r>
      <w:r w:rsidRPr="00B92948">
        <w:tab/>
        <w:t>Según los datos estadísticos, el número de niños desplazados por año es el siguiente: en 2014, 46 niños; en 2015, 60 niños; en 2016, 54 niños; en 2017, 47 niños; y en 2018, 44</w:t>
      </w:r>
      <w:r w:rsidR="00C92471">
        <w:t> </w:t>
      </w:r>
      <w:r w:rsidRPr="00B92948">
        <w:t xml:space="preserve">niños. </w:t>
      </w:r>
    </w:p>
    <w:p w14:paraId="501874EF" w14:textId="77777777" w:rsidR="00B92948" w:rsidRDefault="0095553A" w:rsidP="0095553A">
      <w:pPr>
        <w:pStyle w:val="H23G"/>
      </w:pPr>
      <w:r>
        <w:tab/>
      </w:r>
      <w:r w:rsidR="00B92948" w:rsidRPr="00B92948">
        <w:tab/>
        <w:t>Datos sobre niños solicitantes de asilo, 2014 a junio de 2018</w:t>
      </w:r>
      <w:r w:rsidR="00B92948" w:rsidRPr="00A54C2C">
        <w:rPr>
          <w:rStyle w:val="Refdenotaalpie"/>
          <w:b w:val="0"/>
          <w:bCs/>
        </w:rPr>
        <w:footnoteReference w:id="44"/>
      </w:r>
      <w:bookmarkStart w:id="72" w:name="_Toc56781471"/>
      <w:bookmarkEnd w:id="72"/>
    </w:p>
    <w:tbl>
      <w:tblPr>
        <w:tblStyle w:val="Tablaconcuadrcula"/>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57"/>
        <w:gridCol w:w="2456"/>
        <w:gridCol w:w="2457"/>
      </w:tblGrid>
      <w:tr w:rsidR="00A54C2C" w:rsidRPr="00A54C2C" w14:paraId="4743B492" w14:textId="77777777" w:rsidTr="00A54C2C">
        <w:tc>
          <w:tcPr>
            <w:tcW w:w="2457" w:type="dxa"/>
            <w:tcBorders>
              <w:top w:val="single" w:sz="4" w:space="0" w:color="auto"/>
              <w:bottom w:val="single" w:sz="12" w:space="0" w:color="auto"/>
            </w:tcBorders>
            <w:shd w:val="clear" w:color="auto" w:fill="auto"/>
            <w:vAlign w:val="bottom"/>
          </w:tcPr>
          <w:p w14:paraId="554AE045" w14:textId="77777777" w:rsidR="00A54C2C" w:rsidRPr="00A54C2C" w:rsidRDefault="00A54C2C" w:rsidP="00A54C2C">
            <w:pPr>
              <w:spacing w:before="80" w:after="80" w:line="200" w:lineRule="exact"/>
              <w:rPr>
                <w:i/>
                <w:sz w:val="16"/>
              </w:rPr>
            </w:pPr>
            <w:r w:rsidRPr="003A1036">
              <w:rPr>
                <w:i/>
                <w:iCs/>
                <w:sz w:val="16"/>
              </w:rPr>
              <w:t>Año</w:t>
            </w:r>
          </w:p>
        </w:tc>
        <w:tc>
          <w:tcPr>
            <w:tcW w:w="2456" w:type="dxa"/>
            <w:tcBorders>
              <w:top w:val="single" w:sz="4" w:space="0" w:color="auto"/>
              <w:bottom w:val="single" w:sz="12" w:space="0" w:color="auto"/>
            </w:tcBorders>
            <w:shd w:val="clear" w:color="auto" w:fill="auto"/>
            <w:vAlign w:val="bottom"/>
          </w:tcPr>
          <w:p w14:paraId="348AA30A" w14:textId="77777777" w:rsidR="00A54C2C" w:rsidRPr="003A1036" w:rsidRDefault="00A54C2C" w:rsidP="00A54C2C">
            <w:pPr>
              <w:pStyle w:val="SingleTxtG"/>
              <w:tabs>
                <w:tab w:val="clear" w:pos="1701"/>
                <w:tab w:val="clear" w:pos="2268"/>
                <w:tab w:val="clear" w:pos="2835"/>
              </w:tabs>
              <w:spacing w:before="80" w:after="80" w:line="200" w:lineRule="exact"/>
              <w:ind w:left="113" w:right="28"/>
              <w:jc w:val="right"/>
              <w:rPr>
                <w:i/>
                <w:sz w:val="16"/>
              </w:rPr>
            </w:pPr>
            <w:r w:rsidRPr="003A1036">
              <w:rPr>
                <w:i/>
                <w:iCs/>
                <w:sz w:val="16"/>
              </w:rPr>
              <w:t>Menores acompañados</w:t>
            </w:r>
          </w:p>
        </w:tc>
        <w:tc>
          <w:tcPr>
            <w:tcW w:w="2457" w:type="dxa"/>
            <w:tcBorders>
              <w:top w:val="single" w:sz="4" w:space="0" w:color="auto"/>
              <w:bottom w:val="single" w:sz="12" w:space="0" w:color="auto"/>
            </w:tcBorders>
            <w:shd w:val="clear" w:color="auto" w:fill="auto"/>
            <w:vAlign w:val="bottom"/>
          </w:tcPr>
          <w:p w14:paraId="459D86A8" w14:textId="77777777" w:rsidR="00A54C2C" w:rsidRPr="003A1036" w:rsidRDefault="00A54C2C" w:rsidP="00A54C2C">
            <w:pPr>
              <w:pStyle w:val="SingleTxtG"/>
              <w:tabs>
                <w:tab w:val="clear" w:pos="1701"/>
                <w:tab w:val="clear" w:pos="2268"/>
                <w:tab w:val="clear" w:pos="2835"/>
              </w:tabs>
              <w:spacing w:before="80" w:after="80" w:line="200" w:lineRule="exact"/>
              <w:ind w:left="113" w:right="28"/>
              <w:jc w:val="right"/>
              <w:rPr>
                <w:i/>
                <w:sz w:val="16"/>
              </w:rPr>
            </w:pPr>
            <w:r w:rsidRPr="003A1036">
              <w:rPr>
                <w:i/>
                <w:iCs/>
                <w:sz w:val="16"/>
              </w:rPr>
              <w:t>Menores no acompañados</w:t>
            </w:r>
          </w:p>
        </w:tc>
      </w:tr>
      <w:tr w:rsidR="00A54C2C" w:rsidRPr="00A54C2C" w14:paraId="653D5447" w14:textId="77777777" w:rsidTr="001835D4">
        <w:tc>
          <w:tcPr>
            <w:tcW w:w="2457" w:type="dxa"/>
            <w:tcBorders>
              <w:top w:val="single" w:sz="12" w:space="0" w:color="auto"/>
            </w:tcBorders>
            <w:shd w:val="clear" w:color="auto" w:fill="auto"/>
          </w:tcPr>
          <w:p w14:paraId="0B732134" w14:textId="77777777" w:rsidR="00A54C2C" w:rsidRPr="003A1036" w:rsidRDefault="00A54C2C" w:rsidP="00A54C2C">
            <w:pPr>
              <w:pStyle w:val="SingleTxtG"/>
              <w:tabs>
                <w:tab w:val="clear" w:pos="1701"/>
                <w:tab w:val="clear" w:pos="2268"/>
                <w:tab w:val="clear" w:pos="2835"/>
              </w:tabs>
              <w:spacing w:before="40" w:after="40" w:line="220" w:lineRule="exact"/>
              <w:ind w:left="0" w:right="0"/>
              <w:jc w:val="left"/>
              <w:rPr>
                <w:sz w:val="18"/>
              </w:rPr>
            </w:pPr>
            <w:r w:rsidRPr="003A1036">
              <w:rPr>
                <w:sz w:val="18"/>
              </w:rPr>
              <w:t>2014</w:t>
            </w:r>
          </w:p>
        </w:tc>
        <w:tc>
          <w:tcPr>
            <w:tcW w:w="2456" w:type="dxa"/>
            <w:tcBorders>
              <w:top w:val="single" w:sz="12" w:space="0" w:color="auto"/>
            </w:tcBorders>
            <w:shd w:val="clear" w:color="auto" w:fill="auto"/>
            <w:vAlign w:val="bottom"/>
          </w:tcPr>
          <w:p w14:paraId="5ACD8B66" w14:textId="77777777" w:rsidR="00A54C2C" w:rsidRPr="003A1036" w:rsidRDefault="00A54C2C" w:rsidP="00A54C2C">
            <w:pPr>
              <w:pStyle w:val="SingleTxtG"/>
              <w:tabs>
                <w:tab w:val="clear" w:pos="1701"/>
                <w:tab w:val="clear" w:pos="2268"/>
                <w:tab w:val="clear" w:pos="2835"/>
              </w:tabs>
              <w:spacing w:before="40" w:after="40" w:line="220" w:lineRule="exact"/>
              <w:ind w:left="113" w:right="28"/>
              <w:jc w:val="right"/>
              <w:rPr>
                <w:sz w:val="18"/>
              </w:rPr>
            </w:pPr>
            <w:r w:rsidRPr="003A1036">
              <w:rPr>
                <w:sz w:val="18"/>
              </w:rPr>
              <w:t>114</w:t>
            </w:r>
          </w:p>
        </w:tc>
        <w:tc>
          <w:tcPr>
            <w:tcW w:w="2457" w:type="dxa"/>
            <w:tcBorders>
              <w:top w:val="single" w:sz="12" w:space="0" w:color="auto"/>
            </w:tcBorders>
            <w:shd w:val="clear" w:color="auto" w:fill="auto"/>
            <w:vAlign w:val="bottom"/>
          </w:tcPr>
          <w:p w14:paraId="1A69BB26" w14:textId="77777777" w:rsidR="00A54C2C" w:rsidRPr="003A1036" w:rsidRDefault="00A54C2C" w:rsidP="00A54C2C">
            <w:pPr>
              <w:pStyle w:val="SingleTxtG"/>
              <w:tabs>
                <w:tab w:val="clear" w:pos="1701"/>
                <w:tab w:val="clear" w:pos="2268"/>
                <w:tab w:val="clear" w:pos="2835"/>
              </w:tabs>
              <w:spacing w:before="40" w:after="40" w:line="220" w:lineRule="exact"/>
              <w:ind w:left="113" w:right="28"/>
              <w:jc w:val="right"/>
              <w:rPr>
                <w:sz w:val="18"/>
              </w:rPr>
            </w:pPr>
            <w:r w:rsidRPr="003A1036">
              <w:rPr>
                <w:sz w:val="18"/>
              </w:rPr>
              <w:t xml:space="preserve">99 </w:t>
            </w:r>
          </w:p>
        </w:tc>
      </w:tr>
      <w:tr w:rsidR="00A54C2C" w:rsidRPr="00A54C2C" w14:paraId="6151F559" w14:textId="77777777" w:rsidTr="001835D4">
        <w:tc>
          <w:tcPr>
            <w:tcW w:w="2457" w:type="dxa"/>
            <w:shd w:val="clear" w:color="auto" w:fill="auto"/>
          </w:tcPr>
          <w:p w14:paraId="7CD71FD3" w14:textId="77777777" w:rsidR="00A54C2C" w:rsidRPr="003A1036" w:rsidRDefault="00A54C2C" w:rsidP="00A54C2C">
            <w:pPr>
              <w:pStyle w:val="SingleTxtG"/>
              <w:tabs>
                <w:tab w:val="clear" w:pos="1701"/>
                <w:tab w:val="clear" w:pos="2268"/>
                <w:tab w:val="clear" w:pos="2835"/>
              </w:tabs>
              <w:spacing w:before="40" w:after="40" w:line="220" w:lineRule="exact"/>
              <w:ind w:left="0" w:right="0"/>
              <w:jc w:val="left"/>
              <w:rPr>
                <w:sz w:val="18"/>
              </w:rPr>
            </w:pPr>
            <w:r w:rsidRPr="003A1036">
              <w:rPr>
                <w:sz w:val="18"/>
              </w:rPr>
              <w:t>2015</w:t>
            </w:r>
          </w:p>
        </w:tc>
        <w:tc>
          <w:tcPr>
            <w:tcW w:w="2456" w:type="dxa"/>
            <w:shd w:val="clear" w:color="auto" w:fill="auto"/>
            <w:vAlign w:val="bottom"/>
          </w:tcPr>
          <w:p w14:paraId="63ECE167" w14:textId="77777777" w:rsidR="00A54C2C" w:rsidRPr="003A1036" w:rsidRDefault="00A54C2C" w:rsidP="00A54C2C">
            <w:pPr>
              <w:pStyle w:val="SingleTxtG"/>
              <w:tabs>
                <w:tab w:val="clear" w:pos="1701"/>
                <w:tab w:val="clear" w:pos="2268"/>
                <w:tab w:val="clear" w:pos="2835"/>
              </w:tabs>
              <w:spacing w:before="40" w:after="40" w:line="220" w:lineRule="exact"/>
              <w:ind w:left="113" w:right="28"/>
              <w:jc w:val="right"/>
              <w:rPr>
                <w:sz w:val="18"/>
              </w:rPr>
            </w:pPr>
            <w:r w:rsidRPr="003A1036">
              <w:rPr>
                <w:sz w:val="18"/>
              </w:rPr>
              <w:t>308</w:t>
            </w:r>
          </w:p>
        </w:tc>
        <w:tc>
          <w:tcPr>
            <w:tcW w:w="2457" w:type="dxa"/>
            <w:shd w:val="clear" w:color="auto" w:fill="auto"/>
            <w:vAlign w:val="bottom"/>
          </w:tcPr>
          <w:p w14:paraId="11902116" w14:textId="77777777" w:rsidR="00A54C2C" w:rsidRPr="003A1036" w:rsidRDefault="00A54C2C" w:rsidP="00A54C2C">
            <w:pPr>
              <w:pStyle w:val="SingleTxtG"/>
              <w:tabs>
                <w:tab w:val="clear" w:pos="1701"/>
                <w:tab w:val="clear" w:pos="2268"/>
                <w:tab w:val="clear" w:pos="2835"/>
              </w:tabs>
              <w:spacing w:before="40" w:after="40" w:line="220" w:lineRule="exact"/>
              <w:ind w:left="113" w:right="28"/>
              <w:jc w:val="right"/>
              <w:rPr>
                <w:sz w:val="18"/>
              </w:rPr>
            </w:pPr>
            <w:r w:rsidRPr="003A1036">
              <w:rPr>
                <w:sz w:val="18"/>
              </w:rPr>
              <w:t xml:space="preserve">116 </w:t>
            </w:r>
          </w:p>
        </w:tc>
      </w:tr>
      <w:tr w:rsidR="00A54C2C" w:rsidRPr="00A54C2C" w14:paraId="2627C89D" w14:textId="77777777" w:rsidTr="001835D4">
        <w:tc>
          <w:tcPr>
            <w:tcW w:w="2457" w:type="dxa"/>
            <w:shd w:val="clear" w:color="auto" w:fill="auto"/>
          </w:tcPr>
          <w:p w14:paraId="203E458E" w14:textId="77777777" w:rsidR="00A54C2C" w:rsidRPr="003A1036" w:rsidRDefault="00A54C2C" w:rsidP="00A54C2C">
            <w:pPr>
              <w:pStyle w:val="SingleTxtG"/>
              <w:tabs>
                <w:tab w:val="clear" w:pos="1701"/>
                <w:tab w:val="clear" w:pos="2268"/>
                <w:tab w:val="clear" w:pos="2835"/>
              </w:tabs>
              <w:spacing w:before="40" w:after="40" w:line="220" w:lineRule="exact"/>
              <w:ind w:left="0" w:right="0"/>
              <w:jc w:val="left"/>
              <w:rPr>
                <w:sz w:val="18"/>
              </w:rPr>
            </w:pPr>
            <w:r w:rsidRPr="003A1036">
              <w:rPr>
                <w:sz w:val="18"/>
              </w:rPr>
              <w:t>2016</w:t>
            </w:r>
          </w:p>
        </w:tc>
        <w:tc>
          <w:tcPr>
            <w:tcW w:w="2456" w:type="dxa"/>
            <w:shd w:val="clear" w:color="auto" w:fill="auto"/>
            <w:vAlign w:val="bottom"/>
          </w:tcPr>
          <w:p w14:paraId="0FFF137C" w14:textId="77777777" w:rsidR="00A54C2C" w:rsidRPr="003A1036" w:rsidRDefault="00A54C2C" w:rsidP="00A54C2C">
            <w:pPr>
              <w:pStyle w:val="SingleTxtG"/>
              <w:tabs>
                <w:tab w:val="clear" w:pos="1701"/>
                <w:tab w:val="clear" w:pos="2268"/>
                <w:tab w:val="clear" w:pos="2835"/>
              </w:tabs>
              <w:spacing w:before="40" w:after="40" w:line="220" w:lineRule="exact"/>
              <w:ind w:left="113" w:right="28"/>
              <w:jc w:val="right"/>
              <w:rPr>
                <w:sz w:val="18"/>
              </w:rPr>
            </w:pPr>
            <w:r w:rsidRPr="003A1036">
              <w:rPr>
                <w:sz w:val="18"/>
              </w:rPr>
              <w:t>157</w:t>
            </w:r>
          </w:p>
        </w:tc>
        <w:tc>
          <w:tcPr>
            <w:tcW w:w="2457" w:type="dxa"/>
            <w:shd w:val="clear" w:color="auto" w:fill="auto"/>
            <w:vAlign w:val="bottom"/>
          </w:tcPr>
          <w:p w14:paraId="479B26AE" w14:textId="77777777" w:rsidR="00A54C2C" w:rsidRPr="003A1036" w:rsidRDefault="00A54C2C" w:rsidP="00A54C2C">
            <w:pPr>
              <w:pStyle w:val="SingleTxtG"/>
              <w:tabs>
                <w:tab w:val="clear" w:pos="1701"/>
                <w:tab w:val="clear" w:pos="2268"/>
                <w:tab w:val="clear" w:pos="2835"/>
              </w:tabs>
              <w:spacing w:before="40" w:after="40" w:line="220" w:lineRule="exact"/>
              <w:ind w:left="113" w:right="28"/>
              <w:jc w:val="right"/>
              <w:rPr>
                <w:sz w:val="18"/>
              </w:rPr>
            </w:pPr>
            <w:r w:rsidRPr="003A1036">
              <w:rPr>
                <w:sz w:val="18"/>
              </w:rPr>
              <w:t xml:space="preserve">36 </w:t>
            </w:r>
          </w:p>
        </w:tc>
      </w:tr>
      <w:tr w:rsidR="00A54C2C" w:rsidRPr="00A54C2C" w14:paraId="12DE851A" w14:textId="77777777" w:rsidTr="001835D4">
        <w:tc>
          <w:tcPr>
            <w:tcW w:w="2457" w:type="dxa"/>
            <w:shd w:val="clear" w:color="auto" w:fill="auto"/>
          </w:tcPr>
          <w:p w14:paraId="5F47FBFC" w14:textId="77777777" w:rsidR="00A54C2C" w:rsidRPr="003A1036" w:rsidRDefault="00A54C2C" w:rsidP="00A54C2C">
            <w:pPr>
              <w:pStyle w:val="SingleTxtG"/>
              <w:tabs>
                <w:tab w:val="clear" w:pos="1701"/>
                <w:tab w:val="clear" w:pos="2268"/>
                <w:tab w:val="clear" w:pos="2835"/>
              </w:tabs>
              <w:spacing w:before="40" w:after="40" w:line="220" w:lineRule="exact"/>
              <w:ind w:left="0" w:right="0"/>
              <w:jc w:val="left"/>
              <w:rPr>
                <w:sz w:val="18"/>
              </w:rPr>
            </w:pPr>
            <w:r w:rsidRPr="003A1036">
              <w:rPr>
                <w:sz w:val="18"/>
              </w:rPr>
              <w:t>2017</w:t>
            </w:r>
          </w:p>
        </w:tc>
        <w:tc>
          <w:tcPr>
            <w:tcW w:w="2456" w:type="dxa"/>
            <w:shd w:val="clear" w:color="auto" w:fill="auto"/>
            <w:vAlign w:val="bottom"/>
          </w:tcPr>
          <w:p w14:paraId="679AE14A" w14:textId="77777777" w:rsidR="00A54C2C" w:rsidRPr="003A1036" w:rsidRDefault="00A54C2C" w:rsidP="00A54C2C">
            <w:pPr>
              <w:pStyle w:val="SingleTxtG"/>
              <w:tabs>
                <w:tab w:val="clear" w:pos="1701"/>
                <w:tab w:val="clear" w:pos="2268"/>
                <w:tab w:val="clear" w:pos="2835"/>
              </w:tabs>
              <w:spacing w:before="40" w:after="40" w:line="220" w:lineRule="exact"/>
              <w:ind w:left="113" w:right="28"/>
              <w:jc w:val="right"/>
              <w:rPr>
                <w:sz w:val="18"/>
              </w:rPr>
            </w:pPr>
            <w:r w:rsidRPr="003A1036">
              <w:rPr>
                <w:sz w:val="18"/>
              </w:rPr>
              <w:t>15</w:t>
            </w:r>
          </w:p>
        </w:tc>
        <w:tc>
          <w:tcPr>
            <w:tcW w:w="2457" w:type="dxa"/>
            <w:shd w:val="clear" w:color="auto" w:fill="auto"/>
            <w:vAlign w:val="bottom"/>
          </w:tcPr>
          <w:p w14:paraId="3BC1BF8E" w14:textId="77777777" w:rsidR="00A54C2C" w:rsidRPr="003A1036" w:rsidRDefault="00A54C2C" w:rsidP="00A54C2C">
            <w:pPr>
              <w:pStyle w:val="SingleTxtG"/>
              <w:tabs>
                <w:tab w:val="clear" w:pos="1701"/>
                <w:tab w:val="clear" w:pos="2268"/>
                <w:tab w:val="clear" w:pos="2835"/>
              </w:tabs>
              <w:spacing w:before="40" w:after="40" w:line="220" w:lineRule="exact"/>
              <w:ind w:left="113" w:right="28"/>
              <w:jc w:val="right"/>
              <w:rPr>
                <w:sz w:val="18"/>
              </w:rPr>
            </w:pPr>
            <w:r w:rsidRPr="003A1036">
              <w:rPr>
                <w:sz w:val="18"/>
              </w:rPr>
              <w:t xml:space="preserve">13 </w:t>
            </w:r>
          </w:p>
        </w:tc>
      </w:tr>
      <w:tr w:rsidR="00A54C2C" w:rsidRPr="00A54C2C" w14:paraId="471398C0" w14:textId="77777777" w:rsidTr="001835D4">
        <w:tc>
          <w:tcPr>
            <w:tcW w:w="2457" w:type="dxa"/>
            <w:tcBorders>
              <w:bottom w:val="single" w:sz="12" w:space="0" w:color="auto"/>
            </w:tcBorders>
            <w:shd w:val="clear" w:color="auto" w:fill="auto"/>
          </w:tcPr>
          <w:p w14:paraId="7DA4FA1A" w14:textId="77777777" w:rsidR="00A54C2C" w:rsidRPr="003A1036" w:rsidRDefault="00CD4DE4" w:rsidP="00A54C2C">
            <w:pPr>
              <w:pStyle w:val="SingleTxtG"/>
              <w:tabs>
                <w:tab w:val="clear" w:pos="1701"/>
                <w:tab w:val="clear" w:pos="2268"/>
                <w:tab w:val="clear" w:pos="2835"/>
              </w:tabs>
              <w:spacing w:before="40" w:after="40" w:line="220" w:lineRule="exact"/>
              <w:ind w:left="0" w:right="0"/>
              <w:jc w:val="left"/>
              <w:rPr>
                <w:sz w:val="18"/>
              </w:rPr>
            </w:pPr>
            <w:r>
              <w:rPr>
                <w:sz w:val="18"/>
              </w:rPr>
              <w:t>De e</w:t>
            </w:r>
            <w:r w:rsidR="00A54C2C" w:rsidRPr="003A1036">
              <w:rPr>
                <w:sz w:val="18"/>
              </w:rPr>
              <w:t>nero a junio de 2018</w:t>
            </w:r>
          </w:p>
        </w:tc>
        <w:tc>
          <w:tcPr>
            <w:tcW w:w="2456" w:type="dxa"/>
            <w:tcBorders>
              <w:bottom w:val="single" w:sz="12" w:space="0" w:color="auto"/>
            </w:tcBorders>
            <w:shd w:val="clear" w:color="auto" w:fill="auto"/>
            <w:vAlign w:val="bottom"/>
          </w:tcPr>
          <w:p w14:paraId="3D1BB879" w14:textId="77777777" w:rsidR="00A54C2C" w:rsidRPr="003A1036" w:rsidRDefault="00A54C2C" w:rsidP="00A54C2C">
            <w:pPr>
              <w:pStyle w:val="SingleTxtG"/>
              <w:tabs>
                <w:tab w:val="clear" w:pos="1701"/>
                <w:tab w:val="clear" w:pos="2268"/>
                <w:tab w:val="clear" w:pos="2835"/>
              </w:tabs>
              <w:spacing w:before="40" w:after="40" w:line="220" w:lineRule="exact"/>
              <w:ind w:left="113" w:right="28"/>
              <w:jc w:val="right"/>
              <w:rPr>
                <w:sz w:val="18"/>
              </w:rPr>
            </w:pPr>
            <w:r w:rsidRPr="003A1036">
              <w:rPr>
                <w:sz w:val="18"/>
              </w:rPr>
              <w:t>27</w:t>
            </w:r>
          </w:p>
        </w:tc>
        <w:tc>
          <w:tcPr>
            <w:tcW w:w="2457" w:type="dxa"/>
            <w:tcBorders>
              <w:bottom w:val="single" w:sz="12" w:space="0" w:color="auto"/>
            </w:tcBorders>
            <w:shd w:val="clear" w:color="auto" w:fill="auto"/>
            <w:vAlign w:val="bottom"/>
          </w:tcPr>
          <w:p w14:paraId="6B80CBB4" w14:textId="77777777" w:rsidR="00A54C2C" w:rsidRPr="003A1036" w:rsidRDefault="00A54C2C" w:rsidP="00A54C2C">
            <w:pPr>
              <w:pStyle w:val="SingleTxtG"/>
              <w:tabs>
                <w:tab w:val="clear" w:pos="1701"/>
                <w:tab w:val="clear" w:pos="2268"/>
                <w:tab w:val="clear" w:pos="2835"/>
              </w:tabs>
              <w:spacing w:before="40" w:after="40" w:line="220" w:lineRule="exact"/>
              <w:ind w:left="113" w:right="28"/>
              <w:jc w:val="right"/>
              <w:rPr>
                <w:sz w:val="18"/>
              </w:rPr>
            </w:pPr>
            <w:r w:rsidRPr="003A1036">
              <w:rPr>
                <w:sz w:val="18"/>
              </w:rPr>
              <w:t xml:space="preserve">5 </w:t>
            </w:r>
          </w:p>
        </w:tc>
      </w:tr>
    </w:tbl>
    <w:p w14:paraId="55D7C801" w14:textId="77777777" w:rsidR="00B92948" w:rsidRPr="00B92948" w:rsidRDefault="00B92948" w:rsidP="0095553A">
      <w:pPr>
        <w:pStyle w:val="SingleTxtG"/>
        <w:spacing w:before="240"/>
      </w:pPr>
      <w:r w:rsidRPr="00B92948">
        <w:t>183.</w:t>
      </w:r>
      <w:r w:rsidRPr="00B92948">
        <w:tab/>
        <w:t>Según los datos estadísticos sobre la admisión de niños solicitantes de asilo, los tres principales países de origen son Siria, el Afganistán y el Iraq.</w:t>
      </w:r>
    </w:p>
    <w:p w14:paraId="5220A86D" w14:textId="77777777" w:rsidR="00B92948" w:rsidRPr="00B92948" w:rsidRDefault="00B92948" w:rsidP="00B92948">
      <w:pPr>
        <w:pStyle w:val="SingleTxtG"/>
      </w:pPr>
      <w:bookmarkStart w:id="73" w:name="_Hlk518297599"/>
      <w:r w:rsidRPr="00B92948">
        <w:t>184.</w:t>
      </w:r>
      <w:r w:rsidRPr="00B92948">
        <w:tab/>
        <w:t xml:space="preserve">En 2018, 83 niños tenían condición de refugiado o gozaban de protección subsidiaria, 8 y 75, respectivamente. </w:t>
      </w:r>
      <w:bookmarkEnd w:id="73"/>
    </w:p>
    <w:p w14:paraId="49EA442D" w14:textId="77777777" w:rsidR="00B92948" w:rsidRPr="00B92948" w:rsidRDefault="00B92948" w:rsidP="00B92948">
      <w:pPr>
        <w:pStyle w:val="SingleTxtG"/>
      </w:pPr>
      <w:r w:rsidRPr="00B92948">
        <w:t>185.</w:t>
      </w:r>
      <w:r w:rsidRPr="00B92948">
        <w:tab/>
        <w:t>Del total de niños a los que se ha concedido asilo, 16 reciben enseñanza preescolar, 35 primaria y 15 secundaria. El 85</w:t>
      </w:r>
      <w:r w:rsidR="000C0C75">
        <w:t> %</w:t>
      </w:r>
      <w:r w:rsidRPr="00B92948">
        <w:t xml:space="preserve"> (71 niños) tienen cobertura del seguro médico estatal.</w:t>
      </w:r>
    </w:p>
    <w:p w14:paraId="3B463F60" w14:textId="77777777" w:rsidR="00B92948" w:rsidRPr="00B92948" w:rsidRDefault="00B92948" w:rsidP="00B92948">
      <w:pPr>
        <w:pStyle w:val="SingleTxtG"/>
      </w:pPr>
      <w:r w:rsidRPr="00B92948">
        <w:t>186.</w:t>
      </w:r>
      <w:r w:rsidRPr="00B92948">
        <w:tab/>
        <w:t>Los niños solicitantes de asilo tienen el derecho garantizado por ley de acceder a la educación, pero debido a su corta estancia en el país no se matriculan en el sistema de educación ordinario. Todos los niños solicitantes de asilo tienen acceso a los servicios de atención de la salud que se prestan a través del Centro de Recepción de Solicitantes de Asilo.</w:t>
      </w:r>
    </w:p>
    <w:p w14:paraId="10FA153A" w14:textId="77777777" w:rsidR="00B92948" w:rsidRPr="00B92948" w:rsidRDefault="00B92948" w:rsidP="00B92948">
      <w:pPr>
        <w:pStyle w:val="SingleTxtG"/>
      </w:pPr>
      <w:r w:rsidRPr="00B92948">
        <w:t>187.</w:t>
      </w:r>
      <w:r w:rsidRPr="00B92948">
        <w:tab/>
        <w:t>Los niños desplazados que son ciudadanos macedonios tienen pleno acceso a la educación y la atención de la salud.</w:t>
      </w:r>
    </w:p>
    <w:p w14:paraId="650D1342" w14:textId="77777777" w:rsidR="00B92948" w:rsidRPr="00B92948" w:rsidRDefault="00B92948" w:rsidP="00B92948">
      <w:pPr>
        <w:pStyle w:val="SingleTxtG"/>
      </w:pPr>
      <w:r w:rsidRPr="00B92948">
        <w:t>188.</w:t>
      </w:r>
      <w:r w:rsidRPr="00B92948">
        <w:tab/>
        <w:t>Dado que el Centro de Recepción de Solicitantes de Asilo es una institución de carácter abierto, en la mayoría de los casos los solicitantes de asilo son reacios a esperar las decisiones sobre su solicitud de asilo debido a su deseo de abandonar el país lo antes posible. Por lo tanto, se los considera solicitantes de asilo cuyo procedimiento de solicitud de asilo, iniciado a petición suya, se ha interrumpido debido a la no comparecencia ante las instituciones competentes para la entrevista programada.</w:t>
      </w:r>
    </w:p>
    <w:p w14:paraId="41A8A5DD" w14:textId="77777777" w:rsidR="00B92948" w:rsidRPr="00B92948" w:rsidRDefault="00B92948" w:rsidP="0095553A">
      <w:pPr>
        <w:pStyle w:val="H23G"/>
      </w:pPr>
      <w:r w:rsidRPr="00B92948">
        <w:tab/>
        <w:t>b)</w:t>
      </w:r>
      <w:r w:rsidRPr="00B92948">
        <w:tab/>
        <w:t>Niños pertenecientes a minorías o a grupos indígenas (art. 30)</w:t>
      </w:r>
      <w:bookmarkStart w:id="74" w:name="_Toc56781472"/>
      <w:bookmarkEnd w:id="74"/>
    </w:p>
    <w:p w14:paraId="7DEFF5C9" w14:textId="77777777" w:rsidR="00B92948" w:rsidRPr="00B92948" w:rsidRDefault="00B92948" w:rsidP="00B92948">
      <w:pPr>
        <w:pStyle w:val="SingleTxtG"/>
      </w:pPr>
      <w:r w:rsidRPr="00B92948">
        <w:t>189.</w:t>
      </w:r>
      <w:r w:rsidRPr="00B92948">
        <w:tab/>
        <w:t>En lo que respecta a la mejora de la inclusión social de los romaníes, ha continuado la ejecución de numerosas actividades en el marco de la Estrategia para los Romaníes 2014</w:t>
      </w:r>
      <w:r w:rsidR="0095553A">
        <w:noBreakHyphen/>
      </w:r>
      <w:r w:rsidRPr="00B92948">
        <w:t xml:space="preserve">2020. El Ministerio de Trabajo y Política Social, en cooperación con el Fondo de Educación para los Romaníes, ha venido ejecutando durante 11 años consecutivos el proyecto </w:t>
      </w:r>
      <w:r w:rsidR="00147E0E">
        <w:t>“</w:t>
      </w:r>
      <w:r w:rsidRPr="00B92948">
        <w:t>Inclusión de los niños romaníes en instituciones y jardines de infancia públicos municipales</w:t>
      </w:r>
      <w:r w:rsidR="00147E0E">
        <w:t>”</w:t>
      </w:r>
      <w:r w:rsidRPr="00B92948">
        <w:t>. En el año escolar 2017/18 se matricularon en jardines de infancia 34.521 niños en total, de los cuales 718, el 2,07</w:t>
      </w:r>
      <w:r w:rsidR="000C0C75">
        <w:t> %</w:t>
      </w:r>
      <w:r w:rsidRPr="00B92948">
        <w:t>, eran romaníes. En promedio, la asistencia de niños a los jardines de infancia se sitúa en torno al 65</w:t>
      </w:r>
      <w:r w:rsidR="000C0C75">
        <w:t> %</w:t>
      </w:r>
      <w:r w:rsidRPr="00B92948">
        <w:t xml:space="preserve">. Según los datos estadísticos del proyecto, </w:t>
      </w:r>
      <w:r w:rsidRPr="00B92948">
        <w:lastRenderedPageBreak/>
        <w:t>la tasa de deserción de los niños del jardín de infancia es del 3,45 y es mayor entre los varones (3,32</w:t>
      </w:r>
      <w:r w:rsidR="000C0C75">
        <w:t> %</w:t>
      </w:r>
      <w:r w:rsidRPr="00B92948">
        <w:t>) que entre las niñas (2,69</w:t>
      </w:r>
      <w:r w:rsidR="000C0C75">
        <w:t> %</w:t>
      </w:r>
      <w:r w:rsidRPr="00B92948">
        <w:t>).</w:t>
      </w:r>
    </w:p>
    <w:p w14:paraId="79B50C70" w14:textId="77777777" w:rsidR="00B92948" w:rsidRPr="00B92948" w:rsidRDefault="00B92948" w:rsidP="00B92948">
      <w:pPr>
        <w:pStyle w:val="SingleTxtG"/>
      </w:pPr>
      <w:r w:rsidRPr="00B92948">
        <w:t>190.</w:t>
      </w:r>
      <w:r w:rsidRPr="00B92948">
        <w:tab/>
        <w:t xml:space="preserve">En 2018 el personal del proyecto realizó visitas de seguimiento asiduas a los municipios en los que se ejecutaba para vigilar la puesta en práctica y resolver los problemas que se producían durante el año escolar. Los municipios proporcionan transporte a los niños romaníes desde y hacia el jardín de infancia. </w:t>
      </w:r>
    </w:p>
    <w:p w14:paraId="31AB1E99" w14:textId="77777777" w:rsidR="00B92948" w:rsidRPr="00B92948" w:rsidRDefault="00B92948" w:rsidP="00B92948">
      <w:pPr>
        <w:pStyle w:val="SingleTxtG"/>
      </w:pPr>
      <w:r w:rsidRPr="00B92948">
        <w:t>191.</w:t>
      </w:r>
      <w:r w:rsidRPr="00B92948">
        <w:tab/>
        <w:t>En el marco del proyecto, 19 mujeres romaníes están empleadas como cuidadoras por</w:t>
      </w:r>
      <w:r w:rsidR="00D81B32">
        <w:t> </w:t>
      </w:r>
      <w:r w:rsidRPr="00B92948">
        <w:t>tiempo indefinido. El proyecto también se prorrogó para el año escolar 2017/18 y se está</w:t>
      </w:r>
      <w:r w:rsidR="00D81B32">
        <w:t> </w:t>
      </w:r>
      <w:r w:rsidRPr="00B92948">
        <w:t>preparando una nueva solicitud al Fondo de Educación para los Romaníes para el período</w:t>
      </w:r>
      <w:r w:rsidR="00D81B32">
        <w:t> </w:t>
      </w:r>
      <w:r w:rsidRPr="00B92948">
        <w:t xml:space="preserve">2018/19. </w:t>
      </w:r>
    </w:p>
    <w:p w14:paraId="0CC19B71" w14:textId="77777777" w:rsidR="00B92948" w:rsidRPr="00B92948" w:rsidRDefault="00B92948" w:rsidP="0095553A">
      <w:pPr>
        <w:pStyle w:val="H23G"/>
      </w:pPr>
      <w:r w:rsidRPr="00B92948">
        <w:tab/>
        <w:t>c)</w:t>
      </w:r>
      <w:r w:rsidRPr="00B92948">
        <w:tab/>
        <w:t>Niños de la calle</w:t>
      </w:r>
      <w:bookmarkStart w:id="75" w:name="_Toc56781473"/>
      <w:bookmarkEnd w:id="75"/>
    </w:p>
    <w:p w14:paraId="7A74F8F1" w14:textId="77777777" w:rsidR="00B92948" w:rsidRPr="00B92948" w:rsidRDefault="00B92948" w:rsidP="00B92948">
      <w:pPr>
        <w:pStyle w:val="SingleTxtG"/>
      </w:pPr>
      <w:r w:rsidRPr="00B92948">
        <w:t>192.</w:t>
      </w:r>
      <w:r w:rsidRPr="00B92948">
        <w:tab/>
        <w:t>Las modificaciones de la Ley de la Familia de 2014 disponen que inducir a un niño a la mendicidad o utilizarlo para esta se considera abuso y negligencia grave en el cumplimiento de los deberes parentales (lo que es motivo de privación de la patria potestad). El Centro de Trabajo Social local está autorizado a proceder en este sentido.</w:t>
      </w:r>
    </w:p>
    <w:p w14:paraId="747F2CE9" w14:textId="77777777" w:rsidR="00B92948" w:rsidRPr="00B92948" w:rsidRDefault="00B92948" w:rsidP="00B92948">
      <w:pPr>
        <w:pStyle w:val="SingleTxtG"/>
      </w:pPr>
      <w:r w:rsidRPr="00B92948">
        <w:t>193.</w:t>
      </w:r>
      <w:r w:rsidRPr="00B92948">
        <w:tab/>
        <w:t>Con el fin de trazar un mapa de los territorios en que se encontraron niños de la calle, en 2017 y 2018 el Ministerio de Trabajo y Política Social ejecutó proyectos de protección social de los niños en cooperación con ONG mediante concurso público. El objetivo es mejorar las actividades sobre el terreno para detectar a estos niños, trabajar con ellos en el lugar y aumentar los equipos en las guarderías establecidas para los niños en situación de calle a fin de sacarlos de la calle y lograr su inclusión en la sociedad mediante la prestación de buenos servicios de crianza y educación.</w:t>
      </w:r>
    </w:p>
    <w:p w14:paraId="4DEACE1F" w14:textId="77777777" w:rsidR="00B92948" w:rsidRPr="00B92948" w:rsidRDefault="00B92948" w:rsidP="00B92948">
      <w:pPr>
        <w:pStyle w:val="SingleTxtG"/>
      </w:pPr>
      <w:r w:rsidRPr="00B92948">
        <w:t>194.</w:t>
      </w:r>
      <w:r w:rsidRPr="00B92948">
        <w:tab/>
        <w:t xml:space="preserve">En la ciudad de Skopie, el Ministerio de Trabajo y Política Social abrió dos guarderías para niños de la calle: </w:t>
      </w:r>
      <w:proofErr w:type="spellStart"/>
      <w:r w:rsidRPr="00B92948">
        <w:t>Kisela</w:t>
      </w:r>
      <w:proofErr w:type="spellEnd"/>
      <w:r w:rsidRPr="00B92948">
        <w:t xml:space="preserve"> </w:t>
      </w:r>
      <w:proofErr w:type="spellStart"/>
      <w:r w:rsidRPr="00B92948">
        <w:t>Voda</w:t>
      </w:r>
      <w:proofErr w:type="spellEnd"/>
      <w:r w:rsidRPr="00B92948">
        <w:t xml:space="preserve"> y Gazi Baba. Alrededor de 90 niños de la calle pasan diariamente por uno de estos centros.</w:t>
      </w:r>
    </w:p>
    <w:p w14:paraId="43F24F42" w14:textId="77777777" w:rsidR="00B92948" w:rsidRPr="00B92948" w:rsidRDefault="00B92948" w:rsidP="00B92948">
      <w:pPr>
        <w:pStyle w:val="SingleTxtG"/>
      </w:pPr>
      <w:r w:rsidRPr="00B92948">
        <w:t>195.</w:t>
      </w:r>
      <w:r w:rsidRPr="00B92948">
        <w:tab/>
        <w:t>No se dispone de un número preciso de niños de la calle, pero según los datos del Centro de Trabajo Social, en el marco de las actividades sobre el terreno se han registrado unos 650 niños.</w:t>
      </w:r>
    </w:p>
    <w:p w14:paraId="41D76234" w14:textId="77777777" w:rsidR="00B92948" w:rsidRPr="00B92948" w:rsidRDefault="00B92948" w:rsidP="0095553A">
      <w:pPr>
        <w:pStyle w:val="H23G"/>
      </w:pPr>
      <w:r w:rsidRPr="00B92948">
        <w:tab/>
        <w:t>d)</w:t>
      </w:r>
      <w:r w:rsidRPr="00B92948">
        <w:tab/>
        <w:t>Niños en situación de explotación (art. 32)</w:t>
      </w:r>
      <w:bookmarkStart w:id="76" w:name="_Toc56781474"/>
      <w:bookmarkEnd w:id="76"/>
    </w:p>
    <w:p w14:paraId="7EDF4CD0" w14:textId="77777777" w:rsidR="00B92948" w:rsidRPr="00B92948" w:rsidRDefault="00B92948" w:rsidP="00B92948">
      <w:pPr>
        <w:pStyle w:val="SingleTxtG"/>
      </w:pPr>
      <w:r w:rsidRPr="00B92948">
        <w:t>196.</w:t>
      </w:r>
      <w:r w:rsidRPr="00B92948">
        <w:tab/>
        <w:t xml:space="preserve">Se enviaron modificaciones de la Ley de Relaciones Laborales a la Asamblea para su aprobación. Entre otras cosas, estas se refieren a las disposiciones que regulan la capacidad de celebrar un contrato de trabajo con niños menores de 18 años. Así pues, el </w:t>
      </w:r>
      <w:r w:rsidRPr="006C6A08">
        <w:t>artículo 18 2)</w:t>
      </w:r>
      <w:r w:rsidRPr="00B92948">
        <w:t xml:space="preserve"> se modifica de la siguiente manera: </w:t>
      </w:r>
      <w:r w:rsidR="00147E0E">
        <w:t>“</w:t>
      </w:r>
      <w:r w:rsidRPr="00B92948">
        <w:t>se prohíbe que un niño menor de 15 años o un niño que no haya completado la escolaridad obligatoria trabaje, salvo para participar en actividades que la legislación haya determinado pueden realizar los niños, pero no más de 2 horas diarias o 12 horas semanales, y durante las vacaciones escolares no más de 6 horas diarias o 30 horas semanales, y se dispone la obligatoriedad de otorgarles dos semanas laborales ininterrumpidas de descanso</w:t>
      </w:r>
      <w:r w:rsidR="00147E0E">
        <w:t>”</w:t>
      </w:r>
      <w:r w:rsidRPr="00B92948">
        <w:t xml:space="preserve">. </w:t>
      </w:r>
    </w:p>
    <w:p w14:paraId="5792C54B" w14:textId="77777777" w:rsidR="00B92948" w:rsidRPr="00B92948" w:rsidRDefault="00B92948" w:rsidP="00B92948">
      <w:pPr>
        <w:pStyle w:val="SingleTxtG"/>
      </w:pPr>
      <w:r w:rsidRPr="00B92948">
        <w:t>197.</w:t>
      </w:r>
      <w:r w:rsidRPr="00B92948">
        <w:tab/>
        <w:t xml:space="preserve">A continuación se consigna el número y el porcentaje de niños que </w:t>
      </w:r>
      <w:proofErr w:type="gramStart"/>
      <w:r w:rsidRPr="00B92948">
        <w:t>trabajan</w:t>
      </w:r>
      <w:proofErr w:type="gramEnd"/>
      <w:r w:rsidRPr="00B92948">
        <w:t xml:space="preserve"> aunque no han cumplido la edad mínima para el empleo, según lo establecido en el Convenio sobre la Edad Mínima, 1973 (núm. 138), y el Convenio sobre las Peores Formas de Trabajo Infantil, 1999 (núm. 182), de la Organización Internacional del Trabajo, desglosados por tipo de trabajo.</w:t>
      </w:r>
    </w:p>
    <w:p w14:paraId="34A7A04B" w14:textId="77777777" w:rsidR="00B92948" w:rsidRPr="00B92948" w:rsidRDefault="0095553A" w:rsidP="0095553A">
      <w:pPr>
        <w:pStyle w:val="H23G"/>
        <w:rPr>
          <w:vertAlign w:val="superscript"/>
        </w:rPr>
      </w:pPr>
      <w:r>
        <w:tab/>
      </w:r>
      <w:r w:rsidR="00B92948" w:rsidRPr="00B92948">
        <w:tab/>
        <w:t>Jóvenes de 15 a 18 años empleados, 2013</w:t>
      </w:r>
      <w:r w:rsidR="00B92948" w:rsidRPr="0095553A">
        <w:rPr>
          <w:rStyle w:val="Refdenotaalpie"/>
          <w:b w:val="0"/>
          <w:bCs/>
        </w:rPr>
        <w:footnoteReference w:id="45"/>
      </w:r>
      <w:bookmarkStart w:id="77" w:name="_Toc56781475"/>
      <w:bookmarkEnd w:id="77"/>
    </w:p>
    <w:tbl>
      <w:tblPr>
        <w:tblW w:w="7370" w:type="dxa"/>
        <w:tblInd w:w="1134" w:type="dxa"/>
        <w:tblBorders>
          <w:top w:val="single" w:sz="4" w:space="0" w:color="auto"/>
        </w:tblBorders>
        <w:tblCellMar>
          <w:left w:w="0" w:type="dxa"/>
          <w:right w:w="0" w:type="dxa"/>
        </w:tblCellMar>
        <w:tblLook w:val="01E0" w:firstRow="1" w:lastRow="1" w:firstColumn="1" w:lastColumn="1" w:noHBand="0" w:noVBand="0"/>
      </w:tblPr>
      <w:tblGrid>
        <w:gridCol w:w="1746"/>
        <w:gridCol w:w="2037"/>
        <w:gridCol w:w="1744"/>
        <w:gridCol w:w="1843"/>
      </w:tblGrid>
      <w:tr w:rsidR="00B92948" w:rsidRPr="003A1036" w14:paraId="276B8B1B" w14:textId="77777777" w:rsidTr="003A1036">
        <w:trPr>
          <w:trHeight w:val="240"/>
          <w:tblHeader/>
        </w:trPr>
        <w:tc>
          <w:tcPr>
            <w:tcW w:w="2271" w:type="dxa"/>
            <w:tcBorders>
              <w:top w:val="single" w:sz="4" w:space="0" w:color="auto"/>
              <w:bottom w:val="single" w:sz="12" w:space="0" w:color="auto"/>
            </w:tcBorders>
            <w:shd w:val="clear" w:color="auto" w:fill="auto"/>
            <w:vAlign w:val="bottom"/>
          </w:tcPr>
          <w:p w14:paraId="1DBD331E" w14:textId="77777777" w:rsidR="00B92948" w:rsidRPr="003A1036" w:rsidRDefault="00B92948" w:rsidP="003A1036">
            <w:pPr>
              <w:pStyle w:val="SingleTxtG"/>
              <w:tabs>
                <w:tab w:val="clear" w:pos="1701"/>
                <w:tab w:val="clear" w:pos="2268"/>
                <w:tab w:val="clear" w:pos="2835"/>
              </w:tabs>
              <w:spacing w:before="80" w:after="80" w:line="200" w:lineRule="exact"/>
              <w:ind w:left="0" w:right="0"/>
              <w:jc w:val="left"/>
              <w:rPr>
                <w:i/>
                <w:sz w:val="16"/>
              </w:rPr>
            </w:pPr>
            <w:r w:rsidRPr="003A1036">
              <w:rPr>
                <w:i/>
                <w:iCs/>
                <w:sz w:val="16"/>
              </w:rPr>
              <w:t>Edad</w:t>
            </w:r>
          </w:p>
        </w:tc>
        <w:tc>
          <w:tcPr>
            <w:tcW w:w="2644" w:type="dxa"/>
            <w:tcBorders>
              <w:top w:val="single" w:sz="4" w:space="0" w:color="auto"/>
              <w:bottom w:val="single" w:sz="12" w:space="0" w:color="auto"/>
            </w:tcBorders>
            <w:shd w:val="clear" w:color="auto" w:fill="auto"/>
            <w:vAlign w:val="bottom"/>
          </w:tcPr>
          <w:p w14:paraId="7E5EBF84" w14:textId="77777777" w:rsidR="00B92948" w:rsidRPr="003A1036" w:rsidRDefault="00B92948" w:rsidP="00A54C2C">
            <w:pPr>
              <w:pStyle w:val="SingleTxtG"/>
              <w:tabs>
                <w:tab w:val="clear" w:pos="1701"/>
                <w:tab w:val="clear" w:pos="2268"/>
                <w:tab w:val="clear" w:pos="2835"/>
              </w:tabs>
              <w:spacing w:before="80" w:after="80" w:line="200" w:lineRule="exact"/>
              <w:ind w:left="113" w:right="28"/>
              <w:jc w:val="right"/>
              <w:rPr>
                <w:i/>
                <w:sz w:val="16"/>
              </w:rPr>
            </w:pPr>
            <w:r w:rsidRPr="003A1036">
              <w:rPr>
                <w:i/>
                <w:iCs/>
                <w:sz w:val="16"/>
              </w:rPr>
              <w:t>Número de empleados</w:t>
            </w:r>
          </w:p>
        </w:tc>
        <w:tc>
          <w:tcPr>
            <w:tcW w:w="2280" w:type="dxa"/>
            <w:tcBorders>
              <w:top w:val="single" w:sz="4" w:space="0" w:color="auto"/>
              <w:bottom w:val="single" w:sz="12" w:space="0" w:color="auto"/>
            </w:tcBorders>
            <w:shd w:val="clear" w:color="auto" w:fill="auto"/>
            <w:vAlign w:val="bottom"/>
          </w:tcPr>
          <w:p w14:paraId="13E61EF2" w14:textId="77777777" w:rsidR="00B92948" w:rsidRPr="003A1036" w:rsidRDefault="00B92948" w:rsidP="00A54C2C">
            <w:pPr>
              <w:pStyle w:val="SingleTxtG"/>
              <w:tabs>
                <w:tab w:val="clear" w:pos="1701"/>
                <w:tab w:val="clear" w:pos="2268"/>
                <w:tab w:val="clear" w:pos="2835"/>
              </w:tabs>
              <w:spacing w:before="80" w:after="80" w:line="200" w:lineRule="exact"/>
              <w:ind w:left="113" w:right="28"/>
              <w:jc w:val="right"/>
              <w:rPr>
                <w:i/>
                <w:sz w:val="16"/>
              </w:rPr>
            </w:pPr>
            <w:r w:rsidRPr="003A1036">
              <w:rPr>
                <w:i/>
                <w:iCs/>
                <w:sz w:val="16"/>
              </w:rPr>
              <w:t>Varones</w:t>
            </w:r>
          </w:p>
        </w:tc>
        <w:tc>
          <w:tcPr>
            <w:tcW w:w="2433" w:type="dxa"/>
            <w:tcBorders>
              <w:top w:val="single" w:sz="4" w:space="0" w:color="auto"/>
              <w:bottom w:val="single" w:sz="12" w:space="0" w:color="auto"/>
            </w:tcBorders>
            <w:shd w:val="clear" w:color="auto" w:fill="auto"/>
            <w:vAlign w:val="bottom"/>
          </w:tcPr>
          <w:p w14:paraId="7E3DE448" w14:textId="77777777" w:rsidR="00B92948" w:rsidRPr="003A1036" w:rsidRDefault="00B92948" w:rsidP="00A54C2C">
            <w:pPr>
              <w:pStyle w:val="SingleTxtG"/>
              <w:tabs>
                <w:tab w:val="clear" w:pos="1701"/>
                <w:tab w:val="clear" w:pos="2268"/>
                <w:tab w:val="clear" w:pos="2835"/>
              </w:tabs>
              <w:spacing w:before="80" w:after="80" w:line="200" w:lineRule="exact"/>
              <w:ind w:left="113" w:right="28"/>
              <w:jc w:val="right"/>
              <w:rPr>
                <w:i/>
                <w:sz w:val="16"/>
              </w:rPr>
            </w:pPr>
            <w:r w:rsidRPr="003A1036">
              <w:rPr>
                <w:i/>
                <w:iCs/>
                <w:sz w:val="16"/>
              </w:rPr>
              <w:t>Mujeres</w:t>
            </w:r>
          </w:p>
        </w:tc>
      </w:tr>
      <w:tr w:rsidR="00B92948" w:rsidRPr="003A1036" w14:paraId="416C83D5" w14:textId="77777777" w:rsidTr="003A1036">
        <w:trPr>
          <w:trHeight w:val="240"/>
        </w:trPr>
        <w:tc>
          <w:tcPr>
            <w:tcW w:w="2271" w:type="dxa"/>
            <w:tcBorders>
              <w:top w:val="single" w:sz="12" w:space="0" w:color="auto"/>
            </w:tcBorders>
            <w:shd w:val="clear" w:color="auto" w:fill="auto"/>
          </w:tcPr>
          <w:p w14:paraId="63C4427A" w14:textId="77777777" w:rsidR="00B92948" w:rsidRPr="003A1036" w:rsidRDefault="00B92948" w:rsidP="003A1036">
            <w:pPr>
              <w:pStyle w:val="SingleTxtG"/>
              <w:tabs>
                <w:tab w:val="clear" w:pos="1701"/>
                <w:tab w:val="clear" w:pos="2268"/>
                <w:tab w:val="clear" w:pos="2835"/>
              </w:tabs>
              <w:spacing w:before="40" w:after="40" w:line="220" w:lineRule="exact"/>
              <w:ind w:left="0" w:right="0"/>
              <w:jc w:val="left"/>
              <w:rPr>
                <w:sz w:val="18"/>
              </w:rPr>
            </w:pPr>
            <w:r w:rsidRPr="003A1036">
              <w:rPr>
                <w:sz w:val="18"/>
              </w:rPr>
              <w:t>15</w:t>
            </w:r>
            <w:r w:rsidR="00C7622E">
              <w:rPr>
                <w:sz w:val="18"/>
              </w:rPr>
              <w:t xml:space="preserve"> años</w:t>
            </w:r>
          </w:p>
        </w:tc>
        <w:tc>
          <w:tcPr>
            <w:tcW w:w="2644" w:type="dxa"/>
            <w:tcBorders>
              <w:top w:val="single" w:sz="12" w:space="0" w:color="auto"/>
            </w:tcBorders>
            <w:shd w:val="clear" w:color="auto" w:fill="auto"/>
            <w:vAlign w:val="bottom"/>
          </w:tcPr>
          <w:p w14:paraId="7B3740F2" w14:textId="77777777" w:rsidR="00B92948" w:rsidRPr="003A1036" w:rsidRDefault="00B92948" w:rsidP="00A54C2C">
            <w:pPr>
              <w:pStyle w:val="SingleTxtG"/>
              <w:tabs>
                <w:tab w:val="clear" w:pos="1701"/>
                <w:tab w:val="clear" w:pos="2268"/>
                <w:tab w:val="clear" w:pos="2835"/>
              </w:tabs>
              <w:spacing w:before="40" w:after="40" w:line="220" w:lineRule="exact"/>
              <w:ind w:left="113" w:right="28"/>
              <w:jc w:val="right"/>
              <w:rPr>
                <w:sz w:val="18"/>
              </w:rPr>
            </w:pPr>
            <w:r w:rsidRPr="003A1036">
              <w:rPr>
                <w:sz w:val="18"/>
              </w:rPr>
              <w:t>(584)</w:t>
            </w:r>
          </w:p>
        </w:tc>
        <w:tc>
          <w:tcPr>
            <w:tcW w:w="2280" w:type="dxa"/>
            <w:tcBorders>
              <w:top w:val="single" w:sz="12" w:space="0" w:color="auto"/>
            </w:tcBorders>
            <w:shd w:val="clear" w:color="auto" w:fill="auto"/>
            <w:vAlign w:val="bottom"/>
          </w:tcPr>
          <w:p w14:paraId="11C38312" w14:textId="77777777" w:rsidR="00B92948" w:rsidRPr="003A1036" w:rsidRDefault="00B92948" w:rsidP="00A54C2C">
            <w:pPr>
              <w:pStyle w:val="SingleTxtG"/>
              <w:tabs>
                <w:tab w:val="clear" w:pos="1701"/>
                <w:tab w:val="clear" w:pos="2268"/>
                <w:tab w:val="clear" w:pos="2835"/>
              </w:tabs>
              <w:spacing w:before="40" w:after="40" w:line="220" w:lineRule="exact"/>
              <w:ind w:left="113" w:right="28"/>
              <w:jc w:val="right"/>
              <w:rPr>
                <w:sz w:val="18"/>
              </w:rPr>
            </w:pPr>
            <w:r w:rsidRPr="003A1036">
              <w:rPr>
                <w:sz w:val="18"/>
              </w:rPr>
              <w:t>-</w:t>
            </w:r>
          </w:p>
        </w:tc>
        <w:tc>
          <w:tcPr>
            <w:tcW w:w="2433" w:type="dxa"/>
            <w:tcBorders>
              <w:top w:val="single" w:sz="12" w:space="0" w:color="auto"/>
            </w:tcBorders>
            <w:shd w:val="clear" w:color="auto" w:fill="auto"/>
            <w:vAlign w:val="bottom"/>
          </w:tcPr>
          <w:p w14:paraId="14880675" w14:textId="77777777" w:rsidR="00B92948" w:rsidRPr="003A1036" w:rsidRDefault="00B92948" w:rsidP="00A54C2C">
            <w:pPr>
              <w:pStyle w:val="SingleTxtG"/>
              <w:tabs>
                <w:tab w:val="clear" w:pos="1701"/>
                <w:tab w:val="clear" w:pos="2268"/>
                <w:tab w:val="clear" w:pos="2835"/>
              </w:tabs>
              <w:spacing w:before="40" w:after="40" w:line="220" w:lineRule="exact"/>
              <w:ind w:left="113" w:right="28"/>
              <w:jc w:val="right"/>
              <w:rPr>
                <w:sz w:val="18"/>
              </w:rPr>
            </w:pPr>
            <w:r w:rsidRPr="003A1036">
              <w:rPr>
                <w:sz w:val="18"/>
              </w:rPr>
              <w:t>-</w:t>
            </w:r>
          </w:p>
        </w:tc>
      </w:tr>
      <w:tr w:rsidR="00B92948" w:rsidRPr="003A1036" w14:paraId="3E8564E1" w14:textId="77777777" w:rsidTr="003A1036">
        <w:trPr>
          <w:trHeight w:val="240"/>
        </w:trPr>
        <w:tc>
          <w:tcPr>
            <w:tcW w:w="2271" w:type="dxa"/>
            <w:shd w:val="clear" w:color="auto" w:fill="auto"/>
          </w:tcPr>
          <w:p w14:paraId="7B0A473C" w14:textId="77777777" w:rsidR="00B92948" w:rsidRPr="003A1036" w:rsidRDefault="00B92948" w:rsidP="003A1036">
            <w:pPr>
              <w:pStyle w:val="SingleTxtG"/>
              <w:tabs>
                <w:tab w:val="clear" w:pos="1701"/>
                <w:tab w:val="clear" w:pos="2268"/>
                <w:tab w:val="clear" w:pos="2835"/>
              </w:tabs>
              <w:spacing w:before="40" w:after="40" w:line="220" w:lineRule="exact"/>
              <w:ind w:left="0" w:right="0"/>
              <w:jc w:val="left"/>
              <w:rPr>
                <w:sz w:val="18"/>
              </w:rPr>
            </w:pPr>
            <w:r w:rsidRPr="003A1036">
              <w:rPr>
                <w:sz w:val="18"/>
              </w:rPr>
              <w:t>16</w:t>
            </w:r>
            <w:r w:rsidR="00C7622E">
              <w:rPr>
                <w:sz w:val="18"/>
              </w:rPr>
              <w:t xml:space="preserve"> años</w:t>
            </w:r>
          </w:p>
        </w:tc>
        <w:tc>
          <w:tcPr>
            <w:tcW w:w="2644" w:type="dxa"/>
            <w:shd w:val="clear" w:color="auto" w:fill="auto"/>
            <w:vAlign w:val="bottom"/>
          </w:tcPr>
          <w:p w14:paraId="545BC63A" w14:textId="77777777" w:rsidR="00B92948" w:rsidRPr="003A1036" w:rsidRDefault="00B92948" w:rsidP="00A54C2C">
            <w:pPr>
              <w:pStyle w:val="SingleTxtG"/>
              <w:tabs>
                <w:tab w:val="clear" w:pos="1701"/>
                <w:tab w:val="clear" w:pos="2268"/>
                <w:tab w:val="clear" w:pos="2835"/>
              </w:tabs>
              <w:spacing w:before="40" w:after="40" w:line="220" w:lineRule="exact"/>
              <w:ind w:left="113" w:right="28"/>
              <w:jc w:val="right"/>
              <w:rPr>
                <w:sz w:val="18"/>
              </w:rPr>
            </w:pPr>
            <w:r w:rsidRPr="003A1036">
              <w:rPr>
                <w:sz w:val="18"/>
              </w:rPr>
              <w:t>(687)</w:t>
            </w:r>
          </w:p>
        </w:tc>
        <w:tc>
          <w:tcPr>
            <w:tcW w:w="2280" w:type="dxa"/>
            <w:shd w:val="clear" w:color="auto" w:fill="auto"/>
            <w:vAlign w:val="bottom"/>
          </w:tcPr>
          <w:p w14:paraId="5FD07B9B" w14:textId="77777777" w:rsidR="00B92948" w:rsidRPr="003A1036" w:rsidRDefault="00B92948" w:rsidP="00A54C2C">
            <w:pPr>
              <w:pStyle w:val="SingleTxtG"/>
              <w:tabs>
                <w:tab w:val="clear" w:pos="1701"/>
                <w:tab w:val="clear" w:pos="2268"/>
                <w:tab w:val="clear" w:pos="2835"/>
              </w:tabs>
              <w:spacing w:before="40" w:after="40" w:line="220" w:lineRule="exact"/>
              <w:ind w:left="113" w:right="28"/>
              <w:jc w:val="right"/>
              <w:rPr>
                <w:sz w:val="18"/>
              </w:rPr>
            </w:pPr>
            <w:r w:rsidRPr="003A1036">
              <w:rPr>
                <w:sz w:val="18"/>
              </w:rPr>
              <w:t>-</w:t>
            </w:r>
          </w:p>
        </w:tc>
        <w:tc>
          <w:tcPr>
            <w:tcW w:w="2433" w:type="dxa"/>
            <w:shd w:val="clear" w:color="auto" w:fill="auto"/>
            <w:vAlign w:val="bottom"/>
          </w:tcPr>
          <w:p w14:paraId="5C22CFA9" w14:textId="77777777" w:rsidR="00B92948" w:rsidRPr="003A1036" w:rsidRDefault="00B92948" w:rsidP="00A54C2C">
            <w:pPr>
              <w:pStyle w:val="SingleTxtG"/>
              <w:tabs>
                <w:tab w:val="clear" w:pos="1701"/>
                <w:tab w:val="clear" w:pos="2268"/>
                <w:tab w:val="clear" w:pos="2835"/>
              </w:tabs>
              <w:spacing w:before="40" w:after="40" w:line="220" w:lineRule="exact"/>
              <w:ind w:left="113" w:right="28"/>
              <w:jc w:val="right"/>
              <w:rPr>
                <w:sz w:val="18"/>
              </w:rPr>
            </w:pPr>
            <w:r w:rsidRPr="003A1036">
              <w:rPr>
                <w:sz w:val="18"/>
              </w:rPr>
              <w:t>-</w:t>
            </w:r>
          </w:p>
        </w:tc>
      </w:tr>
      <w:tr w:rsidR="00B92948" w:rsidRPr="003A1036" w14:paraId="5F0E50C0" w14:textId="77777777" w:rsidTr="003A1036">
        <w:trPr>
          <w:trHeight w:val="240"/>
        </w:trPr>
        <w:tc>
          <w:tcPr>
            <w:tcW w:w="2271" w:type="dxa"/>
            <w:shd w:val="clear" w:color="auto" w:fill="auto"/>
          </w:tcPr>
          <w:p w14:paraId="1E7BE774" w14:textId="77777777" w:rsidR="00B92948" w:rsidRPr="003A1036" w:rsidRDefault="00B92948" w:rsidP="003A1036">
            <w:pPr>
              <w:pStyle w:val="SingleTxtG"/>
              <w:tabs>
                <w:tab w:val="clear" w:pos="1701"/>
                <w:tab w:val="clear" w:pos="2268"/>
                <w:tab w:val="clear" w:pos="2835"/>
              </w:tabs>
              <w:spacing w:before="40" w:after="40" w:line="220" w:lineRule="exact"/>
              <w:ind w:left="0" w:right="0"/>
              <w:jc w:val="left"/>
              <w:rPr>
                <w:sz w:val="18"/>
              </w:rPr>
            </w:pPr>
            <w:r w:rsidRPr="003A1036">
              <w:rPr>
                <w:sz w:val="18"/>
              </w:rPr>
              <w:t>17</w:t>
            </w:r>
            <w:r w:rsidR="00C7622E">
              <w:rPr>
                <w:sz w:val="18"/>
              </w:rPr>
              <w:t xml:space="preserve"> años</w:t>
            </w:r>
          </w:p>
        </w:tc>
        <w:tc>
          <w:tcPr>
            <w:tcW w:w="2644" w:type="dxa"/>
            <w:shd w:val="clear" w:color="auto" w:fill="auto"/>
            <w:vAlign w:val="bottom"/>
          </w:tcPr>
          <w:p w14:paraId="126B0D35" w14:textId="77777777" w:rsidR="00B92948" w:rsidRPr="003A1036" w:rsidRDefault="00B92948" w:rsidP="00A54C2C">
            <w:pPr>
              <w:pStyle w:val="SingleTxtG"/>
              <w:tabs>
                <w:tab w:val="clear" w:pos="1701"/>
                <w:tab w:val="clear" w:pos="2268"/>
                <w:tab w:val="clear" w:pos="2835"/>
              </w:tabs>
              <w:spacing w:before="40" w:after="40" w:line="220" w:lineRule="exact"/>
              <w:ind w:left="113" w:right="28"/>
              <w:jc w:val="right"/>
              <w:rPr>
                <w:sz w:val="18"/>
              </w:rPr>
            </w:pPr>
            <w:r w:rsidRPr="003A1036">
              <w:rPr>
                <w:sz w:val="18"/>
              </w:rPr>
              <w:t>(797)</w:t>
            </w:r>
          </w:p>
        </w:tc>
        <w:tc>
          <w:tcPr>
            <w:tcW w:w="2280" w:type="dxa"/>
            <w:shd w:val="clear" w:color="auto" w:fill="auto"/>
            <w:vAlign w:val="bottom"/>
          </w:tcPr>
          <w:p w14:paraId="2FE66958" w14:textId="77777777" w:rsidR="00B92948" w:rsidRPr="003A1036" w:rsidRDefault="00B92948" w:rsidP="00A54C2C">
            <w:pPr>
              <w:pStyle w:val="SingleTxtG"/>
              <w:tabs>
                <w:tab w:val="clear" w:pos="1701"/>
                <w:tab w:val="clear" w:pos="2268"/>
                <w:tab w:val="clear" w:pos="2835"/>
              </w:tabs>
              <w:spacing w:before="40" w:after="40" w:line="220" w:lineRule="exact"/>
              <w:ind w:left="113" w:right="28"/>
              <w:jc w:val="right"/>
              <w:rPr>
                <w:sz w:val="18"/>
              </w:rPr>
            </w:pPr>
            <w:r w:rsidRPr="003A1036">
              <w:rPr>
                <w:sz w:val="18"/>
              </w:rPr>
              <w:t>-</w:t>
            </w:r>
          </w:p>
        </w:tc>
        <w:tc>
          <w:tcPr>
            <w:tcW w:w="2433" w:type="dxa"/>
            <w:shd w:val="clear" w:color="auto" w:fill="auto"/>
            <w:vAlign w:val="bottom"/>
          </w:tcPr>
          <w:p w14:paraId="35642C90" w14:textId="77777777" w:rsidR="00B92948" w:rsidRPr="003A1036" w:rsidRDefault="00B92948" w:rsidP="00A54C2C">
            <w:pPr>
              <w:pStyle w:val="SingleTxtG"/>
              <w:tabs>
                <w:tab w:val="clear" w:pos="1701"/>
                <w:tab w:val="clear" w:pos="2268"/>
                <w:tab w:val="clear" w:pos="2835"/>
              </w:tabs>
              <w:spacing w:before="40" w:after="40" w:line="220" w:lineRule="exact"/>
              <w:ind w:left="113" w:right="28"/>
              <w:jc w:val="right"/>
              <w:rPr>
                <w:sz w:val="18"/>
              </w:rPr>
            </w:pPr>
            <w:r w:rsidRPr="003A1036">
              <w:rPr>
                <w:sz w:val="18"/>
              </w:rPr>
              <w:t>-</w:t>
            </w:r>
          </w:p>
        </w:tc>
      </w:tr>
      <w:tr w:rsidR="00B92948" w:rsidRPr="003A1036" w14:paraId="21C045D4" w14:textId="77777777" w:rsidTr="0095553A">
        <w:trPr>
          <w:trHeight w:val="240"/>
        </w:trPr>
        <w:tc>
          <w:tcPr>
            <w:tcW w:w="2271" w:type="dxa"/>
            <w:tcBorders>
              <w:bottom w:val="single" w:sz="4" w:space="0" w:color="auto"/>
            </w:tcBorders>
            <w:shd w:val="clear" w:color="auto" w:fill="auto"/>
          </w:tcPr>
          <w:p w14:paraId="433CB7AE" w14:textId="77777777" w:rsidR="00B92948" w:rsidRPr="003A1036" w:rsidRDefault="00B92948" w:rsidP="00A54C2C">
            <w:pPr>
              <w:pStyle w:val="SingleTxtG"/>
              <w:keepNext/>
              <w:tabs>
                <w:tab w:val="clear" w:pos="1701"/>
                <w:tab w:val="clear" w:pos="2268"/>
                <w:tab w:val="clear" w:pos="2835"/>
              </w:tabs>
              <w:spacing w:before="40" w:after="40" w:line="220" w:lineRule="exact"/>
              <w:ind w:left="0" w:right="0"/>
              <w:jc w:val="left"/>
              <w:rPr>
                <w:sz w:val="18"/>
              </w:rPr>
            </w:pPr>
            <w:r w:rsidRPr="003A1036">
              <w:rPr>
                <w:sz w:val="18"/>
              </w:rPr>
              <w:lastRenderedPageBreak/>
              <w:t>18</w:t>
            </w:r>
            <w:r w:rsidR="00C7622E">
              <w:rPr>
                <w:sz w:val="18"/>
              </w:rPr>
              <w:t xml:space="preserve"> años</w:t>
            </w:r>
          </w:p>
        </w:tc>
        <w:tc>
          <w:tcPr>
            <w:tcW w:w="2644" w:type="dxa"/>
            <w:tcBorders>
              <w:bottom w:val="single" w:sz="4" w:space="0" w:color="auto"/>
            </w:tcBorders>
            <w:shd w:val="clear" w:color="auto" w:fill="auto"/>
            <w:vAlign w:val="bottom"/>
          </w:tcPr>
          <w:p w14:paraId="0B5F7790" w14:textId="77777777" w:rsidR="00B92948" w:rsidRPr="003A1036" w:rsidRDefault="00B92948" w:rsidP="00A54C2C">
            <w:pPr>
              <w:pStyle w:val="SingleTxtG"/>
              <w:keepNext/>
              <w:tabs>
                <w:tab w:val="clear" w:pos="1701"/>
                <w:tab w:val="clear" w:pos="2268"/>
                <w:tab w:val="clear" w:pos="2835"/>
              </w:tabs>
              <w:spacing w:before="40" w:after="40" w:line="220" w:lineRule="exact"/>
              <w:ind w:left="113" w:right="28"/>
              <w:jc w:val="right"/>
              <w:rPr>
                <w:sz w:val="18"/>
              </w:rPr>
            </w:pPr>
            <w:r w:rsidRPr="003A1036">
              <w:rPr>
                <w:sz w:val="18"/>
              </w:rPr>
              <w:t>1 645</w:t>
            </w:r>
          </w:p>
        </w:tc>
        <w:tc>
          <w:tcPr>
            <w:tcW w:w="2280" w:type="dxa"/>
            <w:tcBorders>
              <w:bottom w:val="single" w:sz="4" w:space="0" w:color="auto"/>
            </w:tcBorders>
            <w:shd w:val="clear" w:color="auto" w:fill="auto"/>
            <w:vAlign w:val="bottom"/>
          </w:tcPr>
          <w:p w14:paraId="687A919F" w14:textId="77777777" w:rsidR="00B92948" w:rsidRPr="003A1036" w:rsidRDefault="00B92948" w:rsidP="00A54C2C">
            <w:pPr>
              <w:pStyle w:val="SingleTxtG"/>
              <w:keepNext/>
              <w:tabs>
                <w:tab w:val="clear" w:pos="1701"/>
                <w:tab w:val="clear" w:pos="2268"/>
                <w:tab w:val="clear" w:pos="2835"/>
              </w:tabs>
              <w:spacing w:before="40" w:after="40" w:line="220" w:lineRule="exact"/>
              <w:ind w:left="113" w:right="28"/>
              <w:jc w:val="right"/>
              <w:rPr>
                <w:sz w:val="18"/>
              </w:rPr>
            </w:pPr>
            <w:r w:rsidRPr="003A1036">
              <w:rPr>
                <w:sz w:val="18"/>
              </w:rPr>
              <w:t>(826)</w:t>
            </w:r>
          </w:p>
        </w:tc>
        <w:tc>
          <w:tcPr>
            <w:tcW w:w="2433" w:type="dxa"/>
            <w:tcBorders>
              <w:bottom w:val="single" w:sz="4" w:space="0" w:color="auto"/>
            </w:tcBorders>
            <w:shd w:val="clear" w:color="auto" w:fill="auto"/>
            <w:vAlign w:val="bottom"/>
          </w:tcPr>
          <w:p w14:paraId="41317773" w14:textId="77777777" w:rsidR="00B92948" w:rsidRPr="003A1036" w:rsidRDefault="00B92948" w:rsidP="00A54C2C">
            <w:pPr>
              <w:pStyle w:val="SingleTxtG"/>
              <w:keepNext/>
              <w:tabs>
                <w:tab w:val="clear" w:pos="1701"/>
                <w:tab w:val="clear" w:pos="2268"/>
                <w:tab w:val="clear" w:pos="2835"/>
              </w:tabs>
              <w:spacing w:before="40" w:after="40" w:line="220" w:lineRule="exact"/>
              <w:ind w:left="113" w:right="28"/>
              <w:jc w:val="right"/>
              <w:rPr>
                <w:sz w:val="18"/>
              </w:rPr>
            </w:pPr>
            <w:r w:rsidRPr="003A1036">
              <w:rPr>
                <w:sz w:val="18"/>
              </w:rPr>
              <w:t>(819)</w:t>
            </w:r>
          </w:p>
        </w:tc>
      </w:tr>
      <w:tr w:rsidR="00B92948" w:rsidRPr="0095553A" w14:paraId="0778FCC1" w14:textId="77777777" w:rsidTr="0095553A">
        <w:trPr>
          <w:trHeight w:val="240"/>
        </w:trPr>
        <w:tc>
          <w:tcPr>
            <w:tcW w:w="2271" w:type="dxa"/>
            <w:tcBorders>
              <w:top w:val="single" w:sz="4" w:space="0" w:color="auto"/>
              <w:bottom w:val="single" w:sz="12" w:space="0" w:color="auto"/>
            </w:tcBorders>
            <w:shd w:val="clear" w:color="auto" w:fill="auto"/>
          </w:tcPr>
          <w:p w14:paraId="6843A1B1" w14:textId="77777777" w:rsidR="00B92948" w:rsidRPr="0095553A" w:rsidRDefault="00B92948" w:rsidP="0095553A">
            <w:pPr>
              <w:pStyle w:val="SingleTxtG"/>
              <w:tabs>
                <w:tab w:val="clear" w:pos="1701"/>
                <w:tab w:val="clear" w:pos="2268"/>
                <w:tab w:val="clear" w:pos="2835"/>
              </w:tabs>
              <w:spacing w:before="80" w:after="80" w:line="220" w:lineRule="exact"/>
              <w:ind w:left="283" w:right="0"/>
              <w:jc w:val="left"/>
              <w:rPr>
                <w:b/>
                <w:sz w:val="18"/>
              </w:rPr>
            </w:pPr>
            <w:r w:rsidRPr="0095553A">
              <w:rPr>
                <w:b/>
                <w:bCs/>
                <w:sz w:val="18"/>
              </w:rPr>
              <w:t>Total</w:t>
            </w:r>
          </w:p>
        </w:tc>
        <w:tc>
          <w:tcPr>
            <w:tcW w:w="2644" w:type="dxa"/>
            <w:tcBorders>
              <w:top w:val="single" w:sz="4" w:space="0" w:color="auto"/>
              <w:bottom w:val="single" w:sz="12" w:space="0" w:color="auto"/>
            </w:tcBorders>
            <w:shd w:val="clear" w:color="auto" w:fill="auto"/>
            <w:vAlign w:val="bottom"/>
          </w:tcPr>
          <w:p w14:paraId="059EEEAD" w14:textId="77777777" w:rsidR="00B92948" w:rsidRPr="0095553A" w:rsidRDefault="00B92948" w:rsidP="00A54C2C">
            <w:pPr>
              <w:pStyle w:val="SingleTxtG"/>
              <w:tabs>
                <w:tab w:val="clear" w:pos="1701"/>
                <w:tab w:val="clear" w:pos="2268"/>
                <w:tab w:val="clear" w:pos="2835"/>
              </w:tabs>
              <w:spacing w:before="80" w:after="80" w:line="220" w:lineRule="exact"/>
              <w:ind w:left="0" w:right="28"/>
              <w:jc w:val="right"/>
              <w:rPr>
                <w:b/>
                <w:sz w:val="18"/>
              </w:rPr>
            </w:pPr>
            <w:r w:rsidRPr="0095553A">
              <w:rPr>
                <w:b/>
                <w:bCs/>
                <w:sz w:val="18"/>
              </w:rPr>
              <w:t>3 713</w:t>
            </w:r>
          </w:p>
        </w:tc>
        <w:tc>
          <w:tcPr>
            <w:tcW w:w="2280" w:type="dxa"/>
            <w:tcBorders>
              <w:top w:val="single" w:sz="4" w:space="0" w:color="auto"/>
              <w:bottom w:val="single" w:sz="12" w:space="0" w:color="auto"/>
            </w:tcBorders>
            <w:shd w:val="clear" w:color="auto" w:fill="auto"/>
            <w:vAlign w:val="bottom"/>
          </w:tcPr>
          <w:p w14:paraId="3D37217D" w14:textId="77777777" w:rsidR="00B92948" w:rsidRPr="0095553A" w:rsidRDefault="00B92948" w:rsidP="00A54C2C">
            <w:pPr>
              <w:pStyle w:val="SingleTxtG"/>
              <w:tabs>
                <w:tab w:val="clear" w:pos="1701"/>
                <w:tab w:val="clear" w:pos="2268"/>
                <w:tab w:val="clear" w:pos="2835"/>
              </w:tabs>
              <w:spacing w:before="80" w:after="80" w:line="220" w:lineRule="exact"/>
              <w:ind w:left="0" w:right="28"/>
              <w:jc w:val="right"/>
              <w:rPr>
                <w:b/>
                <w:sz w:val="18"/>
              </w:rPr>
            </w:pPr>
            <w:r w:rsidRPr="0095553A">
              <w:rPr>
                <w:b/>
                <w:bCs/>
                <w:sz w:val="18"/>
              </w:rPr>
              <w:t>1 898</w:t>
            </w:r>
          </w:p>
        </w:tc>
        <w:tc>
          <w:tcPr>
            <w:tcW w:w="2433" w:type="dxa"/>
            <w:tcBorders>
              <w:top w:val="single" w:sz="4" w:space="0" w:color="auto"/>
              <w:bottom w:val="single" w:sz="12" w:space="0" w:color="auto"/>
            </w:tcBorders>
            <w:shd w:val="clear" w:color="auto" w:fill="auto"/>
            <w:vAlign w:val="bottom"/>
          </w:tcPr>
          <w:p w14:paraId="070C8C8F" w14:textId="77777777" w:rsidR="00B92948" w:rsidRPr="0095553A" w:rsidRDefault="00B92948" w:rsidP="00A54C2C">
            <w:pPr>
              <w:pStyle w:val="SingleTxtG"/>
              <w:tabs>
                <w:tab w:val="clear" w:pos="1701"/>
                <w:tab w:val="clear" w:pos="2268"/>
                <w:tab w:val="clear" w:pos="2835"/>
              </w:tabs>
              <w:spacing w:before="80" w:after="80" w:line="220" w:lineRule="exact"/>
              <w:ind w:left="0" w:right="28"/>
              <w:jc w:val="right"/>
              <w:rPr>
                <w:b/>
                <w:sz w:val="18"/>
              </w:rPr>
            </w:pPr>
            <w:r w:rsidRPr="0095553A">
              <w:rPr>
                <w:b/>
                <w:bCs/>
                <w:sz w:val="18"/>
              </w:rPr>
              <w:t>1 816</w:t>
            </w:r>
          </w:p>
        </w:tc>
      </w:tr>
    </w:tbl>
    <w:p w14:paraId="4785316F" w14:textId="77777777" w:rsidR="00B92948" w:rsidRPr="00A54C2C" w:rsidRDefault="0095553A" w:rsidP="0095553A">
      <w:pPr>
        <w:pStyle w:val="H23G"/>
      </w:pPr>
      <w:r>
        <w:tab/>
      </w:r>
      <w:r w:rsidR="00B92948" w:rsidRPr="00B92948">
        <w:tab/>
        <w:t>Jóvenes de 15 a 18 años empleados, 2014</w:t>
      </w:r>
      <w:r w:rsidR="00B92948" w:rsidRPr="0095553A">
        <w:rPr>
          <w:rStyle w:val="Refdenotaalpie"/>
          <w:b w:val="0"/>
          <w:bCs/>
        </w:rPr>
        <w:footnoteReference w:id="46"/>
      </w:r>
      <w:bookmarkStart w:id="78" w:name="_Toc56781476"/>
      <w:bookmarkEnd w:id="78"/>
    </w:p>
    <w:tbl>
      <w:tblPr>
        <w:tblW w:w="7370" w:type="dxa"/>
        <w:tblInd w:w="1134" w:type="dxa"/>
        <w:tblBorders>
          <w:top w:val="single" w:sz="4" w:space="0" w:color="auto"/>
        </w:tblBorders>
        <w:tblCellMar>
          <w:left w:w="0" w:type="dxa"/>
          <w:right w:w="0" w:type="dxa"/>
        </w:tblCellMar>
        <w:tblLook w:val="01E0" w:firstRow="1" w:lastRow="1" w:firstColumn="1" w:lastColumn="1" w:noHBand="0" w:noVBand="0"/>
      </w:tblPr>
      <w:tblGrid>
        <w:gridCol w:w="1734"/>
        <w:gridCol w:w="2023"/>
        <w:gridCol w:w="1783"/>
        <w:gridCol w:w="1830"/>
      </w:tblGrid>
      <w:tr w:rsidR="00B92948" w:rsidRPr="003A1036" w14:paraId="6672967F" w14:textId="77777777" w:rsidTr="003A1036">
        <w:trPr>
          <w:trHeight w:val="240"/>
          <w:tblHeader/>
        </w:trPr>
        <w:tc>
          <w:tcPr>
            <w:tcW w:w="2254" w:type="dxa"/>
            <w:tcBorders>
              <w:top w:val="single" w:sz="4" w:space="0" w:color="auto"/>
              <w:bottom w:val="single" w:sz="12" w:space="0" w:color="auto"/>
            </w:tcBorders>
            <w:shd w:val="clear" w:color="auto" w:fill="auto"/>
            <w:vAlign w:val="bottom"/>
          </w:tcPr>
          <w:p w14:paraId="5BC64770" w14:textId="77777777" w:rsidR="00B92948" w:rsidRPr="003A1036" w:rsidRDefault="00B92948" w:rsidP="003A1036">
            <w:pPr>
              <w:pStyle w:val="SingleTxtG"/>
              <w:tabs>
                <w:tab w:val="clear" w:pos="1701"/>
                <w:tab w:val="clear" w:pos="2268"/>
                <w:tab w:val="clear" w:pos="2835"/>
              </w:tabs>
              <w:spacing w:before="80" w:after="80" w:line="200" w:lineRule="exact"/>
              <w:ind w:left="0" w:right="0"/>
              <w:jc w:val="left"/>
              <w:rPr>
                <w:i/>
                <w:sz w:val="16"/>
              </w:rPr>
            </w:pPr>
            <w:r w:rsidRPr="003A1036">
              <w:rPr>
                <w:i/>
                <w:iCs/>
                <w:sz w:val="16"/>
              </w:rPr>
              <w:t>Edad</w:t>
            </w:r>
          </w:p>
        </w:tc>
        <w:tc>
          <w:tcPr>
            <w:tcW w:w="2623" w:type="dxa"/>
            <w:tcBorders>
              <w:top w:val="single" w:sz="4" w:space="0" w:color="auto"/>
              <w:bottom w:val="single" w:sz="12" w:space="0" w:color="auto"/>
            </w:tcBorders>
            <w:shd w:val="clear" w:color="auto" w:fill="auto"/>
            <w:vAlign w:val="bottom"/>
          </w:tcPr>
          <w:p w14:paraId="60AF84E7" w14:textId="77777777" w:rsidR="00B92948" w:rsidRPr="003A1036" w:rsidRDefault="00B92948" w:rsidP="00A54C2C">
            <w:pPr>
              <w:pStyle w:val="SingleTxtG"/>
              <w:tabs>
                <w:tab w:val="clear" w:pos="1701"/>
                <w:tab w:val="clear" w:pos="2268"/>
                <w:tab w:val="clear" w:pos="2835"/>
              </w:tabs>
              <w:spacing w:before="80" w:after="80" w:line="200" w:lineRule="exact"/>
              <w:ind w:left="113" w:right="28"/>
              <w:jc w:val="right"/>
              <w:rPr>
                <w:i/>
                <w:sz w:val="16"/>
              </w:rPr>
            </w:pPr>
            <w:r w:rsidRPr="003A1036">
              <w:rPr>
                <w:i/>
                <w:iCs/>
                <w:sz w:val="16"/>
              </w:rPr>
              <w:t>Número de empleados</w:t>
            </w:r>
          </w:p>
        </w:tc>
        <w:tc>
          <w:tcPr>
            <w:tcW w:w="2338" w:type="dxa"/>
            <w:tcBorders>
              <w:top w:val="single" w:sz="4" w:space="0" w:color="auto"/>
              <w:bottom w:val="single" w:sz="12" w:space="0" w:color="auto"/>
            </w:tcBorders>
            <w:shd w:val="clear" w:color="auto" w:fill="auto"/>
            <w:vAlign w:val="bottom"/>
          </w:tcPr>
          <w:p w14:paraId="488A7D5D" w14:textId="77777777" w:rsidR="00B92948" w:rsidRPr="003A1036" w:rsidRDefault="00B92948" w:rsidP="00A54C2C">
            <w:pPr>
              <w:pStyle w:val="SingleTxtG"/>
              <w:tabs>
                <w:tab w:val="clear" w:pos="1701"/>
                <w:tab w:val="clear" w:pos="2268"/>
                <w:tab w:val="clear" w:pos="2835"/>
              </w:tabs>
              <w:spacing w:before="80" w:after="80" w:line="200" w:lineRule="exact"/>
              <w:ind w:left="113" w:right="28"/>
              <w:jc w:val="right"/>
              <w:rPr>
                <w:i/>
                <w:sz w:val="16"/>
              </w:rPr>
            </w:pPr>
            <w:r w:rsidRPr="003A1036">
              <w:rPr>
                <w:i/>
                <w:iCs/>
                <w:sz w:val="16"/>
              </w:rPr>
              <w:t>Varones</w:t>
            </w:r>
          </w:p>
        </w:tc>
        <w:tc>
          <w:tcPr>
            <w:tcW w:w="2413" w:type="dxa"/>
            <w:tcBorders>
              <w:top w:val="single" w:sz="4" w:space="0" w:color="auto"/>
              <w:bottom w:val="single" w:sz="12" w:space="0" w:color="auto"/>
            </w:tcBorders>
            <w:shd w:val="clear" w:color="auto" w:fill="auto"/>
            <w:vAlign w:val="bottom"/>
          </w:tcPr>
          <w:p w14:paraId="03F844C3" w14:textId="77777777" w:rsidR="00B92948" w:rsidRPr="003A1036" w:rsidRDefault="00B92948" w:rsidP="00A54C2C">
            <w:pPr>
              <w:pStyle w:val="SingleTxtG"/>
              <w:tabs>
                <w:tab w:val="clear" w:pos="1701"/>
                <w:tab w:val="clear" w:pos="2268"/>
                <w:tab w:val="clear" w:pos="2835"/>
              </w:tabs>
              <w:spacing w:before="80" w:after="80" w:line="200" w:lineRule="exact"/>
              <w:ind w:left="113" w:right="28"/>
              <w:jc w:val="right"/>
              <w:rPr>
                <w:i/>
                <w:sz w:val="16"/>
              </w:rPr>
            </w:pPr>
            <w:r w:rsidRPr="003A1036">
              <w:rPr>
                <w:i/>
                <w:iCs/>
                <w:sz w:val="16"/>
              </w:rPr>
              <w:t>Mujeres</w:t>
            </w:r>
          </w:p>
        </w:tc>
      </w:tr>
      <w:tr w:rsidR="00B92948" w:rsidRPr="003A1036" w14:paraId="5EEF9F3F" w14:textId="77777777" w:rsidTr="003A1036">
        <w:trPr>
          <w:trHeight w:val="240"/>
        </w:trPr>
        <w:tc>
          <w:tcPr>
            <w:tcW w:w="2254" w:type="dxa"/>
            <w:tcBorders>
              <w:top w:val="single" w:sz="12" w:space="0" w:color="auto"/>
            </w:tcBorders>
            <w:shd w:val="clear" w:color="auto" w:fill="auto"/>
          </w:tcPr>
          <w:p w14:paraId="5504860A" w14:textId="77777777" w:rsidR="00B92948" w:rsidRPr="003A1036" w:rsidRDefault="00B92948" w:rsidP="003A1036">
            <w:pPr>
              <w:pStyle w:val="SingleTxtG"/>
              <w:tabs>
                <w:tab w:val="clear" w:pos="1701"/>
                <w:tab w:val="clear" w:pos="2268"/>
                <w:tab w:val="clear" w:pos="2835"/>
              </w:tabs>
              <w:spacing w:before="40" w:after="40" w:line="220" w:lineRule="exact"/>
              <w:ind w:left="0" w:right="0"/>
              <w:jc w:val="left"/>
              <w:rPr>
                <w:sz w:val="18"/>
              </w:rPr>
            </w:pPr>
            <w:r w:rsidRPr="003A1036">
              <w:rPr>
                <w:sz w:val="18"/>
              </w:rPr>
              <w:t>15</w:t>
            </w:r>
            <w:r w:rsidR="00C7622E">
              <w:rPr>
                <w:sz w:val="18"/>
              </w:rPr>
              <w:t xml:space="preserve"> años</w:t>
            </w:r>
          </w:p>
        </w:tc>
        <w:tc>
          <w:tcPr>
            <w:tcW w:w="2623" w:type="dxa"/>
            <w:tcBorders>
              <w:top w:val="single" w:sz="12" w:space="0" w:color="auto"/>
            </w:tcBorders>
            <w:shd w:val="clear" w:color="auto" w:fill="auto"/>
            <w:vAlign w:val="bottom"/>
          </w:tcPr>
          <w:p w14:paraId="299709CC" w14:textId="77777777" w:rsidR="00B92948" w:rsidRPr="003A1036" w:rsidRDefault="00B92948" w:rsidP="00A54C2C">
            <w:pPr>
              <w:pStyle w:val="SingleTxtG"/>
              <w:tabs>
                <w:tab w:val="clear" w:pos="1701"/>
                <w:tab w:val="clear" w:pos="2268"/>
                <w:tab w:val="clear" w:pos="2835"/>
              </w:tabs>
              <w:spacing w:before="40" w:after="40" w:line="220" w:lineRule="exact"/>
              <w:ind w:left="113" w:right="28"/>
              <w:jc w:val="right"/>
              <w:rPr>
                <w:sz w:val="18"/>
              </w:rPr>
            </w:pPr>
            <w:r w:rsidRPr="003A1036">
              <w:rPr>
                <w:sz w:val="18"/>
              </w:rPr>
              <w:t>-</w:t>
            </w:r>
          </w:p>
        </w:tc>
        <w:tc>
          <w:tcPr>
            <w:tcW w:w="2338" w:type="dxa"/>
            <w:tcBorders>
              <w:top w:val="single" w:sz="12" w:space="0" w:color="auto"/>
            </w:tcBorders>
            <w:shd w:val="clear" w:color="auto" w:fill="auto"/>
            <w:vAlign w:val="bottom"/>
          </w:tcPr>
          <w:p w14:paraId="225F9A9F" w14:textId="77777777" w:rsidR="00B92948" w:rsidRPr="003A1036" w:rsidRDefault="00B92948" w:rsidP="00A54C2C">
            <w:pPr>
              <w:pStyle w:val="SingleTxtG"/>
              <w:tabs>
                <w:tab w:val="clear" w:pos="1701"/>
                <w:tab w:val="clear" w:pos="2268"/>
                <w:tab w:val="clear" w:pos="2835"/>
              </w:tabs>
              <w:spacing w:before="40" w:after="40" w:line="220" w:lineRule="exact"/>
              <w:ind w:left="113" w:right="28"/>
              <w:jc w:val="right"/>
              <w:rPr>
                <w:sz w:val="18"/>
              </w:rPr>
            </w:pPr>
            <w:r w:rsidRPr="003A1036">
              <w:rPr>
                <w:sz w:val="18"/>
              </w:rPr>
              <w:t>-</w:t>
            </w:r>
          </w:p>
        </w:tc>
        <w:tc>
          <w:tcPr>
            <w:tcW w:w="2413" w:type="dxa"/>
            <w:tcBorders>
              <w:top w:val="single" w:sz="12" w:space="0" w:color="auto"/>
            </w:tcBorders>
            <w:shd w:val="clear" w:color="auto" w:fill="auto"/>
            <w:vAlign w:val="bottom"/>
          </w:tcPr>
          <w:p w14:paraId="48BB927D" w14:textId="77777777" w:rsidR="00B92948" w:rsidRPr="003A1036" w:rsidRDefault="00B92948" w:rsidP="00A54C2C">
            <w:pPr>
              <w:pStyle w:val="SingleTxtG"/>
              <w:tabs>
                <w:tab w:val="clear" w:pos="1701"/>
                <w:tab w:val="clear" w:pos="2268"/>
                <w:tab w:val="clear" w:pos="2835"/>
              </w:tabs>
              <w:spacing w:before="40" w:after="40" w:line="220" w:lineRule="exact"/>
              <w:ind w:left="113" w:right="28"/>
              <w:jc w:val="right"/>
              <w:rPr>
                <w:sz w:val="18"/>
              </w:rPr>
            </w:pPr>
            <w:r w:rsidRPr="003A1036">
              <w:rPr>
                <w:sz w:val="18"/>
              </w:rPr>
              <w:t>-</w:t>
            </w:r>
          </w:p>
        </w:tc>
      </w:tr>
      <w:tr w:rsidR="00B92948" w:rsidRPr="003A1036" w14:paraId="37A56341" w14:textId="77777777" w:rsidTr="003A1036">
        <w:trPr>
          <w:trHeight w:val="240"/>
        </w:trPr>
        <w:tc>
          <w:tcPr>
            <w:tcW w:w="2254" w:type="dxa"/>
            <w:shd w:val="clear" w:color="auto" w:fill="auto"/>
          </w:tcPr>
          <w:p w14:paraId="29BD2BEC" w14:textId="77777777" w:rsidR="00B92948" w:rsidRPr="003A1036" w:rsidRDefault="00B92948" w:rsidP="003A1036">
            <w:pPr>
              <w:pStyle w:val="SingleTxtG"/>
              <w:tabs>
                <w:tab w:val="clear" w:pos="1701"/>
                <w:tab w:val="clear" w:pos="2268"/>
                <w:tab w:val="clear" w:pos="2835"/>
              </w:tabs>
              <w:spacing w:before="40" w:after="40" w:line="220" w:lineRule="exact"/>
              <w:ind w:left="0" w:right="0"/>
              <w:jc w:val="left"/>
              <w:rPr>
                <w:sz w:val="18"/>
              </w:rPr>
            </w:pPr>
            <w:r w:rsidRPr="003A1036">
              <w:rPr>
                <w:sz w:val="18"/>
              </w:rPr>
              <w:t>16</w:t>
            </w:r>
            <w:r w:rsidR="00C7622E">
              <w:rPr>
                <w:sz w:val="18"/>
              </w:rPr>
              <w:t xml:space="preserve"> años</w:t>
            </w:r>
          </w:p>
        </w:tc>
        <w:tc>
          <w:tcPr>
            <w:tcW w:w="2623" w:type="dxa"/>
            <w:shd w:val="clear" w:color="auto" w:fill="auto"/>
            <w:vAlign w:val="bottom"/>
          </w:tcPr>
          <w:p w14:paraId="594AD61F" w14:textId="77777777" w:rsidR="00B92948" w:rsidRPr="003A1036" w:rsidRDefault="00B92948" w:rsidP="00A54C2C">
            <w:pPr>
              <w:pStyle w:val="SingleTxtG"/>
              <w:tabs>
                <w:tab w:val="clear" w:pos="1701"/>
                <w:tab w:val="clear" w:pos="2268"/>
                <w:tab w:val="clear" w:pos="2835"/>
              </w:tabs>
              <w:spacing w:before="40" w:after="40" w:line="220" w:lineRule="exact"/>
              <w:ind w:left="113" w:right="28"/>
              <w:jc w:val="right"/>
              <w:rPr>
                <w:sz w:val="18"/>
              </w:rPr>
            </w:pPr>
            <w:r w:rsidRPr="003A1036">
              <w:rPr>
                <w:sz w:val="18"/>
              </w:rPr>
              <w:t>(779)</w:t>
            </w:r>
          </w:p>
        </w:tc>
        <w:tc>
          <w:tcPr>
            <w:tcW w:w="2338" w:type="dxa"/>
            <w:shd w:val="clear" w:color="auto" w:fill="auto"/>
            <w:vAlign w:val="bottom"/>
          </w:tcPr>
          <w:p w14:paraId="270557DA" w14:textId="77777777" w:rsidR="00B92948" w:rsidRPr="003A1036" w:rsidRDefault="00B92948" w:rsidP="00A54C2C">
            <w:pPr>
              <w:pStyle w:val="SingleTxtG"/>
              <w:tabs>
                <w:tab w:val="clear" w:pos="1701"/>
                <w:tab w:val="clear" w:pos="2268"/>
                <w:tab w:val="clear" w:pos="2835"/>
              </w:tabs>
              <w:spacing w:before="40" w:after="40" w:line="220" w:lineRule="exact"/>
              <w:ind w:left="113" w:right="28"/>
              <w:jc w:val="right"/>
              <w:rPr>
                <w:sz w:val="18"/>
              </w:rPr>
            </w:pPr>
            <w:r w:rsidRPr="003A1036">
              <w:rPr>
                <w:sz w:val="18"/>
              </w:rPr>
              <w:t>-</w:t>
            </w:r>
          </w:p>
        </w:tc>
        <w:tc>
          <w:tcPr>
            <w:tcW w:w="2413" w:type="dxa"/>
            <w:shd w:val="clear" w:color="auto" w:fill="auto"/>
            <w:vAlign w:val="bottom"/>
          </w:tcPr>
          <w:p w14:paraId="130811F3" w14:textId="77777777" w:rsidR="00B92948" w:rsidRPr="003A1036" w:rsidRDefault="00B92948" w:rsidP="00A54C2C">
            <w:pPr>
              <w:pStyle w:val="SingleTxtG"/>
              <w:tabs>
                <w:tab w:val="clear" w:pos="1701"/>
                <w:tab w:val="clear" w:pos="2268"/>
                <w:tab w:val="clear" w:pos="2835"/>
              </w:tabs>
              <w:spacing w:before="40" w:after="40" w:line="220" w:lineRule="exact"/>
              <w:ind w:left="113" w:right="28"/>
              <w:jc w:val="right"/>
              <w:rPr>
                <w:sz w:val="18"/>
              </w:rPr>
            </w:pPr>
            <w:r w:rsidRPr="003A1036">
              <w:rPr>
                <w:sz w:val="18"/>
              </w:rPr>
              <w:t>(606)</w:t>
            </w:r>
          </w:p>
        </w:tc>
      </w:tr>
      <w:tr w:rsidR="00B92948" w:rsidRPr="003A1036" w14:paraId="0F183C09" w14:textId="77777777" w:rsidTr="003A1036">
        <w:trPr>
          <w:trHeight w:val="240"/>
        </w:trPr>
        <w:tc>
          <w:tcPr>
            <w:tcW w:w="2254" w:type="dxa"/>
            <w:shd w:val="clear" w:color="auto" w:fill="auto"/>
          </w:tcPr>
          <w:p w14:paraId="5EDD957E" w14:textId="77777777" w:rsidR="00B92948" w:rsidRPr="003A1036" w:rsidRDefault="00B92948" w:rsidP="003A1036">
            <w:pPr>
              <w:pStyle w:val="SingleTxtG"/>
              <w:tabs>
                <w:tab w:val="clear" w:pos="1701"/>
                <w:tab w:val="clear" w:pos="2268"/>
                <w:tab w:val="clear" w:pos="2835"/>
              </w:tabs>
              <w:spacing w:before="40" w:after="40" w:line="220" w:lineRule="exact"/>
              <w:ind w:left="0" w:right="0"/>
              <w:jc w:val="left"/>
              <w:rPr>
                <w:sz w:val="18"/>
              </w:rPr>
            </w:pPr>
            <w:r w:rsidRPr="003A1036">
              <w:rPr>
                <w:sz w:val="18"/>
              </w:rPr>
              <w:t>17</w:t>
            </w:r>
            <w:r w:rsidR="00C7622E">
              <w:rPr>
                <w:sz w:val="18"/>
              </w:rPr>
              <w:t xml:space="preserve"> años</w:t>
            </w:r>
          </w:p>
        </w:tc>
        <w:tc>
          <w:tcPr>
            <w:tcW w:w="2623" w:type="dxa"/>
            <w:shd w:val="clear" w:color="auto" w:fill="auto"/>
            <w:vAlign w:val="bottom"/>
          </w:tcPr>
          <w:p w14:paraId="75BCFDA7" w14:textId="77777777" w:rsidR="00B92948" w:rsidRPr="003A1036" w:rsidRDefault="00B92948" w:rsidP="00A54C2C">
            <w:pPr>
              <w:pStyle w:val="SingleTxtG"/>
              <w:tabs>
                <w:tab w:val="clear" w:pos="1701"/>
                <w:tab w:val="clear" w:pos="2268"/>
                <w:tab w:val="clear" w:pos="2835"/>
              </w:tabs>
              <w:spacing w:before="40" w:after="40" w:line="220" w:lineRule="exact"/>
              <w:ind w:left="113" w:right="28"/>
              <w:jc w:val="right"/>
              <w:rPr>
                <w:sz w:val="18"/>
              </w:rPr>
            </w:pPr>
            <w:r w:rsidRPr="003A1036">
              <w:rPr>
                <w:sz w:val="18"/>
              </w:rPr>
              <w:t>(578)</w:t>
            </w:r>
          </w:p>
        </w:tc>
        <w:tc>
          <w:tcPr>
            <w:tcW w:w="2338" w:type="dxa"/>
            <w:shd w:val="clear" w:color="auto" w:fill="auto"/>
            <w:vAlign w:val="bottom"/>
          </w:tcPr>
          <w:p w14:paraId="6E5BEBAC" w14:textId="77777777" w:rsidR="00B92948" w:rsidRPr="003A1036" w:rsidRDefault="00B92948" w:rsidP="00A54C2C">
            <w:pPr>
              <w:pStyle w:val="SingleTxtG"/>
              <w:tabs>
                <w:tab w:val="clear" w:pos="1701"/>
                <w:tab w:val="clear" w:pos="2268"/>
                <w:tab w:val="clear" w:pos="2835"/>
              </w:tabs>
              <w:spacing w:before="40" w:after="40" w:line="220" w:lineRule="exact"/>
              <w:ind w:left="113" w:right="28"/>
              <w:jc w:val="right"/>
              <w:rPr>
                <w:sz w:val="18"/>
              </w:rPr>
            </w:pPr>
            <w:r w:rsidRPr="003A1036">
              <w:rPr>
                <w:sz w:val="18"/>
              </w:rPr>
              <w:t>-</w:t>
            </w:r>
          </w:p>
        </w:tc>
        <w:tc>
          <w:tcPr>
            <w:tcW w:w="2413" w:type="dxa"/>
            <w:shd w:val="clear" w:color="auto" w:fill="auto"/>
            <w:vAlign w:val="bottom"/>
          </w:tcPr>
          <w:p w14:paraId="576D1700" w14:textId="77777777" w:rsidR="00B92948" w:rsidRPr="003A1036" w:rsidRDefault="00B92948" w:rsidP="00A54C2C">
            <w:pPr>
              <w:pStyle w:val="SingleTxtG"/>
              <w:tabs>
                <w:tab w:val="clear" w:pos="1701"/>
                <w:tab w:val="clear" w:pos="2268"/>
                <w:tab w:val="clear" w:pos="2835"/>
              </w:tabs>
              <w:spacing w:before="40" w:after="40" w:line="220" w:lineRule="exact"/>
              <w:ind w:left="113" w:right="28"/>
              <w:jc w:val="right"/>
              <w:rPr>
                <w:sz w:val="18"/>
              </w:rPr>
            </w:pPr>
            <w:r w:rsidRPr="003A1036">
              <w:rPr>
                <w:sz w:val="18"/>
              </w:rPr>
              <w:t>-</w:t>
            </w:r>
          </w:p>
        </w:tc>
      </w:tr>
      <w:tr w:rsidR="00B92948" w:rsidRPr="003A1036" w14:paraId="450DDB11" w14:textId="77777777" w:rsidTr="0095553A">
        <w:trPr>
          <w:trHeight w:val="240"/>
        </w:trPr>
        <w:tc>
          <w:tcPr>
            <w:tcW w:w="2254" w:type="dxa"/>
            <w:tcBorders>
              <w:bottom w:val="single" w:sz="4" w:space="0" w:color="auto"/>
            </w:tcBorders>
            <w:shd w:val="clear" w:color="auto" w:fill="auto"/>
          </w:tcPr>
          <w:p w14:paraId="2FC3E15D" w14:textId="77777777" w:rsidR="00B92948" w:rsidRPr="003A1036" w:rsidRDefault="00B92948" w:rsidP="003A1036">
            <w:pPr>
              <w:pStyle w:val="SingleTxtG"/>
              <w:tabs>
                <w:tab w:val="clear" w:pos="1701"/>
                <w:tab w:val="clear" w:pos="2268"/>
                <w:tab w:val="clear" w:pos="2835"/>
              </w:tabs>
              <w:spacing w:before="40" w:after="40" w:line="220" w:lineRule="exact"/>
              <w:ind w:left="0" w:right="0"/>
              <w:jc w:val="left"/>
              <w:rPr>
                <w:sz w:val="18"/>
              </w:rPr>
            </w:pPr>
            <w:r w:rsidRPr="003A1036">
              <w:rPr>
                <w:sz w:val="18"/>
              </w:rPr>
              <w:t>18</w:t>
            </w:r>
            <w:r w:rsidR="00C7622E">
              <w:rPr>
                <w:sz w:val="18"/>
              </w:rPr>
              <w:t xml:space="preserve"> años</w:t>
            </w:r>
          </w:p>
        </w:tc>
        <w:tc>
          <w:tcPr>
            <w:tcW w:w="2623" w:type="dxa"/>
            <w:tcBorders>
              <w:bottom w:val="single" w:sz="4" w:space="0" w:color="auto"/>
            </w:tcBorders>
            <w:shd w:val="clear" w:color="auto" w:fill="auto"/>
            <w:vAlign w:val="bottom"/>
          </w:tcPr>
          <w:p w14:paraId="08A97A31" w14:textId="77777777" w:rsidR="00B92948" w:rsidRPr="003A1036" w:rsidRDefault="00B92948" w:rsidP="00A54C2C">
            <w:pPr>
              <w:pStyle w:val="SingleTxtG"/>
              <w:tabs>
                <w:tab w:val="clear" w:pos="1701"/>
                <w:tab w:val="clear" w:pos="2268"/>
                <w:tab w:val="clear" w:pos="2835"/>
              </w:tabs>
              <w:spacing w:before="40" w:after="40" w:line="220" w:lineRule="exact"/>
              <w:ind w:left="113" w:right="28"/>
              <w:jc w:val="right"/>
              <w:rPr>
                <w:sz w:val="18"/>
              </w:rPr>
            </w:pPr>
            <w:r w:rsidRPr="003A1036">
              <w:rPr>
                <w:sz w:val="18"/>
              </w:rPr>
              <w:t>(875)</w:t>
            </w:r>
          </w:p>
        </w:tc>
        <w:tc>
          <w:tcPr>
            <w:tcW w:w="2338" w:type="dxa"/>
            <w:tcBorders>
              <w:bottom w:val="single" w:sz="4" w:space="0" w:color="auto"/>
            </w:tcBorders>
            <w:shd w:val="clear" w:color="auto" w:fill="auto"/>
            <w:vAlign w:val="bottom"/>
          </w:tcPr>
          <w:p w14:paraId="68C14F43" w14:textId="77777777" w:rsidR="00B92948" w:rsidRPr="003A1036" w:rsidRDefault="00B92948" w:rsidP="00A54C2C">
            <w:pPr>
              <w:pStyle w:val="SingleTxtG"/>
              <w:tabs>
                <w:tab w:val="clear" w:pos="1701"/>
                <w:tab w:val="clear" w:pos="2268"/>
                <w:tab w:val="clear" w:pos="2835"/>
              </w:tabs>
              <w:spacing w:before="40" w:after="40" w:line="220" w:lineRule="exact"/>
              <w:ind w:left="113" w:right="28"/>
              <w:jc w:val="right"/>
              <w:rPr>
                <w:sz w:val="18"/>
              </w:rPr>
            </w:pPr>
            <w:r w:rsidRPr="003A1036">
              <w:rPr>
                <w:sz w:val="18"/>
              </w:rPr>
              <w:t>(676)</w:t>
            </w:r>
          </w:p>
        </w:tc>
        <w:tc>
          <w:tcPr>
            <w:tcW w:w="2413" w:type="dxa"/>
            <w:tcBorders>
              <w:bottom w:val="single" w:sz="4" w:space="0" w:color="auto"/>
            </w:tcBorders>
            <w:shd w:val="clear" w:color="auto" w:fill="auto"/>
            <w:vAlign w:val="bottom"/>
          </w:tcPr>
          <w:p w14:paraId="5B0AB6A6" w14:textId="77777777" w:rsidR="00B92948" w:rsidRPr="003A1036" w:rsidRDefault="00B92948" w:rsidP="00A54C2C">
            <w:pPr>
              <w:pStyle w:val="SingleTxtG"/>
              <w:tabs>
                <w:tab w:val="clear" w:pos="1701"/>
                <w:tab w:val="clear" w:pos="2268"/>
                <w:tab w:val="clear" w:pos="2835"/>
              </w:tabs>
              <w:spacing w:before="40" w:after="40" w:line="220" w:lineRule="exact"/>
              <w:ind w:left="113" w:right="28"/>
              <w:jc w:val="right"/>
              <w:rPr>
                <w:sz w:val="18"/>
              </w:rPr>
            </w:pPr>
          </w:p>
        </w:tc>
      </w:tr>
      <w:tr w:rsidR="00B92948" w:rsidRPr="0095553A" w14:paraId="4BA26C9C" w14:textId="77777777" w:rsidTr="0095553A">
        <w:trPr>
          <w:trHeight w:val="240"/>
        </w:trPr>
        <w:tc>
          <w:tcPr>
            <w:tcW w:w="2254" w:type="dxa"/>
            <w:tcBorders>
              <w:top w:val="single" w:sz="4" w:space="0" w:color="auto"/>
              <w:bottom w:val="single" w:sz="12" w:space="0" w:color="auto"/>
            </w:tcBorders>
            <w:shd w:val="clear" w:color="auto" w:fill="auto"/>
          </w:tcPr>
          <w:p w14:paraId="3F99F012" w14:textId="77777777" w:rsidR="00B92948" w:rsidRPr="0095553A" w:rsidRDefault="00B92948" w:rsidP="0095553A">
            <w:pPr>
              <w:pStyle w:val="SingleTxtG"/>
              <w:tabs>
                <w:tab w:val="clear" w:pos="1701"/>
                <w:tab w:val="clear" w:pos="2268"/>
                <w:tab w:val="clear" w:pos="2835"/>
              </w:tabs>
              <w:spacing w:before="80" w:after="80" w:line="220" w:lineRule="exact"/>
              <w:ind w:left="283" w:right="0"/>
              <w:jc w:val="left"/>
              <w:rPr>
                <w:b/>
                <w:sz w:val="18"/>
              </w:rPr>
            </w:pPr>
            <w:r w:rsidRPr="0095553A">
              <w:rPr>
                <w:b/>
                <w:bCs/>
                <w:sz w:val="18"/>
              </w:rPr>
              <w:t>Total</w:t>
            </w:r>
          </w:p>
        </w:tc>
        <w:tc>
          <w:tcPr>
            <w:tcW w:w="2623" w:type="dxa"/>
            <w:tcBorders>
              <w:top w:val="single" w:sz="4" w:space="0" w:color="auto"/>
              <w:bottom w:val="single" w:sz="12" w:space="0" w:color="auto"/>
            </w:tcBorders>
            <w:shd w:val="clear" w:color="auto" w:fill="auto"/>
            <w:vAlign w:val="bottom"/>
          </w:tcPr>
          <w:p w14:paraId="0F9BB4AA" w14:textId="77777777" w:rsidR="00B92948" w:rsidRPr="0095553A" w:rsidRDefault="00B92948" w:rsidP="00A54C2C">
            <w:pPr>
              <w:pStyle w:val="SingleTxtG"/>
              <w:tabs>
                <w:tab w:val="clear" w:pos="1701"/>
                <w:tab w:val="clear" w:pos="2268"/>
                <w:tab w:val="clear" w:pos="2835"/>
              </w:tabs>
              <w:spacing w:before="80" w:after="80" w:line="220" w:lineRule="exact"/>
              <w:ind w:left="0" w:right="28"/>
              <w:jc w:val="right"/>
              <w:rPr>
                <w:b/>
                <w:sz w:val="18"/>
              </w:rPr>
            </w:pPr>
            <w:r w:rsidRPr="0095553A">
              <w:rPr>
                <w:b/>
                <w:bCs/>
                <w:sz w:val="18"/>
              </w:rPr>
              <w:t>2 383</w:t>
            </w:r>
          </w:p>
        </w:tc>
        <w:tc>
          <w:tcPr>
            <w:tcW w:w="2338" w:type="dxa"/>
            <w:tcBorders>
              <w:top w:val="single" w:sz="4" w:space="0" w:color="auto"/>
              <w:bottom w:val="single" w:sz="12" w:space="0" w:color="auto"/>
            </w:tcBorders>
            <w:shd w:val="clear" w:color="auto" w:fill="auto"/>
            <w:vAlign w:val="bottom"/>
          </w:tcPr>
          <w:p w14:paraId="636E943B" w14:textId="77777777" w:rsidR="00B92948" w:rsidRPr="0095553A" w:rsidRDefault="00B92948" w:rsidP="00A54C2C">
            <w:pPr>
              <w:pStyle w:val="SingleTxtG"/>
              <w:tabs>
                <w:tab w:val="clear" w:pos="1701"/>
                <w:tab w:val="clear" w:pos="2268"/>
                <w:tab w:val="clear" w:pos="2835"/>
              </w:tabs>
              <w:spacing w:before="80" w:after="80" w:line="220" w:lineRule="exact"/>
              <w:ind w:left="0" w:right="28"/>
              <w:jc w:val="right"/>
              <w:rPr>
                <w:b/>
                <w:sz w:val="18"/>
              </w:rPr>
            </w:pPr>
            <w:r w:rsidRPr="0095553A">
              <w:rPr>
                <w:b/>
                <w:bCs/>
                <w:sz w:val="18"/>
              </w:rPr>
              <w:t>(1 379)</w:t>
            </w:r>
          </w:p>
        </w:tc>
        <w:tc>
          <w:tcPr>
            <w:tcW w:w="2413" w:type="dxa"/>
            <w:tcBorders>
              <w:top w:val="single" w:sz="4" w:space="0" w:color="auto"/>
              <w:bottom w:val="single" w:sz="12" w:space="0" w:color="auto"/>
            </w:tcBorders>
            <w:shd w:val="clear" w:color="auto" w:fill="auto"/>
            <w:vAlign w:val="bottom"/>
          </w:tcPr>
          <w:p w14:paraId="2439774C" w14:textId="77777777" w:rsidR="00B92948" w:rsidRPr="0095553A" w:rsidRDefault="00B92948" w:rsidP="00A54C2C">
            <w:pPr>
              <w:pStyle w:val="SingleTxtG"/>
              <w:tabs>
                <w:tab w:val="clear" w:pos="1701"/>
                <w:tab w:val="clear" w:pos="2268"/>
                <w:tab w:val="clear" w:pos="2835"/>
              </w:tabs>
              <w:spacing w:before="80" w:after="80" w:line="220" w:lineRule="exact"/>
              <w:ind w:left="0" w:right="28"/>
              <w:jc w:val="right"/>
              <w:rPr>
                <w:b/>
                <w:sz w:val="18"/>
              </w:rPr>
            </w:pPr>
            <w:r w:rsidRPr="0095553A">
              <w:rPr>
                <w:b/>
                <w:bCs/>
                <w:sz w:val="18"/>
              </w:rPr>
              <w:t>(1 005)</w:t>
            </w:r>
          </w:p>
        </w:tc>
      </w:tr>
    </w:tbl>
    <w:p w14:paraId="312D79E2" w14:textId="77777777" w:rsidR="00B92948" w:rsidRPr="00A54C2C" w:rsidRDefault="0095553A" w:rsidP="0095553A">
      <w:pPr>
        <w:pStyle w:val="H23G"/>
      </w:pPr>
      <w:r>
        <w:tab/>
      </w:r>
      <w:r w:rsidR="00B92948" w:rsidRPr="00B92948">
        <w:tab/>
        <w:t>Jóvenes de 15 a 18 años</w:t>
      </w:r>
      <w:r w:rsidR="00B92948" w:rsidRPr="00B92948">
        <w:rPr>
          <w:lang w:val="en-GB"/>
        </w:rPr>
        <w:t xml:space="preserve"> </w:t>
      </w:r>
      <w:r w:rsidR="00B92948" w:rsidRPr="00B92948">
        <w:t>empleados, 2015</w:t>
      </w:r>
      <w:r w:rsidR="00B92948" w:rsidRPr="00A54C2C">
        <w:rPr>
          <w:rStyle w:val="Refdenotaalpie"/>
          <w:b w:val="0"/>
          <w:bCs/>
        </w:rPr>
        <w:footnoteReference w:id="47"/>
      </w:r>
      <w:bookmarkStart w:id="79" w:name="_Toc56781477"/>
      <w:bookmarkEnd w:id="79"/>
    </w:p>
    <w:tbl>
      <w:tblPr>
        <w:tblW w:w="7370" w:type="dxa"/>
        <w:tblInd w:w="1134" w:type="dxa"/>
        <w:tblBorders>
          <w:top w:val="single" w:sz="4" w:space="0" w:color="auto"/>
        </w:tblBorders>
        <w:tblCellMar>
          <w:left w:w="0" w:type="dxa"/>
          <w:right w:w="0" w:type="dxa"/>
        </w:tblCellMar>
        <w:tblLook w:val="01E0" w:firstRow="1" w:lastRow="1" w:firstColumn="1" w:lastColumn="1" w:noHBand="0" w:noVBand="0"/>
      </w:tblPr>
      <w:tblGrid>
        <w:gridCol w:w="1493"/>
        <w:gridCol w:w="1798"/>
        <w:gridCol w:w="1719"/>
        <w:gridCol w:w="2360"/>
      </w:tblGrid>
      <w:tr w:rsidR="00B92948" w:rsidRPr="003A1036" w14:paraId="517EA312" w14:textId="77777777" w:rsidTr="003A1036">
        <w:trPr>
          <w:trHeight w:val="240"/>
          <w:tblHeader/>
        </w:trPr>
        <w:tc>
          <w:tcPr>
            <w:tcW w:w="1266" w:type="dxa"/>
            <w:tcBorders>
              <w:top w:val="single" w:sz="4" w:space="0" w:color="auto"/>
              <w:bottom w:val="single" w:sz="12" w:space="0" w:color="auto"/>
            </w:tcBorders>
            <w:shd w:val="clear" w:color="auto" w:fill="auto"/>
            <w:vAlign w:val="bottom"/>
          </w:tcPr>
          <w:p w14:paraId="38A9AB71" w14:textId="77777777" w:rsidR="00B92948" w:rsidRPr="003A1036" w:rsidRDefault="00B92948" w:rsidP="003A1036">
            <w:pPr>
              <w:pStyle w:val="SingleTxtG"/>
              <w:tabs>
                <w:tab w:val="clear" w:pos="1701"/>
                <w:tab w:val="clear" w:pos="2268"/>
                <w:tab w:val="clear" w:pos="2835"/>
              </w:tabs>
              <w:spacing w:before="80" w:after="80" w:line="200" w:lineRule="exact"/>
              <w:ind w:left="0" w:right="0"/>
              <w:jc w:val="left"/>
              <w:rPr>
                <w:i/>
                <w:sz w:val="16"/>
              </w:rPr>
            </w:pPr>
            <w:r w:rsidRPr="003A1036">
              <w:rPr>
                <w:i/>
                <w:iCs/>
                <w:sz w:val="16"/>
              </w:rPr>
              <w:t>Edad</w:t>
            </w:r>
          </w:p>
        </w:tc>
        <w:tc>
          <w:tcPr>
            <w:tcW w:w="1524" w:type="dxa"/>
            <w:tcBorders>
              <w:top w:val="single" w:sz="4" w:space="0" w:color="auto"/>
              <w:bottom w:val="single" w:sz="12" w:space="0" w:color="auto"/>
            </w:tcBorders>
            <w:shd w:val="clear" w:color="auto" w:fill="auto"/>
            <w:vAlign w:val="bottom"/>
          </w:tcPr>
          <w:p w14:paraId="6022EDCF" w14:textId="77777777" w:rsidR="00B92948" w:rsidRPr="003A1036" w:rsidRDefault="00B92948" w:rsidP="00A54C2C">
            <w:pPr>
              <w:pStyle w:val="SingleTxtG"/>
              <w:tabs>
                <w:tab w:val="clear" w:pos="1701"/>
                <w:tab w:val="clear" w:pos="2268"/>
                <w:tab w:val="clear" w:pos="2835"/>
              </w:tabs>
              <w:spacing w:before="80" w:after="80" w:line="200" w:lineRule="exact"/>
              <w:ind w:left="113" w:right="28"/>
              <w:jc w:val="right"/>
              <w:rPr>
                <w:i/>
                <w:sz w:val="16"/>
              </w:rPr>
            </w:pPr>
            <w:r w:rsidRPr="003A1036">
              <w:rPr>
                <w:i/>
                <w:iCs/>
                <w:sz w:val="16"/>
              </w:rPr>
              <w:t>Número de empleados</w:t>
            </w:r>
          </w:p>
        </w:tc>
        <w:tc>
          <w:tcPr>
            <w:tcW w:w="1457" w:type="dxa"/>
            <w:tcBorders>
              <w:top w:val="single" w:sz="4" w:space="0" w:color="auto"/>
              <w:bottom w:val="single" w:sz="12" w:space="0" w:color="auto"/>
            </w:tcBorders>
            <w:shd w:val="clear" w:color="auto" w:fill="auto"/>
            <w:vAlign w:val="bottom"/>
          </w:tcPr>
          <w:p w14:paraId="3709FD49" w14:textId="77777777" w:rsidR="00B92948" w:rsidRPr="003A1036" w:rsidRDefault="00B92948" w:rsidP="00A54C2C">
            <w:pPr>
              <w:pStyle w:val="SingleTxtG"/>
              <w:tabs>
                <w:tab w:val="clear" w:pos="1701"/>
                <w:tab w:val="clear" w:pos="2268"/>
                <w:tab w:val="clear" w:pos="2835"/>
              </w:tabs>
              <w:spacing w:before="80" w:after="80" w:line="200" w:lineRule="exact"/>
              <w:ind w:left="113" w:right="28"/>
              <w:jc w:val="right"/>
              <w:rPr>
                <w:i/>
                <w:sz w:val="16"/>
              </w:rPr>
            </w:pPr>
            <w:r w:rsidRPr="003A1036">
              <w:rPr>
                <w:i/>
                <w:iCs/>
                <w:sz w:val="16"/>
              </w:rPr>
              <w:t>Varones</w:t>
            </w:r>
          </w:p>
        </w:tc>
        <w:tc>
          <w:tcPr>
            <w:tcW w:w="2001" w:type="dxa"/>
            <w:tcBorders>
              <w:top w:val="single" w:sz="4" w:space="0" w:color="auto"/>
              <w:bottom w:val="single" w:sz="12" w:space="0" w:color="auto"/>
            </w:tcBorders>
            <w:shd w:val="clear" w:color="auto" w:fill="auto"/>
            <w:vAlign w:val="bottom"/>
          </w:tcPr>
          <w:p w14:paraId="1546A041" w14:textId="77777777" w:rsidR="00B92948" w:rsidRPr="003A1036" w:rsidRDefault="00B92948" w:rsidP="00A54C2C">
            <w:pPr>
              <w:pStyle w:val="SingleTxtG"/>
              <w:tabs>
                <w:tab w:val="clear" w:pos="1701"/>
                <w:tab w:val="clear" w:pos="2268"/>
                <w:tab w:val="clear" w:pos="2835"/>
              </w:tabs>
              <w:spacing w:before="80" w:after="80" w:line="200" w:lineRule="exact"/>
              <w:ind w:left="113" w:right="28"/>
              <w:jc w:val="right"/>
              <w:rPr>
                <w:i/>
                <w:sz w:val="16"/>
              </w:rPr>
            </w:pPr>
            <w:r w:rsidRPr="003A1036">
              <w:rPr>
                <w:i/>
                <w:iCs/>
                <w:sz w:val="16"/>
              </w:rPr>
              <w:t>Mujeres</w:t>
            </w:r>
          </w:p>
        </w:tc>
      </w:tr>
      <w:tr w:rsidR="00B92948" w:rsidRPr="003A1036" w14:paraId="1A085D25" w14:textId="77777777" w:rsidTr="003A1036">
        <w:trPr>
          <w:trHeight w:val="240"/>
        </w:trPr>
        <w:tc>
          <w:tcPr>
            <w:tcW w:w="1266" w:type="dxa"/>
            <w:tcBorders>
              <w:top w:val="single" w:sz="12" w:space="0" w:color="auto"/>
            </w:tcBorders>
            <w:shd w:val="clear" w:color="auto" w:fill="auto"/>
          </w:tcPr>
          <w:p w14:paraId="0242D1FE" w14:textId="77777777" w:rsidR="00B92948" w:rsidRPr="003A1036" w:rsidRDefault="00B92948" w:rsidP="003A1036">
            <w:pPr>
              <w:pStyle w:val="SingleTxtG"/>
              <w:tabs>
                <w:tab w:val="clear" w:pos="1701"/>
                <w:tab w:val="clear" w:pos="2268"/>
                <w:tab w:val="clear" w:pos="2835"/>
              </w:tabs>
              <w:spacing w:before="40" w:after="40" w:line="220" w:lineRule="exact"/>
              <w:ind w:left="0" w:right="0"/>
              <w:jc w:val="left"/>
              <w:rPr>
                <w:sz w:val="18"/>
              </w:rPr>
            </w:pPr>
            <w:r w:rsidRPr="003A1036">
              <w:rPr>
                <w:sz w:val="18"/>
              </w:rPr>
              <w:t>15</w:t>
            </w:r>
            <w:r w:rsidR="00C7622E">
              <w:rPr>
                <w:sz w:val="18"/>
              </w:rPr>
              <w:t xml:space="preserve"> años</w:t>
            </w:r>
          </w:p>
        </w:tc>
        <w:tc>
          <w:tcPr>
            <w:tcW w:w="1524" w:type="dxa"/>
            <w:tcBorders>
              <w:top w:val="single" w:sz="12" w:space="0" w:color="auto"/>
            </w:tcBorders>
            <w:shd w:val="clear" w:color="auto" w:fill="auto"/>
            <w:vAlign w:val="bottom"/>
          </w:tcPr>
          <w:p w14:paraId="587EB8B1" w14:textId="77777777" w:rsidR="00B92948" w:rsidRPr="003A1036" w:rsidRDefault="00B92948" w:rsidP="00A54C2C">
            <w:pPr>
              <w:pStyle w:val="SingleTxtG"/>
              <w:tabs>
                <w:tab w:val="clear" w:pos="1701"/>
                <w:tab w:val="clear" w:pos="2268"/>
                <w:tab w:val="clear" w:pos="2835"/>
              </w:tabs>
              <w:spacing w:before="40" w:after="40" w:line="220" w:lineRule="exact"/>
              <w:ind w:left="113" w:right="28"/>
              <w:jc w:val="right"/>
              <w:rPr>
                <w:sz w:val="18"/>
              </w:rPr>
            </w:pPr>
            <w:r w:rsidRPr="003A1036">
              <w:rPr>
                <w:sz w:val="18"/>
              </w:rPr>
              <w:t>-</w:t>
            </w:r>
          </w:p>
        </w:tc>
        <w:tc>
          <w:tcPr>
            <w:tcW w:w="1457" w:type="dxa"/>
            <w:tcBorders>
              <w:top w:val="single" w:sz="12" w:space="0" w:color="auto"/>
            </w:tcBorders>
            <w:shd w:val="clear" w:color="auto" w:fill="auto"/>
            <w:vAlign w:val="bottom"/>
          </w:tcPr>
          <w:p w14:paraId="108039B8" w14:textId="77777777" w:rsidR="00B92948" w:rsidRPr="003A1036" w:rsidRDefault="00B92948" w:rsidP="00A54C2C">
            <w:pPr>
              <w:pStyle w:val="SingleTxtG"/>
              <w:tabs>
                <w:tab w:val="clear" w:pos="1701"/>
                <w:tab w:val="clear" w:pos="2268"/>
                <w:tab w:val="clear" w:pos="2835"/>
              </w:tabs>
              <w:spacing w:before="40" w:after="40" w:line="220" w:lineRule="exact"/>
              <w:ind w:left="113" w:right="28"/>
              <w:jc w:val="right"/>
              <w:rPr>
                <w:sz w:val="18"/>
              </w:rPr>
            </w:pPr>
            <w:r w:rsidRPr="003A1036">
              <w:rPr>
                <w:sz w:val="18"/>
              </w:rPr>
              <w:t>-</w:t>
            </w:r>
          </w:p>
        </w:tc>
        <w:tc>
          <w:tcPr>
            <w:tcW w:w="2001" w:type="dxa"/>
            <w:tcBorders>
              <w:top w:val="single" w:sz="12" w:space="0" w:color="auto"/>
            </w:tcBorders>
            <w:shd w:val="clear" w:color="auto" w:fill="auto"/>
            <w:vAlign w:val="bottom"/>
          </w:tcPr>
          <w:p w14:paraId="2233030A" w14:textId="77777777" w:rsidR="00B92948" w:rsidRPr="003A1036" w:rsidRDefault="00B92948" w:rsidP="00A54C2C">
            <w:pPr>
              <w:pStyle w:val="SingleTxtG"/>
              <w:tabs>
                <w:tab w:val="clear" w:pos="1701"/>
                <w:tab w:val="clear" w:pos="2268"/>
                <w:tab w:val="clear" w:pos="2835"/>
              </w:tabs>
              <w:spacing w:before="40" w:after="40" w:line="220" w:lineRule="exact"/>
              <w:ind w:left="113" w:right="28"/>
              <w:jc w:val="right"/>
              <w:rPr>
                <w:sz w:val="18"/>
              </w:rPr>
            </w:pPr>
            <w:r w:rsidRPr="003A1036">
              <w:rPr>
                <w:sz w:val="18"/>
              </w:rPr>
              <w:t>-</w:t>
            </w:r>
          </w:p>
        </w:tc>
      </w:tr>
      <w:tr w:rsidR="00B92948" w:rsidRPr="003A1036" w14:paraId="5DF3833C" w14:textId="77777777" w:rsidTr="003A1036">
        <w:trPr>
          <w:trHeight w:val="240"/>
        </w:trPr>
        <w:tc>
          <w:tcPr>
            <w:tcW w:w="1266" w:type="dxa"/>
            <w:shd w:val="clear" w:color="auto" w:fill="auto"/>
          </w:tcPr>
          <w:p w14:paraId="4DEA04FF" w14:textId="77777777" w:rsidR="00B92948" w:rsidRPr="003A1036" w:rsidRDefault="00B92948" w:rsidP="003A1036">
            <w:pPr>
              <w:pStyle w:val="SingleTxtG"/>
              <w:tabs>
                <w:tab w:val="clear" w:pos="1701"/>
                <w:tab w:val="clear" w:pos="2268"/>
                <w:tab w:val="clear" w:pos="2835"/>
              </w:tabs>
              <w:spacing w:before="40" w:after="40" w:line="220" w:lineRule="exact"/>
              <w:ind w:left="0" w:right="0"/>
              <w:jc w:val="left"/>
              <w:rPr>
                <w:sz w:val="18"/>
              </w:rPr>
            </w:pPr>
            <w:r w:rsidRPr="003A1036">
              <w:rPr>
                <w:sz w:val="18"/>
              </w:rPr>
              <w:t>16</w:t>
            </w:r>
            <w:r w:rsidR="00C7622E">
              <w:rPr>
                <w:sz w:val="18"/>
              </w:rPr>
              <w:t xml:space="preserve"> años</w:t>
            </w:r>
          </w:p>
        </w:tc>
        <w:tc>
          <w:tcPr>
            <w:tcW w:w="1524" w:type="dxa"/>
            <w:shd w:val="clear" w:color="auto" w:fill="auto"/>
            <w:vAlign w:val="bottom"/>
          </w:tcPr>
          <w:p w14:paraId="25CE7917" w14:textId="77777777" w:rsidR="00B92948" w:rsidRPr="003A1036" w:rsidRDefault="00B92948" w:rsidP="00A54C2C">
            <w:pPr>
              <w:pStyle w:val="SingleTxtG"/>
              <w:tabs>
                <w:tab w:val="clear" w:pos="1701"/>
                <w:tab w:val="clear" w:pos="2268"/>
                <w:tab w:val="clear" w:pos="2835"/>
              </w:tabs>
              <w:spacing w:before="40" w:after="40" w:line="220" w:lineRule="exact"/>
              <w:ind w:left="113" w:right="28"/>
              <w:jc w:val="right"/>
              <w:rPr>
                <w:sz w:val="18"/>
              </w:rPr>
            </w:pPr>
            <w:r w:rsidRPr="003A1036">
              <w:rPr>
                <w:sz w:val="18"/>
              </w:rPr>
              <w:t>(939)</w:t>
            </w:r>
          </w:p>
        </w:tc>
        <w:tc>
          <w:tcPr>
            <w:tcW w:w="1457" w:type="dxa"/>
            <w:shd w:val="clear" w:color="auto" w:fill="auto"/>
            <w:vAlign w:val="bottom"/>
          </w:tcPr>
          <w:p w14:paraId="7D0821A5" w14:textId="77777777" w:rsidR="00B92948" w:rsidRPr="003A1036" w:rsidRDefault="00B92948" w:rsidP="00A54C2C">
            <w:pPr>
              <w:pStyle w:val="SingleTxtG"/>
              <w:tabs>
                <w:tab w:val="clear" w:pos="1701"/>
                <w:tab w:val="clear" w:pos="2268"/>
                <w:tab w:val="clear" w:pos="2835"/>
              </w:tabs>
              <w:spacing w:before="40" w:after="40" w:line="220" w:lineRule="exact"/>
              <w:ind w:left="113" w:right="28"/>
              <w:jc w:val="right"/>
              <w:rPr>
                <w:sz w:val="18"/>
              </w:rPr>
            </w:pPr>
            <w:r w:rsidRPr="003A1036">
              <w:rPr>
                <w:sz w:val="18"/>
              </w:rPr>
              <w:t>(679)</w:t>
            </w:r>
          </w:p>
        </w:tc>
        <w:tc>
          <w:tcPr>
            <w:tcW w:w="2001" w:type="dxa"/>
            <w:shd w:val="clear" w:color="auto" w:fill="auto"/>
            <w:vAlign w:val="bottom"/>
          </w:tcPr>
          <w:p w14:paraId="3BFFC348" w14:textId="77777777" w:rsidR="00B92948" w:rsidRPr="003A1036" w:rsidRDefault="00B92948" w:rsidP="00A54C2C">
            <w:pPr>
              <w:pStyle w:val="SingleTxtG"/>
              <w:tabs>
                <w:tab w:val="clear" w:pos="1701"/>
                <w:tab w:val="clear" w:pos="2268"/>
                <w:tab w:val="clear" w:pos="2835"/>
              </w:tabs>
              <w:spacing w:before="40" w:after="40" w:line="220" w:lineRule="exact"/>
              <w:ind w:left="113" w:right="28"/>
              <w:jc w:val="right"/>
              <w:rPr>
                <w:sz w:val="18"/>
              </w:rPr>
            </w:pPr>
            <w:r w:rsidRPr="003A1036">
              <w:rPr>
                <w:sz w:val="18"/>
              </w:rPr>
              <w:t>-</w:t>
            </w:r>
          </w:p>
        </w:tc>
      </w:tr>
      <w:tr w:rsidR="00B92948" w:rsidRPr="003A1036" w14:paraId="1A609688" w14:textId="77777777" w:rsidTr="003A1036">
        <w:trPr>
          <w:trHeight w:val="240"/>
        </w:trPr>
        <w:tc>
          <w:tcPr>
            <w:tcW w:w="1266" w:type="dxa"/>
            <w:shd w:val="clear" w:color="auto" w:fill="auto"/>
          </w:tcPr>
          <w:p w14:paraId="61FE8C15" w14:textId="77777777" w:rsidR="00B92948" w:rsidRPr="003A1036" w:rsidRDefault="00B92948" w:rsidP="003A1036">
            <w:pPr>
              <w:pStyle w:val="SingleTxtG"/>
              <w:tabs>
                <w:tab w:val="clear" w:pos="1701"/>
                <w:tab w:val="clear" w:pos="2268"/>
                <w:tab w:val="clear" w:pos="2835"/>
              </w:tabs>
              <w:spacing w:before="40" w:after="40" w:line="220" w:lineRule="exact"/>
              <w:ind w:left="0" w:right="0"/>
              <w:jc w:val="left"/>
              <w:rPr>
                <w:sz w:val="18"/>
              </w:rPr>
            </w:pPr>
            <w:r w:rsidRPr="003A1036">
              <w:rPr>
                <w:sz w:val="18"/>
              </w:rPr>
              <w:t>17</w:t>
            </w:r>
            <w:r w:rsidR="00C7622E">
              <w:rPr>
                <w:sz w:val="18"/>
              </w:rPr>
              <w:t xml:space="preserve"> años</w:t>
            </w:r>
          </w:p>
        </w:tc>
        <w:tc>
          <w:tcPr>
            <w:tcW w:w="1524" w:type="dxa"/>
            <w:shd w:val="clear" w:color="auto" w:fill="auto"/>
            <w:vAlign w:val="bottom"/>
          </w:tcPr>
          <w:p w14:paraId="7D50E20F" w14:textId="77777777" w:rsidR="00B92948" w:rsidRPr="003A1036" w:rsidRDefault="00B92948" w:rsidP="00A54C2C">
            <w:pPr>
              <w:pStyle w:val="SingleTxtG"/>
              <w:tabs>
                <w:tab w:val="clear" w:pos="1701"/>
                <w:tab w:val="clear" w:pos="2268"/>
                <w:tab w:val="clear" w:pos="2835"/>
              </w:tabs>
              <w:spacing w:before="40" w:after="40" w:line="220" w:lineRule="exact"/>
              <w:ind w:left="113" w:right="28"/>
              <w:jc w:val="right"/>
              <w:rPr>
                <w:sz w:val="18"/>
              </w:rPr>
            </w:pPr>
            <w:r w:rsidRPr="003A1036">
              <w:rPr>
                <w:sz w:val="18"/>
              </w:rPr>
              <w:t>(1 059)</w:t>
            </w:r>
          </w:p>
        </w:tc>
        <w:tc>
          <w:tcPr>
            <w:tcW w:w="1457" w:type="dxa"/>
            <w:shd w:val="clear" w:color="auto" w:fill="auto"/>
            <w:vAlign w:val="bottom"/>
          </w:tcPr>
          <w:p w14:paraId="22FD50E3" w14:textId="77777777" w:rsidR="00B92948" w:rsidRPr="003A1036" w:rsidRDefault="00B92948" w:rsidP="00A54C2C">
            <w:pPr>
              <w:pStyle w:val="SingleTxtG"/>
              <w:tabs>
                <w:tab w:val="clear" w:pos="1701"/>
                <w:tab w:val="clear" w:pos="2268"/>
                <w:tab w:val="clear" w:pos="2835"/>
              </w:tabs>
              <w:spacing w:before="40" w:after="40" w:line="220" w:lineRule="exact"/>
              <w:ind w:left="113" w:right="28"/>
              <w:jc w:val="right"/>
              <w:rPr>
                <w:sz w:val="18"/>
              </w:rPr>
            </w:pPr>
            <w:r w:rsidRPr="003A1036">
              <w:rPr>
                <w:sz w:val="18"/>
              </w:rPr>
              <w:t>-</w:t>
            </w:r>
          </w:p>
        </w:tc>
        <w:tc>
          <w:tcPr>
            <w:tcW w:w="2001" w:type="dxa"/>
            <w:shd w:val="clear" w:color="auto" w:fill="auto"/>
            <w:vAlign w:val="bottom"/>
          </w:tcPr>
          <w:p w14:paraId="6B14DC9E" w14:textId="77777777" w:rsidR="00B92948" w:rsidRPr="003A1036" w:rsidRDefault="00B92948" w:rsidP="00A54C2C">
            <w:pPr>
              <w:pStyle w:val="SingleTxtG"/>
              <w:tabs>
                <w:tab w:val="clear" w:pos="1701"/>
                <w:tab w:val="clear" w:pos="2268"/>
                <w:tab w:val="clear" w:pos="2835"/>
              </w:tabs>
              <w:spacing w:before="40" w:after="40" w:line="220" w:lineRule="exact"/>
              <w:ind w:left="113" w:right="28"/>
              <w:jc w:val="right"/>
              <w:rPr>
                <w:sz w:val="18"/>
              </w:rPr>
            </w:pPr>
            <w:r w:rsidRPr="003A1036">
              <w:rPr>
                <w:sz w:val="18"/>
              </w:rPr>
              <w:t>(710)</w:t>
            </w:r>
          </w:p>
        </w:tc>
      </w:tr>
      <w:tr w:rsidR="00B92948" w:rsidRPr="003A1036" w14:paraId="2F243826" w14:textId="77777777" w:rsidTr="0095553A">
        <w:trPr>
          <w:trHeight w:val="240"/>
        </w:trPr>
        <w:tc>
          <w:tcPr>
            <w:tcW w:w="1266" w:type="dxa"/>
            <w:tcBorders>
              <w:bottom w:val="single" w:sz="4" w:space="0" w:color="auto"/>
            </w:tcBorders>
            <w:shd w:val="clear" w:color="auto" w:fill="auto"/>
          </w:tcPr>
          <w:p w14:paraId="067BA013" w14:textId="77777777" w:rsidR="00B92948" w:rsidRPr="003A1036" w:rsidRDefault="00B92948" w:rsidP="003A1036">
            <w:pPr>
              <w:pStyle w:val="SingleTxtG"/>
              <w:tabs>
                <w:tab w:val="clear" w:pos="1701"/>
                <w:tab w:val="clear" w:pos="2268"/>
                <w:tab w:val="clear" w:pos="2835"/>
              </w:tabs>
              <w:spacing w:before="40" w:after="40" w:line="220" w:lineRule="exact"/>
              <w:ind w:left="0" w:right="0"/>
              <w:jc w:val="left"/>
              <w:rPr>
                <w:sz w:val="18"/>
              </w:rPr>
            </w:pPr>
            <w:r w:rsidRPr="003A1036">
              <w:rPr>
                <w:sz w:val="18"/>
              </w:rPr>
              <w:t>18</w:t>
            </w:r>
            <w:r w:rsidR="00C7622E">
              <w:rPr>
                <w:sz w:val="18"/>
              </w:rPr>
              <w:t xml:space="preserve"> años</w:t>
            </w:r>
          </w:p>
        </w:tc>
        <w:tc>
          <w:tcPr>
            <w:tcW w:w="1524" w:type="dxa"/>
            <w:tcBorders>
              <w:bottom w:val="single" w:sz="4" w:space="0" w:color="auto"/>
            </w:tcBorders>
            <w:shd w:val="clear" w:color="auto" w:fill="auto"/>
            <w:vAlign w:val="bottom"/>
          </w:tcPr>
          <w:p w14:paraId="4FB8A303" w14:textId="77777777" w:rsidR="00B92948" w:rsidRPr="003A1036" w:rsidRDefault="00B92948" w:rsidP="00A54C2C">
            <w:pPr>
              <w:pStyle w:val="SingleTxtG"/>
              <w:tabs>
                <w:tab w:val="clear" w:pos="1701"/>
                <w:tab w:val="clear" w:pos="2268"/>
                <w:tab w:val="clear" w:pos="2835"/>
              </w:tabs>
              <w:spacing w:before="40" w:after="40" w:line="220" w:lineRule="exact"/>
              <w:ind w:left="113" w:right="28"/>
              <w:jc w:val="right"/>
              <w:rPr>
                <w:sz w:val="18"/>
              </w:rPr>
            </w:pPr>
            <w:r w:rsidRPr="003A1036">
              <w:rPr>
                <w:sz w:val="18"/>
              </w:rPr>
              <w:t>1 834</w:t>
            </w:r>
          </w:p>
        </w:tc>
        <w:tc>
          <w:tcPr>
            <w:tcW w:w="1457" w:type="dxa"/>
            <w:tcBorders>
              <w:bottom w:val="single" w:sz="4" w:space="0" w:color="auto"/>
            </w:tcBorders>
            <w:shd w:val="clear" w:color="auto" w:fill="auto"/>
            <w:vAlign w:val="bottom"/>
          </w:tcPr>
          <w:p w14:paraId="79528713" w14:textId="77777777" w:rsidR="00B92948" w:rsidRPr="003A1036" w:rsidRDefault="00B92948" w:rsidP="00A54C2C">
            <w:pPr>
              <w:pStyle w:val="SingleTxtG"/>
              <w:tabs>
                <w:tab w:val="clear" w:pos="1701"/>
                <w:tab w:val="clear" w:pos="2268"/>
                <w:tab w:val="clear" w:pos="2835"/>
              </w:tabs>
              <w:spacing w:before="40" w:after="40" w:line="220" w:lineRule="exact"/>
              <w:ind w:left="113" w:right="28"/>
              <w:jc w:val="right"/>
              <w:rPr>
                <w:sz w:val="18"/>
              </w:rPr>
            </w:pPr>
            <w:r w:rsidRPr="003A1036">
              <w:rPr>
                <w:sz w:val="18"/>
              </w:rPr>
              <w:t>(1 401)</w:t>
            </w:r>
          </w:p>
        </w:tc>
        <w:tc>
          <w:tcPr>
            <w:tcW w:w="2001" w:type="dxa"/>
            <w:tcBorders>
              <w:bottom w:val="single" w:sz="4" w:space="0" w:color="auto"/>
            </w:tcBorders>
            <w:shd w:val="clear" w:color="auto" w:fill="auto"/>
            <w:vAlign w:val="bottom"/>
          </w:tcPr>
          <w:p w14:paraId="6E14CDB3" w14:textId="77777777" w:rsidR="00B92948" w:rsidRPr="003A1036" w:rsidRDefault="00B92948" w:rsidP="00A54C2C">
            <w:pPr>
              <w:pStyle w:val="SingleTxtG"/>
              <w:tabs>
                <w:tab w:val="clear" w:pos="1701"/>
                <w:tab w:val="clear" w:pos="2268"/>
                <w:tab w:val="clear" w:pos="2835"/>
              </w:tabs>
              <w:spacing w:before="40" w:after="40" w:line="220" w:lineRule="exact"/>
              <w:ind w:left="113" w:right="28"/>
              <w:jc w:val="right"/>
              <w:rPr>
                <w:sz w:val="18"/>
              </w:rPr>
            </w:pPr>
            <w:r w:rsidRPr="003A1036">
              <w:rPr>
                <w:sz w:val="18"/>
              </w:rPr>
              <w:t>-</w:t>
            </w:r>
          </w:p>
        </w:tc>
      </w:tr>
      <w:tr w:rsidR="00B92948" w:rsidRPr="0095553A" w14:paraId="309EA812" w14:textId="77777777" w:rsidTr="0095553A">
        <w:trPr>
          <w:trHeight w:val="240"/>
        </w:trPr>
        <w:tc>
          <w:tcPr>
            <w:tcW w:w="1266" w:type="dxa"/>
            <w:tcBorders>
              <w:top w:val="single" w:sz="4" w:space="0" w:color="auto"/>
              <w:bottom w:val="single" w:sz="12" w:space="0" w:color="auto"/>
            </w:tcBorders>
            <w:shd w:val="clear" w:color="auto" w:fill="auto"/>
          </w:tcPr>
          <w:p w14:paraId="1B8AE7D8" w14:textId="77777777" w:rsidR="00B92948" w:rsidRPr="0095553A" w:rsidRDefault="00B92948" w:rsidP="0095553A">
            <w:pPr>
              <w:pStyle w:val="SingleTxtG"/>
              <w:tabs>
                <w:tab w:val="clear" w:pos="1701"/>
                <w:tab w:val="clear" w:pos="2268"/>
                <w:tab w:val="clear" w:pos="2835"/>
              </w:tabs>
              <w:spacing w:before="80" w:after="80" w:line="220" w:lineRule="exact"/>
              <w:ind w:left="283" w:right="0"/>
              <w:jc w:val="left"/>
              <w:rPr>
                <w:b/>
                <w:sz w:val="18"/>
              </w:rPr>
            </w:pPr>
            <w:r w:rsidRPr="0095553A">
              <w:rPr>
                <w:b/>
                <w:bCs/>
                <w:sz w:val="18"/>
              </w:rPr>
              <w:t>Total</w:t>
            </w:r>
          </w:p>
        </w:tc>
        <w:tc>
          <w:tcPr>
            <w:tcW w:w="1524" w:type="dxa"/>
            <w:tcBorders>
              <w:top w:val="single" w:sz="4" w:space="0" w:color="auto"/>
              <w:bottom w:val="single" w:sz="12" w:space="0" w:color="auto"/>
            </w:tcBorders>
            <w:shd w:val="clear" w:color="auto" w:fill="auto"/>
            <w:vAlign w:val="bottom"/>
          </w:tcPr>
          <w:p w14:paraId="3AECFB5F" w14:textId="77777777" w:rsidR="00B92948" w:rsidRPr="0095553A" w:rsidRDefault="00B92948" w:rsidP="00A54C2C">
            <w:pPr>
              <w:pStyle w:val="SingleTxtG"/>
              <w:tabs>
                <w:tab w:val="clear" w:pos="1701"/>
                <w:tab w:val="clear" w:pos="2268"/>
                <w:tab w:val="clear" w:pos="2835"/>
              </w:tabs>
              <w:spacing w:before="80" w:after="80" w:line="220" w:lineRule="exact"/>
              <w:ind w:left="0" w:right="28"/>
              <w:jc w:val="right"/>
              <w:rPr>
                <w:b/>
                <w:sz w:val="18"/>
              </w:rPr>
            </w:pPr>
            <w:r w:rsidRPr="0095553A">
              <w:rPr>
                <w:b/>
                <w:bCs/>
                <w:sz w:val="18"/>
              </w:rPr>
              <w:t>4 155</w:t>
            </w:r>
          </w:p>
        </w:tc>
        <w:tc>
          <w:tcPr>
            <w:tcW w:w="1457" w:type="dxa"/>
            <w:tcBorders>
              <w:top w:val="single" w:sz="4" w:space="0" w:color="auto"/>
              <w:bottom w:val="single" w:sz="12" w:space="0" w:color="auto"/>
            </w:tcBorders>
            <w:shd w:val="clear" w:color="auto" w:fill="auto"/>
            <w:vAlign w:val="bottom"/>
          </w:tcPr>
          <w:p w14:paraId="3074444E" w14:textId="77777777" w:rsidR="00B92948" w:rsidRPr="0095553A" w:rsidRDefault="00B92948" w:rsidP="00A54C2C">
            <w:pPr>
              <w:pStyle w:val="SingleTxtG"/>
              <w:tabs>
                <w:tab w:val="clear" w:pos="1701"/>
                <w:tab w:val="clear" w:pos="2268"/>
                <w:tab w:val="clear" w:pos="2835"/>
              </w:tabs>
              <w:spacing w:before="80" w:after="80" w:line="220" w:lineRule="exact"/>
              <w:ind w:left="0" w:right="28"/>
              <w:jc w:val="right"/>
              <w:rPr>
                <w:b/>
                <w:sz w:val="18"/>
              </w:rPr>
            </w:pPr>
            <w:r w:rsidRPr="0095553A">
              <w:rPr>
                <w:b/>
                <w:bCs/>
                <w:sz w:val="18"/>
              </w:rPr>
              <w:t>2 503</w:t>
            </w:r>
          </w:p>
        </w:tc>
        <w:tc>
          <w:tcPr>
            <w:tcW w:w="2001" w:type="dxa"/>
            <w:tcBorders>
              <w:top w:val="single" w:sz="4" w:space="0" w:color="auto"/>
              <w:bottom w:val="single" w:sz="12" w:space="0" w:color="auto"/>
            </w:tcBorders>
            <w:shd w:val="clear" w:color="auto" w:fill="auto"/>
            <w:vAlign w:val="bottom"/>
          </w:tcPr>
          <w:p w14:paraId="776D212D" w14:textId="77777777" w:rsidR="00B92948" w:rsidRPr="0095553A" w:rsidRDefault="00B92948" w:rsidP="00A54C2C">
            <w:pPr>
              <w:pStyle w:val="SingleTxtG"/>
              <w:tabs>
                <w:tab w:val="clear" w:pos="1701"/>
                <w:tab w:val="clear" w:pos="2268"/>
                <w:tab w:val="clear" w:pos="2835"/>
              </w:tabs>
              <w:spacing w:before="80" w:after="80" w:line="220" w:lineRule="exact"/>
              <w:ind w:left="0" w:right="28"/>
              <w:jc w:val="right"/>
              <w:rPr>
                <w:b/>
                <w:sz w:val="18"/>
              </w:rPr>
            </w:pPr>
            <w:r w:rsidRPr="0095553A">
              <w:rPr>
                <w:b/>
                <w:bCs/>
                <w:sz w:val="18"/>
              </w:rPr>
              <w:t>1 653</w:t>
            </w:r>
          </w:p>
        </w:tc>
      </w:tr>
    </w:tbl>
    <w:p w14:paraId="51A28398" w14:textId="77777777" w:rsidR="00B92948" w:rsidRPr="00A54C2C" w:rsidRDefault="00B92948" w:rsidP="00A54C2C">
      <w:pPr>
        <w:pStyle w:val="H23G"/>
      </w:pPr>
      <w:r w:rsidRPr="00B92948">
        <w:tab/>
      </w:r>
      <w:r w:rsidR="00A54C2C">
        <w:tab/>
      </w:r>
      <w:r w:rsidRPr="00B92948">
        <w:t>Jóvenes de 15 a 18 años</w:t>
      </w:r>
      <w:r w:rsidRPr="00B92948">
        <w:rPr>
          <w:lang w:val="en-GB"/>
        </w:rPr>
        <w:t xml:space="preserve"> </w:t>
      </w:r>
      <w:r w:rsidRPr="00B92948">
        <w:t>empleados, 2016</w:t>
      </w:r>
      <w:r w:rsidRPr="00A54C2C">
        <w:rPr>
          <w:rStyle w:val="Refdenotaalpie"/>
          <w:b w:val="0"/>
          <w:bCs/>
        </w:rPr>
        <w:footnoteReference w:id="48"/>
      </w:r>
      <w:bookmarkStart w:id="80" w:name="_Toc56781478"/>
      <w:bookmarkEnd w:id="80"/>
    </w:p>
    <w:tbl>
      <w:tblPr>
        <w:tblW w:w="7370" w:type="dxa"/>
        <w:tblInd w:w="1134" w:type="dxa"/>
        <w:tblBorders>
          <w:top w:val="single" w:sz="4" w:space="0" w:color="auto"/>
        </w:tblBorders>
        <w:tblCellMar>
          <w:left w:w="0" w:type="dxa"/>
          <w:right w:w="0" w:type="dxa"/>
        </w:tblCellMar>
        <w:tblLook w:val="00A0" w:firstRow="1" w:lastRow="0" w:firstColumn="1" w:lastColumn="0" w:noHBand="0" w:noVBand="0"/>
      </w:tblPr>
      <w:tblGrid>
        <w:gridCol w:w="1687"/>
        <w:gridCol w:w="2646"/>
        <w:gridCol w:w="1565"/>
        <w:gridCol w:w="1536"/>
      </w:tblGrid>
      <w:tr w:rsidR="00B92948" w:rsidRPr="003A1036" w14:paraId="774A03C2" w14:textId="77777777" w:rsidTr="003A1036">
        <w:trPr>
          <w:trHeight w:val="240"/>
          <w:tblHeader/>
        </w:trPr>
        <w:tc>
          <w:tcPr>
            <w:tcW w:w="1671" w:type="dxa"/>
            <w:tcBorders>
              <w:top w:val="single" w:sz="4" w:space="0" w:color="auto"/>
              <w:bottom w:val="single" w:sz="12" w:space="0" w:color="auto"/>
            </w:tcBorders>
            <w:shd w:val="clear" w:color="auto" w:fill="auto"/>
            <w:noWrap/>
            <w:tcMar>
              <w:top w:w="0" w:type="dxa"/>
              <w:left w:w="0" w:type="dxa"/>
              <w:bottom w:w="0" w:type="dxa"/>
              <w:right w:w="0" w:type="dxa"/>
            </w:tcMar>
            <w:vAlign w:val="bottom"/>
          </w:tcPr>
          <w:p w14:paraId="629F3BE1" w14:textId="77777777" w:rsidR="00B92948" w:rsidRPr="003A1036" w:rsidRDefault="00B92948" w:rsidP="003A1036">
            <w:pPr>
              <w:pStyle w:val="SingleTxtG"/>
              <w:tabs>
                <w:tab w:val="clear" w:pos="1701"/>
                <w:tab w:val="clear" w:pos="2268"/>
                <w:tab w:val="clear" w:pos="2835"/>
              </w:tabs>
              <w:spacing w:before="80" w:after="80" w:line="200" w:lineRule="exact"/>
              <w:ind w:left="0" w:right="0"/>
              <w:jc w:val="left"/>
              <w:rPr>
                <w:i/>
                <w:sz w:val="16"/>
              </w:rPr>
            </w:pPr>
            <w:r w:rsidRPr="003A1036">
              <w:rPr>
                <w:i/>
                <w:iCs/>
                <w:sz w:val="16"/>
              </w:rPr>
              <w:t>Edad</w:t>
            </w:r>
          </w:p>
        </w:tc>
        <w:tc>
          <w:tcPr>
            <w:tcW w:w="2630"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11C90287" w14:textId="77777777" w:rsidR="00B92948" w:rsidRPr="003A1036" w:rsidRDefault="00B92948" w:rsidP="00A54C2C">
            <w:pPr>
              <w:pStyle w:val="SingleTxtG"/>
              <w:tabs>
                <w:tab w:val="clear" w:pos="1701"/>
                <w:tab w:val="clear" w:pos="2268"/>
                <w:tab w:val="clear" w:pos="2835"/>
              </w:tabs>
              <w:spacing w:before="80" w:after="80" w:line="200" w:lineRule="exact"/>
              <w:ind w:left="113" w:right="28"/>
              <w:jc w:val="right"/>
              <w:rPr>
                <w:i/>
                <w:sz w:val="16"/>
              </w:rPr>
            </w:pPr>
            <w:r w:rsidRPr="003A1036">
              <w:rPr>
                <w:i/>
                <w:iCs/>
                <w:sz w:val="16"/>
              </w:rPr>
              <w:t>Número de empleados</w:t>
            </w:r>
          </w:p>
        </w:tc>
        <w:tc>
          <w:tcPr>
            <w:tcW w:w="1549" w:type="dxa"/>
            <w:tcBorders>
              <w:top w:val="single" w:sz="4" w:space="0" w:color="auto"/>
              <w:bottom w:val="single" w:sz="12" w:space="0" w:color="auto"/>
            </w:tcBorders>
            <w:shd w:val="clear" w:color="auto" w:fill="auto"/>
            <w:noWrap/>
            <w:tcMar>
              <w:top w:w="0" w:type="dxa"/>
              <w:left w:w="0" w:type="dxa"/>
              <w:bottom w:w="0" w:type="dxa"/>
              <w:right w:w="0" w:type="dxa"/>
            </w:tcMar>
            <w:vAlign w:val="bottom"/>
          </w:tcPr>
          <w:p w14:paraId="6772BC13" w14:textId="77777777" w:rsidR="00B92948" w:rsidRPr="003A1036" w:rsidRDefault="00B92948" w:rsidP="00A54C2C">
            <w:pPr>
              <w:pStyle w:val="SingleTxtG"/>
              <w:tabs>
                <w:tab w:val="clear" w:pos="1701"/>
                <w:tab w:val="clear" w:pos="2268"/>
                <w:tab w:val="clear" w:pos="2835"/>
              </w:tabs>
              <w:spacing w:before="80" w:after="80" w:line="200" w:lineRule="exact"/>
              <w:ind w:left="113" w:right="28"/>
              <w:jc w:val="right"/>
              <w:rPr>
                <w:i/>
                <w:sz w:val="16"/>
              </w:rPr>
            </w:pPr>
            <w:r w:rsidRPr="003A1036">
              <w:rPr>
                <w:i/>
                <w:iCs/>
                <w:sz w:val="16"/>
              </w:rPr>
              <w:t>Varones</w:t>
            </w:r>
          </w:p>
        </w:tc>
        <w:tc>
          <w:tcPr>
            <w:tcW w:w="1520" w:type="dxa"/>
            <w:tcBorders>
              <w:top w:val="single" w:sz="4" w:space="0" w:color="auto"/>
              <w:bottom w:val="single" w:sz="12" w:space="0" w:color="auto"/>
            </w:tcBorders>
            <w:shd w:val="clear" w:color="auto" w:fill="auto"/>
            <w:noWrap/>
            <w:tcMar>
              <w:top w:w="0" w:type="dxa"/>
              <w:left w:w="0" w:type="dxa"/>
              <w:bottom w:w="0" w:type="dxa"/>
              <w:right w:w="0" w:type="dxa"/>
            </w:tcMar>
            <w:vAlign w:val="bottom"/>
          </w:tcPr>
          <w:p w14:paraId="37A6063C" w14:textId="77777777" w:rsidR="00B92948" w:rsidRPr="003A1036" w:rsidRDefault="00B92948" w:rsidP="00A54C2C">
            <w:pPr>
              <w:pStyle w:val="SingleTxtG"/>
              <w:tabs>
                <w:tab w:val="clear" w:pos="1701"/>
                <w:tab w:val="clear" w:pos="2268"/>
                <w:tab w:val="clear" w:pos="2835"/>
              </w:tabs>
              <w:spacing w:before="80" w:after="80" w:line="200" w:lineRule="exact"/>
              <w:ind w:left="113" w:right="28"/>
              <w:jc w:val="right"/>
              <w:rPr>
                <w:i/>
                <w:sz w:val="16"/>
              </w:rPr>
            </w:pPr>
            <w:r w:rsidRPr="003A1036">
              <w:rPr>
                <w:i/>
                <w:iCs/>
                <w:sz w:val="16"/>
              </w:rPr>
              <w:t>Mujeres</w:t>
            </w:r>
          </w:p>
        </w:tc>
      </w:tr>
      <w:tr w:rsidR="00B92948" w:rsidRPr="003A1036" w14:paraId="40671257" w14:textId="77777777" w:rsidTr="003A1036">
        <w:trPr>
          <w:trHeight w:val="240"/>
        </w:trPr>
        <w:tc>
          <w:tcPr>
            <w:tcW w:w="1671" w:type="dxa"/>
            <w:tcBorders>
              <w:top w:val="single" w:sz="12" w:space="0" w:color="auto"/>
            </w:tcBorders>
            <w:shd w:val="clear" w:color="auto" w:fill="auto"/>
            <w:noWrap/>
            <w:tcMar>
              <w:top w:w="0" w:type="dxa"/>
              <w:left w:w="0" w:type="dxa"/>
              <w:bottom w:w="0" w:type="dxa"/>
              <w:right w:w="0" w:type="dxa"/>
            </w:tcMar>
          </w:tcPr>
          <w:p w14:paraId="6D7F331E" w14:textId="77777777" w:rsidR="00B92948" w:rsidRPr="003A1036" w:rsidRDefault="00B92948" w:rsidP="003A1036">
            <w:pPr>
              <w:pStyle w:val="SingleTxtG"/>
              <w:tabs>
                <w:tab w:val="clear" w:pos="1701"/>
                <w:tab w:val="clear" w:pos="2268"/>
                <w:tab w:val="clear" w:pos="2835"/>
              </w:tabs>
              <w:spacing w:before="40" w:after="40" w:line="220" w:lineRule="exact"/>
              <w:ind w:left="0" w:right="0"/>
              <w:jc w:val="left"/>
              <w:rPr>
                <w:sz w:val="18"/>
              </w:rPr>
            </w:pPr>
            <w:r w:rsidRPr="003A1036">
              <w:rPr>
                <w:sz w:val="18"/>
              </w:rPr>
              <w:t>15</w:t>
            </w:r>
            <w:r w:rsidR="00C7622E">
              <w:rPr>
                <w:sz w:val="18"/>
              </w:rPr>
              <w:t xml:space="preserve"> años</w:t>
            </w:r>
          </w:p>
        </w:tc>
        <w:tc>
          <w:tcPr>
            <w:tcW w:w="2630" w:type="dxa"/>
            <w:tcBorders>
              <w:top w:val="single" w:sz="12" w:space="0" w:color="auto"/>
            </w:tcBorders>
            <w:shd w:val="clear" w:color="auto" w:fill="auto"/>
            <w:noWrap/>
            <w:tcMar>
              <w:top w:w="0" w:type="dxa"/>
              <w:left w:w="0" w:type="dxa"/>
              <w:bottom w:w="0" w:type="dxa"/>
              <w:right w:w="0" w:type="dxa"/>
            </w:tcMar>
            <w:vAlign w:val="bottom"/>
          </w:tcPr>
          <w:p w14:paraId="43D8F9AA" w14:textId="77777777" w:rsidR="00B92948" w:rsidRPr="003A1036" w:rsidRDefault="00B92948" w:rsidP="00A54C2C">
            <w:pPr>
              <w:pStyle w:val="SingleTxtG"/>
              <w:tabs>
                <w:tab w:val="clear" w:pos="1701"/>
                <w:tab w:val="clear" w:pos="2268"/>
                <w:tab w:val="clear" w:pos="2835"/>
              </w:tabs>
              <w:spacing w:before="40" w:after="40" w:line="220" w:lineRule="exact"/>
              <w:ind w:left="113" w:right="28"/>
              <w:jc w:val="right"/>
              <w:rPr>
                <w:sz w:val="18"/>
              </w:rPr>
            </w:pPr>
            <w:r w:rsidRPr="003A1036">
              <w:rPr>
                <w:sz w:val="18"/>
              </w:rPr>
              <w:t>-</w:t>
            </w:r>
          </w:p>
        </w:tc>
        <w:tc>
          <w:tcPr>
            <w:tcW w:w="1549" w:type="dxa"/>
            <w:tcBorders>
              <w:top w:val="single" w:sz="12" w:space="0" w:color="auto"/>
            </w:tcBorders>
            <w:shd w:val="clear" w:color="auto" w:fill="auto"/>
            <w:noWrap/>
            <w:tcMar>
              <w:top w:w="0" w:type="dxa"/>
              <w:left w:w="0" w:type="dxa"/>
              <w:bottom w:w="0" w:type="dxa"/>
              <w:right w:w="0" w:type="dxa"/>
            </w:tcMar>
            <w:vAlign w:val="bottom"/>
          </w:tcPr>
          <w:p w14:paraId="75EEBAA8" w14:textId="77777777" w:rsidR="00B92948" w:rsidRPr="003A1036" w:rsidRDefault="00B92948" w:rsidP="00A54C2C">
            <w:pPr>
              <w:pStyle w:val="SingleTxtG"/>
              <w:tabs>
                <w:tab w:val="clear" w:pos="1701"/>
                <w:tab w:val="clear" w:pos="2268"/>
                <w:tab w:val="clear" w:pos="2835"/>
              </w:tabs>
              <w:spacing w:before="40" w:after="40" w:line="220" w:lineRule="exact"/>
              <w:ind w:left="113" w:right="28"/>
              <w:jc w:val="right"/>
              <w:rPr>
                <w:sz w:val="18"/>
              </w:rPr>
            </w:pPr>
            <w:r w:rsidRPr="003A1036">
              <w:rPr>
                <w:sz w:val="18"/>
              </w:rPr>
              <w:t>-</w:t>
            </w:r>
          </w:p>
        </w:tc>
        <w:tc>
          <w:tcPr>
            <w:tcW w:w="1520" w:type="dxa"/>
            <w:tcBorders>
              <w:top w:val="single" w:sz="12" w:space="0" w:color="auto"/>
            </w:tcBorders>
            <w:shd w:val="clear" w:color="auto" w:fill="auto"/>
            <w:noWrap/>
            <w:tcMar>
              <w:top w:w="0" w:type="dxa"/>
              <w:left w:w="0" w:type="dxa"/>
              <w:bottom w:w="0" w:type="dxa"/>
              <w:right w:w="0" w:type="dxa"/>
            </w:tcMar>
            <w:vAlign w:val="bottom"/>
          </w:tcPr>
          <w:p w14:paraId="627BBF4F" w14:textId="77777777" w:rsidR="00B92948" w:rsidRPr="003A1036" w:rsidRDefault="00B92948" w:rsidP="00A54C2C">
            <w:pPr>
              <w:pStyle w:val="SingleTxtG"/>
              <w:tabs>
                <w:tab w:val="clear" w:pos="1701"/>
                <w:tab w:val="clear" w:pos="2268"/>
                <w:tab w:val="clear" w:pos="2835"/>
              </w:tabs>
              <w:spacing w:before="40" w:after="40" w:line="220" w:lineRule="exact"/>
              <w:ind w:left="113" w:right="28"/>
              <w:jc w:val="right"/>
              <w:rPr>
                <w:sz w:val="18"/>
              </w:rPr>
            </w:pPr>
            <w:r w:rsidRPr="003A1036">
              <w:rPr>
                <w:sz w:val="18"/>
              </w:rPr>
              <w:t>-</w:t>
            </w:r>
          </w:p>
        </w:tc>
      </w:tr>
      <w:tr w:rsidR="00B92948" w:rsidRPr="003A1036" w14:paraId="7A8A3555" w14:textId="77777777" w:rsidTr="003A1036">
        <w:trPr>
          <w:trHeight w:val="240"/>
        </w:trPr>
        <w:tc>
          <w:tcPr>
            <w:tcW w:w="1671" w:type="dxa"/>
            <w:shd w:val="clear" w:color="auto" w:fill="auto"/>
            <w:noWrap/>
            <w:tcMar>
              <w:top w:w="0" w:type="dxa"/>
              <w:left w:w="0" w:type="dxa"/>
              <w:bottom w:w="0" w:type="dxa"/>
              <w:right w:w="0" w:type="dxa"/>
            </w:tcMar>
          </w:tcPr>
          <w:p w14:paraId="4D3768E0" w14:textId="77777777" w:rsidR="00B92948" w:rsidRPr="003A1036" w:rsidRDefault="00B92948" w:rsidP="003A1036">
            <w:pPr>
              <w:pStyle w:val="SingleTxtG"/>
              <w:tabs>
                <w:tab w:val="clear" w:pos="1701"/>
                <w:tab w:val="clear" w:pos="2268"/>
                <w:tab w:val="clear" w:pos="2835"/>
              </w:tabs>
              <w:spacing w:before="40" w:after="40" w:line="220" w:lineRule="exact"/>
              <w:ind w:left="0" w:right="0"/>
              <w:jc w:val="left"/>
              <w:rPr>
                <w:sz w:val="18"/>
              </w:rPr>
            </w:pPr>
            <w:r w:rsidRPr="003A1036">
              <w:rPr>
                <w:sz w:val="18"/>
              </w:rPr>
              <w:t>16</w:t>
            </w:r>
            <w:r w:rsidR="00C7622E">
              <w:rPr>
                <w:sz w:val="18"/>
              </w:rPr>
              <w:t xml:space="preserve"> años</w:t>
            </w:r>
          </w:p>
        </w:tc>
        <w:tc>
          <w:tcPr>
            <w:tcW w:w="2630" w:type="dxa"/>
            <w:shd w:val="clear" w:color="auto" w:fill="auto"/>
            <w:noWrap/>
            <w:tcMar>
              <w:top w:w="0" w:type="dxa"/>
              <w:left w:w="0" w:type="dxa"/>
              <w:bottom w:w="0" w:type="dxa"/>
              <w:right w:w="0" w:type="dxa"/>
            </w:tcMar>
            <w:vAlign w:val="bottom"/>
          </w:tcPr>
          <w:p w14:paraId="61BF27F9" w14:textId="77777777" w:rsidR="00B92948" w:rsidRPr="003A1036" w:rsidRDefault="00B92948" w:rsidP="00A54C2C">
            <w:pPr>
              <w:pStyle w:val="SingleTxtG"/>
              <w:tabs>
                <w:tab w:val="clear" w:pos="1701"/>
                <w:tab w:val="clear" w:pos="2268"/>
                <w:tab w:val="clear" w:pos="2835"/>
              </w:tabs>
              <w:spacing w:before="40" w:after="40" w:line="220" w:lineRule="exact"/>
              <w:ind w:left="113" w:right="28"/>
              <w:jc w:val="right"/>
              <w:rPr>
                <w:sz w:val="18"/>
              </w:rPr>
            </w:pPr>
            <w:r w:rsidRPr="003A1036">
              <w:rPr>
                <w:sz w:val="18"/>
              </w:rPr>
              <w:t>-</w:t>
            </w:r>
          </w:p>
        </w:tc>
        <w:tc>
          <w:tcPr>
            <w:tcW w:w="1549" w:type="dxa"/>
            <w:shd w:val="clear" w:color="auto" w:fill="auto"/>
            <w:noWrap/>
            <w:tcMar>
              <w:top w:w="0" w:type="dxa"/>
              <w:left w:w="0" w:type="dxa"/>
              <w:bottom w:w="0" w:type="dxa"/>
              <w:right w:w="0" w:type="dxa"/>
            </w:tcMar>
            <w:vAlign w:val="bottom"/>
          </w:tcPr>
          <w:p w14:paraId="7D6D6A0C" w14:textId="77777777" w:rsidR="00B92948" w:rsidRPr="003A1036" w:rsidRDefault="00B92948" w:rsidP="00A54C2C">
            <w:pPr>
              <w:pStyle w:val="SingleTxtG"/>
              <w:tabs>
                <w:tab w:val="clear" w:pos="1701"/>
                <w:tab w:val="clear" w:pos="2268"/>
                <w:tab w:val="clear" w:pos="2835"/>
              </w:tabs>
              <w:spacing w:before="40" w:after="40" w:line="220" w:lineRule="exact"/>
              <w:ind w:left="113" w:right="28"/>
              <w:jc w:val="right"/>
              <w:rPr>
                <w:sz w:val="18"/>
              </w:rPr>
            </w:pPr>
            <w:r w:rsidRPr="003A1036">
              <w:rPr>
                <w:sz w:val="18"/>
              </w:rPr>
              <w:t>-</w:t>
            </w:r>
          </w:p>
        </w:tc>
        <w:tc>
          <w:tcPr>
            <w:tcW w:w="1520" w:type="dxa"/>
            <w:shd w:val="clear" w:color="auto" w:fill="auto"/>
            <w:noWrap/>
            <w:tcMar>
              <w:top w:w="0" w:type="dxa"/>
              <w:left w:w="0" w:type="dxa"/>
              <w:bottom w:w="0" w:type="dxa"/>
              <w:right w:w="0" w:type="dxa"/>
            </w:tcMar>
            <w:vAlign w:val="bottom"/>
          </w:tcPr>
          <w:p w14:paraId="698A5275" w14:textId="77777777" w:rsidR="00B92948" w:rsidRPr="003A1036" w:rsidRDefault="00B92948" w:rsidP="00A54C2C">
            <w:pPr>
              <w:pStyle w:val="SingleTxtG"/>
              <w:tabs>
                <w:tab w:val="clear" w:pos="1701"/>
                <w:tab w:val="clear" w:pos="2268"/>
                <w:tab w:val="clear" w:pos="2835"/>
              </w:tabs>
              <w:spacing w:before="40" w:after="40" w:line="220" w:lineRule="exact"/>
              <w:ind w:left="113" w:right="28"/>
              <w:jc w:val="right"/>
              <w:rPr>
                <w:sz w:val="18"/>
              </w:rPr>
            </w:pPr>
            <w:r w:rsidRPr="003A1036">
              <w:rPr>
                <w:sz w:val="18"/>
              </w:rPr>
              <w:t>-</w:t>
            </w:r>
          </w:p>
        </w:tc>
      </w:tr>
      <w:tr w:rsidR="00B92948" w:rsidRPr="003A1036" w14:paraId="3A2F9FA7" w14:textId="77777777" w:rsidTr="003A1036">
        <w:trPr>
          <w:trHeight w:val="240"/>
        </w:trPr>
        <w:tc>
          <w:tcPr>
            <w:tcW w:w="1671" w:type="dxa"/>
            <w:shd w:val="clear" w:color="auto" w:fill="auto"/>
            <w:noWrap/>
            <w:tcMar>
              <w:top w:w="0" w:type="dxa"/>
              <w:left w:w="0" w:type="dxa"/>
              <w:bottom w:w="0" w:type="dxa"/>
              <w:right w:w="0" w:type="dxa"/>
            </w:tcMar>
          </w:tcPr>
          <w:p w14:paraId="232CEE20" w14:textId="77777777" w:rsidR="00B92948" w:rsidRPr="003A1036" w:rsidRDefault="00B92948" w:rsidP="003A1036">
            <w:pPr>
              <w:pStyle w:val="SingleTxtG"/>
              <w:tabs>
                <w:tab w:val="clear" w:pos="1701"/>
                <w:tab w:val="clear" w:pos="2268"/>
                <w:tab w:val="clear" w:pos="2835"/>
              </w:tabs>
              <w:spacing w:before="40" w:after="40" w:line="220" w:lineRule="exact"/>
              <w:ind w:left="0" w:right="0"/>
              <w:jc w:val="left"/>
              <w:rPr>
                <w:sz w:val="18"/>
              </w:rPr>
            </w:pPr>
            <w:r w:rsidRPr="003A1036">
              <w:rPr>
                <w:sz w:val="18"/>
              </w:rPr>
              <w:t>17</w:t>
            </w:r>
            <w:r w:rsidR="00C7622E">
              <w:rPr>
                <w:sz w:val="18"/>
              </w:rPr>
              <w:t xml:space="preserve"> años</w:t>
            </w:r>
          </w:p>
        </w:tc>
        <w:tc>
          <w:tcPr>
            <w:tcW w:w="2630" w:type="dxa"/>
            <w:shd w:val="clear" w:color="auto" w:fill="auto"/>
            <w:noWrap/>
            <w:tcMar>
              <w:top w:w="0" w:type="dxa"/>
              <w:left w:w="0" w:type="dxa"/>
              <w:bottom w:w="0" w:type="dxa"/>
              <w:right w:w="0" w:type="dxa"/>
            </w:tcMar>
            <w:vAlign w:val="bottom"/>
          </w:tcPr>
          <w:p w14:paraId="0DB7F900" w14:textId="77777777" w:rsidR="00B92948" w:rsidRPr="003A1036" w:rsidRDefault="00B92948" w:rsidP="00A54C2C">
            <w:pPr>
              <w:pStyle w:val="SingleTxtG"/>
              <w:tabs>
                <w:tab w:val="clear" w:pos="1701"/>
                <w:tab w:val="clear" w:pos="2268"/>
                <w:tab w:val="clear" w:pos="2835"/>
              </w:tabs>
              <w:spacing w:before="40" w:after="40" w:line="220" w:lineRule="exact"/>
              <w:ind w:left="113" w:right="28"/>
              <w:jc w:val="right"/>
              <w:rPr>
                <w:sz w:val="18"/>
              </w:rPr>
            </w:pPr>
            <w:r w:rsidRPr="003A1036">
              <w:rPr>
                <w:sz w:val="18"/>
              </w:rPr>
              <w:t>(783)</w:t>
            </w:r>
          </w:p>
        </w:tc>
        <w:tc>
          <w:tcPr>
            <w:tcW w:w="1549" w:type="dxa"/>
            <w:shd w:val="clear" w:color="auto" w:fill="auto"/>
            <w:noWrap/>
            <w:tcMar>
              <w:top w:w="0" w:type="dxa"/>
              <w:left w:w="0" w:type="dxa"/>
              <w:bottom w:w="0" w:type="dxa"/>
              <w:right w:w="0" w:type="dxa"/>
            </w:tcMar>
            <w:vAlign w:val="bottom"/>
          </w:tcPr>
          <w:p w14:paraId="65D83164" w14:textId="77777777" w:rsidR="00B92948" w:rsidRPr="003A1036" w:rsidRDefault="00B92948" w:rsidP="00A54C2C">
            <w:pPr>
              <w:pStyle w:val="SingleTxtG"/>
              <w:tabs>
                <w:tab w:val="clear" w:pos="1701"/>
                <w:tab w:val="clear" w:pos="2268"/>
                <w:tab w:val="clear" w:pos="2835"/>
              </w:tabs>
              <w:spacing w:before="40" w:after="40" w:line="220" w:lineRule="exact"/>
              <w:ind w:left="113" w:right="28"/>
              <w:jc w:val="right"/>
              <w:rPr>
                <w:sz w:val="18"/>
              </w:rPr>
            </w:pPr>
            <w:r w:rsidRPr="003A1036">
              <w:rPr>
                <w:sz w:val="18"/>
              </w:rPr>
              <w:t>(580)</w:t>
            </w:r>
          </w:p>
        </w:tc>
        <w:tc>
          <w:tcPr>
            <w:tcW w:w="1520" w:type="dxa"/>
            <w:shd w:val="clear" w:color="auto" w:fill="auto"/>
            <w:noWrap/>
            <w:tcMar>
              <w:top w:w="0" w:type="dxa"/>
              <w:left w:w="0" w:type="dxa"/>
              <w:bottom w:w="0" w:type="dxa"/>
              <w:right w:w="0" w:type="dxa"/>
            </w:tcMar>
            <w:vAlign w:val="bottom"/>
          </w:tcPr>
          <w:p w14:paraId="31EBB29B" w14:textId="77777777" w:rsidR="00B92948" w:rsidRPr="003A1036" w:rsidRDefault="00B92948" w:rsidP="00A54C2C">
            <w:pPr>
              <w:pStyle w:val="SingleTxtG"/>
              <w:tabs>
                <w:tab w:val="clear" w:pos="1701"/>
                <w:tab w:val="clear" w:pos="2268"/>
                <w:tab w:val="clear" w:pos="2835"/>
              </w:tabs>
              <w:spacing w:before="40" w:after="40" w:line="220" w:lineRule="exact"/>
              <w:ind w:left="113" w:right="28"/>
              <w:jc w:val="right"/>
              <w:rPr>
                <w:sz w:val="18"/>
              </w:rPr>
            </w:pPr>
            <w:r w:rsidRPr="003A1036">
              <w:rPr>
                <w:sz w:val="18"/>
              </w:rPr>
              <w:t>-</w:t>
            </w:r>
          </w:p>
        </w:tc>
      </w:tr>
      <w:tr w:rsidR="00B92948" w:rsidRPr="003A1036" w14:paraId="14728744" w14:textId="77777777" w:rsidTr="00A54C2C">
        <w:trPr>
          <w:trHeight w:val="240"/>
        </w:trPr>
        <w:tc>
          <w:tcPr>
            <w:tcW w:w="1671" w:type="dxa"/>
            <w:tcBorders>
              <w:bottom w:val="single" w:sz="4" w:space="0" w:color="auto"/>
            </w:tcBorders>
            <w:shd w:val="clear" w:color="auto" w:fill="auto"/>
            <w:noWrap/>
            <w:tcMar>
              <w:top w:w="0" w:type="dxa"/>
              <w:left w:w="0" w:type="dxa"/>
              <w:bottom w:w="0" w:type="dxa"/>
              <w:right w:w="0" w:type="dxa"/>
            </w:tcMar>
          </w:tcPr>
          <w:p w14:paraId="500C9E1D" w14:textId="77777777" w:rsidR="00B92948" w:rsidRPr="003A1036" w:rsidRDefault="00B92948" w:rsidP="003A1036">
            <w:pPr>
              <w:pStyle w:val="SingleTxtG"/>
              <w:tabs>
                <w:tab w:val="clear" w:pos="1701"/>
                <w:tab w:val="clear" w:pos="2268"/>
                <w:tab w:val="clear" w:pos="2835"/>
              </w:tabs>
              <w:spacing w:before="40" w:after="40" w:line="220" w:lineRule="exact"/>
              <w:ind w:left="0" w:right="0"/>
              <w:jc w:val="left"/>
              <w:rPr>
                <w:sz w:val="18"/>
              </w:rPr>
            </w:pPr>
            <w:r w:rsidRPr="003A1036">
              <w:rPr>
                <w:sz w:val="18"/>
              </w:rPr>
              <w:t>18</w:t>
            </w:r>
            <w:r w:rsidR="00C7622E">
              <w:rPr>
                <w:sz w:val="18"/>
              </w:rPr>
              <w:t xml:space="preserve"> años</w:t>
            </w:r>
          </w:p>
        </w:tc>
        <w:tc>
          <w:tcPr>
            <w:tcW w:w="2630" w:type="dxa"/>
            <w:tcBorders>
              <w:bottom w:val="single" w:sz="4" w:space="0" w:color="auto"/>
            </w:tcBorders>
            <w:shd w:val="clear" w:color="auto" w:fill="auto"/>
            <w:noWrap/>
            <w:tcMar>
              <w:top w:w="0" w:type="dxa"/>
              <w:left w:w="0" w:type="dxa"/>
              <w:bottom w:w="0" w:type="dxa"/>
              <w:right w:w="0" w:type="dxa"/>
            </w:tcMar>
            <w:vAlign w:val="bottom"/>
          </w:tcPr>
          <w:p w14:paraId="0F1A8D37" w14:textId="77777777" w:rsidR="00B92948" w:rsidRPr="003A1036" w:rsidRDefault="00B92948" w:rsidP="00A54C2C">
            <w:pPr>
              <w:pStyle w:val="SingleTxtG"/>
              <w:tabs>
                <w:tab w:val="clear" w:pos="1701"/>
                <w:tab w:val="clear" w:pos="2268"/>
                <w:tab w:val="clear" w:pos="2835"/>
              </w:tabs>
              <w:spacing w:before="40" w:after="40" w:line="220" w:lineRule="exact"/>
              <w:ind w:left="113" w:right="28"/>
              <w:jc w:val="right"/>
              <w:rPr>
                <w:sz w:val="18"/>
              </w:rPr>
            </w:pPr>
            <w:r w:rsidRPr="003A1036">
              <w:rPr>
                <w:sz w:val="18"/>
              </w:rPr>
              <w:t>(1 277)</w:t>
            </w:r>
          </w:p>
        </w:tc>
        <w:tc>
          <w:tcPr>
            <w:tcW w:w="1549" w:type="dxa"/>
            <w:tcBorders>
              <w:bottom w:val="single" w:sz="4" w:space="0" w:color="auto"/>
            </w:tcBorders>
            <w:shd w:val="clear" w:color="auto" w:fill="auto"/>
            <w:noWrap/>
            <w:tcMar>
              <w:top w:w="0" w:type="dxa"/>
              <w:left w:w="0" w:type="dxa"/>
              <w:bottom w:w="0" w:type="dxa"/>
              <w:right w:w="0" w:type="dxa"/>
            </w:tcMar>
            <w:vAlign w:val="bottom"/>
          </w:tcPr>
          <w:p w14:paraId="08A81FD2" w14:textId="77777777" w:rsidR="00B92948" w:rsidRPr="003A1036" w:rsidRDefault="00B92948" w:rsidP="00A54C2C">
            <w:pPr>
              <w:pStyle w:val="SingleTxtG"/>
              <w:tabs>
                <w:tab w:val="clear" w:pos="1701"/>
                <w:tab w:val="clear" w:pos="2268"/>
                <w:tab w:val="clear" w:pos="2835"/>
              </w:tabs>
              <w:spacing w:before="40" w:after="40" w:line="220" w:lineRule="exact"/>
              <w:ind w:left="113" w:right="28"/>
              <w:jc w:val="right"/>
              <w:rPr>
                <w:sz w:val="18"/>
              </w:rPr>
            </w:pPr>
            <w:r w:rsidRPr="003A1036">
              <w:rPr>
                <w:sz w:val="18"/>
              </w:rPr>
              <w:t>(877)</w:t>
            </w:r>
          </w:p>
        </w:tc>
        <w:tc>
          <w:tcPr>
            <w:tcW w:w="1520" w:type="dxa"/>
            <w:tcBorders>
              <w:bottom w:val="single" w:sz="4" w:space="0" w:color="auto"/>
            </w:tcBorders>
            <w:shd w:val="clear" w:color="auto" w:fill="auto"/>
            <w:noWrap/>
            <w:tcMar>
              <w:top w:w="0" w:type="dxa"/>
              <w:left w:w="0" w:type="dxa"/>
              <w:bottom w:w="0" w:type="dxa"/>
              <w:right w:w="0" w:type="dxa"/>
            </w:tcMar>
            <w:vAlign w:val="bottom"/>
          </w:tcPr>
          <w:p w14:paraId="34D96E8B" w14:textId="77777777" w:rsidR="00B92948" w:rsidRPr="003A1036" w:rsidRDefault="00B92948" w:rsidP="00A54C2C">
            <w:pPr>
              <w:pStyle w:val="SingleTxtG"/>
              <w:tabs>
                <w:tab w:val="clear" w:pos="1701"/>
                <w:tab w:val="clear" w:pos="2268"/>
                <w:tab w:val="clear" w:pos="2835"/>
              </w:tabs>
              <w:spacing w:before="40" w:after="40" w:line="220" w:lineRule="exact"/>
              <w:ind w:left="113" w:right="28"/>
              <w:jc w:val="right"/>
              <w:rPr>
                <w:sz w:val="18"/>
              </w:rPr>
            </w:pPr>
            <w:r w:rsidRPr="003A1036">
              <w:rPr>
                <w:sz w:val="18"/>
              </w:rPr>
              <w:t>-</w:t>
            </w:r>
          </w:p>
        </w:tc>
      </w:tr>
      <w:tr w:rsidR="00B92948" w:rsidRPr="00A54C2C" w14:paraId="49A3D8EC" w14:textId="77777777" w:rsidTr="00A54C2C">
        <w:trPr>
          <w:trHeight w:val="240"/>
        </w:trPr>
        <w:tc>
          <w:tcPr>
            <w:tcW w:w="1671" w:type="dxa"/>
            <w:tcBorders>
              <w:top w:val="single" w:sz="4" w:space="0" w:color="auto"/>
              <w:bottom w:val="single" w:sz="12" w:space="0" w:color="auto"/>
            </w:tcBorders>
            <w:shd w:val="clear" w:color="auto" w:fill="auto"/>
            <w:noWrap/>
            <w:tcMar>
              <w:top w:w="0" w:type="dxa"/>
              <w:left w:w="0" w:type="dxa"/>
              <w:bottom w:w="0" w:type="dxa"/>
              <w:right w:w="0" w:type="dxa"/>
            </w:tcMar>
          </w:tcPr>
          <w:p w14:paraId="08BBFB19" w14:textId="77777777" w:rsidR="00B92948" w:rsidRPr="00A54C2C" w:rsidRDefault="00B92948" w:rsidP="00A54C2C">
            <w:pPr>
              <w:pStyle w:val="SingleTxtG"/>
              <w:tabs>
                <w:tab w:val="clear" w:pos="1701"/>
                <w:tab w:val="clear" w:pos="2268"/>
                <w:tab w:val="clear" w:pos="2835"/>
              </w:tabs>
              <w:spacing w:before="80" w:after="80" w:line="220" w:lineRule="exact"/>
              <w:ind w:left="283" w:right="0"/>
              <w:jc w:val="left"/>
              <w:rPr>
                <w:b/>
                <w:sz w:val="18"/>
              </w:rPr>
            </w:pPr>
            <w:r w:rsidRPr="00A54C2C">
              <w:rPr>
                <w:b/>
                <w:bCs/>
                <w:sz w:val="18"/>
              </w:rPr>
              <w:t>Total</w:t>
            </w:r>
          </w:p>
        </w:tc>
        <w:tc>
          <w:tcPr>
            <w:tcW w:w="2630" w:type="dxa"/>
            <w:tcBorders>
              <w:top w:val="single" w:sz="4" w:space="0" w:color="auto"/>
              <w:bottom w:val="single" w:sz="12" w:space="0" w:color="auto"/>
            </w:tcBorders>
            <w:shd w:val="clear" w:color="auto" w:fill="auto"/>
            <w:noWrap/>
            <w:tcMar>
              <w:top w:w="0" w:type="dxa"/>
              <w:left w:w="0" w:type="dxa"/>
              <w:bottom w:w="0" w:type="dxa"/>
              <w:right w:w="0" w:type="dxa"/>
            </w:tcMar>
            <w:vAlign w:val="bottom"/>
          </w:tcPr>
          <w:p w14:paraId="2E9C94D2" w14:textId="77777777" w:rsidR="00B92948" w:rsidRPr="00A54C2C" w:rsidRDefault="00B92948" w:rsidP="00DE02B2">
            <w:pPr>
              <w:pStyle w:val="SingleTxtG"/>
              <w:tabs>
                <w:tab w:val="clear" w:pos="1701"/>
                <w:tab w:val="clear" w:pos="2268"/>
                <w:tab w:val="clear" w:pos="2835"/>
              </w:tabs>
              <w:spacing w:before="80" w:after="80" w:line="220" w:lineRule="exact"/>
              <w:ind w:left="0" w:right="28"/>
              <w:jc w:val="right"/>
              <w:rPr>
                <w:b/>
                <w:sz w:val="18"/>
              </w:rPr>
            </w:pPr>
            <w:r w:rsidRPr="00A54C2C">
              <w:rPr>
                <w:b/>
                <w:bCs/>
                <w:sz w:val="18"/>
              </w:rPr>
              <w:t>2 518</w:t>
            </w:r>
          </w:p>
        </w:tc>
        <w:tc>
          <w:tcPr>
            <w:tcW w:w="1549" w:type="dxa"/>
            <w:tcBorders>
              <w:top w:val="single" w:sz="4" w:space="0" w:color="auto"/>
              <w:bottom w:val="single" w:sz="12" w:space="0" w:color="auto"/>
            </w:tcBorders>
            <w:shd w:val="clear" w:color="auto" w:fill="auto"/>
            <w:noWrap/>
            <w:tcMar>
              <w:top w:w="0" w:type="dxa"/>
              <w:left w:w="0" w:type="dxa"/>
              <w:bottom w:w="0" w:type="dxa"/>
              <w:right w:w="0" w:type="dxa"/>
            </w:tcMar>
            <w:vAlign w:val="bottom"/>
          </w:tcPr>
          <w:p w14:paraId="4806129B" w14:textId="77777777" w:rsidR="00B92948" w:rsidRPr="00A54C2C" w:rsidRDefault="00B92948" w:rsidP="00DE02B2">
            <w:pPr>
              <w:pStyle w:val="SingleTxtG"/>
              <w:tabs>
                <w:tab w:val="clear" w:pos="1701"/>
                <w:tab w:val="clear" w:pos="2268"/>
                <w:tab w:val="clear" w:pos="2835"/>
              </w:tabs>
              <w:spacing w:before="80" w:after="80" w:line="220" w:lineRule="exact"/>
              <w:ind w:left="0" w:right="28"/>
              <w:jc w:val="right"/>
              <w:rPr>
                <w:b/>
                <w:sz w:val="18"/>
              </w:rPr>
            </w:pPr>
            <w:r w:rsidRPr="00A54C2C">
              <w:rPr>
                <w:b/>
                <w:bCs/>
                <w:sz w:val="18"/>
              </w:rPr>
              <w:t>1 600</w:t>
            </w:r>
          </w:p>
        </w:tc>
        <w:tc>
          <w:tcPr>
            <w:tcW w:w="1520" w:type="dxa"/>
            <w:tcBorders>
              <w:top w:val="single" w:sz="4" w:space="0" w:color="auto"/>
              <w:bottom w:val="single" w:sz="12" w:space="0" w:color="auto"/>
            </w:tcBorders>
            <w:shd w:val="clear" w:color="auto" w:fill="auto"/>
            <w:noWrap/>
            <w:tcMar>
              <w:top w:w="0" w:type="dxa"/>
              <w:left w:w="0" w:type="dxa"/>
              <w:bottom w:w="0" w:type="dxa"/>
              <w:right w:w="0" w:type="dxa"/>
            </w:tcMar>
            <w:vAlign w:val="bottom"/>
          </w:tcPr>
          <w:p w14:paraId="2C04A7BD" w14:textId="77777777" w:rsidR="00B92948" w:rsidRPr="00A54C2C" w:rsidRDefault="00B92948" w:rsidP="00DE02B2">
            <w:pPr>
              <w:pStyle w:val="SingleTxtG"/>
              <w:tabs>
                <w:tab w:val="clear" w:pos="1701"/>
                <w:tab w:val="clear" w:pos="2268"/>
                <w:tab w:val="clear" w:pos="2835"/>
              </w:tabs>
              <w:spacing w:before="80" w:after="80" w:line="220" w:lineRule="exact"/>
              <w:ind w:left="0" w:right="28"/>
              <w:jc w:val="right"/>
              <w:rPr>
                <w:b/>
                <w:sz w:val="18"/>
              </w:rPr>
            </w:pPr>
            <w:r w:rsidRPr="00A54C2C">
              <w:rPr>
                <w:b/>
                <w:bCs/>
                <w:sz w:val="18"/>
              </w:rPr>
              <w:t>(918)</w:t>
            </w:r>
          </w:p>
        </w:tc>
      </w:tr>
    </w:tbl>
    <w:p w14:paraId="2DC5B8B7" w14:textId="77777777" w:rsidR="00B92948" w:rsidRPr="00A54C2C" w:rsidRDefault="00A54C2C" w:rsidP="00A54C2C">
      <w:pPr>
        <w:pStyle w:val="H23G"/>
      </w:pPr>
      <w:r>
        <w:tab/>
      </w:r>
      <w:r w:rsidR="00B92948" w:rsidRPr="00B92948">
        <w:tab/>
        <w:t>Jóvenes de 15 a 18 años</w:t>
      </w:r>
      <w:r w:rsidR="00B92948" w:rsidRPr="00B92948">
        <w:rPr>
          <w:lang w:val="en-GB"/>
        </w:rPr>
        <w:t xml:space="preserve"> </w:t>
      </w:r>
      <w:r w:rsidR="00B92948" w:rsidRPr="00B92948">
        <w:t>empleados, 2017</w:t>
      </w:r>
      <w:r w:rsidR="00B92948" w:rsidRPr="00A54C2C">
        <w:rPr>
          <w:rStyle w:val="Refdenotaalpie"/>
          <w:b w:val="0"/>
          <w:bCs/>
        </w:rPr>
        <w:footnoteReference w:id="49"/>
      </w:r>
      <w:bookmarkStart w:id="81" w:name="_Toc56781479"/>
      <w:bookmarkEnd w:id="81"/>
    </w:p>
    <w:tbl>
      <w:tblPr>
        <w:tblW w:w="7370" w:type="dxa"/>
        <w:tblInd w:w="1134" w:type="dxa"/>
        <w:tblBorders>
          <w:top w:val="single" w:sz="4" w:space="0" w:color="auto"/>
        </w:tblBorders>
        <w:tblCellMar>
          <w:left w:w="0" w:type="dxa"/>
          <w:right w:w="0" w:type="dxa"/>
        </w:tblCellMar>
        <w:tblLook w:val="00A0" w:firstRow="1" w:lastRow="0" w:firstColumn="1" w:lastColumn="0" w:noHBand="0" w:noVBand="0"/>
      </w:tblPr>
      <w:tblGrid>
        <w:gridCol w:w="1687"/>
        <w:gridCol w:w="2646"/>
        <w:gridCol w:w="1565"/>
        <w:gridCol w:w="1536"/>
      </w:tblGrid>
      <w:tr w:rsidR="00B92948" w:rsidRPr="003A1036" w14:paraId="13F556AF" w14:textId="77777777" w:rsidTr="003A1036">
        <w:trPr>
          <w:trHeight w:val="240"/>
          <w:tblHeader/>
        </w:trPr>
        <w:tc>
          <w:tcPr>
            <w:tcW w:w="1671" w:type="dxa"/>
            <w:tcBorders>
              <w:top w:val="single" w:sz="4" w:space="0" w:color="auto"/>
              <w:bottom w:val="single" w:sz="12" w:space="0" w:color="auto"/>
            </w:tcBorders>
            <w:shd w:val="clear" w:color="auto" w:fill="auto"/>
            <w:noWrap/>
            <w:tcMar>
              <w:top w:w="0" w:type="dxa"/>
              <w:left w:w="0" w:type="dxa"/>
              <w:bottom w:w="0" w:type="dxa"/>
              <w:right w:w="0" w:type="dxa"/>
            </w:tcMar>
            <w:vAlign w:val="bottom"/>
          </w:tcPr>
          <w:p w14:paraId="154C1C4D" w14:textId="77777777" w:rsidR="00B92948" w:rsidRPr="003A1036" w:rsidRDefault="00B92948" w:rsidP="003A1036">
            <w:pPr>
              <w:pStyle w:val="SingleTxtG"/>
              <w:tabs>
                <w:tab w:val="clear" w:pos="1701"/>
                <w:tab w:val="clear" w:pos="2268"/>
                <w:tab w:val="clear" w:pos="2835"/>
              </w:tabs>
              <w:spacing w:before="80" w:after="80" w:line="200" w:lineRule="exact"/>
              <w:ind w:left="0" w:right="0"/>
              <w:jc w:val="left"/>
              <w:rPr>
                <w:i/>
                <w:sz w:val="16"/>
              </w:rPr>
            </w:pPr>
            <w:r w:rsidRPr="003A1036">
              <w:rPr>
                <w:i/>
                <w:iCs/>
                <w:sz w:val="16"/>
              </w:rPr>
              <w:t>Edad</w:t>
            </w:r>
          </w:p>
        </w:tc>
        <w:tc>
          <w:tcPr>
            <w:tcW w:w="2630"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23E664F4" w14:textId="77777777" w:rsidR="00B92948" w:rsidRPr="003A1036" w:rsidRDefault="00B92948" w:rsidP="00DE02B2">
            <w:pPr>
              <w:pStyle w:val="SingleTxtG"/>
              <w:tabs>
                <w:tab w:val="clear" w:pos="1701"/>
                <w:tab w:val="clear" w:pos="2268"/>
                <w:tab w:val="clear" w:pos="2835"/>
              </w:tabs>
              <w:spacing w:before="80" w:after="80" w:line="200" w:lineRule="exact"/>
              <w:ind w:left="113" w:right="28"/>
              <w:jc w:val="right"/>
              <w:rPr>
                <w:i/>
                <w:sz w:val="16"/>
              </w:rPr>
            </w:pPr>
            <w:r w:rsidRPr="003A1036">
              <w:rPr>
                <w:i/>
                <w:iCs/>
                <w:sz w:val="16"/>
              </w:rPr>
              <w:t>Número de empleados</w:t>
            </w:r>
          </w:p>
        </w:tc>
        <w:tc>
          <w:tcPr>
            <w:tcW w:w="1549" w:type="dxa"/>
            <w:tcBorders>
              <w:top w:val="single" w:sz="4" w:space="0" w:color="auto"/>
              <w:bottom w:val="single" w:sz="12" w:space="0" w:color="auto"/>
            </w:tcBorders>
            <w:shd w:val="clear" w:color="auto" w:fill="auto"/>
            <w:noWrap/>
            <w:tcMar>
              <w:top w:w="0" w:type="dxa"/>
              <w:left w:w="0" w:type="dxa"/>
              <w:bottom w:w="0" w:type="dxa"/>
              <w:right w:w="0" w:type="dxa"/>
            </w:tcMar>
            <w:vAlign w:val="bottom"/>
          </w:tcPr>
          <w:p w14:paraId="58BBBA35" w14:textId="77777777" w:rsidR="00B92948" w:rsidRPr="003A1036" w:rsidRDefault="00B92948" w:rsidP="00DE02B2">
            <w:pPr>
              <w:pStyle w:val="SingleTxtG"/>
              <w:tabs>
                <w:tab w:val="clear" w:pos="1701"/>
                <w:tab w:val="clear" w:pos="2268"/>
                <w:tab w:val="clear" w:pos="2835"/>
              </w:tabs>
              <w:spacing w:before="80" w:after="80" w:line="200" w:lineRule="exact"/>
              <w:ind w:left="113" w:right="28"/>
              <w:jc w:val="right"/>
              <w:rPr>
                <w:i/>
                <w:sz w:val="16"/>
              </w:rPr>
            </w:pPr>
            <w:r w:rsidRPr="003A1036">
              <w:rPr>
                <w:i/>
                <w:iCs/>
                <w:sz w:val="16"/>
              </w:rPr>
              <w:t>Varones</w:t>
            </w:r>
          </w:p>
        </w:tc>
        <w:tc>
          <w:tcPr>
            <w:tcW w:w="1520" w:type="dxa"/>
            <w:tcBorders>
              <w:top w:val="single" w:sz="4" w:space="0" w:color="auto"/>
              <w:bottom w:val="single" w:sz="12" w:space="0" w:color="auto"/>
            </w:tcBorders>
            <w:shd w:val="clear" w:color="auto" w:fill="auto"/>
            <w:noWrap/>
            <w:tcMar>
              <w:top w:w="0" w:type="dxa"/>
              <w:left w:w="0" w:type="dxa"/>
              <w:bottom w:w="0" w:type="dxa"/>
              <w:right w:w="0" w:type="dxa"/>
            </w:tcMar>
            <w:vAlign w:val="bottom"/>
          </w:tcPr>
          <w:p w14:paraId="34E36DBA" w14:textId="77777777" w:rsidR="00B92948" w:rsidRPr="003A1036" w:rsidRDefault="00B92948" w:rsidP="00DE02B2">
            <w:pPr>
              <w:pStyle w:val="SingleTxtG"/>
              <w:tabs>
                <w:tab w:val="clear" w:pos="1701"/>
                <w:tab w:val="clear" w:pos="2268"/>
                <w:tab w:val="clear" w:pos="2835"/>
              </w:tabs>
              <w:spacing w:before="80" w:after="80" w:line="200" w:lineRule="exact"/>
              <w:ind w:left="113" w:right="28"/>
              <w:jc w:val="right"/>
              <w:rPr>
                <w:i/>
                <w:sz w:val="16"/>
              </w:rPr>
            </w:pPr>
            <w:r w:rsidRPr="003A1036">
              <w:rPr>
                <w:i/>
                <w:iCs/>
                <w:sz w:val="16"/>
              </w:rPr>
              <w:t>Mujeres</w:t>
            </w:r>
          </w:p>
        </w:tc>
      </w:tr>
      <w:tr w:rsidR="00B92948" w:rsidRPr="003A1036" w14:paraId="4B2141E1" w14:textId="77777777" w:rsidTr="003A1036">
        <w:trPr>
          <w:trHeight w:val="240"/>
        </w:trPr>
        <w:tc>
          <w:tcPr>
            <w:tcW w:w="1671" w:type="dxa"/>
            <w:tcBorders>
              <w:top w:val="single" w:sz="12" w:space="0" w:color="auto"/>
            </w:tcBorders>
            <w:shd w:val="clear" w:color="auto" w:fill="auto"/>
            <w:noWrap/>
            <w:tcMar>
              <w:top w:w="0" w:type="dxa"/>
              <w:left w:w="0" w:type="dxa"/>
              <w:bottom w:w="0" w:type="dxa"/>
              <w:right w:w="0" w:type="dxa"/>
            </w:tcMar>
          </w:tcPr>
          <w:p w14:paraId="460B3072" w14:textId="77777777" w:rsidR="00B92948" w:rsidRPr="003A1036" w:rsidRDefault="00B92948" w:rsidP="003A1036">
            <w:pPr>
              <w:pStyle w:val="SingleTxtG"/>
              <w:tabs>
                <w:tab w:val="clear" w:pos="1701"/>
                <w:tab w:val="clear" w:pos="2268"/>
                <w:tab w:val="clear" w:pos="2835"/>
              </w:tabs>
              <w:spacing w:before="40" w:after="40" w:line="220" w:lineRule="exact"/>
              <w:ind w:left="0" w:right="0"/>
              <w:jc w:val="left"/>
              <w:rPr>
                <w:sz w:val="18"/>
              </w:rPr>
            </w:pPr>
            <w:r w:rsidRPr="003A1036">
              <w:rPr>
                <w:sz w:val="18"/>
              </w:rPr>
              <w:t>15</w:t>
            </w:r>
            <w:r w:rsidR="00C7622E">
              <w:rPr>
                <w:sz w:val="18"/>
              </w:rPr>
              <w:t xml:space="preserve"> años</w:t>
            </w:r>
          </w:p>
        </w:tc>
        <w:tc>
          <w:tcPr>
            <w:tcW w:w="2630" w:type="dxa"/>
            <w:tcBorders>
              <w:top w:val="single" w:sz="12" w:space="0" w:color="auto"/>
            </w:tcBorders>
            <w:shd w:val="clear" w:color="auto" w:fill="auto"/>
            <w:noWrap/>
            <w:tcMar>
              <w:top w:w="0" w:type="dxa"/>
              <w:left w:w="0" w:type="dxa"/>
              <w:bottom w:w="0" w:type="dxa"/>
              <w:right w:w="0" w:type="dxa"/>
            </w:tcMar>
            <w:vAlign w:val="bottom"/>
          </w:tcPr>
          <w:p w14:paraId="364E5A15" w14:textId="77777777" w:rsidR="00B92948" w:rsidRPr="003A1036" w:rsidRDefault="00B92948" w:rsidP="00DE02B2">
            <w:pPr>
              <w:pStyle w:val="SingleTxtG"/>
              <w:tabs>
                <w:tab w:val="clear" w:pos="1701"/>
                <w:tab w:val="clear" w:pos="2268"/>
                <w:tab w:val="clear" w:pos="2835"/>
              </w:tabs>
              <w:spacing w:before="40" w:after="40" w:line="220" w:lineRule="exact"/>
              <w:ind w:left="113" w:right="28"/>
              <w:jc w:val="right"/>
              <w:rPr>
                <w:sz w:val="18"/>
              </w:rPr>
            </w:pPr>
            <w:r w:rsidRPr="003A1036">
              <w:rPr>
                <w:sz w:val="18"/>
              </w:rPr>
              <w:t>-</w:t>
            </w:r>
          </w:p>
        </w:tc>
        <w:tc>
          <w:tcPr>
            <w:tcW w:w="1549" w:type="dxa"/>
            <w:tcBorders>
              <w:top w:val="single" w:sz="12" w:space="0" w:color="auto"/>
            </w:tcBorders>
            <w:shd w:val="clear" w:color="auto" w:fill="auto"/>
            <w:noWrap/>
            <w:tcMar>
              <w:top w:w="0" w:type="dxa"/>
              <w:left w:w="0" w:type="dxa"/>
              <w:bottom w:w="0" w:type="dxa"/>
              <w:right w:w="0" w:type="dxa"/>
            </w:tcMar>
            <w:vAlign w:val="bottom"/>
          </w:tcPr>
          <w:p w14:paraId="76E2BB35" w14:textId="77777777" w:rsidR="00B92948" w:rsidRPr="003A1036" w:rsidRDefault="00B92948" w:rsidP="00DE02B2">
            <w:pPr>
              <w:pStyle w:val="SingleTxtG"/>
              <w:tabs>
                <w:tab w:val="clear" w:pos="1701"/>
                <w:tab w:val="clear" w:pos="2268"/>
                <w:tab w:val="clear" w:pos="2835"/>
              </w:tabs>
              <w:spacing w:before="40" w:after="40" w:line="220" w:lineRule="exact"/>
              <w:ind w:left="113" w:right="28"/>
              <w:jc w:val="right"/>
              <w:rPr>
                <w:sz w:val="18"/>
              </w:rPr>
            </w:pPr>
            <w:r w:rsidRPr="003A1036">
              <w:rPr>
                <w:sz w:val="18"/>
              </w:rPr>
              <w:t>-</w:t>
            </w:r>
          </w:p>
        </w:tc>
        <w:tc>
          <w:tcPr>
            <w:tcW w:w="1520" w:type="dxa"/>
            <w:tcBorders>
              <w:top w:val="single" w:sz="12" w:space="0" w:color="auto"/>
            </w:tcBorders>
            <w:shd w:val="clear" w:color="auto" w:fill="auto"/>
            <w:noWrap/>
            <w:tcMar>
              <w:top w:w="0" w:type="dxa"/>
              <w:left w:w="0" w:type="dxa"/>
              <w:bottom w:w="0" w:type="dxa"/>
              <w:right w:w="0" w:type="dxa"/>
            </w:tcMar>
            <w:vAlign w:val="bottom"/>
          </w:tcPr>
          <w:p w14:paraId="7334C973" w14:textId="77777777" w:rsidR="00B92948" w:rsidRPr="003A1036" w:rsidRDefault="00B92948" w:rsidP="00DE02B2">
            <w:pPr>
              <w:pStyle w:val="SingleTxtG"/>
              <w:tabs>
                <w:tab w:val="clear" w:pos="1701"/>
                <w:tab w:val="clear" w:pos="2268"/>
                <w:tab w:val="clear" w:pos="2835"/>
              </w:tabs>
              <w:spacing w:before="40" w:after="40" w:line="220" w:lineRule="exact"/>
              <w:ind w:left="113" w:right="28"/>
              <w:jc w:val="right"/>
              <w:rPr>
                <w:sz w:val="18"/>
              </w:rPr>
            </w:pPr>
            <w:r w:rsidRPr="003A1036">
              <w:rPr>
                <w:sz w:val="18"/>
              </w:rPr>
              <w:t>-</w:t>
            </w:r>
          </w:p>
        </w:tc>
      </w:tr>
      <w:tr w:rsidR="00B92948" w:rsidRPr="003A1036" w14:paraId="27E64B7F" w14:textId="77777777" w:rsidTr="003A1036">
        <w:trPr>
          <w:trHeight w:val="240"/>
        </w:trPr>
        <w:tc>
          <w:tcPr>
            <w:tcW w:w="1671" w:type="dxa"/>
            <w:shd w:val="clear" w:color="auto" w:fill="auto"/>
            <w:noWrap/>
            <w:tcMar>
              <w:top w:w="0" w:type="dxa"/>
              <w:left w:w="0" w:type="dxa"/>
              <w:bottom w:w="0" w:type="dxa"/>
              <w:right w:w="0" w:type="dxa"/>
            </w:tcMar>
          </w:tcPr>
          <w:p w14:paraId="55E92D61" w14:textId="77777777" w:rsidR="00B92948" w:rsidRPr="003A1036" w:rsidRDefault="00B92948" w:rsidP="003A1036">
            <w:pPr>
              <w:pStyle w:val="SingleTxtG"/>
              <w:tabs>
                <w:tab w:val="clear" w:pos="1701"/>
                <w:tab w:val="clear" w:pos="2268"/>
                <w:tab w:val="clear" w:pos="2835"/>
              </w:tabs>
              <w:spacing w:before="40" w:after="40" w:line="220" w:lineRule="exact"/>
              <w:ind w:left="0" w:right="0"/>
              <w:jc w:val="left"/>
              <w:rPr>
                <w:sz w:val="18"/>
              </w:rPr>
            </w:pPr>
            <w:r w:rsidRPr="003A1036">
              <w:rPr>
                <w:sz w:val="18"/>
              </w:rPr>
              <w:t>16</w:t>
            </w:r>
            <w:r w:rsidR="00C7622E">
              <w:rPr>
                <w:sz w:val="18"/>
              </w:rPr>
              <w:t xml:space="preserve"> años</w:t>
            </w:r>
          </w:p>
        </w:tc>
        <w:tc>
          <w:tcPr>
            <w:tcW w:w="2630" w:type="dxa"/>
            <w:shd w:val="clear" w:color="auto" w:fill="auto"/>
            <w:noWrap/>
            <w:tcMar>
              <w:top w:w="0" w:type="dxa"/>
              <w:left w:w="0" w:type="dxa"/>
              <w:bottom w:w="0" w:type="dxa"/>
              <w:right w:w="0" w:type="dxa"/>
            </w:tcMar>
            <w:vAlign w:val="bottom"/>
          </w:tcPr>
          <w:p w14:paraId="6D7EB781" w14:textId="77777777" w:rsidR="00B92948" w:rsidRPr="003A1036" w:rsidRDefault="00B92948" w:rsidP="00DE02B2">
            <w:pPr>
              <w:pStyle w:val="SingleTxtG"/>
              <w:tabs>
                <w:tab w:val="clear" w:pos="1701"/>
                <w:tab w:val="clear" w:pos="2268"/>
                <w:tab w:val="clear" w:pos="2835"/>
              </w:tabs>
              <w:spacing w:before="40" w:after="40" w:line="220" w:lineRule="exact"/>
              <w:ind w:left="113" w:right="28"/>
              <w:jc w:val="right"/>
              <w:rPr>
                <w:sz w:val="18"/>
              </w:rPr>
            </w:pPr>
            <w:r w:rsidRPr="003A1036">
              <w:rPr>
                <w:sz w:val="18"/>
              </w:rPr>
              <w:t>-</w:t>
            </w:r>
          </w:p>
        </w:tc>
        <w:tc>
          <w:tcPr>
            <w:tcW w:w="1549" w:type="dxa"/>
            <w:shd w:val="clear" w:color="auto" w:fill="auto"/>
            <w:noWrap/>
            <w:tcMar>
              <w:top w:w="0" w:type="dxa"/>
              <w:left w:w="0" w:type="dxa"/>
              <w:bottom w:w="0" w:type="dxa"/>
              <w:right w:w="0" w:type="dxa"/>
            </w:tcMar>
            <w:vAlign w:val="bottom"/>
          </w:tcPr>
          <w:p w14:paraId="3152C4D4" w14:textId="77777777" w:rsidR="00B92948" w:rsidRPr="003A1036" w:rsidRDefault="00B92948" w:rsidP="00DE02B2">
            <w:pPr>
              <w:pStyle w:val="SingleTxtG"/>
              <w:tabs>
                <w:tab w:val="clear" w:pos="1701"/>
                <w:tab w:val="clear" w:pos="2268"/>
                <w:tab w:val="clear" w:pos="2835"/>
              </w:tabs>
              <w:spacing w:before="40" w:after="40" w:line="220" w:lineRule="exact"/>
              <w:ind w:left="113" w:right="28"/>
              <w:jc w:val="right"/>
              <w:rPr>
                <w:sz w:val="18"/>
              </w:rPr>
            </w:pPr>
            <w:r w:rsidRPr="003A1036">
              <w:rPr>
                <w:sz w:val="18"/>
              </w:rPr>
              <w:t>-</w:t>
            </w:r>
          </w:p>
        </w:tc>
        <w:tc>
          <w:tcPr>
            <w:tcW w:w="1520" w:type="dxa"/>
            <w:shd w:val="clear" w:color="auto" w:fill="auto"/>
            <w:noWrap/>
            <w:tcMar>
              <w:top w:w="0" w:type="dxa"/>
              <w:left w:w="0" w:type="dxa"/>
              <w:bottom w:w="0" w:type="dxa"/>
              <w:right w:w="0" w:type="dxa"/>
            </w:tcMar>
            <w:vAlign w:val="bottom"/>
          </w:tcPr>
          <w:p w14:paraId="4F55C152" w14:textId="77777777" w:rsidR="00B92948" w:rsidRPr="003A1036" w:rsidRDefault="00B92948" w:rsidP="00DE02B2">
            <w:pPr>
              <w:pStyle w:val="SingleTxtG"/>
              <w:tabs>
                <w:tab w:val="clear" w:pos="1701"/>
                <w:tab w:val="clear" w:pos="2268"/>
                <w:tab w:val="clear" w:pos="2835"/>
              </w:tabs>
              <w:spacing w:before="40" w:after="40" w:line="220" w:lineRule="exact"/>
              <w:ind w:left="113" w:right="28"/>
              <w:jc w:val="right"/>
              <w:rPr>
                <w:sz w:val="18"/>
              </w:rPr>
            </w:pPr>
            <w:r w:rsidRPr="003A1036">
              <w:rPr>
                <w:sz w:val="18"/>
              </w:rPr>
              <w:t>-</w:t>
            </w:r>
          </w:p>
        </w:tc>
      </w:tr>
      <w:tr w:rsidR="00B92948" w:rsidRPr="003A1036" w14:paraId="3558CB5C" w14:textId="77777777" w:rsidTr="003A1036">
        <w:trPr>
          <w:trHeight w:val="240"/>
        </w:trPr>
        <w:tc>
          <w:tcPr>
            <w:tcW w:w="1671" w:type="dxa"/>
            <w:shd w:val="clear" w:color="auto" w:fill="auto"/>
            <w:noWrap/>
            <w:tcMar>
              <w:top w:w="0" w:type="dxa"/>
              <w:left w:w="0" w:type="dxa"/>
              <w:bottom w:w="0" w:type="dxa"/>
              <w:right w:w="0" w:type="dxa"/>
            </w:tcMar>
          </w:tcPr>
          <w:p w14:paraId="48EAFF68" w14:textId="77777777" w:rsidR="00B92948" w:rsidRPr="003A1036" w:rsidRDefault="00B92948" w:rsidP="003A1036">
            <w:pPr>
              <w:pStyle w:val="SingleTxtG"/>
              <w:tabs>
                <w:tab w:val="clear" w:pos="1701"/>
                <w:tab w:val="clear" w:pos="2268"/>
                <w:tab w:val="clear" w:pos="2835"/>
              </w:tabs>
              <w:spacing w:before="40" w:after="40" w:line="220" w:lineRule="exact"/>
              <w:ind w:left="0" w:right="0"/>
              <w:jc w:val="left"/>
              <w:rPr>
                <w:sz w:val="18"/>
              </w:rPr>
            </w:pPr>
            <w:r w:rsidRPr="003A1036">
              <w:rPr>
                <w:sz w:val="18"/>
              </w:rPr>
              <w:t>17</w:t>
            </w:r>
            <w:r w:rsidR="00C7622E">
              <w:rPr>
                <w:sz w:val="18"/>
              </w:rPr>
              <w:t xml:space="preserve"> años</w:t>
            </w:r>
          </w:p>
        </w:tc>
        <w:tc>
          <w:tcPr>
            <w:tcW w:w="2630" w:type="dxa"/>
            <w:shd w:val="clear" w:color="auto" w:fill="auto"/>
            <w:noWrap/>
            <w:tcMar>
              <w:top w:w="0" w:type="dxa"/>
              <w:left w:w="0" w:type="dxa"/>
              <w:bottom w:w="0" w:type="dxa"/>
              <w:right w:w="0" w:type="dxa"/>
            </w:tcMar>
            <w:vAlign w:val="bottom"/>
          </w:tcPr>
          <w:p w14:paraId="7A55226D" w14:textId="77777777" w:rsidR="00B92948" w:rsidRPr="003A1036" w:rsidRDefault="00B92948" w:rsidP="00DE02B2">
            <w:pPr>
              <w:pStyle w:val="SingleTxtG"/>
              <w:tabs>
                <w:tab w:val="clear" w:pos="1701"/>
                <w:tab w:val="clear" w:pos="2268"/>
                <w:tab w:val="clear" w:pos="2835"/>
              </w:tabs>
              <w:spacing w:before="40" w:after="40" w:line="220" w:lineRule="exact"/>
              <w:ind w:left="113" w:right="28"/>
              <w:jc w:val="right"/>
              <w:rPr>
                <w:sz w:val="18"/>
              </w:rPr>
            </w:pPr>
            <w:r w:rsidRPr="003A1036">
              <w:rPr>
                <w:sz w:val="18"/>
              </w:rPr>
              <w:t>-</w:t>
            </w:r>
          </w:p>
        </w:tc>
        <w:tc>
          <w:tcPr>
            <w:tcW w:w="1549" w:type="dxa"/>
            <w:shd w:val="clear" w:color="auto" w:fill="auto"/>
            <w:noWrap/>
            <w:tcMar>
              <w:top w:w="0" w:type="dxa"/>
              <w:left w:w="0" w:type="dxa"/>
              <w:bottom w:w="0" w:type="dxa"/>
              <w:right w:w="0" w:type="dxa"/>
            </w:tcMar>
            <w:vAlign w:val="bottom"/>
          </w:tcPr>
          <w:p w14:paraId="2F16B426" w14:textId="77777777" w:rsidR="00B92948" w:rsidRPr="003A1036" w:rsidRDefault="00B92948" w:rsidP="00DE02B2">
            <w:pPr>
              <w:pStyle w:val="SingleTxtG"/>
              <w:tabs>
                <w:tab w:val="clear" w:pos="1701"/>
                <w:tab w:val="clear" w:pos="2268"/>
                <w:tab w:val="clear" w:pos="2835"/>
              </w:tabs>
              <w:spacing w:before="40" w:after="40" w:line="220" w:lineRule="exact"/>
              <w:ind w:left="113" w:right="28"/>
              <w:jc w:val="right"/>
              <w:rPr>
                <w:sz w:val="18"/>
              </w:rPr>
            </w:pPr>
            <w:r w:rsidRPr="003A1036">
              <w:rPr>
                <w:sz w:val="18"/>
              </w:rPr>
              <w:t>-</w:t>
            </w:r>
          </w:p>
        </w:tc>
        <w:tc>
          <w:tcPr>
            <w:tcW w:w="1520" w:type="dxa"/>
            <w:shd w:val="clear" w:color="auto" w:fill="auto"/>
            <w:noWrap/>
            <w:tcMar>
              <w:top w:w="0" w:type="dxa"/>
              <w:left w:w="0" w:type="dxa"/>
              <w:bottom w:w="0" w:type="dxa"/>
              <w:right w:w="0" w:type="dxa"/>
            </w:tcMar>
            <w:vAlign w:val="bottom"/>
          </w:tcPr>
          <w:p w14:paraId="1509D5B9" w14:textId="77777777" w:rsidR="00B92948" w:rsidRPr="003A1036" w:rsidRDefault="00B92948" w:rsidP="00DE02B2">
            <w:pPr>
              <w:pStyle w:val="SingleTxtG"/>
              <w:tabs>
                <w:tab w:val="clear" w:pos="1701"/>
                <w:tab w:val="clear" w:pos="2268"/>
                <w:tab w:val="clear" w:pos="2835"/>
              </w:tabs>
              <w:spacing w:before="40" w:after="40" w:line="220" w:lineRule="exact"/>
              <w:ind w:left="113" w:right="28"/>
              <w:jc w:val="right"/>
              <w:rPr>
                <w:sz w:val="18"/>
              </w:rPr>
            </w:pPr>
            <w:r w:rsidRPr="003A1036">
              <w:rPr>
                <w:sz w:val="18"/>
              </w:rPr>
              <w:t>-</w:t>
            </w:r>
          </w:p>
        </w:tc>
      </w:tr>
      <w:tr w:rsidR="00B92948" w:rsidRPr="003A1036" w14:paraId="6F2EC9EA" w14:textId="77777777" w:rsidTr="0095553A">
        <w:trPr>
          <w:trHeight w:val="240"/>
        </w:trPr>
        <w:tc>
          <w:tcPr>
            <w:tcW w:w="1671" w:type="dxa"/>
            <w:tcBorders>
              <w:bottom w:val="single" w:sz="4" w:space="0" w:color="auto"/>
            </w:tcBorders>
            <w:shd w:val="clear" w:color="auto" w:fill="auto"/>
            <w:noWrap/>
            <w:tcMar>
              <w:top w:w="0" w:type="dxa"/>
              <w:left w:w="0" w:type="dxa"/>
              <w:bottom w:w="0" w:type="dxa"/>
              <w:right w:w="0" w:type="dxa"/>
            </w:tcMar>
          </w:tcPr>
          <w:p w14:paraId="2A7E6842" w14:textId="77777777" w:rsidR="00B92948" w:rsidRPr="003A1036" w:rsidRDefault="00B92948" w:rsidP="003A1036">
            <w:pPr>
              <w:pStyle w:val="SingleTxtG"/>
              <w:tabs>
                <w:tab w:val="clear" w:pos="1701"/>
                <w:tab w:val="clear" w:pos="2268"/>
                <w:tab w:val="clear" w:pos="2835"/>
              </w:tabs>
              <w:spacing w:before="40" w:after="40" w:line="220" w:lineRule="exact"/>
              <w:ind w:left="0" w:right="0"/>
              <w:jc w:val="left"/>
              <w:rPr>
                <w:sz w:val="18"/>
              </w:rPr>
            </w:pPr>
            <w:r w:rsidRPr="003A1036">
              <w:rPr>
                <w:sz w:val="18"/>
              </w:rPr>
              <w:t>18</w:t>
            </w:r>
            <w:r w:rsidR="00C7622E">
              <w:rPr>
                <w:sz w:val="18"/>
              </w:rPr>
              <w:t xml:space="preserve"> años</w:t>
            </w:r>
          </w:p>
        </w:tc>
        <w:tc>
          <w:tcPr>
            <w:tcW w:w="2630" w:type="dxa"/>
            <w:tcBorders>
              <w:bottom w:val="single" w:sz="4" w:space="0" w:color="auto"/>
            </w:tcBorders>
            <w:shd w:val="clear" w:color="auto" w:fill="auto"/>
            <w:noWrap/>
            <w:tcMar>
              <w:top w:w="0" w:type="dxa"/>
              <w:left w:w="0" w:type="dxa"/>
              <w:bottom w:w="0" w:type="dxa"/>
              <w:right w:w="0" w:type="dxa"/>
            </w:tcMar>
            <w:vAlign w:val="bottom"/>
          </w:tcPr>
          <w:p w14:paraId="4E726BAA" w14:textId="77777777" w:rsidR="00B92948" w:rsidRPr="003A1036" w:rsidRDefault="00B92948" w:rsidP="00DE02B2">
            <w:pPr>
              <w:pStyle w:val="SingleTxtG"/>
              <w:tabs>
                <w:tab w:val="clear" w:pos="1701"/>
                <w:tab w:val="clear" w:pos="2268"/>
                <w:tab w:val="clear" w:pos="2835"/>
              </w:tabs>
              <w:spacing w:before="40" w:after="40" w:line="220" w:lineRule="exact"/>
              <w:ind w:left="113" w:right="28"/>
              <w:jc w:val="right"/>
              <w:rPr>
                <w:sz w:val="18"/>
              </w:rPr>
            </w:pPr>
            <w:r w:rsidRPr="003A1036">
              <w:rPr>
                <w:sz w:val="18"/>
              </w:rPr>
              <w:t>(1 453)</w:t>
            </w:r>
          </w:p>
        </w:tc>
        <w:tc>
          <w:tcPr>
            <w:tcW w:w="1549" w:type="dxa"/>
            <w:tcBorders>
              <w:bottom w:val="single" w:sz="4" w:space="0" w:color="auto"/>
            </w:tcBorders>
            <w:shd w:val="clear" w:color="auto" w:fill="auto"/>
            <w:noWrap/>
            <w:tcMar>
              <w:top w:w="0" w:type="dxa"/>
              <w:left w:w="0" w:type="dxa"/>
              <w:bottom w:w="0" w:type="dxa"/>
              <w:right w:w="0" w:type="dxa"/>
            </w:tcMar>
            <w:vAlign w:val="bottom"/>
          </w:tcPr>
          <w:p w14:paraId="169941BC" w14:textId="77777777" w:rsidR="00B92948" w:rsidRPr="003A1036" w:rsidRDefault="00B92948" w:rsidP="00DE02B2">
            <w:pPr>
              <w:pStyle w:val="SingleTxtG"/>
              <w:tabs>
                <w:tab w:val="clear" w:pos="1701"/>
                <w:tab w:val="clear" w:pos="2268"/>
                <w:tab w:val="clear" w:pos="2835"/>
              </w:tabs>
              <w:spacing w:before="40" w:after="40" w:line="220" w:lineRule="exact"/>
              <w:ind w:left="113" w:right="28"/>
              <w:jc w:val="right"/>
              <w:rPr>
                <w:sz w:val="18"/>
              </w:rPr>
            </w:pPr>
            <w:r w:rsidRPr="003A1036">
              <w:rPr>
                <w:sz w:val="18"/>
              </w:rPr>
              <w:t>(926)</w:t>
            </w:r>
          </w:p>
        </w:tc>
        <w:tc>
          <w:tcPr>
            <w:tcW w:w="1520" w:type="dxa"/>
            <w:tcBorders>
              <w:bottom w:val="single" w:sz="4" w:space="0" w:color="auto"/>
            </w:tcBorders>
            <w:shd w:val="clear" w:color="auto" w:fill="auto"/>
            <w:noWrap/>
            <w:tcMar>
              <w:top w:w="0" w:type="dxa"/>
              <w:left w:w="0" w:type="dxa"/>
              <w:bottom w:w="0" w:type="dxa"/>
              <w:right w:w="0" w:type="dxa"/>
            </w:tcMar>
            <w:vAlign w:val="bottom"/>
          </w:tcPr>
          <w:p w14:paraId="107B8F22" w14:textId="77777777" w:rsidR="00B92948" w:rsidRPr="003A1036" w:rsidRDefault="00B92948" w:rsidP="00DE02B2">
            <w:pPr>
              <w:pStyle w:val="SingleTxtG"/>
              <w:tabs>
                <w:tab w:val="clear" w:pos="1701"/>
                <w:tab w:val="clear" w:pos="2268"/>
                <w:tab w:val="clear" w:pos="2835"/>
              </w:tabs>
              <w:spacing w:before="40" w:after="40" w:line="220" w:lineRule="exact"/>
              <w:ind w:left="113" w:right="28"/>
              <w:jc w:val="right"/>
              <w:rPr>
                <w:sz w:val="18"/>
              </w:rPr>
            </w:pPr>
            <w:r w:rsidRPr="003A1036">
              <w:rPr>
                <w:sz w:val="18"/>
              </w:rPr>
              <w:t>(528)</w:t>
            </w:r>
          </w:p>
        </w:tc>
      </w:tr>
      <w:tr w:rsidR="00B92948" w:rsidRPr="0095553A" w14:paraId="77DC07B7" w14:textId="77777777" w:rsidTr="0095553A">
        <w:trPr>
          <w:trHeight w:val="240"/>
        </w:trPr>
        <w:tc>
          <w:tcPr>
            <w:tcW w:w="1671" w:type="dxa"/>
            <w:tcBorders>
              <w:top w:val="single" w:sz="4" w:space="0" w:color="auto"/>
              <w:bottom w:val="single" w:sz="12" w:space="0" w:color="auto"/>
            </w:tcBorders>
            <w:shd w:val="clear" w:color="auto" w:fill="auto"/>
            <w:noWrap/>
            <w:tcMar>
              <w:top w:w="0" w:type="dxa"/>
              <w:left w:w="0" w:type="dxa"/>
              <w:bottom w:w="0" w:type="dxa"/>
              <w:right w:w="0" w:type="dxa"/>
            </w:tcMar>
          </w:tcPr>
          <w:p w14:paraId="7105098B" w14:textId="77777777" w:rsidR="00B92948" w:rsidRPr="0095553A" w:rsidRDefault="00B92948" w:rsidP="0095553A">
            <w:pPr>
              <w:pStyle w:val="SingleTxtG"/>
              <w:tabs>
                <w:tab w:val="clear" w:pos="1701"/>
                <w:tab w:val="clear" w:pos="2268"/>
                <w:tab w:val="clear" w:pos="2835"/>
              </w:tabs>
              <w:spacing w:before="80" w:after="80" w:line="220" w:lineRule="exact"/>
              <w:ind w:left="283" w:right="0"/>
              <w:jc w:val="left"/>
              <w:rPr>
                <w:b/>
                <w:sz w:val="18"/>
              </w:rPr>
            </w:pPr>
            <w:r w:rsidRPr="0095553A">
              <w:rPr>
                <w:b/>
                <w:bCs/>
                <w:sz w:val="18"/>
              </w:rPr>
              <w:t>Total</w:t>
            </w:r>
          </w:p>
        </w:tc>
        <w:tc>
          <w:tcPr>
            <w:tcW w:w="2630" w:type="dxa"/>
            <w:tcBorders>
              <w:top w:val="single" w:sz="4" w:space="0" w:color="auto"/>
              <w:bottom w:val="single" w:sz="12" w:space="0" w:color="auto"/>
            </w:tcBorders>
            <w:shd w:val="clear" w:color="auto" w:fill="auto"/>
            <w:noWrap/>
            <w:tcMar>
              <w:top w:w="0" w:type="dxa"/>
              <w:left w:w="0" w:type="dxa"/>
              <w:bottom w:w="0" w:type="dxa"/>
              <w:right w:w="0" w:type="dxa"/>
            </w:tcMar>
            <w:vAlign w:val="bottom"/>
          </w:tcPr>
          <w:p w14:paraId="694C1D4B" w14:textId="77777777" w:rsidR="00B92948" w:rsidRPr="0095553A" w:rsidRDefault="00B92948" w:rsidP="00DE02B2">
            <w:pPr>
              <w:pStyle w:val="SingleTxtG"/>
              <w:tabs>
                <w:tab w:val="clear" w:pos="1701"/>
                <w:tab w:val="clear" w:pos="2268"/>
                <w:tab w:val="clear" w:pos="2835"/>
              </w:tabs>
              <w:spacing w:before="80" w:after="80" w:line="220" w:lineRule="exact"/>
              <w:ind w:left="0" w:right="28"/>
              <w:jc w:val="right"/>
              <w:rPr>
                <w:b/>
                <w:sz w:val="18"/>
              </w:rPr>
            </w:pPr>
            <w:r w:rsidRPr="0095553A">
              <w:rPr>
                <w:b/>
                <w:bCs/>
                <w:sz w:val="18"/>
              </w:rPr>
              <w:t>2 122</w:t>
            </w:r>
          </w:p>
        </w:tc>
        <w:tc>
          <w:tcPr>
            <w:tcW w:w="1549" w:type="dxa"/>
            <w:tcBorders>
              <w:top w:val="single" w:sz="4" w:space="0" w:color="auto"/>
              <w:bottom w:val="single" w:sz="12" w:space="0" w:color="auto"/>
            </w:tcBorders>
            <w:shd w:val="clear" w:color="auto" w:fill="auto"/>
            <w:noWrap/>
            <w:tcMar>
              <w:top w:w="0" w:type="dxa"/>
              <w:left w:w="0" w:type="dxa"/>
              <w:bottom w:w="0" w:type="dxa"/>
              <w:right w:w="0" w:type="dxa"/>
            </w:tcMar>
            <w:vAlign w:val="bottom"/>
          </w:tcPr>
          <w:p w14:paraId="280CB391" w14:textId="77777777" w:rsidR="00B92948" w:rsidRPr="0095553A" w:rsidRDefault="00B92948" w:rsidP="00DE02B2">
            <w:pPr>
              <w:pStyle w:val="SingleTxtG"/>
              <w:tabs>
                <w:tab w:val="clear" w:pos="1701"/>
                <w:tab w:val="clear" w:pos="2268"/>
                <w:tab w:val="clear" w:pos="2835"/>
              </w:tabs>
              <w:spacing w:before="80" w:after="80" w:line="220" w:lineRule="exact"/>
              <w:ind w:left="0" w:right="28"/>
              <w:jc w:val="right"/>
              <w:rPr>
                <w:b/>
                <w:sz w:val="18"/>
              </w:rPr>
            </w:pPr>
            <w:r w:rsidRPr="0095553A">
              <w:rPr>
                <w:b/>
                <w:bCs/>
                <w:sz w:val="18"/>
              </w:rPr>
              <w:t>(1 462)</w:t>
            </w:r>
          </w:p>
        </w:tc>
        <w:tc>
          <w:tcPr>
            <w:tcW w:w="1520" w:type="dxa"/>
            <w:tcBorders>
              <w:top w:val="single" w:sz="4" w:space="0" w:color="auto"/>
              <w:bottom w:val="single" w:sz="12" w:space="0" w:color="auto"/>
            </w:tcBorders>
            <w:shd w:val="clear" w:color="auto" w:fill="auto"/>
            <w:noWrap/>
            <w:tcMar>
              <w:top w:w="0" w:type="dxa"/>
              <w:left w:w="0" w:type="dxa"/>
              <w:bottom w:w="0" w:type="dxa"/>
              <w:right w:w="0" w:type="dxa"/>
            </w:tcMar>
            <w:vAlign w:val="bottom"/>
          </w:tcPr>
          <w:p w14:paraId="0A519C0B" w14:textId="77777777" w:rsidR="00B92948" w:rsidRPr="0095553A" w:rsidRDefault="00B92948" w:rsidP="00DE02B2">
            <w:pPr>
              <w:pStyle w:val="SingleTxtG"/>
              <w:tabs>
                <w:tab w:val="clear" w:pos="1701"/>
                <w:tab w:val="clear" w:pos="2268"/>
                <w:tab w:val="clear" w:pos="2835"/>
              </w:tabs>
              <w:spacing w:before="80" w:after="80" w:line="220" w:lineRule="exact"/>
              <w:ind w:left="0" w:right="28"/>
              <w:jc w:val="right"/>
              <w:rPr>
                <w:b/>
                <w:sz w:val="18"/>
              </w:rPr>
            </w:pPr>
            <w:r w:rsidRPr="0095553A">
              <w:rPr>
                <w:b/>
                <w:bCs/>
                <w:sz w:val="18"/>
              </w:rPr>
              <w:t>(659)</w:t>
            </w:r>
          </w:p>
        </w:tc>
      </w:tr>
    </w:tbl>
    <w:p w14:paraId="4F2100C0" w14:textId="77777777" w:rsidR="00B92948" w:rsidRPr="00B92948" w:rsidRDefault="00B92948" w:rsidP="0095553A">
      <w:pPr>
        <w:pStyle w:val="H23G"/>
      </w:pPr>
      <w:r w:rsidRPr="00B92948">
        <w:tab/>
      </w:r>
      <w:r w:rsidR="0095553A">
        <w:tab/>
      </w:r>
      <w:r w:rsidRPr="00B92948">
        <w:t>Explotación y abuso sexuales (art. 34)</w:t>
      </w:r>
      <w:bookmarkStart w:id="82" w:name="_Toc56781480"/>
      <w:bookmarkEnd w:id="82"/>
    </w:p>
    <w:p w14:paraId="40269699" w14:textId="77777777" w:rsidR="00B92948" w:rsidRPr="00B92948" w:rsidRDefault="00B92948" w:rsidP="00B92948">
      <w:pPr>
        <w:pStyle w:val="SingleTxtG"/>
      </w:pPr>
      <w:r w:rsidRPr="00B92948">
        <w:t>198.</w:t>
      </w:r>
      <w:r w:rsidRPr="00B92948">
        <w:tab/>
        <w:t xml:space="preserve">El Convenio del Consejo de Europa sobre Prevención y Lucha contra la Violencia contra las Mujeres y la Violencia Doméstica (Convenio de Estambul) se ratificó el 30 de diciembre de 2017. Se preparó un proyecto de texto de plan de acción nacional para su </w:t>
      </w:r>
      <w:r w:rsidRPr="00B92948">
        <w:lastRenderedPageBreak/>
        <w:t xml:space="preserve">aplicación, que prevé la apertura de Centros de Remisión de Víctimas de Violencia Sexual. Se diseñaron los procedimientos operativos estándar para dar una respuesta multisectorial en los Centros, haciendo hincapié en los niños víctimas. </w:t>
      </w:r>
    </w:p>
    <w:p w14:paraId="236C450C" w14:textId="77777777" w:rsidR="00B92948" w:rsidRPr="00F50DE1" w:rsidRDefault="0095553A" w:rsidP="0095553A">
      <w:pPr>
        <w:pStyle w:val="H23G"/>
      </w:pPr>
      <w:r>
        <w:tab/>
      </w:r>
      <w:r w:rsidR="00B92948" w:rsidRPr="00B92948">
        <w:tab/>
        <w:t xml:space="preserve">Número de niños vulnerables a la explotación sexual, incluidas la prostitución, </w:t>
      </w:r>
      <w:r>
        <w:br/>
      </w:r>
      <w:r w:rsidR="00B92948" w:rsidRPr="00B92948">
        <w:t>la pornografía y la trata</w:t>
      </w:r>
      <w:r w:rsidR="00B92948" w:rsidRPr="0095553A">
        <w:rPr>
          <w:rStyle w:val="Refdenotaalpie"/>
          <w:b w:val="0"/>
          <w:bCs/>
        </w:rPr>
        <w:footnoteReference w:id="50"/>
      </w:r>
      <w:bookmarkStart w:id="83" w:name="_Toc56781481"/>
      <w:bookmarkEnd w:id="83"/>
    </w:p>
    <w:tbl>
      <w:tblPr>
        <w:tblW w:w="7370" w:type="dxa"/>
        <w:tblInd w:w="1134" w:type="dxa"/>
        <w:tblBorders>
          <w:top w:val="single" w:sz="4" w:space="0" w:color="auto"/>
        </w:tblBorders>
        <w:tblCellMar>
          <w:left w:w="0" w:type="dxa"/>
          <w:right w:w="0" w:type="dxa"/>
        </w:tblCellMar>
        <w:tblLook w:val="0000" w:firstRow="0" w:lastRow="0" w:firstColumn="0" w:lastColumn="0" w:noHBand="0" w:noVBand="0"/>
      </w:tblPr>
      <w:tblGrid>
        <w:gridCol w:w="2687"/>
        <w:gridCol w:w="1272"/>
        <w:gridCol w:w="849"/>
        <w:gridCol w:w="848"/>
        <w:gridCol w:w="849"/>
        <w:gridCol w:w="865"/>
      </w:tblGrid>
      <w:tr w:rsidR="00B92948" w:rsidRPr="003A1036" w14:paraId="35F2B285" w14:textId="77777777" w:rsidTr="003A1036">
        <w:trPr>
          <w:trHeight w:val="240"/>
          <w:tblHeader/>
        </w:trPr>
        <w:tc>
          <w:tcPr>
            <w:tcW w:w="2694" w:type="dxa"/>
            <w:tcBorders>
              <w:top w:val="single" w:sz="4" w:space="0" w:color="auto"/>
              <w:bottom w:val="single" w:sz="12" w:space="0" w:color="auto"/>
            </w:tcBorders>
            <w:shd w:val="clear" w:color="auto" w:fill="auto"/>
            <w:vAlign w:val="bottom"/>
          </w:tcPr>
          <w:p w14:paraId="0BA1B28E" w14:textId="77777777" w:rsidR="00B92948" w:rsidRPr="003A1036" w:rsidRDefault="00B92948" w:rsidP="003A1036">
            <w:pPr>
              <w:pStyle w:val="SingleTxtG"/>
              <w:tabs>
                <w:tab w:val="clear" w:pos="1701"/>
                <w:tab w:val="clear" w:pos="2268"/>
                <w:tab w:val="clear" w:pos="2835"/>
              </w:tabs>
              <w:spacing w:before="80" w:after="80" w:line="200" w:lineRule="exact"/>
              <w:ind w:left="0" w:right="0"/>
              <w:jc w:val="left"/>
              <w:rPr>
                <w:i/>
                <w:sz w:val="16"/>
              </w:rPr>
            </w:pPr>
            <w:r w:rsidRPr="003A1036">
              <w:rPr>
                <w:i/>
                <w:iCs/>
                <w:sz w:val="16"/>
              </w:rPr>
              <w:t>Año de identificación de los niños víctimas de la trata con fines de explotación sexual</w:t>
            </w:r>
            <w:r w:rsidRPr="003A1036">
              <w:rPr>
                <w:i/>
                <w:sz w:val="16"/>
              </w:rPr>
              <w:t xml:space="preserve"> </w:t>
            </w:r>
          </w:p>
        </w:tc>
        <w:tc>
          <w:tcPr>
            <w:tcW w:w="1275" w:type="dxa"/>
            <w:tcBorders>
              <w:top w:val="single" w:sz="4" w:space="0" w:color="auto"/>
              <w:bottom w:val="single" w:sz="12" w:space="0" w:color="auto"/>
            </w:tcBorders>
            <w:shd w:val="clear" w:color="auto" w:fill="auto"/>
            <w:vAlign w:val="bottom"/>
          </w:tcPr>
          <w:p w14:paraId="554BB937" w14:textId="77777777" w:rsidR="00B92948" w:rsidRPr="003A1036" w:rsidRDefault="00B92948" w:rsidP="00DE02B2">
            <w:pPr>
              <w:pStyle w:val="SingleTxtG"/>
              <w:tabs>
                <w:tab w:val="clear" w:pos="1701"/>
                <w:tab w:val="clear" w:pos="2268"/>
                <w:tab w:val="clear" w:pos="2835"/>
              </w:tabs>
              <w:spacing w:before="80" w:after="80" w:line="200" w:lineRule="exact"/>
              <w:ind w:left="113" w:right="28"/>
              <w:jc w:val="right"/>
              <w:rPr>
                <w:i/>
                <w:sz w:val="16"/>
              </w:rPr>
            </w:pPr>
            <w:r w:rsidRPr="003A1036">
              <w:rPr>
                <w:i/>
                <w:iCs/>
                <w:sz w:val="16"/>
              </w:rPr>
              <w:t>2014</w:t>
            </w:r>
          </w:p>
        </w:tc>
        <w:tc>
          <w:tcPr>
            <w:tcW w:w="851" w:type="dxa"/>
            <w:tcBorders>
              <w:top w:val="single" w:sz="4" w:space="0" w:color="auto"/>
              <w:bottom w:val="single" w:sz="12" w:space="0" w:color="auto"/>
            </w:tcBorders>
            <w:shd w:val="clear" w:color="auto" w:fill="auto"/>
            <w:vAlign w:val="bottom"/>
          </w:tcPr>
          <w:p w14:paraId="550D65B2" w14:textId="77777777" w:rsidR="00B92948" w:rsidRPr="003A1036" w:rsidRDefault="00B92948" w:rsidP="00DE02B2">
            <w:pPr>
              <w:pStyle w:val="SingleTxtG"/>
              <w:tabs>
                <w:tab w:val="clear" w:pos="1701"/>
                <w:tab w:val="clear" w:pos="2268"/>
                <w:tab w:val="clear" w:pos="2835"/>
              </w:tabs>
              <w:spacing w:before="80" w:after="80" w:line="200" w:lineRule="exact"/>
              <w:ind w:left="113" w:right="28"/>
              <w:jc w:val="right"/>
              <w:rPr>
                <w:i/>
                <w:sz w:val="16"/>
              </w:rPr>
            </w:pPr>
            <w:r w:rsidRPr="003A1036">
              <w:rPr>
                <w:i/>
                <w:iCs/>
                <w:sz w:val="16"/>
              </w:rPr>
              <w:t>2015</w:t>
            </w:r>
          </w:p>
        </w:tc>
        <w:tc>
          <w:tcPr>
            <w:tcW w:w="850" w:type="dxa"/>
            <w:tcBorders>
              <w:top w:val="single" w:sz="4" w:space="0" w:color="auto"/>
              <w:bottom w:val="single" w:sz="12" w:space="0" w:color="auto"/>
            </w:tcBorders>
            <w:shd w:val="clear" w:color="auto" w:fill="auto"/>
            <w:vAlign w:val="bottom"/>
          </w:tcPr>
          <w:p w14:paraId="7E033B05" w14:textId="77777777" w:rsidR="00B92948" w:rsidRPr="003A1036" w:rsidRDefault="00B92948" w:rsidP="00DE02B2">
            <w:pPr>
              <w:pStyle w:val="SingleTxtG"/>
              <w:tabs>
                <w:tab w:val="clear" w:pos="1701"/>
                <w:tab w:val="clear" w:pos="2268"/>
                <w:tab w:val="clear" w:pos="2835"/>
              </w:tabs>
              <w:spacing w:before="80" w:after="80" w:line="200" w:lineRule="exact"/>
              <w:ind w:left="113" w:right="28"/>
              <w:jc w:val="right"/>
              <w:rPr>
                <w:i/>
                <w:sz w:val="16"/>
              </w:rPr>
            </w:pPr>
            <w:r w:rsidRPr="003A1036">
              <w:rPr>
                <w:i/>
                <w:iCs/>
                <w:sz w:val="16"/>
              </w:rPr>
              <w:t>2016</w:t>
            </w:r>
          </w:p>
        </w:tc>
        <w:tc>
          <w:tcPr>
            <w:tcW w:w="851" w:type="dxa"/>
            <w:tcBorders>
              <w:top w:val="single" w:sz="4" w:space="0" w:color="auto"/>
              <w:bottom w:val="single" w:sz="12" w:space="0" w:color="auto"/>
            </w:tcBorders>
            <w:shd w:val="clear" w:color="auto" w:fill="auto"/>
            <w:vAlign w:val="bottom"/>
          </w:tcPr>
          <w:p w14:paraId="5CFC3B75" w14:textId="77777777" w:rsidR="00B92948" w:rsidRPr="003A1036" w:rsidRDefault="00B92948" w:rsidP="00DE02B2">
            <w:pPr>
              <w:pStyle w:val="SingleTxtG"/>
              <w:tabs>
                <w:tab w:val="clear" w:pos="1701"/>
                <w:tab w:val="clear" w:pos="2268"/>
                <w:tab w:val="clear" w:pos="2835"/>
              </w:tabs>
              <w:spacing w:before="80" w:after="80" w:line="200" w:lineRule="exact"/>
              <w:ind w:left="113" w:right="28"/>
              <w:jc w:val="right"/>
              <w:rPr>
                <w:i/>
                <w:sz w:val="16"/>
              </w:rPr>
            </w:pPr>
            <w:r w:rsidRPr="003A1036">
              <w:rPr>
                <w:i/>
                <w:iCs/>
                <w:sz w:val="16"/>
              </w:rPr>
              <w:t>2017</w:t>
            </w:r>
          </w:p>
        </w:tc>
        <w:tc>
          <w:tcPr>
            <w:tcW w:w="849" w:type="dxa"/>
            <w:tcBorders>
              <w:top w:val="single" w:sz="4" w:space="0" w:color="auto"/>
              <w:bottom w:val="single" w:sz="12" w:space="0" w:color="auto"/>
            </w:tcBorders>
            <w:shd w:val="clear" w:color="auto" w:fill="auto"/>
            <w:noWrap/>
            <w:vAlign w:val="bottom"/>
          </w:tcPr>
          <w:p w14:paraId="5381CF18" w14:textId="77777777" w:rsidR="00B92948" w:rsidRPr="003A1036" w:rsidRDefault="00B92948" w:rsidP="00DE02B2">
            <w:pPr>
              <w:pStyle w:val="SingleTxtG"/>
              <w:tabs>
                <w:tab w:val="clear" w:pos="1701"/>
                <w:tab w:val="clear" w:pos="2268"/>
                <w:tab w:val="clear" w:pos="2835"/>
              </w:tabs>
              <w:spacing w:before="80" w:after="80" w:line="200" w:lineRule="exact"/>
              <w:ind w:left="113" w:right="28"/>
              <w:jc w:val="right"/>
              <w:rPr>
                <w:i/>
                <w:sz w:val="16"/>
              </w:rPr>
            </w:pPr>
            <w:r w:rsidRPr="003A1036">
              <w:rPr>
                <w:i/>
                <w:iCs/>
                <w:sz w:val="16"/>
              </w:rPr>
              <w:t>2018</w:t>
            </w:r>
          </w:p>
        </w:tc>
      </w:tr>
      <w:tr w:rsidR="00B92948" w:rsidRPr="003A1036" w14:paraId="1006BED6" w14:textId="77777777" w:rsidTr="003A1036">
        <w:trPr>
          <w:trHeight w:val="240"/>
        </w:trPr>
        <w:tc>
          <w:tcPr>
            <w:tcW w:w="2694" w:type="dxa"/>
            <w:tcBorders>
              <w:top w:val="single" w:sz="12" w:space="0" w:color="auto"/>
            </w:tcBorders>
            <w:shd w:val="clear" w:color="auto" w:fill="auto"/>
          </w:tcPr>
          <w:p w14:paraId="3AB77A40" w14:textId="77777777" w:rsidR="00B92948" w:rsidRPr="003A1036" w:rsidRDefault="00B92948" w:rsidP="003A1036">
            <w:pPr>
              <w:pStyle w:val="SingleTxtG"/>
              <w:tabs>
                <w:tab w:val="clear" w:pos="1701"/>
                <w:tab w:val="clear" w:pos="2268"/>
                <w:tab w:val="clear" w:pos="2835"/>
              </w:tabs>
              <w:spacing w:before="40" w:after="40" w:line="220" w:lineRule="exact"/>
              <w:ind w:left="0" w:right="0"/>
              <w:jc w:val="left"/>
              <w:rPr>
                <w:sz w:val="18"/>
              </w:rPr>
            </w:pPr>
            <w:r w:rsidRPr="003A1036">
              <w:rPr>
                <w:sz w:val="18"/>
              </w:rPr>
              <w:t>Nacionales</w:t>
            </w:r>
          </w:p>
        </w:tc>
        <w:tc>
          <w:tcPr>
            <w:tcW w:w="1275" w:type="dxa"/>
            <w:tcBorders>
              <w:top w:val="single" w:sz="12" w:space="0" w:color="auto"/>
            </w:tcBorders>
            <w:shd w:val="clear" w:color="auto" w:fill="auto"/>
            <w:vAlign w:val="bottom"/>
          </w:tcPr>
          <w:p w14:paraId="2BD9AC3D" w14:textId="77777777" w:rsidR="00B92948" w:rsidRPr="003A1036" w:rsidRDefault="00B92948" w:rsidP="00DE02B2">
            <w:pPr>
              <w:pStyle w:val="SingleTxtG"/>
              <w:tabs>
                <w:tab w:val="clear" w:pos="1701"/>
                <w:tab w:val="clear" w:pos="2268"/>
                <w:tab w:val="clear" w:pos="2835"/>
              </w:tabs>
              <w:spacing w:before="40" w:after="40" w:line="220" w:lineRule="exact"/>
              <w:ind w:left="113" w:right="28"/>
              <w:jc w:val="right"/>
              <w:rPr>
                <w:sz w:val="18"/>
              </w:rPr>
            </w:pPr>
            <w:r w:rsidRPr="003A1036">
              <w:rPr>
                <w:sz w:val="18"/>
              </w:rPr>
              <w:t>6</w:t>
            </w:r>
          </w:p>
        </w:tc>
        <w:tc>
          <w:tcPr>
            <w:tcW w:w="851" w:type="dxa"/>
            <w:tcBorders>
              <w:top w:val="single" w:sz="12" w:space="0" w:color="auto"/>
            </w:tcBorders>
            <w:shd w:val="clear" w:color="auto" w:fill="auto"/>
            <w:vAlign w:val="bottom"/>
          </w:tcPr>
          <w:p w14:paraId="58B16278" w14:textId="77777777" w:rsidR="00B92948" w:rsidRPr="003A1036" w:rsidRDefault="00B92948" w:rsidP="00DE02B2">
            <w:pPr>
              <w:pStyle w:val="SingleTxtG"/>
              <w:tabs>
                <w:tab w:val="clear" w:pos="1701"/>
                <w:tab w:val="clear" w:pos="2268"/>
                <w:tab w:val="clear" w:pos="2835"/>
              </w:tabs>
              <w:spacing w:before="40" w:after="40" w:line="220" w:lineRule="exact"/>
              <w:ind w:left="113" w:right="28"/>
              <w:jc w:val="right"/>
              <w:rPr>
                <w:sz w:val="18"/>
              </w:rPr>
            </w:pPr>
            <w:r w:rsidRPr="003A1036">
              <w:rPr>
                <w:sz w:val="18"/>
              </w:rPr>
              <w:t>3</w:t>
            </w:r>
          </w:p>
        </w:tc>
        <w:tc>
          <w:tcPr>
            <w:tcW w:w="850" w:type="dxa"/>
            <w:tcBorders>
              <w:top w:val="single" w:sz="12" w:space="0" w:color="auto"/>
            </w:tcBorders>
            <w:shd w:val="clear" w:color="auto" w:fill="auto"/>
            <w:vAlign w:val="bottom"/>
          </w:tcPr>
          <w:p w14:paraId="281B8C48" w14:textId="77777777" w:rsidR="00B92948" w:rsidRPr="003A1036" w:rsidRDefault="00B92948" w:rsidP="00DE02B2">
            <w:pPr>
              <w:pStyle w:val="SingleTxtG"/>
              <w:tabs>
                <w:tab w:val="clear" w:pos="1701"/>
                <w:tab w:val="clear" w:pos="2268"/>
                <w:tab w:val="clear" w:pos="2835"/>
              </w:tabs>
              <w:spacing w:before="40" w:after="40" w:line="220" w:lineRule="exact"/>
              <w:ind w:left="113" w:right="28"/>
              <w:jc w:val="right"/>
              <w:rPr>
                <w:sz w:val="18"/>
              </w:rPr>
            </w:pPr>
            <w:r w:rsidRPr="003A1036">
              <w:rPr>
                <w:sz w:val="18"/>
              </w:rPr>
              <w:t>3</w:t>
            </w:r>
          </w:p>
        </w:tc>
        <w:tc>
          <w:tcPr>
            <w:tcW w:w="851" w:type="dxa"/>
            <w:tcBorders>
              <w:top w:val="single" w:sz="12" w:space="0" w:color="auto"/>
            </w:tcBorders>
            <w:shd w:val="clear" w:color="auto" w:fill="auto"/>
            <w:vAlign w:val="bottom"/>
          </w:tcPr>
          <w:p w14:paraId="43E17535" w14:textId="77777777" w:rsidR="00B92948" w:rsidRPr="003A1036" w:rsidRDefault="00B92948" w:rsidP="00DE02B2">
            <w:pPr>
              <w:pStyle w:val="SingleTxtG"/>
              <w:tabs>
                <w:tab w:val="clear" w:pos="1701"/>
                <w:tab w:val="clear" w:pos="2268"/>
                <w:tab w:val="clear" w:pos="2835"/>
              </w:tabs>
              <w:spacing w:before="40" w:after="40" w:line="220" w:lineRule="exact"/>
              <w:ind w:left="113" w:right="28"/>
              <w:jc w:val="right"/>
              <w:rPr>
                <w:sz w:val="18"/>
              </w:rPr>
            </w:pPr>
            <w:r w:rsidRPr="003A1036">
              <w:rPr>
                <w:sz w:val="18"/>
              </w:rPr>
              <w:t>2</w:t>
            </w:r>
          </w:p>
        </w:tc>
        <w:tc>
          <w:tcPr>
            <w:tcW w:w="849" w:type="dxa"/>
            <w:tcBorders>
              <w:top w:val="single" w:sz="12" w:space="0" w:color="auto"/>
            </w:tcBorders>
            <w:shd w:val="clear" w:color="auto" w:fill="auto"/>
            <w:noWrap/>
            <w:vAlign w:val="bottom"/>
          </w:tcPr>
          <w:p w14:paraId="3B5A3DEF" w14:textId="77777777" w:rsidR="00B92948" w:rsidRPr="003A1036" w:rsidRDefault="00B92948" w:rsidP="00DE02B2">
            <w:pPr>
              <w:pStyle w:val="SingleTxtG"/>
              <w:tabs>
                <w:tab w:val="clear" w:pos="1701"/>
                <w:tab w:val="clear" w:pos="2268"/>
                <w:tab w:val="clear" w:pos="2835"/>
              </w:tabs>
              <w:spacing w:before="40" w:after="40" w:line="220" w:lineRule="exact"/>
              <w:ind w:left="113" w:right="28"/>
              <w:jc w:val="right"/>
              <w:rPr>
                <w:sz w:val="18"/>
              </w:rPr>
            </w:pPr>
            <w:r w:rsidRPr="003A1036">
              <w:rPr>
                <w:sz w:val="18"/>
              </w:rPr>
              <w:t>3</w:t>
            </w:r>
          </w:p>
        </w:tc>
      </w:tr>
      <w:tr w:rsidR="00B92948" w:rsidRPr="003A1036" w14:paraId="5BBE1F0A" w14:textId="77777777" w:rsidTr="00DE02B2">
        <w:trPr>
          <w:trHeight w:val="240"/>
        </w:trPr>
        <w:tc>
          <w:tcPr>
            <w:tcW w:w="2694" w:type="dxa"/>
            <w:tcBorders>
              <w:bottom w:val="single" w:sz="4" w:space="0" w:color="auto"/>
            </w:tcBorders>
            <w:shd w:val="clear" w:color="auto" w:fill="auto"/>
          </w:tcPr>
          <w:p w14:paraId="6DD3D661" w14:textId="77777777" w:rsidR="00B92948" w:rsidRPr="003A1036" w:rsidRDefault="00B92948" w:rsidP="003A1036">
            <w:pPr>
              <w:pStyle w:val="SingleTxtG"/>
              <w:tabs>
                <w:tab w:val="clear" w:pos="1701"/>
                <w:tab w:val="clear" w:pos="2268"/>
                <w:tab w:val="clear" w:pos="2835"/>
              </w:tabs>
              <w:spacing w:before="40" w:after="40" w:line="220" w:lineRule="exact"/>
              <w:ind w:left="0" w:right="0"/>
              <w:jc w:val="left"/>
              <w:rPr>
                <w:sz w:val="18"/>
              </w:rPr>
            </w:pPr>
            <w:r w:rsidRPr="003A1036">
              <w:rPr>
                <w:sz w:val="18"/>
              </w:rPr>
              <w:t>Extranjeros</w:t>
            </w:r>
          </w:p>
        </w:tc>
        <w:tc>
          <w:tcPr>
            <w:tcW w:w="1275" w:type="dxa"/>
            <w:tcBorders>
              <w:bottom w:val="single" w:sz="4" w:space="0" w:color="auto"/>
            </w:tcBorders>
            <w:shd w:val="clear" w:color="auto" w:fill="auto"/>
            <w:vAlign w:val="bottom"/>
          </w:tcPr>
          <w:p w14:paraId="72D441BE" w14:textId="77777777" w:rsidR="00B92948" w:rsidRPr="003A1036" w:rsidRDefault="00B92948" w:rsidP="00DE02B2">
            <w:pPr>
              <w:pStyle w:val="SingleTxtG"/>
              <w:tabs>
                <w:tab w:val="clear" w:pos="1701"/>
                <w:tab w:val="clear" w:pos="2268"/>
                <w:tab w:val="clear" w:pos="2835"/>
              </w:tabs>
              <w:spacing w:before="40" w:after="40" w:line="220" w:lineRule="exact"/>
              <w:ind w:left="113" w:right="28"/>
              <w:jc w:val="right"/>
              <w:rPr>
                <w:sz w:val="18"/>
              </w:rPr>
            </w:pPr>
            <w:r w:rsidRPr="003A1036">
              <w:rPr>
                <w:sz w:val="18"/>
              </w:rPr>
              <w:t>-</w:t>
            </w:r>
          </w:p>
        </w:tc>
        <w:tc>
          <w:tcPr>
            <w:tcW w:w="851" w:type="dxa"/>
            <w:tcBorders>
              <w:bottom w:val="single" w:sz="4" w:space="0" w:color="auto"/>
            </w:tcBorders>
            <w:shd w:val="clear" w:color="auto" w:fill="auto"/>
            <w:vAlign w:val="bottom"/>
          </w:tcPr>
          <w:p w14:paraId="53EB15A0" w14:textId="77777777" w:rsidR="00B92948" w:rsidRPr="003A1036" w:rsidRDefault="00B92948" w:rsidP="00DE02B2">
            <w:pPr>
              <w:pStyle w:val="SingleTxtG"/>
              <w:tabs>
                <w:tab w:val="clear" w:pos="1701"/>
                <w:tab w:val="clear" w:pos="2268"/>
                <w:tab w:val="clear" w:pos="2835"/>
              </w:tabs>
              <w:spacing w:before="40" w:after="40" w:line="220" w:lineRule="exact"/>
              <w:ind w:left="113" w:right="28"/>
              <w:jc w:val="right"/>
              <w:rPr>
                <w:sz w:val="18"/>
              </w:rPr>
            </w:pPr>
            <w:r w:rsidRPr="003A1036">
              <w:rPr>
                <w:sz w:val="18"/>
              </w:rPr>
              <w:t>-</w:t>
            </w:r>
          </w:p>
        </w:tc>
        <w:tc>
          <w:tcPr>
            <w:tcW w:w="850" w:type="dxa"/>
            <w:tcBorders>
              <w:bottom w:val="single" w:sz="4" w:space="0" w:color="auto"/>
            </w:tcBorders>
            <w:shd w:val="clear" w:color="auto" w:fill="auto"/>
            <w:vAlign w:val="bottom"/>
          </w:tcPr>
          <w:p w14:paraId="7CA981D9" w14:textId="77777777" w:rsidR="00B92948" w:rsidRPr="003A1036" w:rsidRDefault="00B92948" w:rsidP="00DE02B2">
            <w:pPr>
              <w:pStyle w:val="SingleTxtG"/>
              <w:tabs>
                <w:tab w:val="clear" w:pos="1701"/>
                <w:tab w:val="clear" w:pos="2268"/>
                <w:tab w:val="clear" w:pos="2835"/>
              </w:tabs>
              <w:spacing w:before="40" w:after="40" w:line="220" w:lineRule="exact"/>
              <w:ind w:left="113" w:right="28"/>
              <w:jc w:val="right"/>
              <w:rPr>
                <w:sz w:val="18"/>
              </w:rPr>
            </w:pPr>
            <w:r w:rsidRPr="003A1036">
              <w:rPr>
                <w:sz w:val="18"/>
              </w:rPr>
              <w:t>-</w:t>
            </w:r>
          </w:p>
        </w:tc>
        <w:tc>
          <w:tcPr>
            <w:tcW w:w="851" w:type="dxa"/>
            <w:tcBorders>
              <w:bottom w:val="single" w:sz="4" w:space="0" w:color="auto"/>
            </w:tcBorders>
            <w:shd w:val="clear" w:color="auto" w:fill="auto"/>
            <w:vAlign w:val="bottom"/>
          </w:tcPr>
          <w:p w14:paraId="0DE76329" w14:textId="77777777" w:rsidR="00B92948" w:rsidRPr="003A1036" w:rsidRDefault="00B92948" w:rsidP="00DE02B2">
            <w:pPr>
              <w:pStyle w:val="SingleTxtG"/>
              <w:tabs>
                <w:tab w:val="clear" w:pos="1701"/>
                <w:tab w:val="clear" w:pos="2268"/>
                <w:tab w:val="clear" w:pos="2835"/>
              </w:tabs>
              <w:spacing w:before="40" w:after="40" w:line="220" w:lineRule="exact"/>
              <w:ind w:left="113" w:right="28"/>
              <w:jc w:val="right"/>
              <w:rPr>
                <w:sz w:val="18"/>
              </w:rPr>
            </w:pPr>
            <w:r w:rsidRPr="003A1036">
              <w:rPr>
                <w:sz w:val="18"/>
              </w:rPr>
              <w:t>-</w:t>
            </w:r>
          </w:p>
        </w:tc>
        <w:tc>
          <w:tcPr>
            <w:tcW w:w="849" w:type="dxa"/>
            <w:tcBorders>
              <w:bottom w:val="single" w:sz="4" w:space="0" w:color="auto"/>
            </w:tcBorders>
            <w:shd w:val="clear" w:color="auto" w:fill="auto"/>
            <w:noWrap/>
            <w:vAlign w:val="bottom"/>
          </w:tcPr>
          <w:p w14:paraId="00D3E328" w14:textId="77777777" w:rsidR="00B92948" w:rsidRPr="003A1036" w:rsidRDefault="00B92948" w:rsidP="00DE02B2">
            <w:pPr>
              <w:pStyle w:val="SingleTxtG"/>
              <w:tabs>
                <w:tab w:val="clear" w:pos="1701"/>
                <w:tab w:val="clear" w:pos="2268"/>
                <w:tab w:val="clear" w:pos="2835"/>
              </w:tabs>
              <w:spacing w:before="40" w:after="40" w:line="220" w:lineRule="exact"/>
              <w:ind w:left="113" w:right="28"/>
              <w:jc w:val="right"/>
              <w:rPr>
                <w:sz w:val="18"/>
              </w:rPr>
            </w:pPr>
            <w:r w:rsidRPr="003A1036">
              <w:rPr>
                <w:sz w:val="18"/>
              </w:rPr>
              <w:t>1</w:t>
            </w:r>
          </w:p>
        </w:tc>
      </w:tr>
      <w:tr w:rsidR="00B92948" w:rsidRPr="00DE02B2" w14:paraId="282A4E7C" w14:textId="77777777" w:rsidTr="00DE02B2">
        <w:trPr>
          <w:trHeight w:val="240"/>
        </w:trPr>
        <w:tc>
          <w:tcPr>
            <w:tcW w:w="2694" w:type="dxa"/>
            <w:tcBorders>
              <w:top w:val="single" w:sz="4" w:space="0" w:color="auto"/>
              <w:bottom w:val="single" w:sz="12" w:space="0" w:color="auto"/>
            </w:tcBorders>
            <w:shd w:val="clear" w:color="auto" w:fill="auto"/>
          </w:tcPr>
          <w:p w14:paraId="27B9B49A" w14:textId="77777777" w:rsidR="00B92948" w:rsidRPr="00DE02B2" w:rsidRDefault="00B92948" w:rsidP="00DE02B2">
            <w:pPr>
              <w:pStyle w:val="SingleTxtG"/>
              <w:tabs>
                <w:tab w:val="clear" w:pos="1701"/>
                <w:tab w:val="clear" w:pos="2268"/>
                <w:tab w:val="clear" w:pos="2835"/>
              </w:tabs>
              <w:spacing w:before="80" w:after="80" w:line="220" w:lineRule="exact"/>
              <w:ind w:left="283" w:right="0"/>
              <w:jc w:val="left"/>
              <w:rPr>
                <w:b/>
                <w:sz w:val="18"/>
              </w:rPr>
            </w:pPr>
            <w:r w:rsidRPr="00DE02B2">
              <w:rPr>
                <w:b/>
                <w:bCs/>
                <w:sz w:val="18"/>
              </w:rPr>
              <w:t>Total</w:t>
            </w:r>
          </w:p>
        </w:tc>
        <w:tc>
          <w:tcPr>
            <w:tcW w:w="1275" w:type="dxa"/>
            <w:tcBorders>
              <w:top w:val="single" w:sz="4" w:space="0" w:color="auto"/>
              <w:bottom w:val="single" w:sz="12" w:space="0" w:color="auto"/>
            </w:tcBorders>
            <w:shd w:val="clear" w:color="auto" w:fill="auto"/>
            <w:vAlign w:val="bottom"/>
          </w:tcPr>
          <w:p w14:paraId="1A524174" w14:textId="77777777" w:rsidR="00B92948" w:rsidRPr="00DE02B2" w:rsidRDefault="00B92948" w:rsidP="00DE02B2">
            <w:pPr>
              <w:pStyle w:val="SingleTxtG"/>
              <w:tabs>
                <w:tab w:val="clear" w:pos="1701"/>
                <w:tab w:val="clear" w:pos="2268"/>
                <w:tab w:val="clear" w:pos="2835"/>
              </w:tabs>
              <w:spacing w:before="80" w:after="80" w:line="220" w:lineRule="exact"/>
              <w:ind w:left="0" w:right="28"/>
              <w:jc w:val="right"/>
              <w:rPr>
                <w:b/>
                <w:sz w:val="18"/>
              </w:rPr>
            </w:pPr>
            <w:r w:rsidRPr="00DE02B2">
              <w:rPr>
                <w:b/>
                <w:bCs/>
                <w:sz w:val="18"/>
              </w:rPr>
              <w:t>6</w:t>
            </w:r>
          </w:p>
        </w:tc>
        <w:tc>
          <w:tcPr>
            <w:tcW w:w="851" w:type="dxa"/>
            <w:tcBorders>
              <w:top w:val="single" w:sz="4" w:space="0" w:color="auto"/>
              <w:bottom w:val="single" w:sz="12" w:space="0" w:color="auto"/>
            </w:tcBorders>
            <w:shd w:val="clear" w:color="auto" w:fill="auto"/>
            <w:vAlign w:val="bottom"/>
          </w:tcPr>
          <w:p w14:paraId="60A5B9E2" w14:textId="77777777" w:rsidR="00B92948" w:rsidRPr="00DE02B2" w:rsidRDefault="00B92948" w:rsidP="00DE02B2">
            <w:pPr>
              <w:pStyle w:val="SingleTxtG"/>
              <w:tabs>
                <w:tab w:val="clear" w:pos="1701"/>
                <w:tab w:val="clear" w:pos="2268"/>
                <w:tab w:val="clear" w:pos="2835"/>
              </w:tabs>
              <w:spacing w:before="80" w:after="80" w:line="220" w:lineRule="exact"/>
              <w:ind w:left="0" w:right="28"/>
              <w:jc w:val="right"/>
              <w:rPr>
                <w:b/>
                <w:sz w:val="18"/>
              </w:rPr>
            </w:pPr>
            <w:r w:rsidRPr="00DE02B2">
              <w:rPr>
                <w:b/>
                <w:bCs/>
                <w:sz w:val="18"/>
              </w:rPr>
              <w:t>3</w:t>
            </w:r>
          </w:p>
        </w:tc>
        <w:tc>
          <w:tcPr>
            <w:tcW w:w="850" w:type="dxa"/>
            <w:tcBorders>
              <w:top w:val="single" w:sz="4" w:space="0" w:color="auto"/>
              <w:bottom w:val="single" w:sz="12" w:space="0" w:color="auto"/>
            </w:tcBorders>
            <w:shd w:val="clear" w:color="auto" w:fill="auto"/>
            <w:vAlign w:val="bottom"/>
          </w:tcPr>
          <w:p w14:paraId="50D8FC86" w14:textId="77777777" w:rsidR="00B92948" w:rsidRPr="00DE02B2" w:rsidRDefault="00B92948" w:rsidP="00DE02B2">
            <w:pPr>
              <w:pStyle w:val="SingleTxtG"/>
              <w:tabs>
                <w:tab w:val="clear" w:pos="1701"/>
                <w:tab w:val="clear" w:pos="2268"/>
                <w:tab w:val="clear" w:pos="2835"/>
              </w:tabs>
              <w:spacing w:before="80" w:after="80" w:line="220" w:lineRule="exact"/>
              <w:ind w:left="0" w:right="28"/>
              <w:jc w:val="right"/>
              <w:rPr>
                <w:b/>
                <w:sz w:val="18"/>
              </w:rPr>
            </w:pPr>
            <w:r w:rsidRPr="00DE02B2">
              <w:rPr>
                <w:b/>
                <w:bCs/>
                <w:sz w:val="18"/>
              </w:rPr>
              <w:t>3</w:t>
            </w:r>
          </w:p>
        </w:tc>
        <w:tc>
          <w:tcPr>
            <w:tcW w:w="851" w:type="dxa"/>
            <w:tcBorders>
              <w:top w:val="single" w:sz="4" w:space="0" w:color="auto"/>
              <w:bottom w:val="single" w:sz="12" w:space="0" w:color="auto"/>
            </w:tcBorders>
            <w:shd w:val="clear" w:color="auto" w:fill="auto"/>
            <w:vAlign w:val="bottom"/>
          </w:tcPr>
          <w:p w14:paraId="2F5C9053" w14:textId="77777777" w:rsidR="00B92948" w:rsidRPr="00DE02B2" w:rsidRDefault="00B92948" w:rsidP="00DE02B2">
            <w:pPr>
              <w:pStyle w:val="SingleTxtG"/>
              <w:tabs>
                <w:tab w:val="clear" w:pos="1701"/>
                <w:tab w:val="clear" w:pos="2268"/>
                <w:tab w:val="clear" w:pos="2835"/>
              </w:tabs>
              <w:spacing w:before="80" w:after="80" w:line="220" w:lineRule="exact"/>
              <w:ind w:left="0" w:right="28"/>
              <w:jc w:val="right"/>
              <w:rPr>
                <w:b/>
                <w:sz w:val="18"/>
              </w:rPr>
            </w:pPr>
            <w:r w:rsidRPr="00DE02B2">
              <w:rPr>
                <w:b/>
                <w:bCs/>
                <w:sz w:val="18"/>
              </w:rPr>
              <w:t>2</w:t>
            </w:r>
          </w:p>
        </w:tc>
        <w:tc>
          <w:tcPr>
            <w:tcW w:w="849" w:type="dxa"/>
            <w:tcBorders>
              <w:top w:val="single" w:sz="4" w:space="0" w:color="auto"/>
              <w:bottom w:val="single" w:sz="12" w:space="0" w:color="auto"/>
            </w:tcBorders>
            <w:shd w:val="clear" w:color="auto" w:fill="auto"/>
            <w:noWrap/>
            <w:vAlign w:val="bottom"/>
          </w:tcPr>
          <w:p w14:paraId="0D198C5C" w14:textId="77777777" w:rsidR="00B92948" w:rsidRPr="00DE02B2" w:rsidRDefault="00B92948" w:rsidP="00DE02B2">
            <w:pPr>
              <w:pStyle w:val="SingleTxtG"/>
              <w:tabs>
                <w:tab w:val="clear" w:pos="1701"/>
                <w:tab w:val="clear" w:pos="2268"/>
                <w:tab w:val="clear" w:pos="2835"/>
              </w:tabs>
              <w:spacing w:before="80" w:after="80" w:line="220" w:lineRule="exact"/>
              <w:ind w:left="0" w:right="28"/>
              <w:jc w:val="right"/>
              <w:rPr>
                <w:b/>
                <w:sz w:val="18"/>
              </w:rPr>
            </w:pPr>
            <w:r w:rsidRPr="00DE02B2">
              <w:rPr>
                <w:b/>
                <w:bCs/>
                <w:sz w:val="18"/>
              </w:rPr>
              <w:t>4</w:t>
            </w:r>
          </w:p>
        </w:tc>
      </w:tr>
    </w:tbl>
    <w:p w14:paraId="7A11B333" w14:textId="77777777" w:rsidR="00B92948" w:rsidRPr="00B92948" w:rsidRDefault="00B92948" w:rsidP="00DE02B2">
      <w:pPr>
        <w:pStyle w:val="SingleTxtG"/>
        <w:spacing w:before="240"/>
      </w:pPr>
      <w:r w:rsidRPr="00B92948">
        <w:t>199.</w:t>
      </w:r>
      <w:r w:rsidRPr="00B92948">
        <w:tab/>
        <w:t>Todos los niños identificados como víctimas de la trata de personas con fines de explotación sexual se incluyeron en un programa de reintegración y socialización.</w:t>
      </w:r>
    </w:p>
    <w:p w14:paraId="1414A8A9" w14:textId="77777777" w:rsidR="00B92948" w:rsidRPr="00DE02B2" w:rsidRDefault="00B92948" w:rsidP="0095553A">
      <w:pPr>
        <w:pStyle w:val="H23G"/>
      </w:pPr>
      <w:r w:rsidRPr="00B92948">
        <w:tab/>
      </w:r>
      <w:r w:rsidR="0095553A">
        <w:tab/>
      </w:r>
      <w:r w:rsidRPr="00B92948">
        <w:t xml:space="preserve">Número de casos denunciados de explotación sexual, abuso sexual, venta </w:t>
      </w:r>
      <w:r w:rsidR="0095553A">
        <w:br/>
      </w:r>
      <w:r w:rsidRPr="00B92948">
        <w:t xml:space="preserve">de niños, secuestro de niños y violencia contra niños durante el período </w:t>
      </w:r>
      <w:r w:rsidR="0095553A">
        <w:br/>
      </w:r>
      <w:r w:rsidRPr="00B92948">
        <w:t>sobre el que se informa</w:t>
      </w:r>
      <w:r w:rsidRPr="00DE02B2">
        <w:rPr>
          <w:rStyle w:val="Refdenotaalpie"/>
          <w:b w:val="0"/>
          <w:bCs/>
        </w:rPr>
        <w:footnoteReference w:id="51"/>
      </w:r>
      <w:bookmarkStart w:id="84" w:name="_Toc56781482"/>
      <w:bookmarkEnd w:id="84"/>
    </w:p>
    <w:tbl>
      <w:tblPr>
        <w:tblW w:w="7370" w:type="dxa"/>
        <w:tblInd w:w="1134" w:type="dxa"/>
        <w:tblBorders>
          <w:top w:val="single" w:sz="4" w:space="0" w:color="auto"/>
        </w:tblBorders>
        <w:tblCellMar>
          <w:left w:w="0" w:type="dxa"/>
          <w:right w:w="0" w:type="dxa"/>
        </w:tblCellMar>
        <w:tblLook w:val="0000" w:firstRow="0" w:lastRow="0" w:firstColumn="0" w:lastColumn="0" w:noHBand="0" w:noVBand="0"/>
      </w:tblPr>
      <w:tblGrid>
        <w:gridCol w:w="2687"/>
        <w:gridCol w:w="1272"/>
        <w:gridCol w:w="849"/>
        <w:gridCol w:w="848"/>
        <w:gridCol w:w="849"/>
        <w:gridCol w:w="865"/>
      </w:tblGrid>
      <w:tr w:rsidR="00B92948" w:rsidRPr="003A1036" w14:paraId="3255C626" w14:textId="77777777" w:rsidTr="003A1036">
        <w:trPr>
          <w:trHeight w:val="240"/>
          <w:tblHeader/>
        </w:trPr>
        <w:tc>
          <w:tcPr>
            <w:tcW w:w="2694" w:type="dxa"/>
            <w:tcBorders>
              <w:top w:val="single" w:sz="4" w:space="0" w:color="auto"/>
              <w:bottom w:val="single" w:sz="12" w:space="0" w:color="auto"/>
            </w:tcBorders>
            <w:shd w:val="clear" w:color="auto" w:fill="auto"/>
            <w:vAlign w:val="bottom"/>
          </w:tcPr>
          <w:p w14:paraId="77971C0E" w14:textId="77777777" w:rsidR="00B92948" w:rsidRPr="003A1036" w:rsidRDefault="00B92948" w:rsidP="003A1036">
            <w:pPr>
              <w:pStyle w:val="SingleTxtG"/>
              <w:tabs>
                <w:tab w:val="clear" w:pos="1701"/>
                <w:tab w:val="clear" w:pos="2268"/>
                <w:tab w:val="clear" w:pos="2835"/>
              </w:tabs>
              <w:spacing w:before="80" w:after="80" w:line="200" w:lineRule="exact"/>
              <w:ind w:left="0" w:right="0"/>
              <w:jc w:val="left"/>
              <w:rPr>
                <w:i/>
                <w:sz w:val="16"/>
              </w:rPr>
            </w:pPr>
            <w:r w:rsidRPr="003A1036">
              <w:rPr>
                <w:i/>
                <w:iCs/>
                <w:sz w:val="16"/>
              </w:rPr>
              <w:t>Año de identificación de los niños víctimas de la trata con fines de explotación sexual</w:t>
            </w:r>
          </w:p>
        </w:tc>
        <w:tc>
          <w:tcPr>
            <w:tcW w:w="1275" w:type="dxa"/>
            <w:tcBorders>
              <w:top w:val="single" w:sz="4" w:space="0" w:color="auto"/>
              <w:bottom w:val="single" w:sz="12" w:space="0" w:color="auto"/>
            </w:tcBorders>
            <w:shd w:val="clear" w:color="auto" w:fill="auto"/>
            <w:vAlign w:val="bottom"/>
          </w:tcPr>
          <w:p w14:paraId="7B1C3BEB" w14:textId="77777777" w:rsidR="00B92948" w:rsidRPr="003A1036" w:rsidRDefault="00B92948" w:rsidP="00DE02B2">
            <w:pPr>
              <w:pStyle w:val="SingleTxtG"/>
              <w:tabs>
                <w:tab w:val="clear" w:pos="1701"/>
                <w:tab w:val="clear" w:pos="2268"/>
                <w:tab w:val="clear" w:pos="2835"/>
              </w:tabs>
              <w:spacing w:before="80" w:after="80" w:line="200" w:lineRule="exact"/>
              <w:ind w:left="113" w:right="28"/>
              <w:jc w:val="right"/>
              <w:rPr>
                <w:i/>
                <w:sz w:val="16"/>
              </w:rPr>
            </w:pPr>
            <w:r w:rsidRPr="003A1036">
              <w:rPr>
                <w:i/>
                <w:iCs/>
                <w:sz w:val="16"/>
              </w:rPr>
              <w:t>2014</w:t>
            </w:r>
          </w:p>
        </w:tc>
        <w:tc>
          <w:tcPr>
            <w:tcW w:w="851" w:type="dxa"/>
            <w:tcBorders>
              <w:top w:val="single" w:sz="4" w:space="0" w:color="auto"/>
              <w:bottom w:val="single" w:sz="12" w:space="0" w:color="auto"/>
            </w:tcBorders>
            <w:shd w:val="clear" w:color="auto" w:fill="auto"/>
            <w:vAlign w:val="bottom"/>
          </w:tcPr>
          <w:p w14:paraId="0533A9E0" w14:textId="77777777" w:rsidR="00B92948" w:rsidRPr="003A1036" w:rsidRDefault="00B92948" w:rsidP="00DE02B2">
            <w:pPr>
              <w:pStyle w:val="SingleTxtG"/>
              <w:tabs>
                <w:tab w:val="clear" w:pos="1701"/>
                <w:tab w:val="clear" w:pos="2268"/>
                <w:tab w:val="clear" w:pos="2835"/>
              </w:tabs>
              <w:spacing w:before="80" w:after="80" w:line="200" w:lineRule="exact"/>
              <w:ind w:left="113" w:right="28"/>
              <w:jc w:val="right"/>
              <w:rPr>
                <w:i/>
                <w:sz w:val="16"/>
              </w:rPr>
            </w:pPr>
            <w:r w:rsidRPr="003A1036">
              <w:rPr>
                <w:i/>
                <w:iCs/>
                <w:sz w:val="16"/>
              </w:rPr>
              <w:t>2015</w:t>
            </w:r>
          </w:p>
        </w:tc>
        <w:tc>
          <w:tcPr>
            <w:tcW w:w="850" w:type="dxa"/>
            <w:tcBorders>
              <w:top w:val="single" w:sz="4" w:space="0" w:color="auto"/>
              <w:bottom w:val="single" w:sz="12" w:space="0" w:color="auto"/>
            </w:tcBorders>
            <w:shd w:val="clear" w:color="auto" w:fill="auto"/>
            <w:vAlign w:val="bottom"/>
          </w:tcPr>
          <w:p w14:paraId="2A08A176" w14:textId="77777777" w:rsidR="00B92948" w:rsidRPr="003A1036" w:rsidRDefault="00B92948" w:rsidP="00DE02B2">
            <w:pPr>
              <w:pStyle w:val="SingleTxtG"/>
              <w:tabs>
                <w:tab w:val="clear" w:pos="1701"/>
                <w:tab w:val="clear" w:pos="2268"/>
                <w:tab w:val="clear" w:pos="2835"/>
              </w:tabs>
              <w:spacing w:before="80" w:after="80" w:line="200" w:lineRule="exact"/>
              <w:ind w:left="113" w:right="28"/>
              <w:jc w:val="right"/>
              <w:rPr>
                <w:i/>
                <w:sz w:val="16"/>
              </w:rPr>
            </w:pPr>
            <w:r w:rsidRPr="003A1036">
              <w:rPr>
                <w:i/>
                <w:iCs/>
                <w:sz w:val="16"/>
              </w:rPr>
              <w:t>2016</w:t>
            </w:r>
          </w:p>
        </w:tc>
        <w:tc>
          <w:tcPr>
            <w:tcW w:w="851" w:type="dxa"/>
            <w:tcBorders>
              <w:top w:val="single" w:sz="4" w:space="0" w:color="auto"/>
              <w:bottom w:val="single" w:sz="12" w:space="0" w:color="auto"/>
            </w:tcBorders>
            <w:shd w:val="clear" w:color="auto" w:fill="auto"/>
            <w:vAlign w:val="bottom"/>
          </w:tcPr>
          <w:p w14:paraId="2826F05A" w14:textId="77777777" w:rsidR="00B92948" w:rsidRPr="003A1036" w:rsidRDefault="00B92948" w:rsidP="00DE02B2">
            <w:pPr>
              <w:pStyle w:val="SingleTxtG"/>
              <w:tabs>
                <w:tab w:val="clear" w:pos="1701"/>
                <w:tab w:val="clear" w:pos="2268"/>
                <w:tab w:val="clear" w:pos="2835"/>
              </w:tabs>
              <w:spacing w:before="80" w:after="80" w:line="200" w:lineRule="exact"/>
              <w:ind w:left="113" w:right="28"/>
              <w:jc w:val="right"/>
              <w:rPr>
                <w:i/>
                <w:sz w:val="16"/>
              </w:rPr>
            </w:pPr>
            <w:r w:rsidRPr="003A1036">
              <w:rPr>
                <w:i/>
                <w:iCs/>
                <w:sz w:val="16"/>
              </w:rPr>
              <w:t>2017</w:t>
            </w:r>
          </w:p>
        </w:tc>
        <w:tc>
          <w:tcPr>
            <w:tcW w:w="849" w:type="dxa"/>
            <w:tcBorders>
              <w:top w:val="single" w:sz="4" w:space="0" w:color="auto"/>
              <w:bottom w:val="single" w:sz="12" w:space="0" w:color="auto"/>
            </w:tcBorders>
            <w:shd w:val="clear" w:color="auto" w:fill="auto"/>
            <w:noWrap/>
            <w:vAlign w:val="bottom"/>
          </w:tcPr>
          <w:p w14:paraId="78DF8748" w14:textId="77777777" w:rsidR="00B92948" w:rsidRPr="003A1036" w:rsidRDefault="00B92948" w:rsidP="00DE02B2">
            <w:pPr>
              <w:pStyle w:val="SingleTxtG"/>
              <w:tabs>
                <w:tab w:val="clear" w:pos="1701"/>
                <w:tab w:val="clear" w:pos="2268"/>
                <w:tab w:val="clear" w:pos="2835"/>
              </w:tabs>
              <w:spacing w:before="80" w:after="80" w:line="200" w:lineRule="exact"/>
              <w:ind w:left="113" w:right="28"/>
              <w:jc w:val="right"/>
              <w:rPr>
                <w:i/>
                <w:sz w:val="16"/>
              </w:rPr>
            </w:pPr>
            <w:r w:rsidRPr="003A1036">
              <w:rPr>
                <w:i/>
                <w:iCs/>
                <w:sz w:val="16"/>
              </w:rPr>
              <w:t>2018</w:t>
            </w:r>
          </w:p>
        </w:tc>
      </w:tr>
      <w:tr w:rsidR="00B92948" w:rsidRPr="003A1036" w14:paraId="5C66D282" w14:textId="77777777" w:rsidTr="002720CE">
        <w:trPr>
          <w:trHeight w:val="240"/>
        </w:trPr>
        <w:tc>
          <w:tcPr>
            <w:tcW w:w="2694" w:type="dxa"/>
            <w:tcBorders>
              <w:top w:val="single" w:sz="12" w:space="0" w:color="auto"/>
              <w:bottom w:val="nil"/>
            </w:tcBorders>
            <w:shd w:val="clear" w:color="auto" w:fill="auto"/>
          </w:tcPr>
          <w:p w14:paraId="1F9F7659" w14:textId="77777777" w:rsidR="00B92948" w:rsidRPr="003A1036" w:rsidRDefault="00B92948" w:rsidP="003A1036">
            <w:pPr>
              <w:pStyle w:val="SingleTxtG"/>
              <w:tabs>
                <w:tab w:val="clear" w:pos="1701"/>
                <w:tab w:val="clear" w:pos="2268"/>
                <w:tab w:val="clear" w:pos="2835"/>
              </w:tabs>
              <w:spacing w:before="40" w:after="40" w:line="220" w:lineRule="exact"/>
              <w:ind w:left="0" w:right="0"/>
              <w:jc w:val="left"/>
              <w:rPr>
                <w:sz w:val="18"/>
              </w:rPr>
            </w:pPr>
            <w:r w:rsidRPr="003A1036">
              <w:rPr>
                <w:sz w:val="18"/>
              </w:rPr>
              <w:t>Nacionales</w:t>
            </w:r>
          </w:p>
        </w:tc>
        <w:tc>
          <w:tcPr>
            <w:tcW w:w="1275" w:type="dxa"/>
            <w:tcBorders>
              <w:top w:val="single" w:sz="12" w:space="0" w:color="auto"/>
              <w:bottom w:val="nil"/>
            </w:tcBorders>
            <w:shd w:val="clear" w:color="auto" w:fill="auto"/>
            <w:vAlign w:val="bottom"/>
          </w:tcPr>
          <w:p w14:paraId="438C064E" w14:textId="77777777" w:rsidR="00B92948" w:rsidRPr="003A1036" w:rsidRDefault="00B92948" w:rsidP="00DE02B2">
            <w:pPr>
              <w:pStyle w:val="SingleTxtG"/>
              <w:tabs>
                <w:tab w:val="clear" w:pos="1701"/>
                <w:tab w:val="clear" w:pos="2268"/>
                <w:tab w:val="clear" w:pos="2835"/>
              </w:tabs>
              <w:spacing w:before="40" w:after="40" w:line="220" w:lineRule="exact"/>
              <w:ind w:left="113" w:right="28"/>
              <w:jc w:val="right"/>
              <w:rPr>
                <w:sz w:val="18"/>
              </w:rPr>
            </w:pPr>
            <w:r w:rsidRPr="003A1036">
              <w:rPr>
                <w:sz w:val="18"/>
              </w:rPr>
              <w:t>6</w:t>
            </w:r>
          </w:p>
        </w:tc>
        <w:tc>
          <w:tcPr>
            <w:tcW w:w="851" w:type="dxa"/>
            <w:tcBorders>
              <w:top w:val="single" w:sz="12" w:space="0" w:color="auto"/>
              <w:bottom w:val="nil"/>
            </w:tcBorders>
            <w:shd w:val="clear" w:color="auto" w:fill="auto"/>
            <w:vAlign w:val="bottom"/>
          </w:tcPr>
          <w:p w14:paraId="6DDAAD3C" w14:textId="77777777" w:rsidR="00B92948" w:rsidRPr="003A1036" w:rsidRDefault="00B92948" w:rsidP="00DE02B2">
            <w:pPr>
              <w:pStyle w:val="SingleTxtG"/>
              <w:tabs>
                <w:tab w:val="clear" w:pos="1701"/>
                <w:tab w:val="clear" w:pos="2268"/>
                <w:tab w:val="clear" w:pos="2835"/>
              </w:tabs>
              <w:spacing w:before="40" w:after="40" w:line="220" w:lineRule="exact"/>
              <w:ind w:left="113" w:right="28"/>
              <w:jc w:val="right"/>
              <w:rPr>
                <w:sz w:val="18"/>
              </w:rPr>
            </w:pPr>
            <w:r w:rsidRPr="003A1036">
              <w:rPr>
                <w:sz w:val="18"/>
              </w:rPr>
              <w:t>3</w:t>
            </w:r>
          </w:p>
        </w:tc>
        <w:tc>
          <w:tcPr>
            <w:tcW w:w="850" w:type="dxa"/>
            <w:tcBorders>
              <w:top w:val="single" w:sz="12" w:space="0" w:color="auto"/>
              <w:bottom w:val="nil"/>
            </w:tcBorders>
            <w:shd w:val="clear" w:color="auto" w:fill="auto"/>
            <w:vAlign w:val="bottom"/>
          </w:tcPr>
          <w:p w14:paraId="7934BAE6" w14:textId="77777777" w:rsidR="00B92948" w:rsidRPr="003A1036" w:rsidRDefault="00B92948" w:rsidP="00DE02B2">
            <w:pPr>
              <w:pStyle w:val="SingleTxtG"/>
              <w:tabs>
                <w:tab w:val="clear" w:pos="1701"/>
                <w:tab w:val="clear" w:pos="2268"/>
                <w:tab w:val="clear" w:pos="2835"/>
              </w:tabs>
              <w:spacing w:before="40" w:after="40" w:line="220" w:lineRule="exact"/>
              <w:ind w:left="113" w:right="28"/>
              <w:jc w:val="right"/>
              <w:rPr>
                <w:sz w:val="18"/>
              </w:rPr>
            </w:pPr>
            <w:r w:rsidRPr="003A1036">
              <w:rPr>
                <w:sz w:val="18"/>
              </w:rPr>
              <w:t>3</w:t>
            </w:r>
          </w:p>
        </w:tc>
        <w:tc>
          <w:tcPr>
            <w:tcW w:w="851" w:type="dxa"/>
            <w:tcBorders>
              <w:top w:val="single" w:sz="12" w:space="0" w:color="auto"/>
              <w:bottom w:val="nil"/>
            </w:tcBorders>
            <w:shd w:val="clear" w:color="auto" w:fill="auto"/>
            <w:vAlign w:val="bottom"/>
          </w:tcPr>
          <w:p w14:paraId="76F2FD2B" w14:textId="77777777" w:rsidR="00B92948" w:rsidRPr="003A1036" w:rsidRDefault="00B92948" w:rsidP="00DE02B2">
            <w:pPr>
              <w:pStyle w:val="SingleTxtG"/>
              <w:tabs>
                <w:tab w:val="clear" w:pos="1701"/>
                <w:tab w:val="clear" w:pos="2268"/>
                <w:tab w:val="clear" w:pos="2835"/>
              </w:tabs>
              <w:spacing w:before="40" w:after="40" w:line="220" w:lineRule="exact"/>
              <w:ind w:left="113" w:right="28"/>
              <w:jc w:val="right"/>
              <w:rPr>
                <w:sz w:val="18"/>
              </w:rPr>
            </w:pPr>
            <w:r w:rsidRPr="003A1036">
              <w:rPr>
                <w:sz w:val="18"/>
              </w:rPr>
              <w:t>2</w:t>
            </w:r>
          </w:p>
        </w:tc>
        <w:tc>
          <w:tcPr>
            <w:tcW w:w="849" w:type="dxa"/>
            <w:tcBorders>
              <w:top w:val="single" w:sz="12" w:space="0" w:color="auto"/>
              <w:bottom w:val="nil"/>
            </w:tcBorders>
            <w:shd w:val="clear" w:color="auto" w:fill="auto"/>
            <w:noWrap/>
            <w:vAlign w:val="bottom"/>
          </w:tcPr>
          <w:p w14:paraId="62E73EF3" w14:textId="77777777" w:rsidR="00B92948" w:rsidRPr="003A1036" w:rsidRDefault="00B92948" w:rsidP="00DE02B2">
            <w:pPr>
              <w:pStyle w:val="SingleTxtG"/>
              <w:tabs>
                <w:tab w:val="clear" w:pos="1701"/>
                <w:tab w:val="clear" w:pos="2268"/>
                <w:tab w:val="clear" w:pos="2835"/>
              </w:tabs>
              <w:spacing w:before="40" w:after="40" w:line="220" w:lineRule="exact"/>
              <w:ind w:left="113" w:right="28"/>
              <w:jc w:val="right"/>
              <w:rPr>
                <w:sz w:val="18"/>
              </w:rPr>
            </w:pPr>
            <w:r w:rsidRPr="003A1036">
              <w:rPr>
                <w:sz w:val="18"/>
              </w:rPr>
              <w:t>3</w:t>
            </w:r>
          </w:p>
        </w:tc>
      </w:tr>
      <w:tr w:rsidR="00B92948" w:rsidRPr="003A1036" w14:paraId="613D6291" w14:textId="77777777" w:rsidTr="002720CE">
        <w:trPr>
          <w:trHeight w:val="240"/>
        </w:trPr>
        <w:tc>
          <w:tcPr>
            <w:tcW w:w="2694" w:type="dxa"/>
            <w:tcBorders>
              <w:top w:val="nil"/>
              <w:bottom w:val="single" w:sz="4" w:space="0" w:color="auto"/>
            </w:tcBorders>
            <w:shd w:val="clear" w:color="auto" w:fill="auto"/>
          </w:tcPr>
          <w:p w14:paraId="6FA6A415" w14:textId="77777777" w:rsidR="00B92948" w:rsidRPr="003A1036" w:rsidRDefault="00B92948" w:rsidP="003A1036">
            <w:pPr>
              <w:pStyle w:val="SingleTxtG"/>
              <w:tabs>
                <w:tab w:val="clear" w:pos="1701"/>
                <w:tab w:val="clear" w:pos="2268"/>
                <w:tab w:val="clear" w:pos="2835"/>
              </w:tabs>
              <w:spacing w:before="40" w:after="40" w:line="220" w:lineRule="exact"/>
              <w:ind w:left="0" w:right="0"/>
              <w:jc w:val="left"/>
              <w:rPr>
                <w:sz w:val="18"/>
              </w:rPr>
            </w:pPr>
            <w:r w:rsidRPr="003A1036">
              <w:rPr>
                <w:sz w:val="18"/>
              </w:rPr>
              <w:t>Extranjeros</w:t>
            </w:r>
          </w:p>
        </w:tc>
        <w:tc>
          <w:tcPr>
            <w:tcW w:w="1275" w:type="dxa"/>
            <w:tcBorders>
              <w:top w:val="nil"/>
              <w:bottom w:val="single" w:sz="4" w:space="0" w:color="auto"/>
            </w:tcBorders>
            <w:shd w:val="clear" w:color="auto" w:fill="auto"/>
            <w:vAlign w:val="bottom"/>
          </w:tcPr>
          <w:p w14:paraId="66F1B82E" w14:textId="77777777" w:rsidR="00B92948" w:rsidRPr="003A1036" w:rsidRDefault="00B92948" w:rsidP="00DE02B2">
            <w:pPr>
              <w:pStyle w:val="SingleTxtG"/>
              <w:tabs>
                <w:tab w:val="clear" w:pos="1701"/>
                <w:tab w:val="clear" w:pos="2268"/>
                <w:tab w:val="clear" w:pos="2835"/>
              </w:tabs>
              <w:spacing w:before="40" w:after="40" w:line="220" w:lineRule="exact"/>
              <w:ind w:left="113" w:right="28"/>
              <w:jc w:val="right"/>
              <w:rPr>
                <w:sz w:val="18"/>
              </w:rPr>
            </w:pPr>
            <w:r w:rsidRPr="003A1036">
              <w:rPr>
                <w:sz w:val="18"/>
              </w:rPr>
              <w:t>-</w:t>
            </w:r>
          </w:p>
        </w:tc>
        <w:tc>
          <w:tcPr>
            <w:tcW w:w="851" w:type="dxa"/>
            <w:tcBorders>
              <w:top w:val="nil"/>
              <w:bottom w:val="single" w:sz="4" w:space="0" w:color="auto"/>
            </w:tcBorders>
            <w:shd w:val="clear" w:color="auto" w:fill="auto"/>
            <w:vAlign w:val="bottom"/>
          </w:tcPr>
          <w:p w14:paraId="6233B4F8" w14:textId="77777777" w:rsidR="00B92948" w:rsidRPr="003A1036" w:rsidRDefault="00B92948" w:rsidP="00DE02B2">
            <w:pPr>
              <w:pStyle w:val="SingleTxtG"/>
              <w:tabs>
                <w:tab w:val="clear" w:pos="1701"/>
                <w:tab w:val="clear" w:pos="2268"/>
                <w:tab w:val="clear" w:pos="2835"/>
              </w:tabs>
              <w:spacing w:before="40" w:after="40" w:line="220" w:lineRule="exact"/>
              <w:ind w:left="113" w:right="28"/>
              <w:jc w:val="right"/>
              <w:rPr>
                <w:sz w:val="18"/>
              </w:rPr>
            </w:pPr>
            <w:r w:rsidRPr="003A1036">
              <w:rPr>
                <w:sz w:val="18"/>
              </w:rPr>
              <w:t>-</w:t>
            </w:r>
          </w:p>
        </w:tc>
        <w:tc>
          <w:tcPr>
            <w:tcW w:w="850" w:type="dxa"/>
            <w:tcBorders>
              <w:top w:val="nil"/>
              <w:bottom w:val="single" w:sz="4" w:space="0" w:color="auto"/>
            </w:tcBorders>
            <w:shd w:val="clear" w:color="auto" w:fill="auto"/>
            <w:vAlign w:val="bottom"/>
          </w:tcPr>
          <w:p w14:paraId="74B27C63" w14:textId="77777777" w:rsidR="00B92948" w:rsidRPr="003A1036" w:rsidRDefault="00B92948" w:rsidP="00DE02B2">
            <w:pPr>
              <w:pStyle w:val="SingleTxtG"/>
              <w:tabs>
                <w:tab w:val="clear" w:pos="1701"/>
                <w:tab w:val="clear" w:pos="2268"/>
                <w:tab w:val="clear" w:pos="2835"/>
              </w:tabs>
              <w:spacing w:before="40" w:after="40" w:line="220" w:lineRule="exact"/>
              <w:ind w:left="113" w:right="28"/>
              <w:jc w:val="right"/>
              <w:rPr>
                <w:sz w:val="18"/>
              </w:rPr>
            </w:pPr>
            <w:r w:rsidRPr="003A1036">
              <w:rPr>
                <w:sz w:val="18"/>
              </w:rPr>
              <w:t>-</w:t>
            </w:r>
          </w:p>
        </w:tc>
        <w:tc>
          <w:tcPr>
            <w:tcW w:w="851" w:type="dxa"/>
            <w:tcBorders>
              <w:top w:val="nil"/>
              <w:bottom w:val="single" w:sz="4" w:space="0" w:color="auto"/>
            </w:tcBorders>
            <w:shd w:val="clear" w:color="auto" w:fill="auto"/>
            <w:vAlign w:val="bottom"/>
          </w:tcPr>
          <w:p w14:paraId="7E5ACA30" w14:textId="77777777" w:rsidR="00B92948" w:rsidRPr="003A1036" w:rsidRDefault="00B92948" w:rsidP="00DE02B2">
            <w:pPr>
              <w:pStyle w:val="SingleTxtG"/>
              <w:tabs>
                <w:tab w:val="clear" w:pos="1701"/>
                <w:tab w:val="clear" w:pos="2268"/>
                <w:tab w:val="clear" w:pos="2835"/>
              </w:tabs>
              <w:spacing w:before="40" w:after="40" w:line="220" w:lineRule="exact"/>
              <w:ind w:left="113" w:right="28"/>
              <w:jc w:val="right"/>
              <w:rPr>
                <w:sz w:val="18"/>
              </w:rPr>
            </w:pPr>
            <w:r w:rsidRPr="003A1036">
              <w:rPr>
                <w:sz w:val="18"/>
              </w:rPr>
              <w:t>-</w:t>
            </w:r>
          </w:p>
        </w:tc>
        <w:tc>
          <w:tcPr>
            <w:tcW w:w="849" w:type="dxa"/>
            <w:tcBorders>
              <w:top w:val="nil"/>
              <w:bottom w:val="single" w:sz="4" w:space="0" w:color="auto"/>
            </w:tcBorders>
            <w:shd w:val="clear" w:color="auto" w:fill="auto"/>
            <w:noWrap/>
            <w:vAlign w:val="bottom"/>
          </w:tcPr>
          <w:p w14:paraId="7C0B86C0" w14:textId="77777777" w:rsidR="00B92948" w:rsidRPr="003A1036" w:rsidRDefault="00B92948" w:rsidP="00DE02B2">
            <w:pPr>
              <w:pStyle w:val="SingleTxtG"/>
              <w:tabs>
                <w:tab w:val="clear" w:pos="1701"/>
                <w:tab w:val="clear" w:pos="2268"/>
                <w:tab w:val="clear" w:pos="2835"/>
              </w:tabs>
              <w:spacing w:before="40" w:after="40" w:line="220" w:lineRule="exact"/>
              <w:ind w:left="113" w:right="28"/>
              <w:jc w:val="right"/>
              <w:rPr>
                <w:sz w:val="18"/>
              </w:rPr>
            </w:pPr>
            <w:r w:rsidRPr="003A1036">
              <w:rPr>
                <w:sz w:val="18"/>
              </w:rPr>
              <w:t>1</w:t>
            </w:r>
          </w:p>
        </w:tc>
      </w:tr>
      <w:tr w:rsidR="00B92948" w:rsidRPr="003A1036" w14:paraId="4DA3066A" w14:textId="77777777" w:rsidTr="002720CE">
        <w:trPr>
          <w:trHeight w:val="240"/>
        </w:trPr>
        <w:tc>
          <w:tcPr>
            <w:tcW w:w="2694" w:type="dxa"/>
            <w:tcBorders>
              <w:top w:val="single" w:sz="4" w:space="0" w:color="auto"/>
              <w:bottom w:val="single" w:sz="12" w:space="0" w:color="auto"/>
            </w:tcBorders>
            <w:shd w:val="clear" w:color="auto" w:fill="auto"/>
          </w:tcPr>
          <w:p w14:paraId="0AFB4765" w14:textId="77777777" w:rsidR="00B92948" w:rsidRPr="003A1036" w:rsidRDefault="00B92948" w:rsidP="002720CE">
            <w:pPr>
              <w:pStyle w:val="SingleTxtG"/>
              <w:tabs>
                <w:tab w:val="clear" w:pos="1701"/>
                <w:tab w:val="clear" w:pos="2268"/>
                <w:tab w:val="clear" w:pos="2835"/>
              </w:tabs>
              <w:spacing w:before="80" w:after="80" w:line="220" w:lineRule="exact"/>
              <w:ind w:left="283" w:right="0"/>
              <w:jc w:val="left"/>
              <w:rPr>
                <w:sz w:val="18"/>
              </w:rPr>
            </w:pPr>
            <w:r w:rsidRPr="002720CE">
              <w:rPr>
                <w:b/>
                <w:bCs/>
                <w:sz w:val="18"/>
              </w:rPr>
              <w:t>Total</w:t>
            </w:r>
          </w:p>
        </w:tc>
        <w:tc>
          <w:tcPr>
            <w:tcW w:w="1275" w:type="dxa"/>
            <w:tcBorders>
              <w:top w:val="single" w:sz="4" w:space="0" w:color="auto"/>
              <w:bottom w:val="single" w:sz="12" w:space="0" w:color="auto"/>
            </w:tcBorders>
            <w:shd w:val="clear" w:color="auto" w:fill="auto"/>
            <w:vAlign w:val="bottom"/>
          </w:tcPr>
          <w:p w14:paraId="64EEA4B0" w14:textId="77777777" w:rsidR="00B92948" w:rsidRPr="003A1036" w:rsidRDefault="00B92948" w:rsidP="00DE02B2">
            <w:pPr>
              <w:pStyle w:val="SingleTxtG"/>
              <w:tabs>
                <w:tab w:val="clear" w:pos="1701"/>
                <w:tab w:val="clear" w:pos="2268"/>
                <w:tab w:val="clear" w:pos="2835"/>
              </w:tabs>
              <w:spacing w:before="40" w:after="40" w:line="220" w:lineRule="exact"/>
              <w:ind w:left="113" w:right="28"/>
              <w:jc w:val="right"/>
              <w:rPr>
                <w:sz w:val="18"/>
              </w:rPr>
            </w:pPr>
            <w:r w:rsidRPr="003A1036">
              <w:rPr>
                <w:bCs/>
                <w:sz w:val="18"/>
              </w:rPr>
              <w:t>6</w:t>
            </w:r>
          </w:p>
        </w:tc>
        <w:tc>
          <w:tcPr>
            <w:tcW w:w="851" w:type="dxa"/>
            <w:tcBorders>
              <w:top w:val="single" w:sz="4" w:space="0" w:color="auto"/>
              <w:bottom w:val="single" w:sz="12" w:space="0" w:color="auto"/>
            </w:tcBorders>
            <w:shd w:val="clear" w:color="auto" w:fill="auto"/>
            <w:vAlign w:val="bottom"/>
          </w:tcPr>
          <w:p w14:paraId="3230DA37" w14:textId="77777777" w:rsidR="00B92948" w:rsidRPr="003A1036" w:rsidRDefault="00B92948" w:rsidP="00DE02B2">
            <w:pPr>
              <w:pStyle w:val="SingleTxtG"/>
              <w:tabs>
                <w:tab w:val="clear" w:pos="1701"/>
                <w:tab w:val="clear" w:pos="2268"/>
                <w:tab w:val="clear" w:pos="2835"/>
              </w:tabs>
              <w:spacing w:before="40" w:after="40" w:line="220" w:lineRule="exact"/>
              <w:ind w:left="113" w:right="28"/>
              <w:jc w:val="right"/>
              <w:rPr>
                <w:sz w:val="18"/>
              </w:rPr>
            </w:pPr>
            <w:r w:rsidRPr="003A1036">
              <w:rPr>
                <w:bCs/>
                <w:sz w:val="18"/>
              </w:rPr>
              <w:t>3</w:t>
            </w:r>
          </w:p>
        </w:tc>
        <w:tc>
          <w:tcPr>
            <w:tcW w:w="850" w:type="dxa"/>
            <w:tcBorders>
              <w:top w:val="single" w:sz="4" w:space="0" w:color="auto"/>
              <w:bottom w:val="single" w:sz="12" w:space="0" w:color="auto"/>
            </w:tcBorders>
            <w:shd w:val="clear" w:color="auto" w:fill="auto"/>
            <w:vAlign w:val="bottom"/>
          </w:tcPr>
          <w:p w14:paraId="17304780" w14:textId="77777777" w:rsidR="00B92948" w:rsidRPr="003A1036" w:rsidRDefault="00B92948" w:rsidP="00DE02B2">
            <w:pPr>
              <w:pStyle w:val="SingleTxtG"/>
              <w:tabs>
                <w:tab w:val="clear" w:pos="1701"/>
                <w:tab w:val="clear" w:pos="2268"/>
                <w:tab w:val="clear" w:pos="2835"/>
              </w:tabs>
              <w:spacing w:before="40" w:after="40" w:line="220" w:lineRule="exact"/>
              <w:ind w:left="113" w:right="28"/>
              <w:jc w:val="right"/>
              <w:rPr>
                <w:sz w:val="18"/>
              </w:rPr>
            </w:pPr>
            <w:r w:rsidRPr="003A1036">
              <w:rPr>
                <w:bCs/>
                <w:sz w:val="18"/>
              </w:rPr>
              <w:t>3</w:t>
            </w:r>
          </w:p>
        </w:tc>
        <w:tc>
          <w:tcPr>
            <w:tcW w:w="851" w:type="dxa"/>
            <w:tcBorders>
              <w:top w:val="single" w:sz="4" w:space="0" w:color="auto"/>
              <w:bottom w:val="single" w:sz="12" w:space="0" w:color="auto"/>
            </w:tcBorders>
            <w:shd w:val="clear" w:color="auto" w:fill="auto"/>
            <w:vAlign w:val="bottom"/>
          </w:tcPr>
          <w:p w14:paraId="3233B2F9" w14:textId="77777777" w:rsidR="00B92948" w:rsidRPr="003A1036" w:rsidRDefault="00B92948" w:rsidP="00DE02B2">
            <w:pPr>
              <w:pStyle w:val="SingleTxtG"/>
              <w:tabs>
                <w:tab w:val="clear" w:pos="1701"/>
                <w:tab w:val="clear" w:pos="2268"/>
                <w:tab w:val="clear" w:pos="2835"/>
              </w:tabs>
              <w:spacing w:before="40" w:after="40" w:line="220" w:lineRule="exact"/>
              <w:ind w:left="113" w:right="28"/>
              <w:jc w:val="right"/>
              <w:rPr>
                <w:sz w:val="18"/>
              </w:rPr>
            </w:pPr>
            <w:r w:rsidRPr="003A1036">
              <w:rPr>
                <w:bCs/>
                <w:sz w:val="18"/>
              </w:rPr>
              <w:t>2</w:t>
            </w:r>
          </w:p>
        </w:tc>
        <w:tc>
          <w:tcPr>
            <w:tcW w:w="849" w:type="dxa"/>
            <w:tcBorders>
              <w:top w:val="single" w:sz="4" w:space="0" w:color="auto"/>
              <w:bottom w:val="single" w:sz="12" w:space="0" w:color="auto"/>
            </w:tcBorders>
            <w:shd w:val="clear" w:color="auto" w:fill="auto"/>
            <w:noWrap/>
            <w:vAlign w:val="bottom"/>
          </w:tcPr>
          <w:p w14:paraId="0465BA26" w14:textId="77777777" w:rsidR="00B92948" w:rsidRPr="003A1036" w:rsidRDefault="00B92948" w:rsidP="00DE02B2">
            <w:pPr>
              <w:pStyle w:val="SingleTxtG"/>
              <w:tabs>
                <w:tab w:val="clear" w:pos="1701"/>
                <w:tab w:val="clear" w:pos="2268"/>
                <w:tab w:val="clear" w:pos="2835"/>
              </w:tabs>
              <w:spacing w:before="40" w:after="40" w:line="220" w:lineRule="exact"/>
              <w:ind w:left="113" w:right="28"/>
              <w:jc w:val="right"/>
              <w:rPr>
                <w:sz w:val="18"/>
              </w:rPr>
            </w:pPr>
            <w:r w:rsidRPr="003A1036">
              <w:rPr>
                <w:bCs/>
                <w:sz w:val="18"/>
              </w:rPr>
              <w:t>4</w:t>
            </w:r>
          </w:p>
        </w:tc>
      </w:tr>
    </w:tbl>
    <w:p w14:paraId="0239FCB5" w14:textId="77777777" w:rsidR="00B92948" w:rsidRPr="00B92948" w:rsidRDefault="00B92948" w:rsidP="0095553A">
      <w:pPr>
        <w:pStyle w:val="H23G"/>
      </w:pPr>
      <w:r w:rsidRPr="00B92948">
        <w:tab/>
      </w:r>
      <w:r w:rsidR="0095553A">
        <w:tab/>
      </w:r>
      <w:r w:rsidRPr="00B92948">
        <w:t>Secuestro, venta y trata de niños (art. 35)</w:t>
      </w:r>
      <w:bookmarkStart w:id="85" w:name="_Toc56781483"/>
      <w:bookmarkEnd w:id="85"/>
    </w:p>
    <w:p w14:paraId="05A06A53" w14:textId="77777777" w:rsidR="00B92948" w:rsidRPr="00B92948" w:rsidRDefault="00B92948" w:rsidP="00B92948">
      <w:pPr>
        <w:pStyle w:val="SingleTxtG"/>
      </w:pPr>
      <w:r w:rsidRPr="00B92948">
        <w:t>200.</w:t>
      </w:r>
      <w:r w:rsidRPr="00B92948">
        <w:tab/>
        <w:t>En el seno de la Comisión Nacional de Lucha contra la Trata de Personas y la Migración Ilegal sigue funcionando, en calidad de órgano de trabajo, un subgrupo de lucha contra la trata de niños, que tiene el mandato de vigilar la situación de la trata de niños. En</w:t>
      </w:r>
      <w:r w:rsidR="00DE02B2">
        <w:t> </w:t>
      </w:r>
      <w:r w:rsidRPr="00B92948">
        <w:t>2015, el subgrupo presentó una iniciativa de modificación del artículo 418-d del Código Penal</w:t>
      </w:r>
      <w:r w:rsidRPr="00B92948">
        <w:rPr>
          <w:rStyle w:val="Refdenotaalpie"/>
        </w:rPr>
        <w:footnoteReference w:id="52"/>
      </w:r>
      <w:r w:rsidRPr="00B92948">
        <w:t xml:space="preserve"> en el contexto de la penalización de la mendicidad y de supresión del artículo 191-a sobre prostitución infantil, tras llegar a la conclusión de que era contrario a los principios de no discriminación y al interés superior del niño. El Mecanismo Nacional de Remisión al que se dirigen las víctimas de la trata de personas en el Ministerio de Trabajo y Política Social se ocupa de coordinar la identificación, la asistencia y la remisión de los niños víctimas de la trata. Ejecuta en forma permanente las actividades previstas en la Estrategia y Plan de Acción Nacional para la Lucha contra la Trata de Personas y la Migración Ilegal 2017-2020. En el proceso de protección y reintegración se adoptan medidas especiales basadas en la edad y las necesidades del niño víctima en función de las consecuencias físicas, psicológicas y sociales que afectan al niño víctima de la trata, a saber: </w:t>
      </w:r>
    </w:p>
    <w:p w14:paraId="761B98F7" w14:textId="77777777" w:rsidR="00B92948" w:rsidRPr="00B92948" w:rsidRDefault="00B92948" w:rsidP="0095553A">
      <w:pPr>
        <w:pStyle w:val="Bullet1G"/>
        <w:rPr>
          <w:b/>
        </w:rPr>
      </w:pPr>
      <w:r w:rsidRPr="00B92948">
        <w:t>Remisión y colocación en un refugio, evaluación de las necesidades e intervención en una crisis</w:t>
      </w:r>
      <w:r w:rsidR="00DE02B2">
        <w:t>.</w:t>
      </w:r>
    </w:p>
    <w:p w14:paraId="1BC83003" w14:textId="77777777" w:rsidR="00B92948" w:rsidRPr="00B92948" w:rsidRDefault="00B92948" w:rsidP="0095553A">
      <w:pPr>
        <w:pStyle w:val="Bullet1G"/>
      </w:pPr>
      <w:r w:rsidRPr="00B92948">
        <w:tab/>
        <w:t>Provisión de un equipo de expertos que realice actividades en turnos de día y de noche, y acompañe a las víctimas a los destinos pertinentes</w:t>
      </w:r>
      <w:r w:rsidR="00DE02B2">
        <w:t>.</w:t>
      </w:r>
      <w:r w:rsidRPr="00B92948">
        <w:t xml:space="preserve"> </w:t>
      </w:r>
    </w:p>
    <w:p w14:paraId="69E6AA32" w14:textId="77777777" w:rsidR="00B92948" w:rsidRPr="00B92948" w:rsidRDefault="00B92948" w:rsidP="0095553A">
      <w:pPr>
        <w:pStyle w:val="Bullet1G"/>
      </w:pPr>
      <w:r w:rsidRPr="00B92948">
        <w:tab/>
        <w:t>Provisión de alimentos, paquetes higiénicos, ropa y calzado durante su estancia</w:t>
      </w:r>
      <w:r w:rsidR="00DE02B2">
        <w:t>.</w:t>
      </w:r>
      <w:r w:rsidRPr="00B92948">
        <w:t xml:space="preserve"> </w:t>
      </w:r>
    </w:p>
    <w:p w14:paraId="511C2877" w14:textId="77777777" w:rsidR="00B92948" w:rsidRPr="00B92948" w:rsidRDefault="00B92948" w:rsidP="0095553A">
      <w:pPr>
        <w:pStyle w:val="Bullet1G"/>
      </w:pPr>
      <w:r w:rsidRPr="00B92948">
        <w:tab/>
        <w:t>Inclusión en el programa de asistencia psicosocial (diversos talleres, cursos de capacitación informática y clases de inglés básico, entre otras cosas)</w:t>
      </w:r>
      <w:r w:rsidR="00DE02B2">
        <w:t>.</w:t>
      </w:r>
    </w:p>
    <w:p w14:paraId="40493113" w14:textId="77777777" w:rsidR="00B92948" w:rsidRPr="00B92948" w:rsidRDefault="00B92948" w:rsidP="0095553A">
      <w:pPr>
        <w:pStyle w:val="Bullet1G"/>
      </w:pPr>
      <w:r w:rsidRPr="00B92948">
        <w:lastRenderedPageBreak/>
        <w:tab/>
        <w:t xml:space="preserve">Organización de actividades ocupacionales y recreativas en función de los intereses personales, por ejemplo: pintura en vidrio, lienzo o porcelana, técnicas de </w:t>
      </w:r>
      <w:r w:rsidRPr="00B92948">
        <w:rPr>
          <w:i/>
          <w:iCs/>
        </w:rPr>
        <w:t>decoupage</w:t>
      </w:r>
      <w:r w:rsidRPr="00B92948">
        <w:t>, joyería artesanal, costura y origami</w:t>
      </w:r>
      <w:r w:rsidR="00DE02B2">
        <w:t>.</w:t>
      </w:r>
      <w:r w:rsidRPr="00B92948">
        <w:t xml:space="preserve"> </w:t>
      </w:r>
    </w:p>
    <w:p w14:paraId="52EC898E" w14:textId="77777777" w:rsidR="00B92948" w:rsidRPr="00B92948" w:rsidRDefault="00B92948" w:rsidP="0095553A">
      <w:pPr>
        <w:pStyle w:val="Bullet1G"/>
      </w:pPr>
      <w:r w:rsidRPr="00B92948">
        <w:tab/>
        <w:t>Organización de exámenes médicos básicos, de laboratorio y ginecológicos especializados, pruebas de VIH y de hepatitis A, B y C</w:t>
      </w:r>
      <w:r w:rsidR="00DE02B2">
        <w:t>.</w:t>
      </w:r>
      <w:r w:rsidRPr="00B92948">
        <w:t xml:space="preserve"> </w:t>
      </w:r>
    </w:p>
    <w:p w14:paraId="5765FCC1" w14:textId="77777777" w:rsidR="00B92948" w:rsidRPr="00B92948" w:rsidRDefault="00B92948" w:rsidP="0095553A">
      <w:pPr>
        <w:pStyle w:val="Bullet1G"/>
      </w:pPr>
      <w:r w:rsidRPr="00B92948">
        <w:tab/>
        <w:t>Asesoramiento jurídico, información sobre el sistema judicial del país y representación letrada ante los tribunales en procedimientos judiciales ya en curso</w:t>
      </w:r>
      <w:r w:rsidR="00DE02B2">
        <w:t>.</w:t>
      </w:r>
    </w:p>
    <w:p w14:paraId="7E9E4EBA" w14:textId="77777777" w:rsidR="00B92948" w:rsidRPr="00B92948" w:rsidRDefault="00B92948" w:rsidP="0095553A">
      <w:pPr>
        <w:pStyle w:val="Bullet1G"/>
      </w:pPr>
      <w:r w:rsidRPr="00B92948">
        <w:tab/>
        <w:t>Preparación de un plan individual a plazo largo para la inclusión en el proceso educativo al regresar a su lugar de residencia</w:t>
      </w:r>
      <w:r w:rsidR="00DE02B2">
        <w:t>.</w:t>
      </w:r>
      <w:r w:rsidRPr="00B92948">
        <w:t xml:space="preserve"> </w:t>
      </w:r>
    </w:p>
    <w:p w14:paraId="1A3F34E0" w14:textId="77777777" w:rsidR="00B92948" w:rsidRPr="00B92948" w:rsidRDefault="00B92948" w:rsidP="0095553A">
      <w:pPr>
        <w:pStyle w:val="Bullet1G"/>
      </w:pPr>
      <w:r w:rsidRPr="00B92948">
        <w:tab/>
        <w:t>Provisión de apoyo psicológico para las víctimas, incluidos diversos tipos de tratamientos y sesiones, terapia de grupo y orientación psicológica individual una vez por semana, así como asistencia</w:t>
      </w:r>
      <w:r w:rsidR="00950538">
        <w:t xml:space="preserve"> </w:t>
      </w:r>
      <w:r w:rsidRPr="00B92948">
        <w:t>de urgencia y más intensiva, si procede</w:t>
      </w:r>
      <w:r w:rsidR="00DE02B2">
        <w:t>.</w:t>
      </w:r>
    </w:p>
    <w:p w14:paraId="05DC403B" w14:textId="77777777" w:rsidR="00B92948" w:rsidRPr="00B92948" w:rsidRDefault="00B92948" w:rsidP="0095553A">
      <w:pPr>
        <w:pStyle w:val="Bullet1G"/>
      </w:pPr>
      <w:r w:rsidRPr="00B92948">
        <w:tab/>
        <w:t>Superación del estrés y los traumas, creación de hábitos, mejora de la capacidad de lectura, pensamiento positivo y conocimientos básicos sobre los problemas de desarrollo de los adolescentes, relaciones emocionales y relaciones entre pares, y peligros de las enfermedades de transmisión sexual y de embarazos no deseados.</w:t>
      </w:r>
    </w:p>
    <w:p w14:paraId="6D98DC84" w14:textId="77777777" w:rsidR="00B92948" w:rsidRPr="00B92948" w:rsidRDefault="00B92948" w:rsidP="0095553A">
      <w:pPr>
        <w:pStyle w:val="H23G"/>
      </w:pPr>
      <w:r w:rsidRPr="00B92948">
        <w:tab/>
        <w:t>e)</w:t>
      </w:r>
      <w:r w:rsidRPr="00B92948">
        <w:tab/>
        <w:t>Niños en conflicto con la ley y niños víctimas y testigos de delitos</w:t>
      </w:r>
      <w:bookmarkStart w:id="86" w:name="_Toc56781484"/>
      <w:bookmarkEnd w:id="86"/>
    </w:p>
    <w:p w14:paraId="1C509FED" w14:textId="77777777" w:rsidR="00B92948" w:rsidRPr="00B92948" w:rsidRDefault="00B92948" w:rsidP="00B92948">
      <w:pPr>
        <w:pStyle w:val="SingleTxtG"/>
      </w:pPr>
      <w:r w:rsidRPr="00B92948">
        <w:t>201.</w:t>
      </w:r>
      <w:r w:rsidRPr="00B92948">
        <w:tab/>
        <w:t xml:space="preserve">Según la Ley de Justicia para Niños, un niño de 14 a 16 </w:t>
      </w:r>
      <w:proofErr w:type="gramStart"/>
      <w:r w:rsidRPr="00B92948">
        <w:t>años de edad</w:t>
      </w:r>
      <w:proofErr w:type="gramEnd"/>
      <w:r w:rsidRPr="00B92948">
        <w:t xml:space="preserve"> en conflicto con la ley es aquel que, en el momento de la comisión del delito (para el que se prevé una pena de prisión de más de tres años) ya había cumplido 14 años y todavía no tenía 16 años</w:t>
      </w:r>
      <w:r w:rsidRPr="00B92948">
        <w:rPr>
          <w:rStyle w:val="Refdenotaalpie"/>
        </w:rPr>
        <w:footnoteReference w:id="53"/>
      </w:r>
      <w:r w:rsidRPr="00B92948">
        <w:t xml:space="preserve">. </w:t>
      </w:r>
    </w:p>
    <w:p w14:paraId="5C141732" w14:textId="77777777" w:rsidR="00B92948" w:rsidRPr="00B92948" w:rsidRDefault="00B92948" w:rsidP="00B92948">
      <w:pPr>
        <w:pStyle w:val="SingleTxtG"/>
      </w:pPr>
      <w:r w:rsidRPr="00B92948">
        <w:t>202.</w:t>
      </w:r>
      <w:r w:rsidRPr="00B92948">
        <w:tab/>
        <w:t xml:space="preserve">Un niño mayor de 16 </w:t>
      </w:r>
      <w:proofErr w:type="gramStart"/>
      <w:r w:rsidRPr="00B92948">
        <w:t>años de edad</w:t>
      </w:r>
      <w:proofErr w:type="gramEnd"/>
      <w:r w:rsidRPr="00B92948">
        <w:t xml:space="preserve"> en conflicto con la ley es aquel que, en el momento de la comisión del delito (para el que se prevé una pena de prisión de más de tres años) ya había cumplido 16 años y todavía no tenía 18 años.</w:t>
      </w:r>
    </w:p>
    <w:p w14:paraId="09CAB9AD" w14:textId="77777777" w:rsidR="00B92948" w:rsidRPr="00B92948" w:rsidRDefault="00B92948" w:rsidP="00B92948">
      <w:pPr>
        <w:pStyle w:val="SingleTxtG"/>
      </w:pPr>
      <w:r w:rsidRPr="00B92948">
        <w:t>203.</w:t>
      </w:r>
      <w:r w:rsidRPr="00B92948">
        <w:tab/>
        <w:t>De conformidad con la Ley de Justicia para Niños, por actos tipificados por la ley como delitos solo podrán imponerse a los niños de 14 a 16 años de edad medidas educativas, como una amonestación judicial o la remisión a un centro especial para niños, supervisión intensiva por parte de los progenitores, tutores, familia de acogida o el Centro de Trabajo Social local, y medidas institucionales, como la remisión a una institución de educación especial o a un centro penitenciario para jóvenes.</w:t>
      </w:r>
    </w:p>
    <w:p w14:paraId="4141D386" w14:textId="77777777" w:rsidR="00B92948" w:rsidRPr="00B92948" w:rsidRDefault="00B92948" w:rsidP="00B92948">
      <w:pPr>
        <w:pStyle w:val="SingleTxtG"/>
      </w:pPr>
      <w:r w:rsidRPr="00B92948">
        <w:t>204.</w:t>
      </w:r>
      <w:r w:rsidRPr="00B92948">
        <w:tab/>
        <w:t xml:space="preserve">Por actos tipificados por la ley como delitos podrán imponerse a los niños de 16 a 18 </w:t>
      </w:r>
      <w:proofErr w:type="gramStart"/>
      <w:r w:rsidRPr="00B92948">
        <w:t>años de edad</w:t>
      </w:r>
      <w:proofErr w:type="gramEnd"/>
      <w:r w:rsidRPr="00B92948">
        <w:t xml:space="preserve"> medidas educativas, y con carácter excepcional, sentencias punitivas o medidas sustitutivas. </w:t>
      </w:r>
    </w:p>
    <w:p w14:paraId="155CA5EE" w14:textId="77777777" w:rsidR="00B92948" w:rsidRPr="00B92948" w:rsidRDefault="00B92948" w:rsidP="00B92948">
      <w:pPr>
        <w:pStyle w:val="SingleTxtG"/>
      </w:pPr>
      <w:r w:rsidRPr="00B92948">
        <w:t>205.</w:t>
      </w:r>
      <w:r w:rsidRPr="00B92948">
        <w:tab/>
        <w:t>Podrán imponerse a los niños mayores de 16 años penas de prisión para niños, multas, la prohibición de conducir un vehículo de motor de cierto tipo o categoría y la expulsión del país como extranjeros. Los niños mayores de 16 años considerados penalmente responsables podrán ser castigados si, debido a las graves consecuencias del delito y al alto grado de responsabilidad penal, no se justifica la imposición de una medida educativa/correctiva.</w:t>
      </w:r>
    </w:p>
    <w:p w14:paraId="1E5664AB" w14:textId="77777777" w:rsidR="00B92948" w:rsidRPr="00B92948" w:rsidRDefault="00B92948" w:rsidP="00B92948">
      <w:pPr>
        <w:pStyle w:val="SingleTxtG"/>
      </w:pPr>
      <w:r w:rsidRPr="00B92948">
        <w:t>206.</w:t>
      </w:r>
      <w:r w:rsidRPr="00B92948">
        <w:tab/>
        <w:t>Una pena de prisión para niños solo podrá imponerse como castigo a un niño que sea penalmente responsable, tenga 16 años o más y haya cometido un acto que esté tipificado por la ley como un delito para el que se prescriba una pena de prisión de cinco años o más, si se comete en circunstancias especialmente agravantes y con un alto grado de responsabilidad penal del autor, y no se justifique la imposición de una medida educativa. La pena de prisión de un niño no podrá ser inferior a un año ni superior a diez años.</w:t>
      </w:r>
    </w:p>
    <w:p w14:paraId="7360B95A" w14:textId="77777777" w:rsidR="00B92948" w:rsidRPr="00B92948" w:rsidRDefault="00B92948" w:rsidP="00B92948">
      <w:pPr>
        <w:pStyle w:val="SingleTxtG"/>
      </w:pPr>
      <w:r w:rsidRPr="00B92948">
        <w:t>207.</w:t>
      </w:r>
      <w:r w:rsidRPr="00B92948">
        <w:tab/>
        <w:t>Si se cumplen las condiciones enunciadas en párrafo precedente, podrán imponerse al niño que ha cometido el delito medidas sustitutivas, como la condena condicional con supervisión de protección, el cese condicional de las actuaciones contra ese niño y el trabajo comunitario.</w:t>
      </w:r>
    </w:p>
    <w:p w14:paraId="60B3AB9A" w14:textId="77777777" w:rsidR="00B92948" w:rsidRPr="00B92948" w:rsidRDefault="00B92948" w:rsidP="00B92948">
      <w:pPr>
        <w:pStyle w:val="SingleTxtG"/>
      </w:pPr>
      <w:r w:rsidRPr="00B92948">
        <w:t>208.</w:t>
      </w:r>
      <w:r w:rsidRPr="00B92948">
        <w:tab/>
        <w:t xml:space="preserve">La aplicación de la Ley de Justicia para Niños se supervisa mediante indicadores elaborados con la ayuda del UNICEF (por sexto año consecutivo). Estos indicadores </w:t>
      </w:r>
      <w:r w:rsidRPr="00B92948">
        <w:lastRenderedPageBreak/>
        <w:t xml:space="preserve">demuestran el ejercicio de los derechos de los niños en el sistema de justicia juvenil y son la base para su ulterior promoción. </w:t>
      </w:r>
    </w:p>
    <w:p w14:paraId="67CB212A" w14:textId="77777777" w:rsidR="00B92948" w:rsidRPr="00B92948" w:rsidRDefault="00B92948" w:rsidP="00B92948">
      <w:pPr>
        <w:pStyle w:val="SingleTxtG"/>
      </w:pPr>
      <w:r w:rsidRPr="00B92948">
        <w:t>209.</w:t>
      </w:r>
      <w:r w:rsidRPr="00B92948">
        <w:tab/>
        <w:t>De conformidad con la organización del sistema judicial estatal, no hay tribunales especializados para niños. En los trámites judiciales contra niños, las decisiones son adoptadas por jueces de menores, paneles de menores y sus miembros en departamentos especializados de tribunales de menores que se han establecido en los tribunales básicos con jurisdicción ampliada. Asisten a una capacitación especializada en materia de justicia juvenil en el país o en el extranjero por lo menos cinco días por año.</w:t>
      </w:r>
    </w:p>
    <w:p w14:paraId="76C42983" w14:textId="77777777" w:rsidR="00B92948" w:rsidRPr="00B92948" w:rsidRDefault="00B92948" w:rsidP="00B92948">
      <w:pPr>
        <w:pStyle w:val="SingleTxtG"/>
      </w:pPr>
      <w:r w:rsidRPr="00B92948">
        <w:t>210.</w:t>
      </w:r>
      <w:r w:rsidRPr="00B92948">
        <w:tab/>
        <w:t xml:space="preserve">Los límites de la responsabilidad penal del niño se rigen por los artículos 20 a 23 de la Ley. No se podrá imponer una sanción determinada por esta Ley a un niño </w:t>
      </w:r>
      <w:proofErr w:type="gramStart"/>
      <w:r w:rsidRPr="00B92948">
        <w:t>que</w:t>
      </w:r>
      <w:proofErr w:type="gramEnd"/>
      <w:r w:rsidRPr="00B92948">
        <w:t xml:space="preserve"> en el momento de cometer un acto tipificado como un delito o falta, no haya cumplido los 14 años de edad. Las medidas de asistencia y protección prescritas por la ley que son de interés para el niño y su crianza y desarrollo se aplican a un niño en situación de riesgo, sea menor o mayor de 14 años.</w:t>
      </w:r>
    </w:p>
    <w:p w14:paraId="5E797DF3" w14:textId="77777777" w:rsidR="00B92948" w:rsidRPr="00B92948" w:rsidRDefault="00B92948" w:rsidP="00B92948">
      <w:pPr>
        <w:pStyle w:val="SingleTxtG"/>
      </w:pPr>
      <w:r w:rsidRPr="00B92948">
        <w:t>211.</w:t>
      </w:r>
      <w:r w:rsidRPr="00B92948">
        <w:tab/>
        <w:t>Con el apoyo del UNICEF, se aprobaron programas de capacitación para la aplicación de esta Ley en el contexto de la consecución del interés superior del niño como objetivo principal de la Ley, así como directrices para tratar con los niños víctimas de la violencia.</w:t>
      </w:r>
    </w:p>
    <w:p w14:paraId="75E1BAC0" w14:textId="77777777" w:rsidR="00B92948" w:rsidRPr="00B92948" w:rsidRDefault="00B92948" w:rsidP="00B92948">
      <w:pPr>
        <w:pStyle w:val="SingleTxtG"/>
      </w:pPr>
      <w:r w:rsidRPr="00B92948">
        <w:t>212.</w:t>
      </w:r>
      <w:r w:rsidRPr="00B92948">
        <w:tab/>
        <w:t>En 2009 se estableció el Consejo de Estado para la Prevención de la Delincuencia Infantil, integrado por 15 miembros. El Consejo aprobó la Estrategia Nacional de Prevención de la Delincuencia Infantil. El Consejo prepara un informe anual que contiene un análisis del grado de aplicación de la Ley de Justicia para Niños, basado en los indicadores que se utilizan para hacer el seguimiento de su aplicación.</w:t>
      </w:r>
    </w:p>
    <w:p w14:paraId="6FC65208" w14:textId="77777777" w:rsidR="00B92948" w:rsidRPr="00B92948" w:rsidRDefault="00B92948" w:rsidP="00B92948">
      <w:pPr>
        <w:pStyle w:val="SingleTxtG"/>
      </w:pPr>
      <w:r w:rsidRPr="00B92948">
        <w:t>213.</w:t>
      </w:r>
      <w:r w:rsidRPr="00B92948">
        <w:tab/>
        <w:t>Los principios del interés superior del niño, el respeto de que su opinión sea oída y de que su interés se considere primordial, están debidamente incorporados en la Ley. Los objetivos de la Ley son la aplicación del interés prioritario y la protección de los niños contra el delito, la violencia y todo atentado a sus libertades y derechos y su desarrollo adecuado; la protección de los niños que han cometido delitos frente a la repetición y su socialización, crianza y rehabilitación; y la asistencia y atención de los niños y la protección de sus libertades y derechos garantizados por la Constitución, la Convención sobre los Derechos del Niño y otros acuerdos internacionales ratificados sobre la situación de los niños.</w:t>
      </w:r>
    </w:p>
    <w:p w14:paraId="2645E788" w14:textId="77777777" w:rsidR="00B92948" w:rsidRPr="00B92948" w:rsidRDefault="00B92948" w:rsidP="00B92948">
      <w:pPr>
        <w:pStyle w:val="SingleTxtG"/>
      </w:pPr>
      <w:r w:rsidRPr="00B92948">
        <w:t>214.</w:t>
      </w:r>
      <w:r w:rsidRPr="00B92948">
        <w:tab/>
        <w:t>De conformidad con el artículo 4 1) de la Ley, el niño tiene derecho a ser informado sobre sus derechos, que incluyen los deberes y obligaciones prescritos por la Convención sobre los Derechos del Niño y otros documentos internacionales sobre los derechos del niño. El párrafo 2 estipula que el niño tiene derecho a ser interrogado, oído e informado sobre los derechos en el contexto de este procedimiento y sobre el procedimiento mismo. En todo procedimiento judicial y extrajudicial en el que participe, el niño tiene derecho a intervenir activamente en la adopción de decisiones sobre su vida y a dar su opinión (párr. 3).</w:t>
      </w:r>
    </w:p>
    <w:p w14:paraId="62D0122A" w14:textId="77777777" w:rsidR="00B92948" w:rsidRPr="00B92948" w:rsidRDefault="00B92948" w:rsidP="00B92948">
      <w:pPr>
        <w:pStyle w:val="SingleTxtG"/>
      </w:pPr>
      <w:r w:rsidRPr="00B92948">
        <w:t>215.</w:t>
      </w:r>
      <w:r w:rsidRPr="00B92948">
        <w:tab/>
        <w:t>La principal característica de la Ley de Justicia para Niños es la introducción y regulación de la justicia restaurativa, es decir, los procedimientos extrajudiciales relativos a los actos de un niño que la Ley define como delito o falta. El artículo 17 estipula que, por regla general, las autoridades e instituciones competentes no iniciarán trámites judiciales por los actos de un niño mayor de 14 años que estén tipificados por ley como delito o falta a fin de evitar las repercusiones perjudiciales sobre el niño. Solo se inician trámites judiciales en los casos definidos como delito en la presente Ley; es decir, si un niño mayor de 14 años ha cometido un acto tipificado como delito pasible de una pena de prisión de tres años o más, o cuando la finalidad de las medidas o las sanciones definidas por esta Ley no puede lograrse sin dicho procedimiento. El trámite incluye la aplicación de un plan de medidas y actividades para el trabajo individual con el niño y los progenitores (arts. 24 a 29); la intervención e intermediación del Centro de Trabajo Social local (art. 30); la aplicación de medidas de disuasión (arts. 75 a 78); y la mediación impuesta por el tribunal a través de un mediador oficial (arts. 79 a 85).</w:t>
      </w:r>
    </w:p>
    <w:p w14:paraId="6355B337" w14:textId="77777777" w:rsidR="00B92948" w:rsidRPr="00B92948" w:rsidRDefault="00B92948" w:rsidP="00B92948">
      <w:pPr>
        <w:pStyle w:val="SingleTxtG"/>
      </w:pPr>
      <w:r w:rsidRPr="00B92948">
        <w:t>216.</w:t>
      </w:r>
      <w:r w:rsidRPr="00B92948">
        <w:tab/>
        <w:t xml:space="preserve">A los efectos de la Ley de Justicia para Niños por niño se entiende una víctima de un acto delictivo menor de 18 años. Los niños víctimas tienen los mismos derechos que las víctimas adultas antes, durante y después de las actuaciones penales y los derechos especiales reconocidos por la Convención sobre los Derechos del Niño y otros acuerdos internacionales </w:t>
      </w:r>
      <w:r w:rsidRPr="00B92948">
        <w:lastRenderedPageBreak/>
        <w:t>ratificados. Disfrutan de una mayor protección y apoyo en el sistema de justicia para niños con objeto de reducir las consecuencias negativas del delito y evitar el impacto negativo en el desarrollo adecuado del niño.</w:t>
      </w:r>
    </w:p>
    <w:p w14:paraId="69C93CA4" w14:textId="77777777" w:rsidR="00B92948" w:rsidRPr="00B92948" w:rsidRDefault="00B92948" w:rsidP="00B92948">
      <w:pPr>
        <w:pStyle w:val="SingleTxtG"/>
      </w:pPr>
      <w:r w:rsidRPr="00B92948">
        <w:t>217.</w:t>
      </w:r>
      <w:r w:rsidRPr="00B92948">
        <w:tab/>
        <w:t xml:space="preserve">Los artículos 145 a 153 de la Ley contienen disposiciones para la protección de los niños víctimas de delitos y los niños testigos en el procedimiento penal. </w:t>
      </w:r>
    </w:p>
    <w:p w14:paraId="68283C7D" w14:textId="77777777" w:rsidR="00B92948" w:rsidRPr="00B92948" w:rsidRDefault="00B92948" w:rsidP="00B92948">
      <w:pPr>
        <w:pStyle w:val="SingleTxtG"/>
      </w:pPr>
      <w:r w:rsidRPr="00B92948">
        <w:t>218.</w:t>
      </w:r>
      <w:r w:rsidRPr="00B92948">
        <w:tab/>
        <w:t>De conformidad con el artículo 145 de esta Ley, el niño víctima de un delito tiene derecho a ser tratado con respeto a su dignidad; a obtener protección contra cualquier forma de discriminación; a ser informado de sus derechos en un idioma comprensible y adecuado a su edad; a que se respete el derecho a la privacidad; a que se informe a los progenitores o tutores sobre el delito; a participar en el procedimiento penal como parte perjudicada uniéndose al enjuiciamiento penal o interponiendo una reclamación judicial de bienes por daños y perjuicios; a recibir protección especial en el contexto de su seguridad y la de su familia; y a recibir protección contra la victimización secundaria y la revictimización y otra asistencia o apoyo profesional de las autoridades pertinentes.</w:t>
      </w:r>
    </w:p>
    <w:p w14:paraId="6AA56A3D" w14:textId="77777777" w:rsidR="00B92948" w:rsidRPr="00B92948" w:rsidRDefault="00B92948" w:rsidP="00B92948">
      <w:pPr>
        <w:pStyle w:val="SingleTxtG"/>
      </w:pPr>
      <w:r w:rsidRPr="00B92948">
        <w:t>219.</w:t>
      </w:r>
      <w:r w:rsidRPr="00B92948">
        <w:tab/>
        <w:t>En los procedimientos policiales y penales, el niño víctima de un delito tiene derecho a asistencia jurídica de un abogado antes de prestar testimonio o hacer una declaración o de interponer una reclamación judicial de bienes, para obtener una indemnización por daños materiales o no pecuniarios en el marco del programa mencionado en el artículo 151 de la</w:t>
      </w:r>
      <w:r w:rsidR="00031E39">
        <w:t> </w:t>
      </w:r>
      <w:r w:rsidRPr="00B92948">
        <w:t xml:space="preserve">Ley, junto con el artículo 152; si la indemnización por daños y perjuicios no puede ser proporcionada por la persona condenada, el niño tiene derecho a un representante legal desde el momento de prestar el primer testimonio y durante todos las trámites. La asistencia jurídica a niño víctima es proporcionada, por regla general, por un abogado que ha asistido a una formación especializada sobre los derechos del niño. </w:t>
      </w:r>
    </w:p>
    <w:p w14:paraId="66E99667" w14:textId="77777777" w:rsidR="00B92948" w:rsidRPr="00B92948" w:rsidRDefault="00B92948" w:rsidP="00B92948">
      <w:pPr>
        <w:pStyle w:val="SingleTxtG"/>
      </w:pPr>
      <w:r w:rsidRPr="00B92948">
        <w:t>220.</w:t>
      </w:r>
      <w:r w:rsidRPr="00B92948">
        <w:tab/>
        <w:t xml:space="preserve">El artículo 146 regula los derechos especiales de protección durante el proceso, es decir, el derecho del niño víctima a medidas especiales de protección al prestar declaración y durante el interrogatorio en todas las etapas de los trámites judiciales. </w:t>
      </w:r>
    </w:p>
    <w:p w14:paraId="2A3BCB01" w14:textId="77777777" w:rsidR="00B92948" w:rsidRPr="00B92948" w:rsidRDefault="00B92948" w:rsidP="00B92948">
      <w:pPr>
        <w:pStyle w:val="SingleTxtG"/>
      </w:pPr>
      <w:r w:rsidRPr="00B92948">
        <w:t>221.</w:t>
      </w:r>
      <w:r w:rsidRPr="00B92948">
        <w:tab/>
        <w:t>El tribunal puede ordenar las siguientes medidas específicas de protección procesal cuando un niño es oído en el tribunal: el uso de pantallas protectoras para ocultar a la víctima y al testigo de la vista del acusado, la ocultación de la identidad o el aspecto de la víctima, la prestación de testimonio por videoconferencia, el no uso de togas o tocados, la exclusión del público, la grabación en vídeo y audio del testimonio o interrogatorio que se utilizará como prueba, la toma de declaración a través de un intermediario profesional, el uso de medios técnicos de comunicación y la protección de la intimidad del niño y su familia.</w:t>
      </w:r>
    </w:p>
    <w:p w14:paraId="52E7BA2E" w14:textId="77777777" w:rsidR="00B92948" w:rsidRPr="00B92948" w:rsidRDefault="00B92948" w:rsidP="00B92948">
      <w:pPr>
        <w:pStyle w:val="SingleTxtG"/>
      </w:pPr>
      <w:r w:rsidRPr="00B92948">
        <w:t>222.</w:t>
      </w:r>
      <w:r w:rsidRPr="00B92948">
        <w:tab/>
        <w:t xml:space="preserve">De conformidad con el </w:t>
      </w:r>
      <w:r w:rsidRPr="006C6A08">
        <w:t>artículo 151 1)</w:t>
      </w:r>
      <w:r w:rsidRPr="00B92948">
        <w:t xml:space="preserve">, la indemnización de un niño víctima o de un niño que ha resultado lesionado por una acción que la ley considera delito o acto de violencia, así como otros actos de violencia individual o grupal, se sufraga con cargo al presupuesto del Ministerio de Justicia. Con arreglo al dictamen del Consejo Estatal de Prevención de la Delincuencia Infantil, el Ministerio de Justicia aprueba un programa anual, que planifica las fuentes y la forma de los gastos mencionados en el párrafo 1 del artículo. </w:t>
      </w:r>
    </w:p>
    <w:p w14:paraId="1EDE683B" w14:textId="77777777" w:rsidR="00B92948" w:rsidRPr="00B92948" w:rsidRDefault="00B92948" w:rsidP="00B92948">
      <w:pPr>
        <w:pStyle w:val="SingleTxtG"/>
      </w:pPr>
      <w:r w:rsidRPr="00B92948">
        <w:t>223.</w:t>
      </w:r>
      <w:r w:rsidRPr="00B92948">
        <w:tab/>
        <w:t xml:space="preserve">El artículo 152 describe las condiciones y el procedimiento para ejercer el derecho a la indemnización. El párrafo 1 prevé la posibilidad de que un niño que tenga la condición jurídica de víctima por decisión judicial y cuya reclamación judicial de bienes haya sido aceptada, pueda presentar una solicitud de indemnización por daños y perjuicios con cargo a los fondos previstos en el </w:t>
      </w:r>
      <w:r w:rsidRPr="006C6A08">
        <w:t>artículo 151 1)</w:t>
      </w:r>
      <w:r w:rsidRPr="00B92948">
        <w:t xml:space="preserve"> de esta Ley ante el tribunal competente, en los casos en que la reclamación judicial de bienes no pueda sufragarse con cargo a los bienes del autor del delito debido a obstáculos de hecho o de derecho, y en el caso de que hayan transcurrido más de seis meses desde la decisión jurídicamente vinculante sobre la reclamación judicial de bienes. </w:t>
      </w:r>
    </w:p>
    <w:p w14:paraId="55515A07" w14:textId="77777777" w:rsidR="00B92948" w:rsidRPr="00B92948" w:rsidRDefault="00B92948" w:rsidP="00B92948">
      <w:pPr>
        <w:pStyle w:val="SingleTxtG"/>
      </w:pPr>
      <w:r w:rsidRPr="00B92948">
        <w:t>224.</w:t>
      </w:r>
      <w:r w:rsidRPr="00B92948">
        <w:tab/>
        <w:t>Con la asistencia del UNICEF se ha elaborado un comentario sobre la Ley de Justicia para Niños, que debería alentar y promover la aplicación de la Ley.</w:t>
      </w:r>
    </w:p>
    <w:p w14:paraId="2CF79A08" w14:textId="77777777" w:rsidR="00B92948" w:rsidRPr="00B92948" w:rsidRDefault="0095553A" w:rsidP="0095553A">
      <w:pPr>
        <w:pStyle w:val="H23G"/>
      </w:pPr>
      <w:bookmarkStart w:id="87" w:name="_Hlk56697043"/>
      <w:r>
        <w:tab/>
      </w:r>
      <w:r w:rsidR="00B92948" w:rsidRPr="00B92948">
        <w:tab/>
        <w:t>Recuperación física y psicológica y reintegración social (art. 39)</w:t>
      </w:r>
      <w:bookmarkStart w:id="88" w:name="_Toc56781485"/>
      <w:bookmarkEnd w:id="88"/>
    </w:p>
    <w:bookmarkEnd w:id="87"/>
    <w:p w14:paraId="31DCF66E" w14:textId="77777777" w:rsidR="00B92948" w:rsidRPr="00B92948" w:rsidRDefault="00B92948" w:rsidP="00B92948">
      <w:pPr>
        <w:pStyle w:val="SingleTxtG"/>
      </w:pPr>
      <w:r w:rsidRPr="00B92948">
        <w:t>225.</w:t>
      </w:r>
      <w:r w:rsidRPr="00B92948">
        <w:tab/>
        <w:t xml:space="preserve">Se ha elaborado el Programa de Resocialización y Reintegración de las Víctimas de la Trata de Personas, que se ejecutará a través del Ministerio de Trabajo y Política Social y </w:t>
      </w:r>
      <w:r w:rsidRPr="00B92948">
        <w:lastRenderedPageBreak/>
        <w:t xml:space="preserve">los profesionales de los Centros de Trabajo Social, junto con organizaciones de la sociedad civil. </w:t>
      </w:r>
    </w:p>
    <w:p w14:paraId="04E6A56B" w14:textId="77777777" w:rsidR="00B92948" w:rsidRPr="00B92948" w:rsidRDefault="00B92948" w:rsidP="00B92948">
      <w:pPr>
        <w:pStyle w:val="SingleTxtG"/>
      </w:pPr>
      <w:r w:rsidRPr="00B92948">
        <w:t>226.</w:t>
      </w:r>
      <w:r w:rsidRPr="00B92948">
        <w:tab/>
        <w:t>Con la autorización del Ministerio, en el Centro para las Víctimas de la Trata de Personas y la Violencia Sexual se aplica un programa de apoyo psicosocial dirigido a las víctimas elaborado por la organización de la sociedad civil Open Gate.</w:t>
      </w:r>
    </w:p>
    <w:p w14:paraId="1F64A9FA" w14:textId="77777777" w:rsidR="00B92948" w:rsidRPr="00B92948" w:rsidRDefault="00B92948" w:rsidP="00B92948">
      <w:pPr>
        <w:pStyle w:val="SingleTxtG"/>
      </w:pPr>
      <w:r w:rsidRPr="00B92948">
        <w:t>227.</w:t>
      </w:r>
      <w:r w:rsidRPr="00B92948">
        <w:tab/>
        <w:t xml:space="preserve">De conformidad con la Ley de Protección Social, el Instituto Público de Trabajo Social está autorizado para capacitar a profesionales en el ámbito de la protección social. En el período comprendido entre 2014 y 2017, se impartió formación a 74 expertos asociados de todos los Centros de Trabajo Social para tratar a niños víctimas de abuso sexual, a 103 expertos asociados en materia de procedimientos para el tratamiento institucional de niños víctimas de violencia, a 37 expertos asociados de todos los Centros de Trabajo Social sobre el reconocimiento de indicadores de niños víctimas y a 30 expertos asociados de las instituciones del sistema de protección social de niños sobre el trabajo con niños víctimas de delitos. </w:t>
      </w:r>
    </w:p>
    <w:p w14:paraId="73D9A6D2" w14:textId="77777777" w:rsidR="00B92948" w:rsidRPr="00B92948" w:rsidRDefault="00B92948" w:rsidP="0095553A">
      <w:pPr>
        <w:pStyle w:val="H23G"/>
      </w:pPr>
      <w:r w:rsidRPr="00B92948">
        <w:tab/>
        <w:t>f)</w:t>
      </w:r>
      <w:r w:rsidRPr="00B92948">
        <w:tab/>
        <w:t xml:space="preserve">Niños afectados por un conflicto armado (art. 38), incluidas su recuperación </w:t>
      </w:r>
      <w:r w:rsidR="0095553A">
        <w:br/>
      </w:r>
      <w:r w:rsidRPr="00B92948">
        <w:t>física y psicológica y su reintegración social (art. 39)</w:t>
      </w:r>
      <w:bookmarkStart w:id="89" w:name="_Toc56781486"/>
      <w:bookmarkEnd w:id="89"/>
    </w:p>
    <w:p w14:paraId="7FE1BFAB" w14:textId="77777777" w:rsidR="00B92948" w:rsidRPr="00B92948" w:rsidRDefault="00B92948" w:rsidP="00B92948">
      <w:pPr>
        <w:pStyle w:val="SingleTxtG"/>
      </w:pPr>
      <w:r w:rsidRPr="00B92948">
        <w:t>228.</w:t>
      </w:r>
      <w:r w:rsidRPr="00B92948">
        <w:tab/>
        <w:t xml:space="preserve">No se han elaborado mecanismos para la detección de niños implicados en conflictos armados. En consonancia con la corta estancia de los niños solicitantes de asilo en el Centro de Recepción de Solicitantes de Asilo, el país tiene la obligación de fomentar la capacidad del personal para aplicar los indicadores de identificación de los niños implicados o participantes en un conflicto armado. </w:t>
      </w:r>
    </w:p>
    <w:p w14:paraId="12830D38" w14:textId="77777777" w:rsidR="00B92948" w:rsidRPr="00B92948" w:rsidRDefault="00B92948" w:rsidP="00B92948">
      <w:pPr>
        <w:pStyle w:val="SingleTxtG"/>
      </w:pPr>
      <w:r w:rsidRPr="00B92948">
        <w:t>229.</w:t>
      </w:r>
      <w:r w:rsidRPr="00B92948">
        <w:tab/>
        <w:t>El Protocolo Facultativo, la legislación nacional, la Estrategia Nacional y el Plan de Acción Nacional 2017-2020 describen diversos medios para la protección de los niños víctimas.</w:t>
      </w:r>
    </w:p>
    <w:p w14:paraId="489EC7D4" w14:textId="77777777" w:rsidR="00B92948" w:rsidRPr="00B92948" w:rsidRDefault="00B92948" w:rsidP="00B92948">
      <w:pPr>
        <w:pStyle w:val="SingleTxtG"/>
      </w:pPr>
      <w:r w:rsidRPr="00B92948">
        <w:t>230.</w:t>
      </w:r>
      <w:r w:rsidRPr="00B92948">
        <w:tab/>
        <w:t>Los procedimientos operativos estándar para las víctimas de la trata de personas prevén procedimientos separados para los niños víctimas, según los cuales estos niños (tanto nacionales como extranjeros) gozan de todos los derechos previstos en las leyes nacionales y los instrumentos internacionales, así como de una protección específica en lo que respecta a la detección y la remisión, la atención preliminar y la asistencia de mediano plazo, el retorno, la reintegración y los procedimientos penales.</w:t>
      </w:r>
    </w:p>
    <w:p w14:paraId="0E64E97C" w14:textId="77777777" w:rsidR="00B92948" w:rsidRPr="00B92948" w:rsidRDefault="00B92948" w:rsidP="00B92948">
      <w:pPr>
        <w:pStyle w:val="SingleTxtG"/>
      </w:pPr>
      <w:r w:rsidRPr="00B92948">
        <w:t>231.</w:t>
      </w:r>
      <w:r w:rsidRPr="00B92948">
        <w:tab/>
        <w:t xml:space="preserve">Además, se comenzaron a aplicar las Directrices sobre la Protección de los Niños Víctimas de la Trata del UNICEF, lo que garantiza las normas básicas para el tratamiento y la aplicación de medidas específicas en relación con la protección y la asistencia a los niños, así como a todas las demás personas involucradas. </w:t>
      </w:r>
    </w:p>
    <w:p w14:paraId="505DE8E0" w14:textId="77777777" w:rsidR="00B92948" w:rsidRPr="00B92948" w:rsidRDefault="00B92948" w:rsidP="00B92948">
      <w:pPr>
        <w:pStyle w:val="SingleTxtG"/>
      </w:pPr>
      <w:r w:rsidRPr="00B92948">
        <w:t>232.</w:t>
      </w:r>
      <w:r w:rsidRPr="00B92948">
        <w:tab/>
        <w:t xml:space="preserve">No se tiene registro de niños no acompañados a los que se haya concedido protección internacional. Sin embargo, en el caso de los niños refugiados y los niños que gozan del estatuto de personas bajo protección subsidiaria, existe la posibilidad por ley de acceder a la educación y a la atención sanitaria en las mismas condiciones que los nacionales macedonios. Con las enmiendas de 2012 a la Ley del Seguro Médico, las personas bajo protección internacional se equiparan a los nacionales macedonios en lo que respecta al seguro médico. Además, las familias de refugiados que participan voluntariamente en el proceso de integración local a través del Centro de Integración de Refugiados y </w:t>
      </w:r>
      <w:proofErr w:type="gramStart"/>
      <w:r w:rsidRPr="00B92948">
        <w:t>Extranjeros,</w:t>
      </w:r>
      <w:proofErr w:type="gramEnd"/>
      <w:r w:rsidRPr="00B92948">
        <w:t xml:space="preserve"> reciben apoyo de mentores y ayuda concreta en su vida cotidiana, en particular para que los niños asistan a la escuela primaria y secundaria, obligatoria en ambos casos.</w:t>
      </w:r>
    </w:p>
    <w:p w14:paraId="3DBBC75F" w14:textId="77777777" w:rsidR="00B92948" w:rsidRPr="00B92948" w:rsidRDefault="00B92948" w:rsidP="0095553A">
      <w:pPr>
        <w:pStyle w:val="H1G"/>
      </w:pPr>
      <w:r w:rsidRPr="00B92948">
        <w:lastRenderedPageBreak/>
        <w:tab/>
        <w:t>10.</w:t>
      </w:r>
      <w:r w:rsidRPr="00B92948">
        <w:tab/>
        <w:t xml:space="preserve">Actividades para aplicar el Protocolo Facultativo de la Convención sobre los Derechos del Niño relativo a la venta de niños, </w:t>
      </w:r>
      <w:r w:rsidR="0095553A">
        <w:br/>
      </w:r>
      <w:r w:rsidRPr="00B92948">
        <w:t>la prostitución infantil y la utilización de niños en la pornografía</w:t>
      </w:r>
      <w:bookmarkStart w:id="90" w:name="_Toc56781487"/>
      <w:bookmarkEnd w:id="90"/>
    </w:p>
    <w:p w14:paraId="67DC53DD" w14:textId="77777777" w:rsidR="00B92948" w:rsidRPr="00B92948" w:rsidRDefault="00B92948" w:rsidP="0095553A">
      <w:pPr>
        <w:pStyle w:val="H23G"/>
      </w:pPr>
      <w:r w:rsidRPr="00B92948">
        <w:tab/>
        <w:t>a)</w:t>
      </w:r>
      <w:r w:rsidRPr="00B92948">
        <w:tab/>
        <w:t xml:space="preserve">Las recomendaciones relativas a la venta de niños se han integrado </w:t>
      </w:r>
      <w:r w:rsidR="006C6A08">
        <w:br/>
      </w:r>
      <w:r w:rsidRPr="00B92948">
        <w:t>en la Estrategia y</w:t>
      </w:r>
      <w:r w:rsidR="0095553A">
        <w:t> </w:t>
      </w:r>
      <w:r w:rsidRPr="00B92948">
        <w:t xml:space="preserve">Plan de Acción Nacional para la Lucha contra la Trata </w:t>
      </w:r>
      <w:r w:rsidR="006C6A08">
        <w:br/>
      </w:r>
      <w:r w:rsidRPr="00B92948">
        <w:t xml:space="preserve">de Personas y la Migración Ilegal 2017-2020, y se prevé su aplicación </w:t>
      </w:r>
      <w:r w:rsidR="006C6A08">
        <w:br/>
      </w:r>
      <w:r w:rsidRPr="00B92948">
        <w:t>de conformidad con el calendario fijado</w:t>
      </w:r>
      <w:bookmarkStart w:id="91" w:name="_Toc56781488"/>
      <w:bookmarkEnd w:id="91"/>
    </w:p>
    <w:p w14:paraId="0A8A22A6" w14:textId="77777777" w:rsidR="00B92948" w:rsidRPr="00B92948" w:rsidRDefault="00B92948" w:rsidP="00B92948">
      <w:pPr>
        <w:pStyle w:val="SingleTxtG"/>
      </w:pPr>
      <w:r w:rsidRPr="00B92948">
        <w:t>233.</w:t>
      </w:r>
      <w:r w:rsidRPr="00B92948">
        <w:tab/>
        <w:t>De conformidad con la recomendación 6 de las observaciones finales del Comité (relativa al informe presentado en virtud del artículo 8 del Protocolo Facultativo), la Comisión Nacional de Lucha contra la Trata de Personas y la Migración Ilegal se encarga de reunir datos sobre la venta de niños y de administrar la base de datos nacional.</w:t>
      </w:r>
    </w:p>
    <w:p w14:paraId="705FFA37" w14:textId="77777777" w:rsidR="00B92948" w:rsidRPr="00B92948" w:rsidRDefault="00B92948" w:rsidP="00B92948">
      <w:pPr>
        <w:pStyle w:val="SingleTxtG"/>
      </w:pPr>
      <w:r w:rsidRPr="00B92948">
        <w:t>234.</w:t>
      </w:r>
      <w:r w:rsidRPr="00B92948">
        <w:tab/>
        <w:t xml:space="preserve">Está dirigida por el Coordinador Nacional (el Secretario de Estado del Ministerio del Interior) y también cuenta con un Coordinador Nacional Adjunto, un </w:t>
      </w:r>
      <w:proofErr w:type="gramStart"/>
      <w:r w:rsidRPr="00B92948">
        <w:t>Secretario</w:t>
      </w:r>
      <w:proofErr w:type="gramEnd"/>
      <w:r w:rsidRPr="00B92948">
        <w:t xml:space="preserve"> y los miembros de la Comisión</w:t>
      </w:r>
      <w:r w:rsidRPr="00B92948">
        <w:rPr>
          <w:rStyle w:val="Refdenotaalpie"/>
        </w:rPr>
        <w:footnoteReference w:id="54"/>
      </w:r>
      <w:r w:rsidRPr="00B92948">
        <w:t>. En 2003 se crearon dos órganos en el seno de la Comisión Nacional, una Secretaría y un Subgrupo de Lucha contra la Venta de Niños, que son órganos ejecutivos de la Comisión.</w:t>
      </w:r>
    </w:p>
    <w:p w14:paraId="2D0F0DDD" w14:textId="77777777" w:rsidR="00B92948" w:rsidRDefault="00B92948" w:rsidP="00B92948">
      <w:pPr>
        <w:pStyle w:val="SingleTxtG"/>
      </w:pPr>
      <w:r w:rsidRPr="00B92948">
        <w:t>235.</w:t>
      </w:r>
      <w:r w:rsidRPr="00B92948">
        <w:tab/>
        <w:t xml:space="preserve">La Comisión Nacional mantiene datos de todas las instituciones pertinentes que participan en el proceso de identificación de las víctimas de la trata de personas. Los datos se desglosan por género, edad, origen étnico y tipo de explotación, entre otras cosas. Sin embargo, no se dispone de datos sobre antecedentes sociales. A </w:t>
      </w:r>
      <w:proofErr w:type="gramStart"/>
      <w:r w:rsidRPr="00B92948">
        <w:t>continuación</w:t>
      </w:r>
      <w:proofErr w:type="gramEnd"/>
      <w:r w:rsidRPr="00B92948">
        <w:t xml:space="preserve"> se consignan los datos estadísticos sobre la trata en 2010-2018</w:t>
      </w:r>
      <w:r w:rsidRPr="00B92948">
        <w:rPr>
          <w:rStyle w:val="Refdenotaalpie"/>
        </w:rPr>
        <w:footnoteReference w:id="55"/>
      </w:r>
      <w:r w:rsidRPr="00B92948">
        <w:t>.</w:t>
      </w:r>
    </w:p>
    <w:tbl>
      <w:tblPr>
        <w:tblStyle w:val="Tablaconcuadrcula"/>
        <w:tblW w:w="9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01"/>
        <w:gridCol w:w="763"/>
        <w:gridCol w:w="797"/>
        <w:gridCol w:w="850"/>
        <w:gridCol w:w="851"/>
        <w:gridCol w:w="850"/>
        <w:gridCol w:w="851"/>
        <w:gridCol w:w="708"/>
        <w:gridCol w:w="785"/>
        <w:gridCol w:w="775"/>
        <w:gridCol w:w="706"/>
      </w:tblGrid>
      <w:tr w:rsidR="00EA791D" w:rsidRPr="00EA791D" w14:paraId="3D1161D9" w14:textId="77777777" w:rsidTr="008D7E0A">
        <w:tc>
          <w:tcPr>
            <w:tcW w:w="1701" w:type="dxa"/>
            <w:vMerge w:val="restart"/>
            <w:tcBorders>
              <w:top w:val="single" w:sz="4" w:space="0" w:color="auto"/>
            </w:tcBorders>
            <w:shd w:val="clear" w:color="auto" w:fill="auto"/>
            <w:vAlign w:val="bottom"/>
          </w:tcPr>
          <w:p w14:paraId="359390C2" w14:textId="77777777" w:rsidR="00EA791D" w:rsidRPr="00EA791D" w:rsidRDefault="00EA791D" w:rsidP="00EA791D">
            <w:pPr>
              <w:pStyle w:val="SingleTxtG"/>
              <w:spacing w:before="80" w:after="80" w:line="200" w:lineRule="exact"/>
              <w:ind w:left="0" w:right="0"/>
              <w:jc w:val="left"/>
              <w:rPr>
                <w:i/>
                <w:sz w:val="16"/>
              </w:rPr>
            </w:pPr>
          </w:p>
        </w:tc>
        <w:tc>
          <w:tcPr>
            <w:tcW w:w="1560" w:type="dxa"/>
            <w:gridSpan w:val="2"/>
            <w:tcBorders>
              <w:top w:val="single" w:sz="4" w:space="0" w:color="auto"/>
              <w:bottom w:val="single" w:sz="4" w:space="0" w:color="auto"/>
              <w:right w:val="single" w:sz="24" w:space="0" w:color="FFFFFF" w:themeColor="background1"/>
            </w:tcBorders>
            <w:shd w:val="clear" w:color="auto" w:fill="auto"/>
            <w:vAlign w:val="bottom"/>
          </w:tcPr>
          <w:p w14:paraId="7925222A" w14:textId="77777777" w:rsidR="00EA791D" w:rsidRPr="00EA791D" w:rsidRDefault="008D7E0A" w:rsidP="008D7E0A">
            <w:pPr>
              <w:pStyle w:val="SingleTxtG"/>
              <w:spacing w:before="80" w:after="80" w:line="200" w:lineRule="exact"/>
              <w:ind w:left="0" w:right="0"/>
              <w:jc w:val="center"/>
              <w:rPr>
                <w:i/>
                <w:sz w:val="16"/>
              </w:rPr>
            </w:pPr>
            <w:r>
              <w:rPr>
                <w:i/>
                <w:sz w:val="16"/>
              </w:rPr>
              <w:t>2014</w:t>
            </w:r>
          </w:p>
        </w:tc>
        <w:tc>
          <w:tcPr>
            <w:tcW w:w="1701"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14:paraId="209C8E3C" w14:textId="77777777" w:rsidR="00EA791D" w:rsidRPr="00EA791D" w:rsidRDefault="008D7E0A" w:rsidP="008D7E0A">
            <w:pPr>
              <w:pStyle w:val="SingleTxtG"/>
              <w:spacing w:before="80" w:after="80" w:line="200" w:lineRule="exact"/>
              <w:ind w:left="0" w:right="0"/>
              <w:jc w:val="center"/>
              <w:rPr>
                <w:i/>
                <w:sz w:val="16"/>
              </w:rPr>
            </w:pPr>
            <w:r>
              <w:rPr>
                <w:i/>
                <w:sz w:val="16"/>
              </w:rPr>
              <w:t>2015</w:t>
            </w:r>
          </w:p>
        </w:tc>
        <w:tc>
          <w:tcPr>
            <w:tcW w:w="1701"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14:paraId="310959B5" w14:textId="77777777" w:rsidR="00EA791D" w:rsidRPr="00EA791D" w:rsidRDefault="008D7E0A" w:rsidP="008D7E0A">
            <w:pPr>
              <w:pStyle w:val="SingleTxtG"/>
              <w:spacing w:before="80" w:after="80" w:line="200" w:lineRule="exact"/>
              <w:ind w:left="0" w:right="0"/>
              <w:jc w:val="center"/>
              <w:rPr>
                <w:i/>
                <w:sz w:val="16"/>
              </w:rPr>
            </w:pPr>
            <w:r>
              <w:rPr>
                <w:i/>
                <w:sz w:val="16"/>
              </w:rPr>
              <w:t>2016</w:t>
            </w:r>
          </w:p>
        </w:tc>
        <w:tc>
          <w:tcPr>
            <w:tcW w:w="1493"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14:paraId="4EC33A49" w14:textId="77777777" w:rsidR="00EA791D" w:rsidRPr="00EA791D" w:rsidRDefault="008D7E0A" w:rsidP="008D7E0A">
            <w:pPr>
              <w:pStyle w:val="SingleTxtG"/>
              <w:spacing w:before="80" w:after="80" w:line="200" w:lineRule="exact"/>
              <w:ind w:left="0" w:right="0"/>
              <w:jc w:val="center"/>
              <w:rPr>
                <w:i/>
                <w:sz w:val="16"/>
              </w:rPr>
            </w:pPr>
            <w:r>
              <w:rPr>
                <w:i/>
                <w:sz w:val="16"/>
              </w:rPr>
              <w:t>2017</w:t>
            </w:r>
          </w:p>
        </w:tc>
        <w:tc>
          <w:tcPr>
            <w:tcW w:w="1481" w:type="dxa"/>
            <w:gridSpan w:val="2"/>
            <w:tcBorders>
              <w:top w:val="single" w:sz="4" w:space="0" w:color="auto"/>
              <w:left w:val="single" w:sz="24" w:space="0" w:color="FFFFFF" w:themeColor="background1"/>
              <w:bottom w:val="single" w:sz="4" w:space="0" w:color="auto"/>
            </w:tcBorders>
            <w:shd w:val="clear" w:color="auto" w:fill="auto"/>
            <w:vAlign w:val="bottom"/>
          </w:tcPr>
          <w:p w14:paraId="329FF1F0" w14:textId="77777777" w:rsidR="00EA791D" w:rsidRPr="00EA791D" w:rsidRDefault="008D7E0A" w:rsidP="008D7E0A">
            <w:pPr>
              <w:pStyle w:val="SingleTxtG"/>
              <w:spacing w:before="80" w:after="80" w:line="200" w:lineRule="exact"/>
              <w:ind w:left="0" w:right="0"/>
              <w:jc w:val="center"/>
              <w:rPr>
                <w:i/>
                <w:sz w:val="16"/>
              </w:rPr>
            </w:pPr>
            <w:r>
              <w:rPr>
                <w:i/>
                <w:sz w:val="16"/>
              </w:rPr>
              <w:t>2018</w:t>
            </w:r>
          </w:p>
        </w:tc>
      </w:tr>
      <w:tr w:rsidR="00EA791D" w:rsidRPr="00EA791D" w14:paraId="154C1976" w14:textId="77777777" w:rsidTr="008D7E0A">
        <w:tc>
          <w:tcPr>
            <w:tcW w:w="1701" w:type="dxa"/>
            <w:vMerge/>
            <w:tcBorders>
              <w:bottom w:val="single" w:sz="12" w:space="0" w:color="auto"/>
            </w:tcBorders>
            <w:shd w:val="clear" w:color="auto" w:fill="auto"/>
            <w:vAlign w:val="bottom"/>
          </w:tcPr>
          <w:p w14:paraId="5EE39D9E" w14:textId="77777777" w:rsidR="00EA791D" w:rsidRPr="00EA791D" w:rsidRDefault="00EA791D" w:rsidP="00EA791D">
            <w:pPr>
              <w:pStyle w:val="SingleTxtG"/>
              <w:spacing w:before="80" w:after="80" w:line="200" w:lineRule="exact"/>
              <w:ind w:left="0" w:right="0"/>
              <w:jc w:val="left"/>
              <w:rPr>
                <w:i/>
                <w:sz w:val="16"/>
              </w:rPr>
            </w:pPr>
          </w:p>
        </w:tc>
        <w:tc>
          <w:tcPr>
            <w:tcW w:w="763" w:type="dxa"/>
            <w:tcBorders>
              <w:top w:val="single" w:sz="4" w:space="0" w:color="auto"/>
              <w:bottom w:val="single" w:sz="12" w:space="0" w:color="auto"/>
            </w:tcBorders>
            <w:shd w:val="clear" w:color="auto" w:fill="auto"/>
            <w:vAlign w:val="bottom"/>
          </w:tcPr>
          <w:p w14:paraId="5D22A3CB" w14:textId="77777777" w:rsidR="00EA791D" w:rsidRPr="00DE02B2" w:rsidRDefault="00EA791D" w:rsidP="008D7E0A">
            <w:pPr>
              <w:pStyle w:val="SingleTxtG"/>
              <w:tabs>
                <w:tab w:val="clear" w:pos="1701"/>
                <w:tab w:val="clear" w:pos="2268"/>
                <w:tab w:val="clear" w:pos="2835"/>
              </w:tabs>
              <w:spacing w:before="80" w:after="80" w:line="200" w:lineRule="exact"/>
              <w:ind w:left="113" w:right="28"/>
              <w:jc w:val="right"/>
              <w:rPr>
                <w:i/>
                <w:iCs/>
                <w:sz w:val="16"/>
              </w:rPr>
            </w:pPr>
            <w:r w:rsidRPr="00DE02B2">
              <w:rPr>
                <w:i/>
                <w:iCs/>
                <w:sz w:val="16"/>
              </w:rPr>
              <w:t>Niños</w:t>
            </w:r>
          </w:p>
        </w:tc>
        <w:tc>
          <w:tcPr>
            <w:tcW w:w="797" w:type="dxa"/>
            <w:tcBorders>
              <w:top w:val="single" w:sz="4" w:space="0" w:color="auto"/>
              <w:bottom w:val="single" w:sz="12" w:space="0" w:color="auto"/>
              <w:right w:val="single" w:sz="24" w:space="0" w:color="FFFFFF" w:themeColor="background1"/>
            </w:tcBorders>
            <w:shd w:val="clear" w:color="auto" w:fill="auto"/>
            <w:vAlign w:val="bottom"/>
          </w:tcPr>
          <w:p w14:paraId="14F28415" w14:textId="77777777" w:rsidR="00EA791D" w:rsidRPr="00DE02B2" w:rsidRDefault="00EA791D" w:rsidP="008D7E0A">
            <w:pPr>
              <w:pStyle w:val="SingleTxtG"/>
              <w:tabs>
                <w:tab w:val="clear" w:pos="1701"/>
                <w:tab w:val="clear" w:pos="2268"/>
                <w:tab w:val="clear" w:pos="2835"/>
              </w:tabs>
              <w:spacing w:before="80" w:after="80" w:line="200" w:lineRule="exact"/>
              <w:ind w:left="113" w:right="28"/>
              <w:jc w:val="right"/>
              <w:rPr>
                <w:i/>
                <w:iCs/>
                <w:sz w:val="16"/>
              </w:rPr>
            </w:pPr>
            <w:r w:rsidRPr="00DE02B2">
              <w:rPr>
                <w:i/>
                <w:iCs/>
                <w:sz w:val="16"/>
              </w:rPr>
              <w:t>Adultos</w:t>
            </w:r>
          </w:p>
        </w:tc>
        <w:tc>
          <w:tcPr>
            <w:tcW w:w="850" w:type="dxa"/>
            <w:tcBorders>
              <w:top w:val="single" w:sz="4" w:space="0" w:color="auto"/>
              <w:left w:val="single" w:sz="24" w:space="0" w:color="FFFFFF" w:themeColor="background1"/>
              <w:bottom w:val="single" w:sz="12" w:space="0" w:color="auto"/>
            </w:tcBorders>
            <w:shd w:val="clear" w:color="auto" w:fill="auto"/>
            <w:vAlign w:val="bottom"/>
          </w:tcPr>
          <w:p w14:paraId="36C1CB3B" w14:textId="77777777" w:rsidR="00EA791D" w:rsidRPr="00DE02B2" w:rsidRDefault="00EA791D" w:rsidP="008D7E0A">
            <w:pPr>
              <w:pStyle w:val="SingleTxtG"/>
              <w:tabs>
                <w:tab w:val="clear" w:pos="1701"/>
                <w:tab w:val="clear" w:pos="2268"/>
                <w:tab w:val="clear" w:pos="2835"/>
              </w:tabs>
              <w:spacing w:before="80" w:after="80" w:line="200" w:lineRule="exact"/>
              <w:ind w:left="113" w:right="28"/>
              <w:jc w:val="right"/>
              <w:rPr>
                <w:i/>
                <w:iCs/>
                <w:sz w:val="16"/>
              </w:rPr>
            </w:pPr>
            <w:r w:rsidRPr="00DE02B2">
              <w:rPr>
                <w:i/>
                <w:iCs/>
                <w:sz w:val="16"/>
              </w:rPr>
              <w:t>Niños</w:t>
            </w:r>
          </w:p>
        </w:tc>
        <w:tc>
          <w:tcPr>
            <w:tcW w:w="851" w:type="dxa"/>
            <w:tcBorders>
              <w:top w:val="single" w:sz="4" w:space="0" w:color="auto"/>
              <w:bottom w:val="single" w:sz="12" w:space="0" w:color="auto"/>
              <w:right w:val="single" w:sz="24" w:space="0" w:color="FFFFFF" w:themeColor="background1"/>
            </w:tcBorders>
            <w:shd w:val="clear" w:color="auto" w:fill="auto"/>
            <w:vAlign w:val="bottom"/>
          </w:tcPr>
          <w:p w14:paraId="439E79B7" w14:textId="77777777" w:rsidR="00EA791D" w:rsidRPr="00DE02B2" w:rsidRDefault="00EA791D" w:rsidP="008D7E0A">
            <w:pPr>
              <w:pStyle w:val="SingleTxtG"/>
              <w:tabs>
                <w:tab w:val="clear" w:pos="1701"/>
                <w:tab w:val="clear" w:pos="2268"/>
                <w:tab w:val="clear" w:pos="2835"/>
              </w:tabs>
              <w:spacing w:before="80" w:after="80" w:line="200" w:lineRule="exact"/>
              <w:ind w:left="113" w:right="28"/>
              <w:jc w:val="right"/>
              <w:rPr>
                <w:i/>
                <w:iCs/>
                <w:sz w:val="16"/>
              </w:rPr>
            </w:pPr>
            <w:r w:rsidRPr="00DE02B2">
              <w:rPr>
                <w:i/>
                <w:iCs/>
                <w:sz w:val="16"/>
              </w:rPr>
              <w:t>Adultos</w:t>
            </w:r>
          </w:p>
        </w:tc>
        <w:tc>
          <w:tcPr>
            <w:tcW w:w="850" w:type="dxa"/>
            <w:tcBorders>
              <w:top w:val="single" w:sz="4" w:space="0" w:color="auto"/>
              <w:left w:val="single" w:sz="24" w:space="0" w:color="FFFFFF" w:themeColor="background1"/>
              <w:bottom w:val="single" w:sz="12" w:space="0" w:color="auto"/>
            </w:tcBorders>
            <w:shd w:val="clear" w:color="auto" w:fill="auto"/>
            <w:vAlign w:val="bottom"/>
          </w:tcPr>
          <w:p w14:paraId="31B02ECF" w14:textId="77777777" w:rsidR="00EA791D" w:rsidRPr="00DE02B2" w:rsidRDefault="00EA791D" w:rsidP="008D7E0A">
            <w:pPr>
              <w:pStyle w:val="SingleTxtG"/>
              <w:tabs>
                <w:tab w:val="clear" w:pos="1701"/>
                <w:tab w:val="clear" w:pos="2268"/>
                <w:tab w:val="clear" w:pos="2835"/>
              </w:tabs>
              <w:spacing w:before="80" w:after="80" w:line="200" w:lineRule="exact"/>
              <w:ind w:left="113" w:right="28"/>
              <w:jc w:val="right"/>
              <w:rPr>
                <w:i/>
                <w:iCs/>
                <w:sz w:val="16"/>
              </w:rPr>
            </w:pPr>
            <w:r w:rsidRPr="00DE02B2">
              <w:rPr>
                <w:i/>
                <w:iCs/>
                <w:sz w:val="16"/>
              </w:rPr>
              <w:t>Niños</w:t>
            </w:r>
          </w:p>
        </w:tc>
        <w:tc>
          <w:tcPr>
            <w:tcW w:w="851" w:type="dxa"/>
            <w:tcBorders>
              <w:top w:val="single" w:sz="4" w:space="0" w:color="auto"/>
              <w:bottom w:val="single" w:sz="12" w:space="0" w:color="auto"/>
              <w:right w:val="single" w:sz="24" w:space="0" w:color="FFFFFF" w:themeColor="background1"/>
            </w:tcBorders>
            <w:shd w:val="clear" w:color="auto" w:fill="auto"/>
            <w:vAlign w:val="bottom"/>
          </w:tcPr>
          <w:p w14:paraId="4F00800F" w14:textId="77777777" w:rsidR="00EA791D" w:rsidRPr="00DE02B2" w:rsidRDefault="00EA791D" w:rsidP="008D7E0A">
            <w:pPr>
              <w:pStyle w:val="SingleTxtG"/>
              <w:tabs>
                <w:tab w:val="clear" w:pos="1701"/>
                <w:tab w:val="clear" w:pos="2268"/>
                <w:tab w:val="clear" w:pos="2835"/>
              </w:tabs>
              <w:spacing w:before="80" w:after="80" w:line="200" w:lineRule="exact"/>
              <w:ind w:left="113" w:right="28"/>
              <w:jc w:val="right"/>
              <w:rPr>
                <w:i/>
                <w:iCs/>
                <w:sz w:val="16"/>
              </w:rPr>
            </w:pPr>
            <w:r w:rsidRPr="00DE02B2">
              <w:rPr>
                <w:i/>
                <w:iCs/>
                <w:sz w:val="16"/>
              </w:rPr>
              <w:t>Adultos</w:t>
            </w:r>
          </w:p>
        </w:tc>
        <w:tc>
          <w:tcPr>
            <w:tcW w:w="708" w:type="dxa"/>
            <w:tcBorders>
              <w:top w:val="single" w:sz="4" w:space="0" w:color="auto"/>
              <w:left w:val="single" w:sz="24" w:space="0" w:color="FFFFFF" w:themeColor="background1"/>
              <w:bottom w:val="single" w:sz="12" w:space="0" w:color="auto"/>
            </w:tcBorders>
            <w:shd w:val="clear" w:color="auto" w:fill="auto"/>
            <w:vAlign w:val="bottom"/>
          </w:tcPr>
          <w:p w14:paraId="613D9684" w14:textId="77777777" w:rsidR="00EA791D" w:rsidRPr="00DE02B2" w:rsidRDefault="00EA791D" w:rsidP="008D7E0A">
            <w:pPr>
              <w:pStyle w:val="SingleTxtG"/>
              <w:tabs>
                <w:tab w:val="clear" w:pos="1701"/>
                <w:tab w:val="clear" w:pos="2268"/>
                <w:tab w:val="clear" w:pos="2835"/>
              </w:tabs>
              <w:spacing w:before="80" w:after="80" w:line="200" w:lineRule="exact"/>
              <w:ind w:left="113" w:right="28"/>
              <w:jc w:val="right"/>
              <w:rPr>
                <w:i/>
                <w:iCs/>
                <w:sz w:val="16"/>
              </w:rPr>
            </w:pPr>
            <w:r w:rsidRPr="00DE02B2">
              <w:rPr>
                <w:i/>
                <w:iCs/>
                <w:sz w:val="16"/>
              </w:rPr>
              <w:t>Niños</w:t>
            </w:r>
          </w:p>
        </w:tc>
        <w:tc>
          <w:tcPr>
            <w:tcW w:w="785" w:type="dxa"/>
            <w:tcBorders>
              <w:top w:val="single" w:sz="4" w:space="0" w:color="auto"/>
              <w:bottom w:val="single" w:sz="12" w:space="0" w:color="auto"/>
              <w:right w:val="single" w:sz="24" w:space="0" w:color="FFFFFF" w:themeColor="background1"/>
            </w:tcBorders>
            <w:shd w:val="clear" w:color="auto" w:fill="auto"/>
            <w:vAlign w:val="bottom"/>
          </w:tcPr>
          <w:p w14:paraId="12C42258" w14:textId="77777777" w:rsidR="00EA791D" w:rsidRPr="00DE02B2" w:rsidRDefault="00EA791D" w:rsidP="008D7E0A">
            <w:pPr>
              <w:pStyle w:val="SingleTxtG"/>
              <w:tabs>
                <w:tab w:val="clear" w:pos="1701"/>
                <w:tab w:val="clear" w:pos="2268"/>
                <w:tab w:val="clear" w:pos="2835"/>
              </w:tabs>
              <w:spacing w:before="80" w:after="80" w:line="200" w:lineRule="exact"/>
              <w:ind w:left="113" w:right="28"/>
              <w:jc w:val="right"/>
              <w:rPr>
                <w:i/>
                <w:iCs/>
                <w:sz w:val="16"/>
              </w:rPr>
            </w:pPr>
            <w:r w:rsidRPr="00DE02B2">
              <w:rPr>
                <w:i/>
                <w:iCs/>
                <w:sz w:val="16"/>
              </w:rPr>
              <w:t>Adultos</w:t>
            </w:r>
          </w:p>
        </w:tc>
        <w:tc>
          <w:tcPr>
            <w:tcW w:w="775" w:type="dxa"/>
            <w:tcBorders>
              <w:top w:val="single" w:sz="4" w:space="0" w:color="auto"/>
              <w:left w:val="single" w:sz="24" w:space="0" w:color="FFFFFF" w:themeColor="background1"/>
              <w:bottom w:val="single" w:sz="12" w:space="0" w:color="auto"/>
            </w:tcBorders>
            <w:shd w:val="clear" w:color="auto" w:fill="auto"/>
            <w:vAlign w:val="bottom"/>
          </w:tcPr>
          <w:p w14:paraId="09663C06" w14:textId="77777777" w:rsidR="00EA791D" w:rsidRPr="00DE02B2" w:rsidRDefault="00EA791D" w:rsidP="008D7E0A">
            <w:pPr>
              <w:pStyle w:val="SingleTxtG"/>
              <w:tabs>
                <w:tab w:val="clear" w:pos="1701"/>
                <w:tab w:val="clear" w:pos="2268"/>
                <w:tab w:val="clear" w:pos="2835"/>
              </w:tabs>
              <w:spacing w:before="80" w:after="80" w:line="200" w:lineRule="exact"/>
              <w:ind w:left="113" w:right="28"/>
              <w:jc w:val="right"/>
              <w:rPr>
                <w:i/>
                <w:iCs/>
                <w:sz w:val="16"/>
              </w:rPr>
            </w:pPr>
            <w:r w:rsidRPr="00DE02B2">
              <w:rPr>
                <w:i/>
                <w:iCs/>
                <w:sz w:val="16"/>
              </w:rPr>
              <w:t>Niños</w:t>
            </w:r>
          </w:p>
        </w:tc>
        <w:tc>
          <w:tcPr>
            <w:tcW w:w="706" w:type="dxa"/>
            <w:tcBorders>
              <w:top w:val="single" w:sz="4" w:space="0" w:color="auto"/>
              <w:bottom w:val="single" w:sz="12" w:space="0" w:color="auto"/>
            </w:tcBorders>
            <w:shd w:val="clear" w:color="auto" w:fill="auto"/>
            <w:vAlign w:val="bottom"/>
          </w:tcPr>
          <w:p w14:paraId="3219728B" w14:textId="77777777" w:rsidR="00EA791D" w:rsidRPr="00DE02B2" w:rsidRDefault="00EA791D" w:rsidP="008D7E0A">
            <w:pPr>
              <w:pStyle w:val="SingleTxtG"/>
              <w:tabs>
                <w:tab w:val="clear" w:pos="1701"/>
                <w:tab w:val="clear" w:pos="2268"/>
                <w:tab w:val="clear" w:pos="2835"/>
              </w:tabs>
              <w:spacing w:before="80" w:after="80" w:line="200" w:lineRule="exact"/>
              <w:ind w:left="113" w:right="28"/>
              <w:jc w:val="right"/>
              <w:rPr>
                <w:i/>
                <w:iCs/>
                <w:sz w:val="16"/>
              </w:rPr>
            </w:pPr>
            <w:r w:rsidRPr="00DE02B2">
              <w:rPr>
                <w:i/>
                <w:iCs/>
                <w:sz w:val="16"/>
              </w:rPr>
              <w:t>Adultos</w:t>
            </w:r>
          </w:p>
        </w:tc>
      </w:tr>
      <w:tr w:rsidR="008D7E0A" w:rsidRPr="00EA791D" w14:paraId="3F220569" w14:textId="77777777" w:rsidTr="008D7E0A">
        <w:tc>
          <w:tcPr>
            <w:tcW w:w="1701" w:type="dxa"/>
            <w:tcBorders>
              <w:top w:val="single" w:sz="12" w:space="0" w:color="auto"/>
            </w:tcBorders>
            <w:shd w:val="clear" w:color="auto" w:fill="auto"/>
          </w:tcPr>
          <w:p w14:paraId="23798AFA" w14:textId="77777777" w:rsidR="008D7E0A" w:rsidRPr="003A1036" w:rsidRDefault="008D7E0A" w:rsidP="008D7E0A">
            <w:pPr>
              <w:pStyle w:val="SingleTxtG"/>
              <w:tabs>
                <w:tab w:val="clear" w:pos="1701"/>
                <w:tab w:val="clear" w:pos="2268"/>
                <w:tab w:val="clear" w:pos="2835"/>
              </w:tabs>
              <w:spacing w:before="40" w:after="40" w:line="220" w:lineRule="exact"/>
              <w:ind w:left="0" w:right="0"/>
              <w:jc w:val="left"/>
              <w:rPr>
                <w:sz w:val="18"/>
              </w:rPr>
            </w:pPr>
            <w:r w:rsidRPr="003A1036">
              <w:rPr>
                <w:sz w:val="18"/>
              </w:rPr>
              <w:t>Nacionales</w:t>
            </w:r>
          </w:p>
        </w:tc>
        <w:tc>
          <w:tcPr>
            <w:tcW w:w="763" w:type="dxa"/>
            <w:tcBorders>
              <w:top w:val="single" w:sz="12" w:space="0" w:color="auto"/>
            </w:tcBorders>
            <w:shd w:val="clear" w:color="auto" w:fill="auto"/>
            <w:vAlign w:val="bottom"/>
          </w:tcPr>
          <w:p w14:paraId="08D55AC3" w14:textId="77777777" w:rsidR="008D7E0A" w:rsidRPr="003A1036" w:rsidRDefault="008D7E0A" w:rsidP="008D7E0A">
            <w:pPr>
              <w:pStyle w:val="SingleTxtG"/>
              <w:tabs>
                <w:tab w:val="clear" w:pos="1701"/>
                <w:tab w:val="clear" w:pos="2268"/>
                <w:tab w:val="clear" w:pos="2835"/>
              </w:tabs>
              <w:spacing w:before="40" w:after="40" w:line="220" w:lineRule="exact"/>
              <w:ind w:left="113" w:right="28"/>
              <w:jc w:val="right"/>
              <w:rPr>
                <w:sz w:val="18"/>
              </w:rPr>
            </w:pPr>
            <w:r w:rsidRPr="003A1036">
              <w:rPr>
                <w:sz w:val="18"/>
              </w:rPr>
              <w:t>6</w:t>
            </w:r>
          </w:p>
        </w:tc>
        <w:tc>
          <w:tcPr>
            <w:tcW w:w="797" w:type="dxa"/>
            <w:tcBorders>
              <w:top w:val="single" w:sz="12" w:space="0" w:color="auto"/>
            </w:tcBorders>
            <w:shd w:val="clear" w:color="auto" w:fill="auto"/>
            <w:vAlign w:val="bottom"/>
          </w:tcPr>
          <w:p w14:paraId="7C079851" w14:textId="77777777" w:rsidR="008D7E0A" w:rsidRPr="003A1036" w:rsidRDefault="008D7E0A" w:rsidP="008D7E0A">
            <w:pPr>
              <w:pStyle w:val="SingleTxtG"/>
              <w:tabs>
                <w:tab w:val="clear" w:pos="1701"/>
                <w:tab w:val="clear" w:pos="2268"/>
                <w:tab w:val="clear" w:pos="2835"/>
              </w:tabs>
              <w:spacing w:before="40" w:after="40" w:line="220" w:lineRule="exact"/>
              <w:ind w:left="113" w:right="28"/>
              <w:jc w:val="right"/>
              <w:rPr>
                <w:sz w:val="18"/>
              </w:rPr>
            </w:pPr>
            <w:r w:rsidRPr="003A1036">
              <w:rPr>
                <w:sz w:val="18"/>
              </w:rPr>
              <w:t>1</w:t>
            </w:r>
          </w:p>
        </w:tc>
        <w:tc>
          <w:tcPr>
            <w:tcW w:w="850" w:type="dxa"/>
            <w:tcBorders>
              <w:top w:val="single" w:sz="12" w:space="0" w:color="auto"/>
            </w:tcBorders>
            <w:shd w:val="clear" w:color="auto" w:fill="auto"/>
            <w:vAlign w:val="bottom"/>
          </w:tcPr>
          <w:p w14:paraId="4A6B6572" w14:textId="77777777" w:rsidR="008D7E0A" w:rsidRPr="003A1036" w:rsidRDefault="008D7E0A" w:rsidP="008D7E0A">
            <w:pPr>
              <w:pStyle w:val="SingleTxtG"/>
              <w:tabs>
                <w:tab w:val="clear" w:pos="1701"/>
                <w:tab w:val="clear" w:pos="2268"/>
                <w:tab w:val="clear" w:pos="2835"/>
              </w:tabs>
              <w:spacing w:before="40" w:after="40" w:line="220" w:lineRule="exact"/>
              <w:ind w:left="113" w:right="28"/>
              <w:jc w:val="right"/>
              <w:rPr>
                <w:sz w:val="18"/>
              </w:rPr>
            </w:pPr>
            <w:r w:rsidRPr="003A1036">
              <w:rPr>
                <w:sz w:val="18"/>
              </w:rPr>
              <w:t>3</w:t>
            </w:r>
          </w:p>
        </w:tc>
        <w:tc>
          <w:tcPr>
            <w:tcW w:w="851" w:type="dxa"/>
            <w:tcBorders>
              <w:top w:val="single" w:sz="12" w:space="0" w:color="auto"/>
            </w:tcBorders>
            <w:shd w:val="clear" w:color="auto" w:fill="auto"/>
            <w:vAlign w:val="bottom"/>
          </w:tcPr>
          <w:p w14:paraId="151F905F" w14:textId="77777777" w:rsidR="008D7E0A" w:rsidRPr="003A1036" w:rsidRDefault="008D7E0A" w:rsidP="008D7E0A">
            <w:pPr>
              <w:pStyle w:val="SingleTxtG"/>
              <w:tabs>
                <w:tab w:val="clear" w:pos="1701"/>
                <w:tab w:val="clear" w:pos="2268"/>
                <w:tab w:val="clear" w:pos="2835"/>
              </w:tabs>
              <w:spacing w:before="40" w:after="40" w:line="220" w:lineRule="exact"/>
              <w:ind w:left="113" w:right="28"/>
              <w:jc w:val="right"/>
              <w:rPr>
                <w:sz w:val="18"/>
              </w:rPr>
            </w:pPr>
            <w:r w:rsidRPr="003A1036">
              <w:rPr>
                <w:sz w:val="18"/>
              </w:rPr>
              <w:t>-</w:t>
            </w:r>
          </w:p>
        </w:tc>
        <w:tc>
          <w:tcPr>
            <w:tcW w:w="850" w:type="dxa"/>
            <w:tcBorders>
              <w:top w:val="single" w:sz="12" w:space="0" w:color="auto"/>
            </w:tcBorders>
            <w:shd w:val="clear" w:color="auto" w:fill="auto"/>
            <w:vAlign w:val="bottom"/>
          </w:tcPr>
          <w:p w14:paraId="76F24AB3" w14:textId="77777777" w:rsidR="008D7E0A" w:rsidRPr="003A1036" w:rsidRDefault="008D7E0A" w:rsidP="008D7E0A">
            <w:pPr>
              <w:pStyle w:val="SingleTxtG"/>
              <w:tabs>
                <w:tab w:val="clear" w:pos="1701"/>
                <w:tab w:val="clear" w:pos="2268"/>
                <w:tab w:val="clear" w:pos="2835"/>
              </w:tabs>
              <w:spacing w:before="40" w:after="40" w:line="220" w:lineRule="exact"/>
              <w:ind w:left="113" w:right="28"/>
              <w:jc w:val="right"/>
              <w:rPr>
                <w:sz w:val="18"/>
              </w:rPr>
            </w:pPr>
            <w:r w:rsidRPr="003A1036">
              <w:rPr>
                <w:sz w:val="18"/>
              </w:rPr>
              <w:t>3</w:t>
            </w:r>
          </w:p>
        </w:tc>
        <w:tc>
          <w:tcPr>
            <w:tcW w:w="851" w:type="dxa"/>
            <w:tcBorders>
              <w:top w:val="single" w:sz="12" w:space="0" w:color="auto"/>
            </w:tcBorders>
            <w:shd w:val="clear" w:color="auto" w:fill="auto"/>
            <w:vAlign w:val="bottom"/>
          </w:tcPr>
          <w:p w14:paraId="4828AC17" w14:textId="77777777" w:rsidR="008D7E0A" w:rsidRPr="003A1036" w:rsidRDefault="008D7E0A" w:rsidP="008D7E0A">
            <w:pPr>
              <w:pStyle w:val="SingleTxtG"/>
              <w:tabs>
                <w:tab w:val="clear" w:pos="1701"/>
                <w:tab w:val="clear" w:pos="2268"/>
                <w:tab w:val="clear" w:pos="2835"/>
              </w:tabs>
              <w:spacing w:before="40" w:after="40" w:line="220" w:lineRule="exact"/>
              <w:ind w:left="113" w:right="28"/>
              <w:jc w:val="right"/>
              <w:rPr>
                <w:sz w:val="18"/>
              </w:rPr>
            </w:pPr>
            <w:r w:rsidRPr="003A1036">
              <w:rPr>
                <w:sz w:val="18"/>
              </w:rPr>
              <w:t>2</w:t>
            </w:r>
          </w:p>
        </w:tc>
        <w:tc>
          <w:tcPr>
            <w:tcW w:w="708" w:type="dxa"/>
            <w:tcBorders>
              <w:top w:val="single" w:sz="12" w:space="0" w:color="auto"/>
            </w:tcBorders>
            <w:shd w:val="clear" w:color="auto" w:fill="auto"/>
            <w:vAlign w:val="bottom"/>
          </w:tcPr>
          <w:p w14:paraId="5B5EB9F5" w14:textId="77777777" w:rsidR="008D7E0A" w:rsidRPr="003A1036" w:rsidRDefault="008D7E0A" w:rsidP="008D7E0A">
            <w:pPr>
              <w:pStyle w:val="SingleTxtG"/>
              <w:tabs>
                <w:tab w:val="clear" w:pos="1701"/>
                <w:tab w:val="clear" w:pos="2268"/>
                <w:tab w:val="clear" w:pos="2835"/>
              </w:tabs>
              <w:spacing w:before="40" w:after="40" w:line="220" w:lineRule="exact"/>
              <w:ind w:left="113" w:right="28"/>
              <w:jc w:val="right"/>
              <w:rPr>
                <w:sz w:val="18"/>
              </w:rPr>
            </w:pPr>
            <w:r w:rsidRPr="003A1036">
              <w:rPr>
                <w:sz w:val="18"/>
              </w:rPr>
              <w:t>2</w:t>
            </w:r>
          </w:p>
        </w:tc>
        <w:tc>
          <w:tcPr>
            <w:tcW w:w="785" w:type="dxa"/>
            <w:tcBorders>
              <w:top w:val="single" w:sz="12" w:space="0" w:color="auto"/>
            </w:tcBorders>
            <w:shd w:val="clear" w:color="auto" w:fill="auto"/>
            <w:vAlign w:val="bottom"/>
          </w:tcPr>
          <w:p w14:paraId="5C10D068" w14:textId="77777777" w:rsidR="008D7E0A" w:rsidRPr="003A1036" w:rsidRDefault="008D7E0A" w:rsidP="008D7E0A">
            <w:pPr>
              <w:pStyle w:val="SingleTxtG"/>
              <w:tabs>
                <w:tab w:val="clear" w:pos="1701"/>
                <w:tab w:val="clear" w:pos="2268"/>
                <w:tab w:val="clear" w:pos="2835"/>
              </w:tabs>
              <w:spacing w:before="40" w:after="40" w:line="220" w:lineRule="exact"/>
              <w:ind w:left="113" w:right="28"/>
              <w:jc w:val="right"/>
              <w:rPr>
                <w:sz w:val="18"/>
              </w:rPr>
            </w:pPr>
            <w:r w:rsidRPr="003A1036">
              <w:rPr>
                <w:sz w:val="18"/>
              </w:rPr>
              <w:t>-</w:t>
            </w:r>
          </w:p>
        </w:tc>
        <w:tc>
          <w:tcPr>
            <w:tcW w:w="775" w:type="dxa"/>
            <w:tcBorders>
              <w:top w:val="single" w:sz="12" w:space="0" w:color="auto"/>
            </w:tcBorders>
            <w:shd w:val="clear" w:color="auto" w:fill="auto"/>
            <w:vAlign w:val="bottom"/>
          </w:tcPr>
          <w:p w14:paraId="0C180EE9" w14:textId="77777777" w:rsidR="008D7E0A" w:rsidRPr="003A1036" w:rsidRDefault="008D7E0A" w:rsidP="008D7E0A">
            <w:pPr>
              <w:pStyle w:val="SingleTxtG"/>
              <w:tabs>
                <w:tab w:val="clear" w:pos="1701"/>
                <w:tab w:val="clear" w:pos="2268"/>
                <w:tab w:val="clear" w:pos="2835"/>
              </w:tabs>
              <w:spacing w:before="40" w:after="40" w:line="220" w:lineRule="exact"/>
              <w:ind w:left="113" w:right="28"/>
              <w:jc w:val="right"/>
              <w:rPr>
                <w:sz w:val="18"/>
              </w:rPr>
            </w:pPr>
            <w:r w:rsidRPr="003A1036">
              <w:rPr>
                <w:sz w:val="18"/>
              </w:rPr>
              <w:t>3</w:t>
            </w:r>
          </w:p>
        </w:tc>
        <w:tc>
          <w:tcPr>
            <w:tcW w:w="706" w:type="dxa"/>
            <w:tcBorders>
              <w:top w:val="single" w:sz="12" w:space="0" w:color="auto"/>
            </w:tcBorders>
            <w:shd w:val="clear" w:color="auto" w:fill="auto"/>
            <w:vAlign w:val="bottom"/>
          </w:tcPr>
          <w:p w14:paraId="1200AE0E" w14:textId="77777777" w:rsidR="008D7E0A" w:rsidRPr="003A1036" w:rsidRDefault="008D7E0A" w:rsidP="008D7E0A">
            <w:pPr>
              <w:pStyle w:val="SingleTxtG"/>
              <w:tabs>
                <w:tab w:val="clear" w:pos="1701"/>
                <w:tab w:val="clear" w:pos="2268"/>
                <w:tab w:val="clear" w:pos="2835"/>
              </w:tabs>
              <w:spacing w:before="40" w:after="40" w:line="220" w:lineRule="exact"/>
              <w:ind w:left="113" w:right="28"/>
              <w:jc w:val="right"/>
              <w:rPr>
                <w:sz w:val="18"/>
              </w:rPr>
            </w:pPr>
            <w:r w:rsidRPr="003A1036">
              <w:rPr>
                <w:sz w:val="18"/>
              </w:rPr>
              <w:t>1</w:t>
            </w:r>
          </w:p>
        </w:tc>
      </w:tr>
      <w:tr w:rsidR="008D7E0A" w:rsidRPr="00EA791D" w14:paraId="1C98259C" w14:textId="77777777" w:rsidTr="008D7E0A">
        <w:tc>
          <w:tcPr>
            <w:tcW w:w="1701" w:type="dxa"/>
            <w:tcBorders>
              <w:bottom w:val="single" w:sz="4" w:space="0" w:color="auto"/>
            </w:tcBorders>
            <w:shd w:val="clear" w:color="auto" w:fill="auto"/>
          </w:tcPr>
          <w:p w14:paraId="17365B13" w14:textId="77777777" w:rsidR="008D7E0A" w:rsidRPr="003A1036" w:rsidRDefault="008D7E0A" w:rsidP="008D7E0A">
            <w:pPr>
              <w:pStyle w:val="SingleTxtG"/>
              <w:tabs>
                <w:tab w:val="clear" w:pos="1701"/>
                <w:tab w:val="clear" w:pos="2268"/>
                <w:tab w:val="clear" w:pos="2835"/>
              </w:tabs>
              <w:spacing w:before="40" w:after="40" w:line="220" w:lineRule="exact"/>
              <w:ind w:left="0" w:right="0"/>
              <w:jc w:val="left"/>
              <w:rPr>
                <w:sz w:val="18"/>
              </w:rPr>
            </w:pPr>
            <w:r w:rsidRPr="003A1036">
              <w:rPr>
                <w:sz w:val="18"/>
              </w:rPr>
              <w:t>No nacionales</w:t>
            </w:r>
          </w:p>
        </w:tc>
        <w:tc>
          <w:tcPr>
            <w:tcW w:w="763" w:type="dxa"/>
            <w:tcBorders>
              <w:bottom w:val="single" w:sz="4" w:space="0" w:color="auto"/>
            </w:tcBorders>
            <w:shd w:val="clear" w:color="auto" w:fill="auto"/>
            <w:vAlign w:val="bottom"/>
          </w:tcPr>
          <w:p w14:paraId="1B5097C9" w14:textId="77777777" w:rsidR="008D7E0A" w:rsidRPr="003A1036" w:rsidRDefault="008D7E0A" w:rsidP="008D7E0A">
            <w:pPr>
              <w:pStyle w:val="SingleTxtG"/>
              <w:tabs>
                <w:tab w:val="clear" w:pos="1701"/>
                <w:tab w:val="clear" w:pos="2268"/>
                <w:tab w:val="clear" w:pos="2835"/>
              </w:tabs>
              <w:spacing w:before="40" w:after="40" w:line="220" w:lineRule="exact"/>
              <w:ind w:left="113" w:right="28"/>
              <w:jc w:val="right"/>
              <w:rPr>
                <w:sz w:val="18"/>
              </w:rPr>
            </w:pPr>
            <w:r w:rsidRPr="003A1036">
              <w:rPr>
                <w:sz w:val="18"/>
              </w:rPr>
              <w:t>-</w:t>
            </w:r>
          </w:p>
        </w:tc>
        <w:tc>
          <w:tcPr>
            <w:tcW w:w="797" w:type="dxa"/>
            <w:tcBorders>
              <w:bottom w:val="single" w:sz="4" w:space="0" w:color="auto"/>
            </w:tcBorders>
            <w:shd w:val="clear" w:color="auto" w:fill="auto"/>
            <w:vAlign w:val="bottom"/>
          </w:tcPr>
          <w:p w14:paraId="7DDBB01D" w14:textId="77777777" w:rsidR="008D7E0A" w:rsidRPr="003A1036" w:rsidRDefault="008D7E0A" w:rsidP="008D7E0A">
            <w:pPr>
              <w:pStyle w:val="SingleTxtG"/>
              <w:tabs>
                <w:tab w:val="clear" w:pos="1701"/>
                <w:tab w:val="clear" w:pos="2268"/>
                <w:tab w:val="clear" w:pos="2835"/>
              </w:tabs>
              <w:spacing w:before="40" w:after="40" w:line="220" w:lineRule="exact"/>
              <w:ind w:left="113" w:right="28"/>
              <w:jc w:val="right"/>
              <w:rPr>
                <w:sz w:val="18"/>
              </w:rPr>
            </w:pPr>
            <w:r w:rsidRPr="003A1036">
              <w:rPr>
                <w:sz w:val="18"/>
              </w:rPr>
              <w:t>1</w:t>
            </w:r>
          </w:p>
        </w:tc>
        <w:tc>
          <w:tcPr>
            <w:tcW w:w="850" w:type="dxa"/>
            <w:tcBorders>
              <w:bottom w:val="single" w:sz="4" w:space="0" w:color="auto"/>
            </w:tcBorders>
            <w:shd w:val="clear" w:color="auto" w:fill="auto"/>
            <w:vAlign w:val="bottom"/>
          </w:tcPr>
          <w:p w14:paraId="70004E48" w14:textId="77777777" w:rsidR="008D7E0A" w:rsidRPr="003A1036" w:rsidRDefault="008D7E0A" w:rsidP="008D7E0A">
            <w:pPr>
              <w:pStyle w:val="SingleTxtG"/>
              <w:tabs>
                <w:tab w:val="clear" w:pos="1701"/>
                <w:tab w:val="clear" w:pos="2268"/>
                <w:tab w:val="clear" w:pos="2835"/>
              </w:tabs>
              <w:spacing w:before="40" w:after="40" w:line="220" w:lineRule="exact"/>
              <w:ind w:left="113" w:right="28"/>
              <w:jc w:val="right"/>
              <w:rPr>
                <w:sz w:val="18"/>
              </w:rPr>
            </w:pPr>
            <w:r w:rsidRPr="003A1036">
              <w:rPr>
                <w:sz w:val="18"/>
              </w:rPr>
              <w:t>-</w:t>
            </w:r>
          </w:p>
        </w:tc>
        <w:tc>
          <w:tcPr>
            <w:tcW w:w="851" w:type="dxa"/>
            <w:tcBorders>
              <w:bottom w:val="single" w:sz="4" w:space="0" w:color="auto"/>
            </w:tcBorders>
            <w:shd w:val="clear" w:color="auto" w:fill="auto"/>
            <w:vAlign w:val="bottom"/>
          </w:tcPr>
          <w:p w14:paraId="56C802D6" w14:textId="77777777" w:rsidR="008D7E0A" w:rsidRPr="003A1036" w:rsidRDefault="008D7E0A" w:rsidP="008D7E0A">
            <w:pPr>
              <w:pStyle w:val="SingleTxtG"/>
              <w:tabs>
                <w:tab w:val="clear" w:pos="1701"/>
                <w:tab w:val="clear" w:pos="2268"/>
                <w:tab w:val="clear" w:pos="2835"/>
              </w:tabs>
              <w:spacing w:before="40" w:after="40" w:line="220" w:lineRule="exact"/>
              <w:ind w:left="113" w:right="28"/>
              <w:jc w:val="right"/>
              <w:rPr>
                <w:sz w:val="18"/>
              </w:rPr>
            </w:pPr>
            <w:r w:rsidRPr="003A1036">
              <w:rPr>
                <w:sz w:val="18"/>
              </w:rPr>
              <w:t>1</w:t>
            </w:r>
          </w:p>
        </w:tc>
        <w:tc>
          <w:tcPr>
            <w:tcW w:w="850" w:type="dxa"/>
            <w:tcBorders>
              <w:bottom w:val="single" w:sz="4" w:space="0" w:color="auto"/>
            </w:tcBorders>
            <w:shd w:val="clear" w:color="auto" w:fill="auto"/>
            <w:vAlign w:val="bottom"/>
          </w:tcPr>
          <w:p w14:paraId="5221AE1F" w14:textId="77777777" w:rsidR="008D7E0A" w:rsidRPr="003A1036" w:rsidRDefault="008D7E0A" w:rsidP="008D7E0A">
            <w:pPr>
              <w:pStyle w:val="SingleTxtG"/>
              <w:tabs>
                <w:tab w:val="clear" w:pos="1701"/>
                <w:tab w:val="clear" w:pos="2268"/>
                <w:tab w:val="clear" w:pos="2835"/>
              </w:tabs>
              <w:spacing w:before="40" w:after="40" w:line="220" w:lineRule="exact"/>
              <w:ind w:left="113" w:right="28"/>
              <w:jc w:val="right"/>
              <w:rPr>
                <w:sz w:val="18"/>
              </w:rPr>
            </w:pPr>
            <w:r w:rsidRPr="003A1036">
              <w:rPr>
                <w:sz w:val="18"/>
              </w:rPr>
              <w:t>-</w:t>
            </w:r>
          </w:p>
        </w:tc>
        <w:tc>
          <w:tcPr>
            <w:tcW w:w="851" w:type="dxa"/>
            <w:tcBorders>
              <w:bottom w:val="single" w:sz="4" w:space="0" w:color="auto"/>
            </w:tcBorders>
            <w:shd w:val="clear" w:color="auto" w:fill="auto"/>
            <w:vAlign w:val="bottom"/>
          </w:tcPr>
          <w:p w14:paraId="7121C80E" w14:textId="77777777" w:rsidR="008D7E0A" w:rsidRPr="003A1036" w:rsidRDefault="008D7E0A" w:rsidP="008D7E0A">
            <w:pPr>
              <w:pStyle w:val="SingleTxtG"/>
              <w:tabs>
                <w:tab w:val="clear" w:pos="1701"/>
                <w:tab w:val="clear" w:pos="2268"/>
                <w:tab w:val="clear" w:pos="2835"/>
              </w:tabs>
              <w:spacing w:before="40" w:after="40" w:line="220" w:lineRule="exact"/>
              <w:ind w:left="113" w:right="28"/>
              <w:jc w:val="right"/>
              <w:rPr>
                <w:sz w:val="18"/>
              </w:rPr>
            </w:pPr>
            <w:r w:rsidRPr="003A1036">
              <w:rPr>
                <w:sz w:val="18"/>
              </w:rPr>
              <w:t>1</w:t>
            </w:r>
          </w:p>
        </w:tc>
        <w:tc>
          <w:tcPr>
            <w:tcW w:w="708" w:type="dxa"/>
            <w:tcBorders>
              <w:bottom w:val="single" w:sz="4" w:space="0" w:color="auto"/>
            </w:tcBorders>
            <w:shd w:val="clear" w:color="auto" w:fill="auto"/>
            <w:vAlign w:val="bottom"/>
          </w:tcPr>
          <w:p w14:paraId="3804B766" w14:textId="77777777" w:rsidR="008D7E0A" w:rsidRPr="003A1036" w:rsidRDefault="008D7E0A" w:rsidP="008D7E0A">
            <w:pPr>
              <w:pStyle w:val="SingleTxtG"/>
              <w:tabs>
                <w:tab w:val="clear" w:pos="1701"/>
                <w:tab w:val="clear" w:pos="2268"/>
                <w:tab w:val="clear" w:pos="2835"/>
              </w:tabs>
              <w:spacing w:before="40" w:after="40" w:line="220" w:lineRule="exact"/>
              <w:ind w:left="113" w:right="28"/>
              <w:jc w:val="right"/>
              <w:rPr>
                <w:sz w:val="18"/>
              </w:rPr>
            </w:pPr>
            <w:r w:rsidRPr="003A1036">
              <w:rPr>
                <w:sz w:val="18"/>
              </w:rPr>
              <w:t>-</w:t>
            </w:r>
          </w:p>
        </w:tc>
        <w:tc>
          <w:tcPr>
            <w:tcW w:w="785" w:type="dxa"/>
            <w:tcBorders>
              <w:bottom w:val="single" w:sz="4" w:space="0" w:color="auto"/>
            </w:tcBorders>
            <w:shd w:val="clear" w:color="auto" w:fill="auto"/>
            <w:vAlign w:val="bottom"/>
          </w:tcPr>
          <w:p w14:paraId="27FC96B4" w14:textId="77777777" w:rsidR="008D7E0A" w:rsidRPr="003A1036" w:rsidRDefault="008D7E0A" w:rsidP="008D7E0A">
            <w:pPr>
              <w:pStyle w:val="SingleTxtG"/>
              <w:tabs>
                <w:tab w:val="clear" w:pos="1701"/>
                <w:tab w:val="clear" w:pos="2268"/>
                <w:tab w:val="clear" w:pos="2835"/>
              </w:tabs>
              <w:spacing w:before="40" w:after="40" w:line="220" w:lineRule="exact"/>
              <w:ind w:left="113" w:right="28"/>
              <w:jc w:val="right"/>
              <w:rPr>
                <w:sz w:val="18"/>
              </w:rPr>
            </w:pPr>
            <w:r w:rsidRPr="003A1036">
              <w:rPr>
                <w:sz w:val="18"/>
              </w:rPr>
              <w:t>-</w:t>
            </w:r>
          </w:p>
        </w:tc>
        <w:tc>
          <w:tcPr>
            <w:tcW w:w="775" w:type="dxa"/>
            <w:tcBorders>
              <w:bottom w:val="single" w:sz="4" w:space="0" w:color="auto"/>
            </w:tcBorders>
            <w:shd w:val="clear" w:color="auto" w:fill="auto"/>
            <w:vAlign w:val="bottom"/>
          </w:tcPr>
          <w:p w14:paraId="202E3848" w14:textId="77777777" w:rsidR="008D7E0A" w:rsidRPr="003A1036" w:rsidRDefault="008D7E0A" w:rsidP="008D7E0A">
            <w:pPr>
              <w:pStyle w:val="SingleTxtG"/>
              <w:tabs>
                <w:tab w:val="clear" w:pos="1701"/>
                <w:tab w:val="clear" w:pos="2268"/>
                <w:tab w:val="clear" w:pos="2835"/>
              </w:tabs>
              <w:spacing w:before="40" w:after="40" w:line="220" w:lineRule="exact"/>
              <w:ind w:left="113" w:right="28"/>
              <w:jc w:val="right"/>
              <w:rPr>
                <w:sz w:val="18"/>
              </w:rPr>
            </w:pPr>
            <w:r w:rsidRPr="003A1036">
              <w:rPr>
                <w:sz w:val="18"/>
              </w:rPr>
              <w:t>1</w:t>
            </w:r>
          </w:p>
        </w:tc>
        <w:tc>
          <w:tcPr>
            <w:tcW w:w="706" w:type="dxa"/>
            <w:tcBorders>
              <w:bottom w:val="single" w:sz="4" w:space="0" w:color="auto"/>
            </w:tcBorders>
            <w:shd w:val="clear" w:color="auto" w:fill="auto"/>
            <w:vAlign w:val="bottom"/>
          </w:tcPr>
          <w:p w14:paraId="2831E12C" w14:textId="77777777" w:rsidR="008D7E0A" w:rsidRPr="003A1036" w:rsidRDefault="008D7E0A" w:rsidP="008D7E0A">
            <w:pPr>
              <w:pStyle w:val="SingleTxtG"/>
              <w:tabs>
                <w:tab w:val="clear" w:pos="1701"/>
                <w:tab w:val="clear" w:pos="2268"/>
                <w:tab w:val="clear" w:pos="2835"/>
              </w:tabs>
              <w:spacing w:before="40" w:after="40" w:line="220" w:lineRule="exact"/>
              <w:ind w:left="113" w:right="28"/>
              <w:jc w:val="right"/>
              <w:rPr>
                <w:sz w:val="18"/>
              </w:rPr>
            </w:pPr>
            <w:r w:rsidRPr="003A1036">
              <w:rPr>
                <w:sz w:val="18"/>
              </w:rPr>
              <w:t xml:space="preserve"> </w:t>
            </w:r>
          </w:p>
        </w:tc>
      </w:tr>
      <w:tr w:rsidR="008D7E0A" w:rsidRPr="00EA791D" w14:paraId="0AE2C78D" w14:textId="77777777" w:rsidTr="008D7E0A">
        <w:tc>
          <w:tcPr>
            <w:tcW w:w="1701" w:type="dxa"/>
            <w:tcBorders>
              <w:top w:val="single" w:sz="4" w:space="0" w:color="auto"/>
              <w:bottom w:val="single" w:sz="4" w:space="0" w:color="auto"/>
            </w:tcBorders>
            <w:shd w:val="clear" w:color="auto" w:fill="auto"/>
          </w:tcPr>
          <w:p w14:paraId="13E7963C" w14:textId="77777777" w:rsidR="008D7E0A" w:rsidRPr="00EA791D" w:rsidRDefault="008D7E0A" w:rsidP="008D7E0A">
            <w:pPr>
              <w:pStyle w:val="SingleTxtG"/>
              <w:tabs>
                <w:tab w:val="clear" w:pos="1701"/>
                <w:tab w:val="clear" w:pos="2268"/>
                <w:tab w:val="clear" w:pos="2835"/>
              </w:tabs>
              <w:spacing w:before="80" w:after="80" w:line="220" w:lineRule="exact"/>
              <w:ind w:left="283" w:right="0"/>
              <w:jc w:val="left"/>
              <w:rPr>
                <w:b/>
                <w:sz w:val="18"/>
              </w:rPr>
            </w:pPr>
            <w:r w:rsidRPr="00EA791D">
              <w:rPr>
                <w:b/>
                <w:sz w:val="18"/>
              </w:rPr>
              <w:t>Total</w:t>
            </w:r>
          </w:p>
        </w:tc>
        <w:tc>
          <w:tcPr>
            <w:tcW w:w="763" w:type="dxa"/>
            <w:tcBorders>
              <w:top w:val="single" w:sz="4" w:space="0" w:color="auto"/>
              <w:bottom w:val="single" w:sz="4" w:space="0" w:color="auto"/>
            </w:tcBorders>
            <w:shd w:val="clear" w:color="auto" w:fill="auto"/>
            <w:vAlign w:val="bottom"/>
          </w:tcPr>
          <w:p w14:paraId="367B36FE" w14:textId="77777777" w:rsidR="008D7E0A" w:rsidRPr="00885E0D" w:rsidRDefault="008D7E0A" w:rsidP="008D7E0A">
            <w:pPr>
              <w:pStyle w:val="SingleTxtG"/>
              <w:tabs>
                <w:tab w:val="clear" w:pos="1701"/>
                <w:tab w:val="clear" w:pos="2268"/>
                <w:tab w:val="clear" w:pos="2835"/>
              </w:tabs>
              <w:spacing w:before="80" w:after="80" w:line="220" w:lineRule="exact"/>
              <w:ind w:left="0" w:right="28"/>
              <w:jc w:val="right"/>
              <w:rPr>
                <w:b/>
                <w:sz w:val="18"/>
              </w:rPr>
            </w:pPr>
            <w:r w:rsidRPr="00885E0D">
              <w:rPr>
                <w:b/>
                <w:bCs/>
                <w:sz w:val="18"/>
              </w:rPr>
              <w:t>6</w:t>
            </w:r>
          </w:p>
        </w:tc>
        <w:tc>
          <w:tcPr>
            <w:tcW w:w="797" w:type="dxa"/>
            <w:tcBorders>
              <w:top w:val="single" w:sz="4" w:space="0" w:color="auto"/>
              <w:bottom w:val="single" w:sz="4" w:space="0" w:color="auto"/>
            </w:tcBorders>
            <w:shd w:val="clear" w:color="auto" w:fill="auto"/>
            <w:vAlign w:val="bottom"/>
          </w:tcPr>
          <w:p w14:paraId="2FF974C8" w14:textId="77777777" w:rsidR="008D7E0A" w:rsidRPr="00885E0D" w:rsidRDefault="008D7E0A" w:rsidP="008D7E0A">
            <w:pPr>
              <w:pStyle w:val="SingleTxtG"/>
              <w:tabs>
                <w:tab w:val="clear" w:pos="1701"/>
                <w:tab w:val="clear" w:pos="2268"/>
                <w:tab w:val="clear" w:pos="2835"/>
              </w:tabs>
              <w:spacing w:before="80" w:after="80" w:line="220" w:lineRule="exact"/>
              <w:ind w:left="0" w:right="28"/>
              <w:jc w:val="right"/>
              <w:rPr>
                <w:b/>
                <w:sz w:val="18"/>
              </w:rPr>
            </w:pPr>
            <w:r w:rsidRPr="00885E0D">
              <w:rPr>
                <w:b/>
                <w:bCs/>
                <w:sz w:val="18"/>
              </w:rPr>
              <w:t>2</w:t>
            </w:r>
          </w:p>
        </w:tc>
        <w:tc>
          <w:tcPr>
            <w:tcW w:w="850" w:type="dxa"/>
            <w:tcBorders>
              <w:top w:val="single" w:sz="4" w:space="0" w:color="auto"/>
              <w:bottom w:val="single" w:sz="4" w:space="0" w:color="auto"/>
            </w:tcBorders>
            <w:shd w:val="clear" w:color="auto" w:fill="auto"/>
            <w:vAlign w:val="bottom"/>
          </w:tcPr>
          <w:p w14:paraId="1001F394" w14:textId="77777777" w:rsidR="008D7E0A" w:rsidRPr="00885E0D" w:rsidRDefault="008D7E0A" w:rsidP="008D7E0A">
            <w:pPr>
              <w:pStyle w:val="SingleTxtG"/>
              <w:tabs>
                <w:tab w:val="clear" w:pos="1701"/>
                <w:tab w:val="clear" w:pos="2268"/>
                <w:tab w:val="clear" w:pos="2835"/>
              </w:tabs>
              <w:spacing w:before="80" w:after="80" w:line="220" w:lineRule="exact"/>
              <w:ind w:left="0" w:right="28"/>
              <w:jc w:val="right"/>
              <w:rPr>
                <w:b/>
                <w:sz w:val="18"/>
              </w:rPr>
            </w:pPr>
            <w:r w:rsidRPr="00885E0D">
              <w:rPr>
                <w:b/>
                <w:bCs/>
                <w:sz w:val="18"/>
              </w:rPr>
              <w:t>3</w:t>
            </w:r>
          </w:p>
        </w:tc>
        <w:tc>
          <w:tcPr>
            <w:tcW w:w="851" w:type="dxa"/>
            <w:tcBorders>
              <w:top w:val="single" w:sz="4" w:space="0" w:color="auto"/>
              <w:bottom w:val="single" w:sz="4" w:space="0" w:color="auto"/>
            </w:tcBorders>
            <w:shd w:val="clear" w:color="auto" w:fill="auto"/>
            <w:vAlign w:val="bottom"/>
          </w:tcPr>
          <w:p w14:paraId="35EA1CDA" w14:textId="77777777" w:rsidR="008D7E0A" w:rsidRPr="00885E0D" w:rsidRDefault="008D7E0A" w:rsidP="008D7E0A">
            <w:pPr>
              <w:pStyle w:val="SingleTxtG"/>
              <w:tabs>
                <w:tab w:val="clear" w:pos="1701"/>
                <w:tab w:val="clear" w:pos="2268"/>
                <w:tab w:val="clear" w:pos="2835"/>
              </w:tabs>
              <w:spacing w:before="80" w:after="80" w:line="220" w:lineRule="exact"/>
              <w:ind w:left="0" w:right="28"/>
              <w:jc w:val="right"/>
              <w:rPr>
                <w:b/>
                <w:sz w:val="18"/>
              </w:rPr>
            </w:pPr>
            <w:r w:rsidRPr="00885E0D">
              <w:rPr>
                <w:b/>
                <w:bCs/>
                <w:sz w:val="18"/>
              </w:rPr>
              <w:t>1</w:t>
            </w:r>
          </w:p>
        </w:tc>
        <w:tc>
          <w:tcPr>
            <w:tcW w:w="850" w:type="dxa"/>
            <w:tcBorders>
              <w:top w:val="single" w:sz="4" w:space="0" w:color="auto"/>
              <w:bottom w:val="single" w:sz="4" w:space="0" w:color="auto"/>
            </w:tcBorders>
            <w:shd w:val="clear" w:color="auto" w:fill="auto"/>
            <w:vAlign w:val="bottom"/>
          </w:tcPr>
          <w:p w14:paraId="7161B7DA" w14:textId="77777777" w:rsidR="008D7E0A" w:rsidRPr="00885E0D" w:rsidRDefault="008D7E0A" w:rsidP="008D7E0A">
            <w:pPr>
              <w:pStyle w:val="SingleTxtG"/>
              <w:tabs>
                <w:tab w:val="clear" w:pos="1701"/>
                <w:tab w:val="clear" w:pos="2268"/>
                <w:tab w:val="clear" w:pos="2835"/>
              </w:tabs>
              <w:spacing w:before="80" w:after="80" w:line="220" w:lineRule="exact"/>
              <w:ind w:left="0" w:right="28"/>
              <w:jc w:val="right"/>
              <w:rPr>
                <w:b/>
                <w:sz w:val="18"/>
              </w:rPr>
            </w:pPr>
            <w:r w:rsidRPr="00885E0D">
              <w:rPr>
                <w:b/>
                <w:bCs/>
                <w:sz w:val="18"/>
              </w:rPr>
              <w:t>3</w:t>
            </w:r>
          </w:p>
        </w:tc>
        <w:tc>
          <w:tcPr>
            <w:tcW w:w="851" w:type="dxa"/>
            <w:tcBorders>
              <w:top w:val="single" w:sz="4" w:space="0" w:color="auto"/>
              <w:bottom w:val="single" w:sz="4" w:space="0" w:color="auto"/>
            </w:tcBorders>
            <w:shd w:val="clear" w:color="auto" w:fill="auto"/>
            <w:vAlign w:val="bottom"/>
          </w:tcPr>
          <w:p w14:paraId="4CD70C2C" w14:textId="77777777" w:rsidR="008D7E0A" w:rsidRPr="00885E0D" w:rsidRDefault="008D7E0A" w:rsidP="008D7E0A">
            <w:pPr>
              <w:pStyle w:val="SingleTxtG"/>
              <w:tabs>
                <w:tab w:val="clear" w:pos="1701"/>
                <w:tab w:val="clear" w:pos="2268"/>
                <w:tab w:val="clear" w:pos="2835"/>
              </w:tabs>
              <w:spacing w:before="80" w:after="80" w:line="220" w:lineRule="exact"/>
              <w:ind w:left="0" w:right="28"/>
              <w:jc w:val="right"/>
              <w:rPr>
                <w:b/>
                <w:sz w:val="18"/>
              </w:rPr>
            </w:pPr>
            <w:r w:rsidRPr="00885E0D">
              <w:rPr>
                <w:b/>
                <w:bCs/>
                <w:sz w:val="18"/>
              </w:rPr>
              <w:t>3</w:t>
            </w:r>
          </w:p>
        </w:tc>
        <w:tc>
          <w:tcPr>
            <w:tcW w:w="708" w:type="dxa"/>
            <w:tcBorders>
              <w:top w:val="single" w:sz="4" w:space="0" w:color="auto"/>
              <w:bottom w:val="single" w:sz="4" w:space="0" w:color="auto"/>
            </w:tcBorders>
            <w:shd w:val="clear" w:color="auto" w:fill="auto"/>
            <w:vAlign w:val="bottom"/>
          </w:tcPr>
          <w:p w14:paraId="70FAD610" w14:textId="77777777" w:rsidR="008D7E0A" w:rsidRPr="00885E0D" w:rsidRDefault="008D7E0A" w:rsidP="008D7E0A">
            <w:pPr>
              <w:pStyle w:val="SingleTxtG"/>
              <w:tabs>
                <w:tab w:val="clear" w:pos="1701"/>
                <w:tab w:val="clear" w:pos="2268"/>
                <w:tab w:val="clear" w:pos="2835"/>
              </w:tabs>
              <w:spacing w:before="80" w:after="80" w:line="220" w:lineRule="exact"/>
              <w:ind w:left="0" w:right="28"/>
              <w:jc w:val="right"/>
              <w:rPr>
                <w:b/>
                <w:sz w:val="18"/>
              </w:rPr>
            </w:pPr>
            <w:r w:rsidRPr="00885E0D">
              <w:rPr>
                <w:b/>
                <w:bCs/>
                <w:sz w:val="18"/>
              </w:rPr>
              <w:t>2</w:t>
            </w:r>
          </w:p>
        </w:tc>
        <w:tc>
          <w:tcPr>
            <w:tcW w:w="785" w:type="dxa"/>
            <w:tcBorders>
              <w:top w:val="single" w:sz="4" w:space="0" w:color="auto"/>
              <w:bottom w:val="single" w:sz="4" w:space="0" w:color="auto"/>
            </w:tcBorders>
            <w:shd w:val="clear" w:color="auto" w:fill="auto"/>
            <w:vAlign w:val="bottom"/>
          </w:tcPr>
          <w:p w14:paraId="61F31B19" w14:textId="77777777" w:rsidR="008D7E0A" w:rsidRPr="00885E0D" w:rsidRDefault="008D7E0A" w:rsidP="008D7E0A">
            <w:pPr>
              <w:pStyle w:val="SingleTxtG"/>
              <w:tabs>
                <w:tab w:val="clear" w:pos="1701"/>
                <w:tab w:val="clear" w:pos="2268"/>
                <w:tab w:val="clear" w:pos="2835"/>
              </w:tabs>
              <w:spacing w:before="80" w:after="80" w:line="220" w:lineRule="exact"/>
              <w:ind w:left="0" w:right="28"/>
              <w:jc w:val="right"/>
              <w:rPr>
                <w:b/>
                <w:sz w:val="18"/>
              </w:rPr>
            </w:pPr>
            <w:r w:rsidRPr="00885E0D">
              <w:rPr>
                <w:b/>
                <w:sz w:val="18"/>
              </w:rPr>
              <w:t>-</w:t>
            </w:r>
          </w:p>
        </w:tc>
        <w:tc>
          <w:tcPr>
            <w:tcW w:w="775" w:type="dxa"/>
            <w:tcBorders>
              <w:top w:val="single" w:sz="4" w:space="0" w:color="auto"/>
              <w:bottom w:val="single" w:sz="4" w:space="0" w:color="auto"/>
            </w:tcBorders>
            <w:shd w:val="clear" w:color="auto" w:fill="auto"/>
            <w:vAlign w:val="bottom"/>
          </w:tcPr>
          <w:p w14:paraId="46636E84" w14:textId="77777777" w:rsidR="008D7E0A" w:rsidRPr="00885E0D" w:rsidRDefault="008D7E0A" w:rsidP="008D7E0A">
            <w:pPr>
              <w:pStyle w:val="SingleTxtG"/>
              <w:tabs>
                <w:tab w:val="clear" w:pos="1701"/>
                <w:tab w:val="clear" w:pos="2268"/>
                <w:tab w:val="clear" w:pos="2835"/>
              </w:tabs>
              <w:spacing w:before="80" w:after="80" w:line="220" w:lineRule="exact"/>
              <w:ind w:left="0" w:right="28"/>
              <w:jc w:val="right"/>
              <w:rPr>
                <w:b/>
                <w:sz w:val="18"/>
              </w:rPr>
            </w:pPr>
            <w:r w:rsidRPr="00885E0D">
              <w:rPr>
                <w:b/>
                <w:bCs/>
                <w:sz w:val="18"/>
              </w:rPr>
              <w:t>4</w:t>
            </w:r>
          </w:p>
        </w:tc>
        <w:tc>
          <w:tcPr>
            <w:tcW w:w="706" w:type="dxa"/>
            <w:tcBorders>
              <w:top w:val="single" w:sz="4" w:space="0" w:color="auto"/>
              <w:bottom w:val="single" w:sz="4" w:space="0" w:color="auto"/>
            </w:tcBorders>
            <w:shd w:val="clear" w:color="auto" w:fill="auto"/>
            <w:vAlign w:val="bottom"/>
          </w:tcPr>
          <w:p w14:paraId="6F938F06" w14:textId="77777777" w:rsidR="008D7E0A" w:rsidRPr="00885E0D" w:rsidRDefault="008D7E0A" w:rsidP="008D7E0A">
            <w:pPr>
              <w:pStyle w:val="SingleTxtG"/>
              <w:tabs>
                <w:tab w:val="clear" w:pos="1701"/>
                <w:tab w:val="clear" w:pos="2268"/>
                <w:tab w:val="clear" w:pos="2835"/>
              </w:tabs>
              <w:spacing w:before="80" w:after="80" w:line="220" w:lineRule="exact"/>
              <w:ind w:left="0" w:right="28"/>
              <w:jc w:val="right"/>
              <w:rPr>
                <w:b/>
                <w:sz w:val="18"/>
              </w:rPr>
            </w:pPr>
            <w:r w:rsidRPr="00885E0D">
              <w:rPr>
                <w:b/>
                <w:bCs/>
                <w:sz w:val="18"/>
              </w:rPr>
              <w:t>1</w:t>
            </w:r>
          </w:p>
        </w:tc>
      </w:tr>
      <w:tr w:rsidR="008D7E0A" w:rsidRPr="00EA791D" w14:paraId="586F8D1A" w14:textId="77777777" w:rsidTr="006854E1">
        <w:tc>
          <w:tcPr>
            <w:tcW w:w="1701" w:type="dxa"/>
            <w:tcBorders>
              <w:top w:val="single" w:sz="4" w:space="0" w:color="auto"/>
              <w:bottom w:val="single" w:sz="12" w:space="0" w:color="auto"/>
            </w:tcBorders>
            <w:shd w:val="clear" w:color="auto" w:fill="auto"/>
          </w:tcPr>
          <w:p w14:paraId="390E3521" w14:textId="77777777" w:rsidR="008D7E0A" w:rsidRPr="00885E0D" w:rsidRDefault="008D7E0A" w:rsidP="008D7E0A">
            <w:pPr>
              <w:pStyle w:val="SingleTxtG"/>
              <w:tabs>
                <w:tab w:val="clear" w:pos="1701"/>
                <w:tab w:val="clear" w:pos="2268"/>
                <w:tab w:val="clear" w:pos="2835"/>
              </w:tabs>
              <w:spacing w:before="80" w:after="80" w:line="220" w:lineRule="exact"/>
              <w:ind w:left="283" w:right="0"/>
              <w:jc w:val="left"/>
              <w:rPr>
                <w:b/>
                <w:sz w:val="18"/>
              </w:rPr>
            </w:pPr>
            <w:r w:rsidRPr="00885E0D">
              <w:rPr>
                <w:b/>
                <w:bCs/>
                <w:sz w:val="18"/>
              </w:rPr>
              <w:t>Total de víctimas detectadas</w:t>
            </w:r>
          </w:p>
        </w:tc>
        <w:tc>
          <w:tcPr>
            <w:tcW w:w="1560" w:type="dxa"/>
            <w:gridSpan w:val="2"/>
            <w:tcBorders>
              <w:top w:val="single" w:sz="4" w:space="0" w:color="auto"/>
              <w:bottom w:val="single" w:sz="12" w:space="0" w:color="auto"/>
            </w:tcBorders>
            <w:shd w:val="clear" w:color="auto" w:fill="auto"/>
            <w:vAlign w:val="bottom"/>
          </w:tcPr>
          <w:p w14:paraId="711902B6" w14:textId="77777777" w:rsidR="008D7E0A" w:rsidRPr="00885E0D" w:rsidRDefault="008D7E0A" w:rsidP="008D7E0A">
            <w:pPr>
              <w:pStyle w:val="SingleTxtG"/>
              <w:tabs>
                <w:tab w:val="clear" w:pos="1701"/>
                <w:tab w:val="clear" w:pos="2268"/>
                <w:tab w:val="clear" w:pos="2835"/>
              </w:tabs>
              <w:spacing w:before="80" w:after="80" w:line="220" w:lineRule="exact"/>
              <w:ind w:left="0" w:right="28"/>
              <w:jc w:val="right"/>
              <w:rPr>
                <w:b/>
                <w:sz w:val="18"/>
              </w:rPr>
            </w:pPr>
            <w:r w:rsidRPr="00885E0D">
              <w:rPr>
                <w:b/>
                <w:bCs/>
                <w:sz w:val="18"/>
              </w:rPr>
              <w:t>8</w:t>
            </w:r>
          </w:p>
        </w:tc>
        <w:tc>
          <w:tcPr>
            <w:tcW w:w="1701" w:type="dxa"/>
            <w:gridSpan w:val="2"/>
            <w:tcBorders>
              <w:top w:val="single" w:sz="4" w:space="0" w:color="auto"/>
              <w:bottom w:val="single" w:sz="12" w:space="0" w:color="auto"/>
            </w:tcBorders>
            <w:shd w:val="clear" w:color="auto" w:fill="auto"/>
            <w:vAlign w:val="bottom"/>
          </w:tcPr>
          <w:p w14:paraId="6789E425" w14:textId="77777777" w:rsidR="008D7E0A" w:rsidRPr="00885E0D" w:rsidRDefault="008D7E0A" w:rsidP="008D7E0A">
            <w:pPr>
              <w:pStyle w:val="SingleTxtG"/>
              <w:tabs>
                <w:tab w:val="clear" w:pos="1701"/>
                <w:tab w:val="clear" w:pos="2268"/>
                <w:tab w:val="clear" w:pos="2835"/>
              </w:tabs>
              <w:spacing w:before="80" w:after="80" w:line="220" w:lineRule="exact"/>
              <w:ind w:left="0" w:right="28"/>
              <w:jc w:val="right"/>
              <w:rPr>
                <w:b/>
                <w:sz w:val="18"/>
              </w:rPr>
            </w:pPr>
            <w:r w:rsidRPr="00885E0D">
              <w:rPr>
                <w:b/>
                <w:bCs/>
                <w:sz w:val="18"/>
              </w:rPr>
              <w:t>4</w:t>
            </w:r>
          </w:p>
        </w:tc>
        <w:tc>
          <w:tcPr>
            <w:tcW w:w="1701" w:type="dxa"/>
            <w:gridSpan w:val="2"/>
            <w:tcBorders>
              <w:top w:val="single" w:sz="4" w:space="0" w:color="auto"/>
              <w:bottom w:val="single" w:sz="12" w:space="0" w:color="auto"/>
            </w:tcBorders>
            <w:shd w:val="clear" w:color="auto" w:fill="auto"/>
            <w:vAlign w:val="bottom"/>
          </w:tcPr>
          <w:p w14:paraId="30024C2A" w14:textId="77777777" w:rsidR="008D7E0A" w:rsidRPr="00885E0D" w:rsidRDefault="008D7E0A" w:rsidP="008D7E0A">
            <w:pPr>
              <w:pStyle w:val="SingleTxtG"/>
              <w:tabs>
                <w:tab w:val="clear" w:pos="1701"/>
                <w:tab w:val="clear" w:pos="2268"/>
                <w:tab w:val="clear" w:pos="2835"/>
              </w:tabs>
              <w:spacing w:before="80" w:after="80" w:line="220" w:lineRule="exact"/>
              <w:ind w:left="0" w:right="28"/>
              <w:jc w:val="right"/>
              <w:rPr>
                <w:b/>
                <w:sz w:val="18"/>
              </w:rPr>
            </w:pPr>
            <w:r w:rsidRPr="00885E0D">
              <w:rPr>
                <w:b/>
                <w:bCs/>
                <w:sz w:val="18"/>
              </w:rPr>
              <w:t>6</w:t>
            </w:r>
          </w:p>
        </w:tc>
        <w:tc>
          <w:tcPr>
            <w:tcW w:w="1493" w:type="dxa"/>
            <w:gridSpan w:val="2"/>
            <w:tcBorders>
              <w:top w:val="single" w:sz="4" w:space="0" w:color="auto"/>
              <w:bottom w:val="single" w:sz="12" w:space="0" w:color="auto"/>
            </w:tcBorders>
            <w:shd w:val="clear" w:color="auto" w:fill="auto"/>
            <w:vAlign w:val="bottom"/>
          </w:tcPr>
          <w:p w14:paraId="6330B03C" w14:textId="77777777" w:rsidR="008D7E0A" w:rsidRPr="00885E0D" w:rsidRDefault="008D7E0A" w:rsidP="008D7E0A">
            <w:pPr>
              <w:pStyle w:val="SingleTxtG"/>
              <w:tabs>
                <w:tab w:val="clear" w:pos="1701"/>
                <w:tab w:val="clear" w:pos="2268"/>
                <w:tab w:val="clear" w:pos="2835"/>
              </w:tabs>
              <w:spacing w:before="80" w:after="80" w:line="220" w:lineRule="exact"/>
              <w:ind w:left="0" w:right="28"/>
              <w:jc w:val="right"/>
              <w:rPr>
                <w:b/>
                <w:sz w:val="18"/>
              </w:rPr>
            </w:pPr>
            <w:r w:rsidRPr="00885E0D">
              <w:rPr>
                <w:b/>
                <w:bCs/>
                <w:sz w:val="18"/>
              </w:rPr>
              <w:t>2</w:t>
            </w:r>
          </w:p>
        </w:tc>
        <w:tc>
          <w:tcPr>
            <w:tcW w:w="1481" w:type="dxa"/>
            <w:gridSpan w:val="2"/>
            <w:tcBorders>
              <w:top w:val="single" w:sz="4" w:space="0" w:color="auto"/>
              <w:bottom w:val="single" w:sz="12" w:space="0" w:color="auto"/>
            </w:tcBorders>
            <w:shd w:val="clear" w:color="auto" w:fill="auto"/>
            <w:vAlign w:val="bottom"/>
          </w:tcPr>
          <w:p w14:paraId="5DE5EADA" w14:textId="77777777" w:rsidR="008D7E0A" w:rsidRPr="00885E0D" w:rsidRDefault="008D7E0A" w:rsidP="008D7E0A">
            <w:pPr>
              <w:pStyle w:val="SingleTxtG"/>
              <w:tabs>
                <w:tab w:val="clear" w:pos="1701"/>
                <w:tab w:val="clear" w:pos="2268"/>
                <w:tab w:val="clear" w:pos="2835"/>
              </w:tabs>
              <w:spacing w:before="80" w:after="80" w:line="220" w:lineRule="exact"/>
              <w:ind w:left="0" w:right="28"/>
              <w:jc w:val="right"/>
              <w:rPr>
                <w:b/>
                <w:sz w:val="18"/>
              </w:rPr>
            </w:pPr>
            <w:r w:rsidRPr="00885E0D">
              <w:rPr>
                <w:b/>
                <w:bCs/>
                <w:sz w:val="18"/>
              </w:rPr>
              <w:t>5</w:t>
            </w:r>
          </w:p>
        </w:tc>
      </w:tr>
    </w:tbl>
    <w:p w14:paraId="4A850B77" w14:textId="77777777" w:rsidR="00B92948" w:rsidRPr="00B92948" w:rsidRDefault="00B92948" w:rsidP="00822F09">
      <w:pPr>
        <w:pStyle w:val="SingleTxtG"/>
        <w:spacing w:after="0" w:line="180" w:lineRule="atLeast"/>
      </w:pPr>
    </w:p>
    <w:tbl>
      <w:tblPr>
        <w:tblW w:w="9637" w:type="dxa"/>
        <w:tblBorders>
          <w:top w:val="single" w:sz="4" w:space="0" w:color="auto"/>
        </w:tblBorders>
        <w:tblCellMar>
          <w:left w:w="0" w:type="dxa"/>
          <w:right w:w="0" w:type="dxa"/>
        </w:tblCellMar>
        <w:tblLook w:val="04A0" w:firstRow="1" w:lastRow="0" w:firstColumn="1" w:lastColumn="0" w:noHBand="0" w:noVBand="1"/>
      </w:tblPr>
      <w:tblGrid>
        <w:gridCol w:w="851"/>
        <w:gridCol w:w="1417"/>
        <w:gridCol w:w="1134"/>
        <w:gridCol w:w="568"/>
        <w:gridCol w:w="1172"/>
        <w:gridCol w:w="1658"/>
        <w:gridCol w:w="1625"/>
        <w:gridCol w:w="1212"/>
      </w:tblGrid>
      <w:tr w:rsidR="003A1036" w:rsidRPr="003A1036" w14:paraId="46A16529" w14:textId="77777777" w:rsidTr="00822F09">
        <w:trPr>
          <w:trHeight w:val="240"/>
          <w:tblHeader/>
        </w:trPr>
        <w:tc>
          <w:tcPr>
            <w:tcW w:w="851" w:type="dxa"/>
            <w:tcBorders>
              <w:top w:val="single" w:sz="4" w:space="0" w:color="auto"/>
              <w:bottom w:val="single" w:sz="12" w:space="0" w:color="auto"/>
            </w:tcBorders>
            <w:shd w:val="clear" w:color="auto" w:fill="auto"/>
            <w:vAlign w:val="bottom"/>
          </w:tcPr>
          <w:p w14:paraId="6D15B915" w14:textId="77777777" w:rsidR="00B92948" w:rsidRPr="003A1036" w:rsidRDefault="00B92948" w:rsidP="003A1036">
            <w:pPr>
              <w:pStyle w:val="SingleTxtG"/>
              <w:tabs>
                <w:tab w:val="clear" w:pos="1701"/>
                <w:tab w:val="clear" w:pos="2268"/>
                <w:tab w:val="clear" w:pos="2835"/>
              </w:tabs>
              <w:spacing w:before="80" w:after="80" w:line="200" w:lineRule="exact"/>
              <w:ind w:left="0" w:right="0"/>
              <w:jc w:val="left"/>
              <w:rPr>
                <w:i/>
                <w:sz w:val="16"/>
              </w:rPr>
            </w:pPr>
            <w:r w:rsidRPr="003A1036">
              <w:rPr>
                <w:i/>
                <w:iCs/>
                <w:sz w:val="16"/>
              </w:rPr>
              <w:t>Año</w:t>
            </w:r>
          </w:p>
        </w:tc>
        <w:tc>
          <w:tcPr>
            <w:tcW w:w="1417" w:type="dxa"/>
            <w:tcBorders>
              <w:top w:val="single" w:sz="4" w:space="0" w:color="auto"/>
              <w:bottom w:val="single" w:sz="12" w:space="0" w:color="auto"/>
            </w:tcBorders>
            <w:shd w:val="clear" w:color="auto" w:fill="auto"/>
            <w:vAlign w:val="bottom"/>
          </w:tcPr>
          <w:p w14:paraId="756A4732" w14:textId="77777777" w:rsidR="00B92948" w:rsidRPr="003A1036" w:rsidRDefault="00B92948" w:rsidP="00535FF7">
            <w:pPr>
              <w:pStyle w:val="SingleTxtG"/>
              <w:tabs>
                <w:tab w:val="clear" w:pos="1701"/>
                <w:tab w:val="clear" w:pos="2268"/>
                <w:tab w:val="clear" w:pos="2835"/>
              </w:tabs>
              <w:spacing w:before="80" w:after="80" w:line="200" w:lineRule="exact"/>
              <w:ind w:left="113" w:right="28"/>
              <w:jc w:val="right"/>
              <w:rPr>
                <w:i/>
                <w:sz w:val="16"/>
              </w:rPr>
            </w:pPr>
            <w:r w:rsidRPr="003A1036">
              <w:rPr>
                <w:i/>
                <w:iCs/>
                <w:sz w:val="16"/>
              </w:rPr>
              <w:t>Número de víctimas detectadas</w:t>
            </w:r>
          </w:p>
        </w:tc>
        <w:tc>
          <w:tcPr>
            <w:tcW w:w="1134" w:type="dxa"/>
            <w:tcBorders>
              <w:top w:val="single" w:sz="4" w:space="0" w:color="auto"/>
              <w:bottom w:val="single" w:sz="12" w:space="0" w:color="auto"/>
            </w:tcBorders>
            <w:shd w:val="clear" w:color="auto" w:fill="auto"/>
            <w:vAlign w:val="bottom"/>
          </w:tcPr>
          <w:p w14:paraId="093A5103" w14:textId="77777777" w:rsidR="00B92948" w:rsidRPr="003A1036" w:rsidRDefault="00B92948" w:rsidP="00535FF7">
            <w:pPr>
              <w:pStyle w:val="SingleTxtG"/>
              <w:tabs>
                <w:tab w:val="clear" w:pos="1701"/>
                <w:tab w:val="clear" w:pos="2268"/>
                <w:tab w:val="clear" w:pos="2835"/>
              </w:tabs>
              <w:spacing w:before="80" w:after="80" w:line="200" w:lineRule="exact"/>
              <w:ind w:left="113" w:right="28"/>
              <w:jc w:val="right"/>
              <w:rPr>
                <w:i/>
                <w:sz w:val="16"/>
              </w:rPr>
            </w:pPr>
            <w:r w:rsidRPr="003A1036">
              <w:rPr>
                <w:i/>
                <w:iCs/>
                <w:sz w:val="16"/>
              </w:rPr>
              <w:t>Sexo</w:t>
            </w:r>
          </w:p>
        </w:tc>
        <w:tc>
          <w:tcPr>
            <w:tcW w:w="568" w:type="dxa"/>
            <w:tcBorders>
              <w:top w:val="single" w:sz="4" w:space="0" w:color="auto"/>
              <w:bottom w:val="single" w:sz="12" w:space="0" w:color="auto"/>
            </w:tcBorders>
            <w:shd w:val="clear" w:color="auto" w:fill="auto"/>
            <w:vAlign w:val="bottom"/>
          </w:tcPr>
          <w:p w14:paraId="1D429FB5" w14:textId="77777777" w:rsidR="00B92948" w:rsidRPr="003A1036" w:rsidRDefault="00B92948" w:rsidP="00535FF7">
            <w:pPr>
              <w:pStyle w:val="SingleTxtG"/>
              <w:tabs>
                <w:tab w:val="clear" w:pos="1701"/>
                <w:tab w:val="clear" w:pos="2268"/>
                <w:tab w:val="clear" w:pos="2835"/>
              </w:tabs>
              <w:spacing w:before="80" w:after="80" w:line="200" w:lineRule="exact"/>
              <w:ind w:left="113" w:right="28"/>
              <w:jc w:val="right"/>
              <w:rPr>
                <w:i/>
                <w:sz w:val="16"/>
              </w:rPr>
            </w:pPr>
            <w:r w:rsidRPr="003A1036">
              <w:rPr>
                <w:i/>
                <w:iCs/>
                <w:sz w:val="16"/>
              </w:rPr>
              <w:t>Edad</w:t>
            </w:r>
          </w:p>
        </w:tc>
        <w:tc>
          <w:tcPr>
            <w:tcW w:w="1172" w:type="dxa"/>
            <w:tcBorders>
              <w:top w:val="single" w:sz="4" w:space="0" w:color="auto"/>
              <w:bottom w:val="single" w:sz="12" w:space="0" w:color="auto"/>
            </w:tcBorders>
            <w:shd w:val="clear" w:color="auto" w:fill="auto"/>
            <w:vAlign w:val="bottom"/>
          </w:tcPr>
          <w:p w14:paraId="1FF59E66" w14:textId="77777777" w:rsidR="00B92948" w:rsidRPr="003A1036" w:rsidRDefault="00B92948" w:rsidP="00535FF7">
            <w:pPr>
              <w:pStyle w:val="SingleTxtG"/>
              <w:tabs>
                <w:tab w:val="clear" w:pos="1701"/>
                <w:tab w:val="clear" w:pos="2268"/>
                <w:tab w:val="clear" w:pos="2835"/>
              </w:tabs>
              <w:spacing w:before="80" w:after="80" w:line="200" w:lineRule="exact"/>
              <w:ind w:left="113" w:right="28"/>
              <w:jc w:val="right"/>
              <w:rPr>
                <w:i/>
                <w:sz w:val="16"/>
              </w:rPr>
            </w:pPr>
            <w:r w:rsidRPr="003A1036">
              <w:rPr>
                <w:i/>
                <w:iCs/>
                <w:sz w:val="16"/>
              </w:rPr>
              <w:t>Nacionalidad</w:t>
            </w:r>
          </w:p>
        </w:tc>
        <w:tc>
          <w:tcPr>
            <w:tcW w:w="1658" w:type="dxa"/>
            <w:tcBorders>
              <w:top w:val="single" w:sz="4" w:space="0" w:color="auto"/>
              <w:bottom w:val="single" w:sz="12" w:space="0" w:color="auto"/>
            </w:tcBorders>
            <w:shd w:val="clear" w:color="auto" w:fill="auto"/>
            <w:vAlign w:val="bottom"/>
          </w:tcPr>
          <w:p w14:paraId="2CCA7903" w14:textId="77777777" w:rsidR="00B92948" w:rsidRPr="003A1036" w:rsidRDefault="00B92948" w:rsidP="00535FF7">
            <w:pPr>
              <w:pStyle w:val="SingleTxtG"/>
              <w:tabs>
                <w:tab w:val="clear" w:pos="1701"/>
                <w:tab w:val="clear" w:pos="2268"/>
                <w:tab w:val="clear" w:pos="2835"/>
              </w:tabs>
              <w:spacing w:before="80" w:after="80" w:line="200" w:lineRule="exact"/>
              <w:ind w:left="113" w:right="28"/>
              <w:jc w:val="right"/>
              <w:rPr>
                <w:i/>
                <w:sz w:val="16"/>
              </w:rPr>
            </w:pPr>
            <w:r w:rsidRPr="003A1036">
              <w:rPr>
                <w:i/>
                <w:iCs/>
                <w:sz w:val="16"/>
              </w:rPr>
              <w:t>Tipo de explotación</w:t>
            </w:r>
          </w:p>
        </w:tc>
        <w:tc>
          <w:tcPr>
            <w:tcW w:w="1625" w:type="dxa"/>
            <w:tcBorders>
              <w:top w:val="single" w:sz="4" w:space="0" w:color="auto"/>
              <w:bottom w:val="single" w:sz="12" w:space="0" w:color="auto"/>
            </w:tcBorders>
            <w:shd w:val="clear" w:color="auto" w:fill="auto"/>
            <w:vAlign w:val="bottom"/>
          </w:tcPr>
          <w:p w14:paraId="6E912647" w14:textId="77777777" w:rsidR="00B92948" w:rsidRPr="003A1036" w:rsidRDefault="00B92948" w:rsidP="00535FF7">
            <w:pPr>
              <w:pStyle w:val="SingleTxtG"/>
              <w:tabs>
                <w:tab w:val="clear" w:pos="1701"/>
                <w:tab w:val="clear" w:pos="2268"/>
                <w:tab w:val="clear" w:pos="2835"/>
              </w:tabs>
              <w:spacing w:before="80" w:after="80" w:line="200" w:lineRule="exact"/>
              <w:ind w:left="113" w:right="28"/>
              <w:jc w:val="right"/>
              <w:rPr>
                <w:i/>
                <w:sz w:val="16"/>
              </w:rPr>
            </w:pPr>
            <w:r w:rsidRPr="003A1036">
              <w:rPr>
                <w:i/>
                <w:iCs/>
                <w:sz w:val="16"/>
              </w:rPr>
              <w:t>Comercio interno/externo</w:t>
            </w:r>
          </w:p>
        </w:tc>
        <w:tc>
          <w:tcPr>
            <w:tcW w:w="1212" w:type="dxa"/>
            <w:tcBorders>
              <w:top w:val="single" w:sz="4" w:space="0" w:color="auto"/>
              <w:bottom w:val="single" w:sz="12" w:space="0" w:color="auto"/>
            </w:tcBorders>
            <w:shd w:val="clear" w:color="auto" w:fill="auto"/>
            <w:vAlign w:val="bottom"/>
          </w:tcPr>
          <w:p w14:paraId="517668DA" w14:textId="77777777" w:rsidR="00B92948" w:rsidRPr="003A1036" w:rsidRDefault="00B92948" w:rsidP="00535FF7">
            <w:pPr>
              <w:pStyle w:val="SingleTxtG"/>
              <w:tabs>
                <w:tab w:val="clear" w:pos="1701"/>
                <w:tab w:val="clear" w:pos="2268"/>
                <w:tab w:val="clear" w:pos="2835"/>
              </w:tabs>
              <w:spacing w:before="80" w:after="80" w:line="200" w:lineRule="exact"/>
              <w:ind w:left="113" w:right="28"/>
              <w:jc w:val="right"/>
              <w:rPr>
                <w:i/>
                <w:sz w:val="16"/>
              </w:rPr>
            </w:pPr>
            <w:r w:rsidRPr="003A1036">
              <w:rPr>
                <w:i/>
                <w:iCs/>
                <w:sz w:val="16"/>
              </w:rPr>
              <w:t>Detectadas por el Ministerio</w:t>
            </w:r>
          </w:p>
        </w:tc>
      </w:tr>
      <w:tr w:rsidR="003A1036" w:rsidRPr="003A1036" w14:paraId="1448900E" w14:textId="77777777" w:rsidTr="00822F09">
        <w:trPr>
          <w:trHeight w:val="240"/>
        </w:trPr>
        <w:tc>
          <w:tcPr>
            <w:tcW w:w="851" w:type="dxa"/>
            <w:tcBorders>
              <w:top w:val="single" w:sz="12" w:space="0" w:color="auto"/>
            </w:tcBorders>
            <w:shd w:val="clear" w:color="auto" w:fill="auto"/>
          </w:tcPr>
          <w:p w14:paraId="38B2BA4D" w14:textId="77777777" w:rsidR="00B92948" w:rsidRPr="003A1036" w:rsidRDefault="00B92948" w:rsidP="003A1036">
            <w:pPr>
              <w:pStyle w:val="SingleTxtG"/>
              <w:tabs>
                <w:tab w:val="clear" w:pos="1701"/>
                <w:tab w:val="clear" w:pos="2268"/>
                <w:tab w:val="clear" w:pos="2835"/>
              </w:tabs>
              <w:spacing w:before="40" w:after="40" w:line="220" w:lineRule="exact"/>
              <w:ind w:left="0" w:right="0"/>
              <w:jc w:val="left"/>
              <w:rPr>
                <w:sz w:val="18"/>
              </w:rPr>
            </w:pPr>
            <w:r w:rsidRPr="003A1036">
              <w:rPr>
                <w:sz w:val="18"/>
              </w:rPr>
              <w:t>2010</w:t>
            </w:r>
          </w:p>
        </w:tc>
        <w:tc>
          <w:tcPr>
            <w:tcW w:w="1417" w:type="dxa"/>
            <w:tcBorders>
              <w:top w:val="single" w:sz="12" w:space="0" w:color="auto"/>
            </w:tcBorders>
            <w:shd w:val="clear" w:color="auto" w:fill="auto"/>
            <w:vAlign w:val="bottom"/>
          </w:tcPr>
          <w:p w14:paraId="3BA1DEBC" w14:textId="77777777" w:rsidR="00B92948" w:rsidRPr="003A1036" w:rsidRDefault="00B92948" w:rsidP="00535FF7">
            <w:pPr>
              <w:pStyle w:val="SingleTxtG"/>
              <w:tabs>
                <w:tab w:val="clear" w:pos="1701"/>
                <w:tab w:val="clear" w:pos="2268"/>
                <w:tab w:val="clear" w:pos="2835"/>
              </w:tabs>
              <w:spacing w:before="40" w:after="40" w:line="220" w:lineRule="exact"/>
              <w:ind w:left="113" w:right="28"/>
              <w:jc w:val="right"/>
              <w:rPr>
                <w:sz w:val="18"/>
              </w:rPr>
            </w:pPr>
            <w:r w:rsidRPr="003A1036">
              <w:rPr>
                <w:sz w:val="18"/>
              </w:rPr>
              <w:t>9</w:t>
            </w:r>
          </w:p>
        </w:tc>
        <w:tc>
          <w:tcPr>
            <w:tcW w:w="1134" w:type="dxa"/>
            <w:tcBorders>
              <w:top w:val="single" w:sz="12" w:space="0" w:color="auto"/>
            </w:tcBorders>
            <w:shd w:val="clear" w:color="auto" w:fill="auto"/>
            <w:vAlign w:val="bottom"/>
          </w:tcPr>
          <w:p w14:paraId="4BEAA611" w14:textId="77777777" w:rsidR="00B92948" w:rsidRPr="003A1036" w:rsidRDefault="00B92948" w:rsidP="00535FF7">
            <w:pPr>
              <w:pStyle w:val="SingleTxtG"/>
              <w:tabs>
                <w:tab w:val="clear" w:pos="1701"/>
                <w:tab w:val="clear" w:pos="2268"/>
                <w:tab w:val="clear" w:pos="2835"/>
              </w:tabs>
              <w:spacing w:before="40" w:after="40" w:line="220" w:lineRule="exact"/>
              <w:ind w:left="113" w:right="28"/>
              <w:jc w:val="right"/>
              <w:rPr>
                <w:sz w:val="18"/>
              </w:rPr>
            </w:pPr>
            <w:r w:rsidRPr="003A1036">
              <w:rPr>
                <w:sz w:val="18"/>
              </w:rPr>
              <w:t>mujeres</w:t>
            </w:r>
          </w:p>
        </w:tc>
        <w:tc>
          <w:tcPr>
            <w:tcW w:w="568" w:type="dxa"/>
            <w:tcBorders>
              <w:top w:val="single" w:sz="12" w:space="0" w:color="auto"/>
            </w:tcBorders>
            <w:shd w:val="clear" w:color="auto" w:fill="auto"/>
            <w:vAlign w:val="bottom"/>
          </w:tcPr>
          <w:p w14:paraId="03F1B6DE" w14:textId="77777777" w:rsidR="00B92948" w:rsidRPr="003A1036" w:rsidRDefault="00B92948" w:rsidP="00535FF7">
            <w:pPr>
              <w:pStyle w:val="SingleTxtG"/>
              <w:tabs>
                <w:tab w:val="clear" w:pos="1701"/>
                <w:tab w:val="clear" w:pos="2268"/>
                <w:tab w:val="clear" w:pos="2835"/>
              </w:tabs>
              <w:spacing w:before="40" w:after="40" w:line="220" w:lineRule="exact"/>
              <w:ind w:left="113" w:right="28"/>
              <w:jc w:val="right"/>
              <w:rPr>
                <w:sz w:val="18"/>
              </w:rPr>
            </w:pPr>
            <w:r w:rsidRPr="003A1036">
              <w:rPr>
                <w:sz w:val="18"/>
              </w:rPr>
              <w:t>-</w:t>
            </w:r>
          </w:p>
        </w:tc>
        <w:tc>
          <w:tcPr>
            <w:tcW w:w="1172" w:type="dxa"/>
            <w:tcBorders>
              <w:top w:val="single" w:sz="12" w:space="0" w:color="auto"/>
            </w:tcBorders>
            <w:shd w:val="clear" w:color="auto" w:fill="auto"/>
            <w:vAlign w:val="bottom"/>
          </w:tcPr>
          <w:p w14:paraId="6B010A35" w14:textId="77777777" w:rsidR="00B92948" w:rsidRPr="003A1036" w:rsidRDefault="00B92948" w:rsidP="00535FF7">
            <w:pPr>
              <w:pStyle w:val="SingleTxtG"/>
              <w:tabs>
                <w:tab w:val="clear" w:pos="1701"/>
                <w:tab w:val="clear" w:pos="2268"/>
                <w:tab w:val="clear" w:pos="2835"/>
              </w:tabs>
              <w:spacing w:before="40" w:after="40" w:line="220" w:lineRule="exact"/>
              <w:ind w:left="113" w:right="28"/>
              <w:jc w:val="right"/>
              <w:rPr>
                <w:sz w:val="18"/>
              </w:rPr>
            </w:pPr>
            <w:r w:rsidRPr="003A1036">
              <w:rPr>
                <w:sz w:val="18"/>
              </w:rPr>
              <w:t>-</w:t>
            </w:r>
          </w:p>
        </w:tc>
        <w:tc>
          <w:tcPr>
            <w:tcW w:w="1658" w:type="dxa"/>
            <w:tcBorders>
              <w:top w:val="single" w:sz="12" w:space="0" w:color="auto"/>
            </w:tcBorders>
            <w:shd w:val="clear" w:color="auto" w:fill="auto"/>
            <w:vAlign w:val="bottom"/>
          </w:tcPr>
          <w:p w14:paraId="21F18FDD" w14:textId="77777777" w:rsidR="00B92948" w:rsidRPr="003A1036" w:rsidRDefault="00B92948" w:rsidP="00535FF7">
            <w:pPr>
              <w:pStyle w:val="SingleTxtG"/>
              <w:tabs>
                <w:tab w:val="clear" w:pos="1701"/>
                <w:tab w:val="clear" w:pos="2268"/>
                <w:tab w:val="clear" w:pos="2835"/>
              </w:tabs>
              <w:spacing w:before="40" w:after="40" w:line="220" w:lineRule="exact"/>
              <w:ind w:left="113" w:right="28"/>
              <w:jc w:val="right"/>
              <w:rPr>
                <w:sz w:val="18"/>
              </w:rPr>
            </w:pPr>
            <w:r w:rsidRPr="003A1036">
              <w:rPr>
                <w:sz w:val="18"/>
              </w:rPr>
              <w:t>7 sexual</w:t>
            </w:r>
          </w:p>
          <w:p w14:paraId="4B28C775" w14:textId="77777777" w:rsidR="00B92948" w:rsidRPr="003A1036" w:rsidRDefault="00B92948" w:rsidP="00535FF7">
            <w:pPr>
              <w:pStyle w:val="SingleTxtG"/>
              <w:tabs>
                <w:tab w:val="clear" w:pos="1701"/>
                <w:tab w:val="clear" w:pos="2268"/>
                <w:tab w:val="clear" w:pos="2835"/>
              </w:tabs>
              <w:spacing w:before="40" w:after="40" w:line="220" w:lineRule="exact"/>
              <w:ind w:left="113" w:right="28"/>
              <w:jc w:val="right"/>
              <w:rPr>
                <w:sz w:val="18"/>
              </w:rPr>
            </w:pPr>
            <w:r w:rsidRPr="003A1036">
              <w:rPr>
                <w:sz w:val="18"/>
              </w:rPr>
              <w:t>2 laboral</w:t>
            </w:r>
          </w:p>
        </w:tc>
        <w:tc>
          <w:tcPr>
            <w:tcW w:w="1625" w:type="dxa"/>
            <w:tcBorders>
              <w:top w:val="single" w:sz="12" w:space="0" w:color="auto"/>
            </w:tcBorders>
            <w:shd w:val="clear" w:color="auto" w:fill="auto"/>
            <w:vAlign w:val="bottom"/>
          </w:tcPr>
          <w:p w14:paraId="7678B9DA" w14:textId="77777777" w:rsidR="00B92948" w:rsidRPr="003A1036" w:rsidRDefault="00B92948" w:rsidP="00535FF7">
            <w:pPr>
              <w:pStyle w:val="SingleTxtG"/>
              <w:tabs>
                <w:tab w:val="clear" w:pos="1701"/>
                <w:tab w:val="clear" w:pos="2268"/>
                <w:tab w:val="clear" w:pos="2835"/>
              </w:tabs>
              <w:spacing w:before="40" w:after="40" w:line="220" w:lineRule="exact"/>
              <w:ind w:left="113" w:right="28"/>
              <w:jc w:val="right"/>
              <w:rPr>
                <w:sz w:val="18"/>
              </w:rPr>
            </w:pPr>
            <w:r w:rsidRPr="003A1036">
              <w:rPr>
                <w:sz w:val="18"/>
              </w:rPr>
              <w:t>-</w:t>
            </w:r>
          </w:p>
        </w:tc>
        <w:tc>
          <w:tcPr>
            <w:tcW w:w="1212" w:type="dxa"/>
            <w:tcBorders>
              <w:top w:val="single" w:sz="12" w:space="0" w:color="auto"/>
            </w:tcBorders>
            <w:shd w:val="clear" w:color="auto" w:fill="auto"/>
            <w:vAlign w:val="bottom"/>
          </w:tcPr>
          <w:p w14:paraId="107EE50C" w14:textId="77777777" w:rsidR="00B92948" w:rsidRPr="003A1036" w:rsidRDefault="00B92948" w:rsidP="00535FF7">
            <w:pPr>
              <w:pStyle w:val="SingleTxtG"/>
              <w:tabs>
                <w:tab w:val="clear" w:pos="1701"/>
                <w:tab w:val="clear" w:pos="2268"/>
                <w:tab w:val="clear" w:pos="2835"/>
              </w:tabs>
              <w:spacing w:before="40" w:after="40" w:line="220" w:lineRule="exact"/>
              <w:ind w:left="113" w:right="28"/>
              <w:jc w:val="right"/>
              <w:rPr>
                <w:sz w:val="18"/>
              </w:rPr>
            </w:pPr>
            <w:r w:rsidRPr="003A1036">
              <w:rPr>
                <w:sz w:val="18"/>
              </w:rPr>
              <w:t>del Interior</w:t>
            </w:r>
          </w:p>
          <w:p w14:paraId="6F25B2C8" w14:textId="77777777" w:rsidR="00B92948" w:rsidRPr="003A1036" w:rsidRDefault="00B92948" w:rsidP="00535FF7">
            <w:pPr>
              <w:pStyle w:val="SingleTxtG"/>
              <w:tabs>
                <w:tab w:val="clear" w:pos="1701"/>
                <w:tab w:val="clear" w:pos="2268"/>
                <w:tab w:val="clear" w:pos="2835"/>
              </w:tabs>
              <w:spacing w:before="40" w:after="40" w:line="220" w:lineRule="exact"/>
              <w:ind w:left="113" w:right="28"/>
              <w:jc w:val="right"/>
              <w:rPr>
                <w:sz w:val="18"/>
              </w:rPr>
            </w:pPr>
            <w:r w:rsidRPr="003A1036">
              <w:rPr>
                <w:sz w:val="18"/>
              </w:rPr>
              <w:t>de Trabajo y Política Social</w:t>
            </w:r>
          </w:p>
        </w:tc>
      </w:tr>
      <w:tr w:rsidR="00B92948" w:rsidRPr="003A1036" w14:paraId="55395B9C" w14:textId="77777777" w:rsidTr="00822F09">
        <w:trPr>
          <w:trHeight w:val="240"/>
        </w:trPr>
        <w:tc>
          <w:tcPr>
            <w:tcW w:w="851" w:type="dxa"/>
            <w:shd w:val="clear" w:color="auto" w:fill="auto"/>
          </w:tcPr>
          <w:p w14:paraId="3ECB240E" w14:textId="77777777" w:rsidR="00B92948" w:rsidRPr="003A1036" w:rsidRDefault="00B92948" w:rsidP="003A1036">
            <w:pPr>
              <w:pStyle w:val="SingleTxtG"/>
              <w:tabs>
                <w:tab w:val="clear" w:pos="1701"/>
                <w:tab w:val="clear" w:pos="2268"/>
                <w:tab w:val="clear" w:pos="2835"/>
              </w:tabs>
              <w:spacing w:before="40" w:after="40" w:line="220" w:lineRule="exact"/>
              <w:ind w:left="0" w:right="0"/>
              <w:jc w:val="left"/>
              <w:rPr>
                <w:sz w:val="18"/>
              </w:rPr>
            </w:pPr>
            <w:r w:rsidRPr="003A1036">
              <w:rPr>
                <w:sz w:val="18"/>
              </w:rPr>
              <w:t>2011</w:t>
            </w:r>
          </w:p>
        </w:tc>
        <w:tc>
          <w:tcPr>
            <w:tcW w:w="1417" w:type="dxa"/>
            <w:shd w:val="clear" w:color="auto" w:fill="auto"/>
            <w:vAlign w:val="bottom"/>
          </w:tcPr>
          <w:p w14:paraId="1233050E" w14:textId="77777777" w:rsidR="00B92948" w:rsidRPr="003A1036" w:rsidRDefault="00B92948" w:rsidP="00535FF7">
            <w:pPr>
              <w:pStyle w:val="SingleTxtG"/>
              <w:tabs>
                <w:tab w:val="clear" w:pos="1701"/>
                <w:tab w:val="clear" w:pos="2268"/>
                <w:tab w:val="clear" w:pos="2835"/>
              </w:tabs>
              <w:spacing w:before="40" w:after="40" w:line="220" w:lineRule="exact"/>
              <w:ind w:left="113" w:right="28"/>
              <w:jc w:val="right"/>
              <w:rPr>
                <w:sz w:val="18"/>
              </w:rPr>
            </w:pPr>
            <w:r w:rsidRPr="003A1036">
              <w:rPr>
                <w:sz w:val="18"/>
              </w:rPr>
              <w:t>11</w:t>
            </w:r>
          </w:p>
        </w:tc>
        <w:tc>
          <w:tcPr>
            <w:tcW w:w="1134" w:type="dxa"/>
            <w:shd w:val="clear" w:color="auto" w:fill="auto"/>
            <w:vAlign w:val="bottom"/>
          </w:tcPr>
          <w:p w14:paraId="4A55A701" w14:textId="77777777" w:rsidR="00B92948" w:rsidRPr="003A1036" w:rsidRDefault="00B92948" w:rsidP="00535FF7">
            <w:pPr>
              <w:pStyle w:val="SingleTxtG"/>
              <w:tabs>
                <w:tab w:val="clear" w:pos="1701"/>
                <w:tab w:val="clear" w:pos="2268"/>
                <w:tab w:val="clear" w:pos="2835"/>
              </w:tabs>
              <w:spacing w:before="40" w:after="40" w:line="220" w:lineRule="exact"/>
              <w:ind w:left="113" w:right="28"/>
              <w:jc w:val="right"/>
              <w:rPr>
                <w:sz w:val="18"/>
              </w:rPr>
            </w:pPr>
            <w:r w:rsidRPr="003A1036">
              <w:rPr>
                <w:sz w:val="18"/>
              </w:rPr>
              <w:t>mujeres</w:t>
            </w:r>
          </w:p>
        </w:tc>
        <w:tc>
          <w:tcPr>
            <w:tcW w:w="568" w:type="dxa"/>
            <w:shd w:val="clear" w:color="auto" w:fill="auto"/>
            <w:vAlign w:val="bottom"/>
          </w:tcPr>
          <w:p w14:paraId="52F49EB0" w14:textId="77777777" w:rsidR="00B92948" w:rsidRPr="003A1036" w:rsidRDefault="00B92948" w:rsidP="00535FF7">
            <w:pPr>
              <w:pStyle w:val="SingleTxtG"/>
              <w:tabs>
                <w:tab w:val="clear" w:pos="1701"/>
                <w:tab w:val="clear" w:pos="2268"/>
                <w:tab w:val="clear" w:pos="2835"/>
              </w:tabs>
              <w:spacing w:before="40" w:after="40" w:line="220" w:lineRule="exact"/>
              <w:ind w:left="113" w:right="28"/>
              <w:jc w:val="right"/>
              <w:rPr>
                <w:sz w:val="18"/>
              </w:rPr>
            </w:pPr>
            <w:r w:rsidRPr="003A1036">
              <w:rPr>
                <w:sz w:val="18"/>
              </w:rPr>
              <w:t>-</w:t>
            </w:r>
          </w:p>
        </w:tc>
        <w:tc>
          <w:tcPr>
            <w:tcW w:w="1172" w:type="dxa"/>
            <w:shd w:val="clear" w:color="auto" w:fill="auto"/>
            <w:vAlign w:val="bottom"/>
          </w:tcPr>
          <w:p w14:paraId="0D78B12A" w14:textId="77777777" w:rsidR="00B92948" w:rsidRPr="003A1036" w:rsidRDefault="00B92948" w:rsidP="00535FF7">
            <w:pPr>
              <w:pStyle w:val="SingleTxtG"/>
              <w:tabs>
                <w:tab w:val="clear" w:pos="1701"/>
                <w:tab w:val="clear" w:pos="2268"/>
                <w:tab w:val="clear" w:pos="2835"/>
              </w:tabs>
              <w:spacing w:before="40" w:after="40" w:line="220" w:lineRule="exact"/>
              <w:ind w:left="113" w:right="28"/>
              <w:jc w:val="right"/>
              <w:rPr>
                <w:sz w:val="18"/>
              </w:rPr>
            </w:pPr>
            <w:r w:rsidRPr="003A1036">
              <w:rPr>
                <w:sz w:val="18"/>
              </w:rPr>
              <w:t>2 macedonias</w:t>
            </w:r>
          </w:p>
          <w:p w14:paraId="6A3148F5" w14:textId="77777777" w:rsidR="00B92948" w:rsidRPr="003A1036" w:rsidRDefault="00B92948" w:rsidP="00535FF7">
            <w:pPr>
              <w:pStyle w:val="SingleTxtG"/>
              <w:tabs>
                <w:tab w:val="clear" w:pos="1701"/>
                <w:tab w:val="clear" w:pos="2268"/>
                <w:tab w:val="clear" w:pos="2835"/>
              </w:tabs>
              <w:spacing w:before="40" w:after="40" w:line="220" w:lineRule="exact"/>
              <w:ind w:left="113" w:right="28"/>
              <w:jc w:val="right"/>
              <w:rPr>
                <w:sz w:val="18"/>
              </w:rPr>
            </w:pPr>
            <w:r w:rsidRPr="003A1036">
              <w:rPr>
                <w:sz w:val="18"/>
              </w:rPr>
              <w:t>1 búlgara</w:t>
            </w:r>
          </w:p>
          <w:p w14:paraId="7FC8E1C0" w14:textId="77777777" w:rsidR="00B92948" w:rsidRPr="003A1036" w:rsidRDefault="00B92948" w:rsidP="00535FF7">
            <w:pPr>
              <w:pStyle w:val="SingleTxtG"/>
              <w:tabs>
                <w:tab w:val="clear" w:pos="1701"/>
                <w:tab w:val="clear" w:pos="2268"/>
                <w:tab w:val="clear" w:pos="2835"/>
              </w:tabs>
              <w:spacing w:before="40" w:after="40" w:line="220" w:lineRule="exact"/>
              <w:ind w:left="113" w:right="28"/>
              <w:jc w:val="right"/>
              <w:rPr>
                <w:sz w:val="18"/>
              </w:rPr>
            </w:pPr>
            <w:r w:rsidRPr="003A1036">
              <w:rPr>
                <w:sz w:val="18"/>
              </w:rPr>
              <w:t>2 albanesas</w:t>
            </w:r>
          </w:p>
          <w:p w14:paraId="58898187" w14:textId="77777777" w:rsidR="00B92948" w:rsidRPr="003A1036" w:rsidRDefault="00B92948" w:rsidP="00535FF7">
            <w:pPr>
              <w:pStyle w:val="SingleTxtG"/>
              <w:tabs>
                <w:tab w:val="clear" w:pos="1701"/>
                <w:tab w:val="clear" w:pos="2268"/>
                <w:tab w:val="clear" w:pos="2835"/>
              </w:tabs>
              <w:spacing w:before="40" w:after="40" w:line="220" w:lineRule="exact"/>
              <w:ind w:left="113" w:right="28"/>
              <w:jc w:val="right"/>
              <w:rPr>
                <w:sz w:val="18"/>
              </w:rPr>
            </w:pPr>
            <w:r w:rsidRPr="003A1036">
              <w:rPr>
                <w:sz w:val="18"/>
              </w:rPr>
              <w:t>6 romaníes</w:t>
            </w:r>
          </w:p>
        </w:tc>
        <w:tc>
          <w:tcPr>
            <w:tcW w:w="1658" w:type="dxa"/>
            <w:shd w:val="clear" w:color="auto" w:fill="auto"/>
            <w:vAlign w:val="bottom"/>
          </w:tcPr>
          <w:p w14:paraId="2E3AFEC5" w14:textId="77777777" w:rsidR="00B92948" w:rsidRPr="003A1036" w:rsidRDefault="00B92948" w:rsidP="00535FF7">
            <w:pPr>
              <w:pStyle w:val="SingleTxtG"/>
              <w:tabs>
                <w:tab w:val="clear" w:pos="1701"/>
                <w:tab w:val="clear" w:pos="2268"/>
                <w:tab w:val="clear" w:pos="2835"/>
              </w:tabs>
              <w:spacing w:before="40" w:after="40" w:line="220" w:lineRule="exact"/>
              <w:ind w:left="113" w:right="28"/>
              <w:jc w:val="right"/>
              <w:rPr>
                <w:sz w:val="18"/>
              </w:rPr>
            </w:pPr>
            <w:r w:rsidRPr="003A1036">
              <w:rPr>
                <w:sz w:val="18"/>
              </w:rPr>
              <w:t>7 sexual</w:t>
            </w:r>
          </w:p>
          <w:p w14:paraId="284CA688" w14:textId="77777777" w:rsidR="00B92948" w:rsidRPr="003A1036" w:rsidRDefault="00B92948" w:rsidP="00535FF7">
            <w:pPr>
              <w:pStyle w:val="SingleTxtG"/>
              <w:tabs>
                <w:tab w:val="clear" w:pos="1701"/>
                <w:tab w:val="clear" w:pos="2268"/>
                <w:tab w:val="clear" w:pos="2835"/>
              </w:tabs>
              <w:spacing w:before="40" w:after="40" w:line="220" w:lineRule="exact"/>
              <w:ind w:left="113" w:right="28"/>
              <w:jc w:val="right"/>
              <w:rPr>
                <w:sz w:val="18"/>
              </w:rPr>
            </w:pPr>
            <w:r w:rsidRPr="003A1036">
              <w:rPr>
                <w:sz w:val="18"/>
              </w:rPr>
              <w:t>2 laboral</w:t>
            </w:r>
          </w:p>
          <w:p w14:paraId="1F9D7684" w14:textId="77777777" w:rsidR="00B92948" w:rsidRPr="003A1036" w:rsidRDefault="00B92948" w:rsidP="00535FF7">
            <w:pPr>
              <w:pStyle w:val="SingleTxtG"/>
              <w:tabs>
                <w:tab w:val="clear" w:pos="1701"/>
                <w:tab w:val="clear" w:pos="2268"/>
                <w:tab w:val="clear" w:pos="2835"/>
              </w:tabs>
              <w:spacing w:before="40" w:after="40" w:line="220" w:lineRule="exact"/>
              <w:ind w:left="113" w:right="28"/>
              <w:jc w:val="right"/>
              <w:rPr>
                <w:sz w:val="18"/>
              </w:rPr>
            </w:pPr>
            <w:r w:rsidRPr="003A1036">
              <w:rPr>
                <w:sz w:val="18"/>
              </w:rPr>
              <w:t>2 laboral y sexual</w:t>
            </w:r>
          </w:p>
        </w:tc>
        <w:tc>
          <w:tcPr>
            <w:tcW w:w="1625" w:type="dxa"/>
            <w:shd w:val="clear" w:color="auto" w:fill="auto"/>
            <w:vAlign w:val="bottom"/>
          </w:tcPr>
          <w:p w14:paraId="76D867E3" w14:textId="77777777" w:rsidR="00B92948" w:rsidRPr="003A1036" w:rsidRDefault="00B92948" w:rsidP="00535FF7">
            <w:pPr>
              <w:pStyle w:val="SingleTxtG"/>
              <w:tabs>
                <w:tab w:val="clear" w:pos="1701"/>
                <w:tab w:val="clear" w:pos="2268"/>
                <w:tab w:val="clear" w:pos="2835"/>
              </w:tabs>
              <w:spacing w:before="40" w:after="40" w:line="220" w:lineRule="exact"/>
              <w:ind w:left="113" w:right="28"/>
              <w:jc w:val="right"/>
              <w:rPr>
                <w:sz w:val="18"/>
              </w:rPr>
            </w:pPr>
            <w:r w:rsidRPr="003A1036">
              <w:rPr>
                <w:sz w:val="18"/>
              </w:rPr>
              <w:t>9 interno</w:t>
            </w:r>
          </w:p>
          <w:p w14:paraId="671669AC" w14:textId="77777777" w:rsidR="00B92948" w:rsidRPr="003A1036" w:rsidRDefault="00B92948" w:rsidP="00535FF7">
            <w:pPr>
              <w:pStyle w:val="SingleTxtG"/>
              <w:tabs>
                <w:tab w:val="clear" w:pos="1701"/>
                <w:tab w:val="clear" w:pos="2268"/>
                <w:tab w:val="clear" w:pos="2835"/>
              </w:tabs>
              <w:spacing w:before="40" w:after="40" w:line="220" w:lineRule="exact"/>
              <w:ind w:left="113" w:right="28"/>
              <w:jc w:val="right"/>
              <w:rPr>
                <w:sz w:val="18"/>
              </w:rPr>
            </w:pPr>
            <w:r w:rsidRPr="003A1036">
              <w:rPr>
                <w:sz w:val="18"/>
              </w:rPr>
              <w:t>2 no nacionales en el país</w:t>
            </w:r>
          </w:p>
        </w:tc>
        <w:tc>
          <w:tcPr>
            <w:tcW w:w="1212" w:type="dxa"/>
            <w:shd w:val="clear" w:color="auto" w:fill="auto"/>
            <w:vAlign w:val="bottom"/>
          </w:tcPr>
          <w:p w14:paraId="61E0CF36" w14:textId="77777777" w:rsidR="00B92948" w:rsidRPr="003A1036" w:rsidRDefault="00B92948" w:rsidP="00535FF7">
            <w:pPr>
              <w:pStyle w:val="SingleTxtG"/>
              <w:tabs>
                <w:tab w:val="clear" w:pos="1701"/>
                <w:tab w:val="clear" w:pos="2268"/>
                <w:tab w:val="clear" w:pos="2835"/>
              </w:tabs>
              <w:spacing w:before="40" w:after="40" w:line="220" w:lineRule="exact"/>
              <w:ind w:left="113" w:right="28"/>
              <w:jc w:val="right"/>
              <w:rPr>
                <w:sz w:val="18"/>
              </w:rPr>
            </w:pPr>
            <w:r w:rsidRPr="003A1036">
              <w:rPr>
                <w:sz w:val="18"/>
              </w:rPr>
              <w:t>del Interior</w:t>
            </w:r>
          </w:p>
          <w:p w14:paraId="087A41C2" w14:textId="77777777" w:rsidR="00B92948" w:rsidRPr="003A1036" w:rsidRDefault="00B92948" w:rsidP="00535FF7">
            <w:pPr>
              <w:pStyle w:val="SingleTxtG"/>
              <w:tabs>
                <w:tab w:val="clear" w:pos="1701"/>
                <w:tab w:val="clear" w:pos="2268"/>
                <w:tab w:val="clear" w:pos="2835"/>
              </w:tabs>
              <w:spacing w:before="40" w:after="40" w:line="220" w:lineRule="exact"/>
              <w:ind w:left="113" w:right="28"/>
              <w:jc w:val="right"/>
              <w:rPr>
                <w:sz w:val="18"/>
              </w:rPr>
            </w:pPr>
            <w:r w:rsidRPr="003A1036">
              <w:rPr>
                <w:sz w:val="18"/>
              </w:rPr>
              <w:t>de Trabajo y Política Social</w:t>
            </w:r>
          </w:p>
        </w:tc>
      </w:tr>
      <w:tr w:rsidR="00B92948" w:rsidRPr="003A1036" w14:paraId="681E1F1E" w14:textId="77777777" w:rsidTr="00822F09">
        <w:trPr>
          <w:trHeight w:val="240"/>
        </w:trPr>
        <w:tc>
          <w:tcPr>
            <w:tcW w:w="851" w:type="dxa"/>
            <w:shd w:val="clear" w:color="auto" w:fill="auto"/>
          </w:tcPr>
          <w:p w14:paraId="147C48FD" w14:textId="77777777" w:rsidR="00B92948" w:rsidRPr="003A1036" w:rsidRDefault="00B92948" w:rsidP="003A1036">
            <w:pPr>
              <w:pStyle w:val="SingleTxtG"/>
              <w:tabs>
                <w:tab w:val="clear" w:pos="1701"/>
                <w:tab w:val="clear" w:pos="2268"/>
                <w:tab w:val="clear" w:pos="2835"/>
              </w:tabs>
              <w:spacing w:before="40" w:after="40" w:line="220" w:lineRule="exact"/>
              <w:ind w:left="0" w:right="0"/>
              <w:jc w:val="left"/>
              <w:rPr>
                <w:sz w:val="18"/>
              </w:rPr>
            </w:pPr>
            <w:r w:rsidRPr="003A1036">
              <w:rPr>
                <w:sz w:val="18"/>
              </w:rPr>
              <w:t>2012</w:t>
            </w:r>
          </w:p>
        </w:tc>
        <w:tc>
          <w:tcPr>
            <w:tcW w:w="1417" w:type="dxa"/>
            <w:shd w:val="clear" w:color="auto" w:fill="auto"/>
            <w:vAlign w:val="bottom"/>
          </w:tcPr>
          <w:p w14:paraId="7F08D92A" w14:textId="77777777" w:rsidR="00B92948" w:rsidRPr="003A1036" w:rsidRDefault="00B92948" w:rsidP="00535FF7">
            <w:pPr>
              <w:pStyle w:val="SingleTxtG"/>
              <w:tabs>
                <w:tab w:val="clear" w:pos="1701"/>
                <w:tab w:val="clear" w:pos="2268"/>
                <w:tab w:val="clear" w:pos="2835"/>
              </w:tabs>
              <w:spacing w:before="40" w:after="40" w:line="220" w:lineRule="exact"/>
              <w:ind w:left="113" w:right="28"/>
              <w:jc w:val="right"/>
              <w:rPr>
                <w:sz w:val="18"/>
              </w:rPr>
            </w:pPr>
            <w:r w:rsidRPr="003A1036">
              <w:rPr>
                <w:sz w:val="18"/>
              </w:rPr>
              <w:t>8</w:t>
            </w:r>
          </w:p>
        </w:tc>
        <w:tc>
          <w:tcPr>
            <w:tcW w:w="1134" w:type="dxa"/>
            <w:shd w:val="clear" w:color="auto" w:fill="auto"/>
            <w:vAlign w:val="bottom"/>
          </w:tcPr>
          <w:p w14:paraId="1180167F" w14:textId="77777777" w:rsidR="00B92948" w:rsidRPr="003A1036" w:rsidRDefault="00B92948" w:rsidP="00535FF7">
            <w:pPr>
              <w:pStyle w:val="SingleTxtG"/>
              <w:tabs>
                <w:tab w:val="clear" w:pos="1701"/>
                <w:tab w:val="clear" w:pos="2268"/>
                <w:tab w:val="clear" w:pos="2835"/>
              </w:tabs>
              <w:spacing w:before="40" w:after="40" w:line="220" w:lineRule="exact"/>
              <w:ind w:left="113" w:right="28"/>
              <w:jc w:val="right"/>
              <w:rPr>
                <w:sz w:val="18"/>
              </w:rPr>
            </w:pPr>
            <w:r w:rsidRPr="003A1036">
              <w:rPr>
                <w:sz w:val="18"/>
              </w:rPr>
              <w:t>6 mujeres</w:t>
            </w:r>
          </w:p>
          <w:p w14:paraId="79EBD1E3" w14:textId="77777777" w:rsidR="00B92948" w:rsidRPr="003A1036" w:rsidRDefault="00B92948" w:rsidP="00535FF7">
            <w:pPr>
              <w:pStyle w:val="SingleTxtG"/>
              <w:tabs>
                <w:tab w:val="clear" w:pos="1701"/>
                <w:tab w:val="clear" w:pos="2268"/>
                <w:tab w:val="clear" w:pos="2835"/>
              </w:tabs>
              <w:spacing w:before="40" w:after="40" w:line="220" w:lineRule="exact"/>
              <w:ind w:left="113" w:right="28"/>
              <w:jc w:val="right"/>
              <w:rPr>
                <w:sz w:val="18"/>
              </w:rPr>
            </w:pPr>
            <w:r w:rsidRPr="003A1036">
              <w:rPr>
                <w:sz w:val="18"/>
              </w:rPr>
              <w:t>2 hombres</w:t>
            </w:r>
          </w:p>
        </w:tc>
        <w:tc>
          <w:tcPr>
            <w:tcW w:w="568" w:type="dxa"/>
            <w:shd w:val="clear" w:color="auto" w:fill="auto"/>
            <w:vAlign w:val="bottom"/>
          </w:tcPr>
          <w:p w14:paraId="66DFE3CE" w14:textId="77777777" w:rsidR="00B92948" w:rsidRPr="003A1036" w:rsidRDefault="00B92948" w:rsidP="00535FF7">
            <w:pPr>
              <w:pStyle w:val="SingleTxtG"/>
              <w:tabs>
                <w:tab w:val="clear" w:pos="1701"/>
                <w:tab w:val="clear" w:pos="2268"/>
                <w:tab w:val="clear" w:pos="2835"/>
              </w:tabs>
              <w:spacing w:before="40" w:after="40" w:line="220" w:lineRule="exact"/>
              <w:ind w:left="113" w:right="28"/>
              <w:jc w:val="right"/>
              <w:rPr>
                <w:sz w:val="18"/>
              </w:rPr>
            </w:pPr>
            <w:r w:rsidRPr="003A1036">
              <w:rPr>
                <w:sz w:val="18"/>
              </w:rPr>
              <w:t>-</w:t>
            </w:r>
          </w:p>
        </w:tc>
        <w:tc>
          <w:tcPr>
            <w:tcW w:w="1172" w:type="dxa"/>
            <w:shd w:val="clear" w:color="auto" w:fill="auto"/>
            <w:vAlign w:val="bottom"/>
          </w:tcPr>
          <w:p w14:paraId="363336DE" w14:textId="77777777" w:rsidR="00B92948" w:rsidRPr="003A1036" w:rsidRDefault="00B92948" w:rsidP="00535FF7">
            <w:pPr>
              <w:pStyle w:val="SingleTxtG"/>
              <w:tabs>
                <w:tab w:val="clear" w:pos="1701"/>
                <w:tab w:val="clear" w:pos="2268"/>
                <w:tab w:val="clear" w:pos="2835"/>
              </w:tabs>
              <w:spacing w:before="40" w:after="40" w:line="220" w:lineRule="exact"/>
              <w:ind w:left="113" w:right="28"/>
              <w:jc w:val="right"/>
              <w:rPr>
                <w:sz w:val="18"/>
              </w:rPr>
            </w:pPr>
            <w:r w:rsidRPr="003A1036">
              <w:rPr>
                <w:sz w:val="18"/>
              </w:rPr>
              <w:t>4 macedonios</w:t>
            </w:r>
          </w:p>
          <w:p w14:paraId="65CCC51A" w14:textId="77777777" w:rsidR="00B92948" w:rsidRPr="003A1036" w:rsidRDefault="00B92948" w:rsidP="00535FF7">
            <w:pPr>
              <w:pStyle w:val="SingleTxtG"/>
              <w:tabs>
                <w:tab w:val="clear" w:pos="1701"/>
                <w:tab w:val="clear" w:pos="2268"/>
                <w:tab w:val="clear" w:pos="2835"/>
              </w:tabs>
              <w:spacing w:before="40" w:after="40" w:line="220" w:lineRule="exact"/>
              <w:ind w:left="113" w:right="28"/>
              <w:jc w:val="right"/>
              <w:rPr>
                <w:sz w:val="18"/>
              </w:rPr>
            </w:pPr>
            <w:r w:rsidRPr="003A1036">
              <w:rPr>
                <w:sz w:val="18"/>
              </w:rPr>
              <w:t>3 albaneses</w:t>
            </w:r>
          </w:p>
          <w:p w14:paraId="7BB26A35" w14:textId="77777777" w:rsidR="00B92948" w:rsidRPr="003A1036" w:rsidRDefault="00B92948" w:rsidP="00535FF7">
            <w:pPr>
              <w:pStyle w:val="SingleTxtG"/>
              <w:tabs>
                <w:tab w:val="clear" w:pos="1701"/>
                <w:tab w:val="clear" w:pos="2268"/>
                <w:tab w:val="clear" w:pos="2835"/>
              </w:tabs>
              <w:spacing w:before="40" w:after="40" w:line="220" w:lineRule="exact"/>
              <w:ind w:left="113" w:right="28"/>
              <w:jc w:val="right"/>
              <w:rPr>
                <w:sz w:val="18"/>
              </w:rPr>
            </w:pPr>
            <w:r w:rsidRPr="003A1036">
              <w:rPr>
                <w:sz w:val="18"/>
              </w:rPr>
              <w:t>1 bosnio</w:t>
            </w:r>
          </w:p>
        </w:tc>
        <w:tc>
          <w:tcPr>
            <w:tcW w:w="1658" w:type="dxa"/>
            <w:shd w:val="clear" w:color="auto" w:fill="auto"/>
            <w:vAlign w:val="bottom"/>
          </w:tcPr>
          <w:p w14:paraId="06A16573" w14:textId="77777777" w:rsidR="00B92948" w:rsidRPr="003A1036" w:rsidRDefault="00B92948" w:rsidP="00535FF7">
            <w:pPr>
              <w:pStyle w:val="SingleTxtG"/>
              <w:tabs>
                <w:tab w:val="clear" w:pos="1701"/>
                <w:tab w:val="clear" w:pos="2268"/>
                <w:tab w:val="clear" w:pos="2835"/>
              </w:tabs>
              <w:spacing w:before="40" w:after="40" w:line="220" w:lineRule="exact"/>
              <w:ind w:left="113" w:right="28"/>
              <w:jc w:val="right"/>
              <w:rPr>
                <w:sz w:val="18"/>
              </w:rPr>
            </w:pPr>
            <w:r w:rsidRPr="003A1036">
              <w:rPr>
                <w:sz w:val="18"/>
              </w:rPr>
              <w:t>1 sexual</w:t>
            </w:r>
          </w:p>
          <w:p w14:paraId="78BD995B" w14:textId="77777777" w:rsidR="00B92948" w:rsidRPr="003A1036" w:rsidRDefault="00B92948" w:rsidP="00535FF7">
            <w:pPr>
              <w:pStyle w:val="SingleTxtG"/>
              <w:tabs>
                <w:tab w:val="clear" w:pos="1701"/>
                <w:tab w:val="clear" w:pos="2268"/>
                <w:tab w:val="clear" w:pos="2835"/>
              </w:tabs>
              <w:spacing w:before="40" w:after="40" w:line="220" w:lineRule="exact"/>
              <w:ind w:left="113" w:right="28"/>
              <w:jc w:val="right"/>
              <w:rPr>
                <w:sz w:val="18"/>
              </w:rPr>
            </w:pPr>
            <w:r w:rsidRPr="003A1036">
              <w:rPr>
                <w:sz w:val="18"/>
              </w:rPr>
              <w:t>3 laboral</w:t>
            </w:r>
          </w:p>
          <w:p w14:paraId="1CB13B30" w14:textId="77777777" w:rsidR="00B92948" w:rsidRPr="003A1036" w:rsidRDefault="00B92948" w:rsidP="00535FF7">
            <w:pPr>
              <w:pStyle w:val="SingleTxtG"/>
              <w:tabs>
                <w:tab w:val="clear" w:pos="1701"/>
                <w:tab w:val="clear" w:pos="2268"/>
                <w:tab w:val="clear" w:pos="2835"/>
              </w:tabs>
              <w:spacing w:before="40" w:after="40" w:line="220" w:lineRule="exact"/>
              <w:ind w:left="113" w:right="28"/>
              <w:jc w:val="right"/>
              <w:rPr>
                <w:sz w:val="18"/>
              </w:rPr>
            </w:pPr>
            <w:r w:rsidRPr="003A1036">
              <w:rPr>
                <w:sz w:val="18"/>
              </w:rPr>
              <w:t>4 laboral y sexual</w:t>
            </w:r>
          </w:p>
        </w:tc>
        <w:tc>
          <w:tcPr>
            <w:tcW w:w="1625" w:type="dxa"/>
            <w:shd w:val="clear" w:color="auto" w:fill="auto"/>
            <w:vAlign w:val="bottom"/>
          </w:tcPr>
          <w:p w14:paraId="56384F1E" w14:textId="77777777" w:rsidR="00B92948" w:rsidRPr="003A1036" w:rsidRDefault="00B92948" w:rsidP="00535FF7">
            <w:pPr>
              <w:pStyle w:val="SingleTxtG"/>
              <w:tabs>
                <w:tab w:val="clear" w:pos="1701"/>
                <w:tab w:val="clear" w:pos="2268"/>
                <w:tab w:val="clear" w:pos="2835"/>
              </w:tabs>
              <w:spacing w:before="40" w:after="40" w:line="220" w:lineRule="exact"/>
              <w:ind w:left="113" w:right="28"/>
              <w:jc w:val="right"/>
              <w:rPr>
                <w:sz w:val="18"/>
              </w:rPr>
            </w:pPr>
            <w:r w:rsidRPr="003A1036">
              <w:rPr>
                <w:sz w:val="18"/>
              </w:rPr>
              <w:t>4 interno</w:t>
            </w:r>
          </w:p>
          <w:p w14:paraId="494011F5" w14:textId="77777777" w:rsidR="00B92948" w:rsidRPr="003A1036" w:rsidRDefault="00B92948" w:rsidP="00535FF7">
            <w:pPr>
              <w:pStyle w:val="SingleTxtG"/>
              <w:tabs>
                <w:tab w:val="clear" w:pos="1701"/>
                <w:tab w:val="clear" w:pos="2268"/>
                <w:tab w:val="clear" w:pos="2835"/>
              </w:tabs>
              <w:spacing w:before="40" w:after="40" w:line="220" w:lineRule="exact"/>
              <w:ind w:left="113" w:right="28"/>
              <w:jc w:val="right"/>
              <w:rPr>
                <w:sz w:val="18"/>
              </w:rPr>
            </w:pPr>
            <w:r w:rsidRPr="003A1036">
              <w:rPr>
                <w:sz w:val="18"/>
              </w:rPr>
              <w:t>4 no nacionales en el país</w:t>
            </w:r>
          </w:p>
        </w:tc>
        <w:tc>
          <w:tcPr>
            <w:tcW w:w="1212" w:type="dxa"/>
            <w:shd w:val="clear" w:color="auto" w:fill="auto"/>
            <w:vAlign w:val="bottom"/>
          </w:tcPr>
          <w:p w14:paraId="39FDB899" w14:textId="77777777" w:rsidR="00B92948" w:rsidRPr="003A1036" w:rsidRDefault="00B92948" w:rsidP="00535FF7">
            <w:pPr>
              <w:pStyle w:val="SingleTxtG"/>
              <w:tabs>
                <w:tab w:val="clear" w:pos="1701"/>
                <w:tab w:val="clear" w:pos="2268"/>
                <w:tab w:val="clear" w:pos="2835"/>
              </w:tabs>
              <w:spacing w:before="40" w:after="40" w:line="220" w:lineRule="exact"/>
              <w:ind w:left="113" w:right="28"/>
              <w:jc w:val="right"/>
              <w:rPr>
                <w:sz w:val="18"/>
              </w:rPr>
            </w:pPr>
            <w:r w:rsidRPr="003A1036">
              <w:rPr>
                <w:sz w:val="18"/>
              </w:rPr>
              <w:t>del Interior</w:t>
            </w:r>
          </w:p>
          <w:p w14:paraId="559FA231" w14:textId="77777777" w:rsidR="00B92948" w:rsidRPr="003A1036" w:rsidRDefault="00B92948" w:rsidP="00535FF7">
            <w:pPr>
              <w:pStyle w:val="SingleTxtG"/>
              <w:tabs>
                <w:tab w:val="clear" w:pos="1701"/>
                <w:tab w:val="clear" w:pos="2268"/>
                <w:tab w:val="clear" w:pos="2835"/>
              </w:tabs>
              <w:spacing w:before="40" w:after="40" w:line="220" w:lineRule="exact"/>
              <w:ind w:left="113" w:right="28"/>
              <w:jc w:val="right"/>
              <w:rPr>
                <w:sz w:val="18"/>
              </w:rPr>
            </w:pPr>
            <w:r w:rsidRPr="003A1036">
              <w:rPr>
                <w:sz w:val="18"/>
              </w:rPr>
              <w:t>de Trabajo y Política Social</w:t>
            </w:r>
          </w:p>
        </w:tc>
      </w:tr>
      <w:tr w:rsidR="00B92948" w:rsidRPr="003A1036" w14:paraId="27B95EFE" w14:textId="77777777" w:rsidTr="00822F09">
        <w:trPr>
          <w:trHeight w:val="240"/>
        </w:trPr>
        <w:tc>
          <w:tcPr>
            <w:tcW w:w="851" w:type="dxa"/>
            <w:shd w:val="clear" w:color="auto" w:fill="auto"/>
          </w:tcPr>
          <w:p w14:paraId="669CC2A0" w14:textId="77777777" w:rsidR="00B92948" w:rsidRPr="003A1036" w:rsidRDefault="00B92948" w:rsidP="003A1036">
            <w:pPr>
              <w:pStyle w:val="SingleTxtG"/>
              <w:tabs>
                <w:tab w:val="clear" w:pos="1701"/>
                <w:tab w:val="clear" w:pos="2268"/>
                <w:tab w:val="clear" w:pos="2835"/>
              </w:tabs>
              <w:spacing w:before="40" w:after="40" w:line="220" w:lineRule="exact"/>
              <w:ind w:left="0" w:right="0"/>
              <w:jc w:val="left"/>
              <w:rPr>
                <w:sz w:val="18"/>
              </w:rPr>
            </w:pPr>
            <w:r w:rsidRPr="003A1036">
              <w:rPr>
                <w:sz w:val="18"/>
              </w:rPr>
              <w:t>2013</w:t>
            </w:r>
          </w:p>
        </w:tc>
        <w:tc>
          <w:tcPr>
            <w:tcW w:w="1417" w:type="dxa"/>
            <w:shd w:val="clear" w:color="auto" w:fill="auto"/>
            <w:vAlign w:val="bottom"/>
          </w:tcPr>
          <w:p w14:paraId="26E35037" w14:textId="77777777" w:rsidR="00B92948" w:rsidRPr="003A1036" w:rsidRDefault="00B92948" w:rsidP="00535FF7">
            <w:pPr>
              <w:pStyle w:val="SingleTxtG"/>
              <w:tabs>
                <w:tab w:val="clear" w:pos="1701"/>
                <w:tab w:val="clear" w:pos="2268"/>
                <w:tab w:val="clear" w:pos="2835"/>
              </w:tabs>
              <w:spacing w:before="40" w:after="40" w:line="220" w:lineRule="exact"/>
              <w:ind w:left="113" w:right="28"/>
              <w:jc w:val="right"/>
              <w:rPr>
                <w:sz w:val="18"/>
              </w:rPr>
            </w:pPr>
            <w:r w:rsidRPr="003A1036">
              <w:rPr>
                <w:sz w:val="18"/>
              </w:rPr>
              <w:t>15</w:t>
            </w:r>
          </w:p>
        </w:tc>
        <w:tc>
          <w:tcPr>
            <w:tcW w:w="1134" w:type="dxa"/>
            <w:shd w:val="clear" w:color="auto" w:fill="auto"/>
            <w:vAlign w:val="bottom"/>
          </w:tcPr>
          <w:p w14:paraId="79890A85" w14:textId="77777777" w:rsidR="00B92948" w:rsidRPr="003A1036" w:rsidRDefault="00B92948" w:rsidP="00535FF7">
            <w:pPr>
              <w:pStyle w:val="SingleTxtG"/>
              <w:tabs>
                <w:tab w:val="clear" w:pos="1701"/>
                <w:tab w:val="clear" w:pos="2268"/>
                <w:tab w:val="clear" w:pos="2835"/>
              </w:tabs>
              <w:spacing w:before="40" w:after="40" w:line="220" w:lineRule="exact"/>
              <w:ind w:left="113" w:right="28"/>
              <w:jc w:val="right"/>
              <w:rPr>
                <w:sz w:val="18"/>
              </w:rPr>
            </w:pPr>
            <w:r w:rsidRPr="003A1036">
              <w:rPr>
                <w:sz w:val="18"/>
              </w:rPr>
              <w:t>mujeres</w:t>
            </w:r>
          </w:p>
        </w:tc>
        <w:tc>
          <w:tcPr>
            <w:tcW w:w="568" w:type="dxa"/>
            <w:shd w:val="clear" w:color="auto" w:fill="auto"/>
            <w:vAlign w:val="bottom"/>
          </w:tcPr>
          <w:p w14:paraId="19658788" w14:textId="77777777" w:rsidR="00B92948" w:rsidRPr="003A1036" w:rsidRDefault="00B92948" w:rsidP="00535FF7">
            <w:pPr>
              <w:pStyle w:val="SingleTxtG"/>
              <w:tabs>
                <w:tab w:val="clear" w:pos="1701"/>
                <w:tab w:val="clear" w:pos="2268"/>
                <w:tab w:val="clear" w:pos="2835"/>
              </w:tabs>
              <w:spacing w:before="40" w:after="40" w:line="220" w:lineRule="exact"/>
              <w:ind w:left="113" w:right="28"/>
              <w:jc w:val="right"/>
              <w:rPr>
                <w:sz w:val="18"/>
              </w:rPr>
            </w:pPr>
            <w:r w:rsidRPr="003A1036">
              <w:rPr>
                <w:sz w:val="18"/>
              </w:rPr>
              <w:t>-</w:t>
            </w:r>
          </w:p>
        </w:tc>
        <w:tc>
          <w:tcPr>
            <w:tcW w:w="1172" w:type="dxa"/>
            <w:shd w:val="clear" w:color="auto" w:fill="auto"/>
            <w:vAlign w:val="bottom"/>
          </w:tcPr>
          <w:p w14:paraId="670D1F95" w14:textId="77777777" w:rsidR="00B92948" w:rsidRPr="003A1036" w:rsidRDefault="00B92948" w:rsidP="00535FF7">
            <w:pPr>
              <w:pStyle w:val="SingleTxtG"/>
              <w:tabs>
                <w:tab w:val="clear" w:pos="1701"/>
                <w:tab w:val="clear" w:pos="2268"/>
                <w:tab w:val="clear" w:pos="2835"/>
              </w:tabs>
              <w:spacing w:before="40" w:after="40" w:line="220" w:lineRule="exact"/>
              <w:ind w:left="113" w:right="28"/>
              <w:jc w:val="right"/>
              <w:rPr>
                <w:sz w:val="18"/>
              </w:rPr>
            </w:pPr>
            <w:r w:rsidRPr="003A1036">
              <w:rPr>
                <w:sz w:val="18"/>
              </w:rPr>
              <w:t>2 macedonias</w:t>
            </w:r>
          </w:p>
          <w:p w14:paraId="7D81734A" w14:textId="77777777" w:rsidR="00B92948" w:rsidRPr="003A1036" w:rsidRDefault="00B92948" w:rsidP="00535FF7">
            <w:pPr>
              <w:pStyle w:val="SingleTxtG"/>
              <w:tabs>
                <w:tab w:val="clear" w:pos="1701"/>
                <w:tab w:val="clear" w:pos="2268"/>
                <w:tab w:val="clear" w:pos="2835"/>
              </w:tabs>
              <w:spacing w:before="40" w:after="40" w:line="220" w:lineRule="exact"/>
              <w:ind w:left="113" w:right="28"/>
              <w:jc w:val="right"/>
              <w:rPr>
                <w:sz w:val="18"/>
              </w:rPr>
            </w:pPr>
            <w:r w:rsidRPr="003A1036">
              <w:rPr>
                <w:sz w:val="18"/>
              </w:rPr>
              <w:t>3 serbias</w:t>
            </w:r>
          </w:p>
          <w:p w14:paraId="6A30C7C1" w14:textId="77777777" w:rsidR="00B92948" w:rsidRPr="003A1036" w:rsidRDefault="00B92948" w:rsidP="00535FF7">
            <w:pPr>
              <w:pStyle w:val="SingleTxtG"/>
              <w:tabs>
                <w:tab w:val="clear" w:pos="1701"/>
                <w:tab w:val="clear" w:pos="2268"/>
                <w:tab w:val="clear" w:pos="2835"/>
              </w:tabs>
              <w:spacing w:before="40" w:after="40" w:line="220" w:lineRule="exact"/>
              <w:ind w:left="113" w:right="28"/>
              <w:jc w:val="right"/>
              <w:rPr>
                <w:sz w:val="18"/>
              </w:rPr>
            </w:pPr>
            <w:r w:rsidRPr="003A1036">
              <w:rPr>
                <w:sz w:val="18"/>
              </w:rPr>
              <w:t>5 albanesas</w:t>
            </w:r>
          </w:p>
          <w:p w14:paraId="6C6C2A47" w14:textId="77777777" w:rsidR="00B92948" w:rsidRPr="003A1036" w:rsidRDefault="00B92948" w:rsidP="00535FF7">
            <w:pPr>
              <w:pStyle w:val="SingleTxtG"/>
              <w:tabs>
                <w:tab w:val="clear" w:pos="1701"/>
                <w:tab w:val="clear" w:pos="2268"/>
                <w:tab w:val="clear" w:pos="2835"/>
              </w:tabs>
              <w:spacing w:before="40" w:after="40" w:line="220" w:lineRule="exact"/>
              <w:ind w:left="113" w:right="28"/>
              <w:jc w:val="right"/>
              <w:rPr>
                <w:sz w:val="18"/>
              </w:rPr>
            </w:pPr>
            <w:r w:rsidRPr="003A1036">
              <w:rPr>
                <w:sz w:val="18"/>
              </w:rPr>
              <w:t>5 romaníes</w:t>
            </w:r>
          </w:p>
        </w:tc>
        <w:tc>
          <w:tcPr>
            <w:tcW w:w="1658" w:type="dxa"/>
            <w:shd w:val="clear" w:color="auto" w:fill="auto"/>
            <w:vAlign w:val="bottom"/>
          </w:tcPr>
          <w:p w14:paraId="0C9EC69B" w14:textId="77777777" w:rsidR="00B92948" w:rsidRPr="003A1036" w:rsidRDefault="00B92948" w:rsidP="00822F09">
            <w:pPr>
              <w:pStyle w:val="SingleTxtG"/>
              <w:tabs>
                <w:tab w:val="clear" w:pos="1701"/>
                <w:tab w:val="clear" w:pos="2268"/>
                <w:tab w:val="clear" w:pos="2835"/>
              </w:tabs>
              <w:spacing w:before="40" w:after="40" w:line="220" w:lineRule="exact"/>
              <w:ind w:left="0" w:right="28"/>
              <w:jc w:val="right"/>
              <w:rPr>
                <w:sz w:val="18"/>
              </w:rPr>
            </w:pPr>
            <w:r w:rsidRPr="003A1036">
              <w:rPr>
                <w:sz w:val="18"/>
              </w:rPr>
              <w:t>4 matrimonio forzado</w:t>
            </w:r>
          </w:p>
          <w:p w14:paraId="4235CF7F" w14:textId="77777777" w:rsidR="00B92948" w:rsidRPr="003A1036" w:rsidRDefault="00B92948" w:rsidP="00535FF7">
            <w:pPr>
              <w:pStyle w:val="SingleTxtG"/>
              <w:tabs>
                <w:tab w:val="clear" w:pos="1701"/>
                <w:tab w:val="clear" w:pos="2268"/>
                <w:tab w:val="clear" w:pos="2835"/>
              </w:tabs>
              <w:spacing w:before="40" w:after="40" w:line="220" w:lineRule="exact"/>
              <w:ind w:left="113" w:right="28"/>
              <w:jc w:val="right"/>
              <w:rPr>
                <w:sz w:val="18"/>
              </w:rPr>
            </w:pPr>
            <w:r w:rsidRPr="003A1036">
              <w:rPr>
                <w:sz w:val="18"/>
              </w:rPr>
              <w:t>5 sexual</w:t>
            </w:r>
          </w:p>
          <w:p w14:paraId="256614E7" w14:textId="77777777" w:rsidR="00B92948" w:rsidRPr="003A1036" w:rsidRDefault="00B92948" w:rsidP="00535FF7">
            <w:pPr>
              <w:pStyle w:val="SingleTxtG"/>
              <w:tabs>
                <w:tab w:val="clear" w:pos="1701"/>
                <w:tab w:val="clear" w:pos="2268"/>
                <w:tab w:val="clear" w:pos="2835"/>
              </w:tabs>
              <w:spacing w:before="40" w:after="40" w:line="220" w:lineRule="exact"/>
              <w:ind w:left="113" w:right="28"/>
              <w:jc w:val="right"/>
              <w:rPr>
                <w:sz w:val="18"/>
              </w:rPr>
            </w:pPr>
            <w:r w:rsidRPr="003A1036">
              <w:rPr>
                <w:sz w:val="18"/>
              </w:rPr>
              <w:t>2 laboral</w:t>
            </w:r>
          </w:p>
          <w:p w14:paraId="583CAC9F" w14:textId="77777777" w:rsidR="00B92948" w:rsidRPr="003A1036" w:rsidRDefault="00B92948" w:rsidP="00535FF7">
            <w:pPr>
              <w:pStyle w:val="SingleTxtG"/>
              <w:tabs>
                <w:tab w:val="clear" w:pos="1701"/>
                <w:tab w:val="clear" w:pos="2268"/>
                <w:tab w:val="clear" w:pos="2835"/>
              </w:tabs>
              <w:spacing w:before="40" w:after="40" w:line="220" w:lineRule="exact"/>
              <w:ind w:left="113" w:right="28"/>
              <w:jc w:val="right"/>
              <w:rPr>
                <w:sz w:val="18"/>
              </w:rPr>
            </w:pPr>
            <w:r w:rsidRPr="003A1036">
              <w:rPr>
                <w:sz w:val="18"/>
              </w:rPr>
              <w:t>4 laboral y sexual</w:t>
            </w:r>
          </w:p>
        </w:tc>
        <w:tc>
          <w:tcPr>
            <w:tcW w:w="1625" w:type="dxa"/>
            <w:shd w:val="clear" w:color="auto" w:fill="auto"/>
            <w:vAlign w:val="bottom"/>
          </w:tcPr>
          <w:p w14:paraId="2AB72D46" w14:textId="77777777" w:rsidR="00B92948" w:rsidRPr="003A1036" w:rsidRDefault="00B92948" w:rsidP="00535FF7">
            <w:pPr>
              <w:pStyle w:val="SingleTxtG"/>
              <w:tabs>
                <w:tab w:val="clear" w:pos="1701"/>
                <w:tab w:val="clear" w:pos="2268"/>
                <w:tab w:val="clear" w:pos="2835"/>
              </w:tabs>
              <w:spacing w:before="40" w:after="40" w:line="220" w:lineRule="exact"/>
              <w:ind w:left="113" w:right="28"/>
              <w:jc w:val="right"/>
              <w:rPr>
                <w:sz w:val="18"/>
              </w:rPr>
            </w:pPr>
            <w:r w:rsidRPr="003A1036">
              <w:rPr>
                <w:sz w:val="18"/>
              </w:rPr>
              <w:t>4 interno</w:t>
            </w:r>
          </w:p>
          <w:p w14:paraId="5050A448" w14:textId="77777777" w:rsidR="00B92948" w:rsidRPr="003A1036" w:rsidRDefault="00B92948" w:rsidP="00535FF7">
            <w:pPr>
              <w:pStyle w:val="SingleTxtG"/>
              <w:tabs>
                <w:tab w:val="clear" w:pos="1701"/>
                <w:tab w:val="clear" w:pos="2268"/>
                <w:tab w:val="clear" w:pos="2835"/>
              </w:tabs>
              <w:spacing w:before="40" w:after="40" w:line="220" w:lineRule="exact"/>
              <w:ind w:left="113" w:right="28"/>
              <w:jc w:val="right"/>
              <w:rPr>
                <w:sz w:val="18"/>
              </w:rPr>
            </w:pPr>
            <w:r w:rsidRPr="003A1036">
              <w:rPr>
                <w:sz w:val="18"/>
              </w:rPr>
              <w:t>5 externo</w:t>
            </w:r>
          </w:p>
          <w:p w14:paraId="40BB2D6E" w14:textId="77777777" w:rsidR="00B92948" w:rsidRPr="003A1036" w:rsidRDefault="00B92948" w:rsidP="00535FF7">
            <w:pPr>
              <w:pStyle w:val="SingleTxtG"/>
              <w:tabs>
                <w:tab w:val="clear" w:pos="1701"/>
                <w:tab w:val="clear" w:pos="2268"/>
                <w:tab w:val="clear" w:pos="2835"/>
              </w:tabs>
              <w:spacing w:before="40" w:after="40" w:line="220" w:lineRule="exact"/>
              <w:ind w:left="113" w:right="28"/>
              <w:jc w:val="right"/>
              <w:rPr>
                <w:sz w:val="18"/>
              </w:rPr>
            </w:pPr>
            <w:r w:rsidRPr="003A1036">
              <w:rPr>
                <w:sz w:val="18"/>
              </w:rPr>
              <w:t>6 no nacionales en el país</w:t>
            </w:r>
          </w:p>
        </w:tc>
        <w:tc>
          <w:tcPr>
            <w:tcW w:w="1212" w:type="dxa"/>
            <w:shd w:val="clear" w:color="auto" w:fill="auto"/>
            <w:vAlign w:val="bottom"/>
          </w:tcPr>
          <w:p w14:paraId="67CAB58B" w14:textId="77777777" w:rsidR="00B92948" w:rsidRPr="003A1036" w:rsidRDefault="00B92948" w:rsidP="00535FF7">
            <w:pPr>
              <w:pStyle w:val="SingleTxtG"/>
              <w:tabs>
                <w:tab w:val="clear" w:pos="1701"/>
                <w:tab w:val="clear" w:pos="2268"/>
                <w:tab w:val="clear" w:pos="2835"/>
              </w:tabs>
              <w:spacing w:before="40" w:after="40" w:line="220" w:lineRule="exact"/>
              <w:ind w:left="113" w:right="28"/>
              <w:jc w:val="right"/>
              <w:rPr>
                <w:sz w:val="18"/>
              </w:rPr>
            </w:pPr>
            <w:r w:rsidRPr="003A1036">
              <w:rPr>
                <w:sz w:val="18"/>
              </w:rPr>
              <w:t>del Interior</w:t>
            </w:r>
          </w:p>
          <w:p w14:paraId="66A37481" w14:textId="77777777" w:rsidR="00B92948" w:rsidRPr="003A1036" w:rsidRDefault="00B92948" w:rsidP="00535FF7">
            <w:pPr>
              <w:pStyle w:val="SingleTxtG"/>
              <w:tabs>
                <w:tab w:val="clear" w:pos="1701"/>
                <w:tab w:val="clear" w:pos="2268"/>
                <w:tab w:val="clear" w:pos="2835"/>
              </w:tabs>
              <w:spacing w:before="40" w:after="40" w:line="220" w:lineRule="exact"/>
              <w:ind w:left="113" w:right="28"/>
              <w:jc w:val="right"/>
              <w:rPr>
                <w:sz w:val="18"/>
              </w:rPr>
            </w:pPr>
            <w:r w:rsidRPr="003A1036">
              <w:rPr>
                <w:sz w:val="18"/>
              </w:rPr>
              <w:t>de Trabajo y Política Social</w:t>
            </w:r>
          </w:p>
        </w:tc>
      </w:tr>
      <w:tr w:rsidR="00B92948" w:rsidRPr="003A1036" w14:paraId="41707CA0" w14:textId="77777777" w:rsidTr="00822F09">
        <w:trPr>
          <w:trHeight w:val="240"/>
        </w:trPr>
        <w:tc>
          <w:tcPr>
            <w:tcW w:w="851" w:type="dxa"/>
            <w:shd w:val="clear" w:color="auto" w:fill="auto"/>
          </w:tcPr>
          <w:p w14:paraId="0D7DFFDB" w14:textId="77777777" w:rsidR="00B92948" w:rsidRPr="003A1036" w:rsidRDefault="00B92948" w:rsidP="003A1036">
            <w:pPr>
              <w:pStyle w:val="SingleTxtG"/>
              <w:tabs>
                <w:tab w:val="clear" w:pos="1701"/>
                <w:tab w:val="clear" w:pos="2268"/>
                <w:tab w:val="clear" w:pos="2835"/>
              </w:tabs>
              <w:spacing w:before="40" w:after="40" w:line="220" w:lineRule="exact"/>
              <w:ind w:left="0" w:right="0"/>
              <w:jc w:val="left"/>
              <w:rPr>
                <w:sz w:val="18"/>
              </w:rPr>
            </w:pPr>
            <w:r w:rsidRPr="003A1036">
              <w:rPr>
                <w:sz w:val="18"/>
              </w:rPr>
              <w:lastRenderedPageBreak/>
              <w:t>2014</w:t>
            </w:r>
          </w:p>
        </w:tc>
        <w:tc>
          <w:tcPr>
            <w:tcW w:w="1417" w:type="dxa"/>
            <w:shd w:val="clear" w:color="auto" w:fill="auto"/>
            <w:vAlign w:val="bottom"/>
          </w:tcPr>
          <w:p w14:paraId="35CD3646" w14:textId="77777777" w:rsidR="00B92948" w:rsidRPr="003A1036" w:rsidRDefault="00B92948" w:rsidP="00535FF7">
            <w:pPr>
              <w:pStyle w:val="SingleTxtG"/>
              <w:tabs>
                <w:tab w:val="clear" w:pos="1701"/>
                <w:tab w:val="clear" w:pos="2268"/>
                <w:tab w:val="clear" w:pos="2835"/>
              </w:tabs>
              <w:spacing w:before="40" w:after="40" w:line="220" w:lineRule="exact"/>
              <w:ind w:left="113" w:right="28"/>
              <w:jc w:val="right"/>
              <w:rPr>
                <w:sz w:val="18"/>
              </w:rPr>
            </w:pPr>
            <w:r w:rsidRPr="003A1036">
              <w:rPr>
                <w:sz w:val="18"/>
              </w:rPr>
              <w:t>8</w:t>
            </w:r>
          </w:p>
        </w:tc>
        <w:tc>
          <w:tcPr>
            <w:tcW w:w="1134" w:type="dxa"/>
            <w:shd w:val="clear" w:color="auto" w:fill="auto"/>
            <w:vAlign w:val="bottom"/>
          </w:tcPr>
          <w:p w14:paraId="1CA7DA5F" w14:textId="77777777" w:rsidR="00B92948" w:rsidRPr="003A1036" w:rsidRDefault="00B92948" w:rsidP="00535FF7">
            <w:pPr>
              <w:pStyle w:val="SingleTxtG"/>
              <w:tabs>
                <w:tab w:val="clear" w:pos="1701"/>
                <w:tab w:val="clear" w:pos="2268"/>
                <w:tab w:val="clear" w:pos="2835"/>
              </w:tabs>
              <w:spacing w:before="40" w:after="40" w:line="220" w:lineRule="exact"/>
              <w:ind w:left="113" w:right="28"/>
              <w:jc w:val="right"/>
              <w:rPr>
                <w:sz w:val="18"/>
              </w:rPr>
            </w:pPr>
            <w:r w:rsidRPr="003A1036">
              <w:rPr>
                <w:sz w:val="18"/>
              </w:rPr>
              <w:t>7 mujeres</w:t>
            </w:r>
          </w:p>
          <w:p w14:paraId="6E71382A" w14:textId="77777777" w:rsidR="00B92948" w:rsidRPr="003A1036" w:rsidRDefault="00B92948" w:rsidP="00535FF7">
            <w:pPr>
              <w:pStyle w:val="SingleTxtG"/>
              <w:tabs>
                <w:tab w:val="clear" w:pos="1701"/>
                <w:tab w:val="clear" w:pos="2268"/>
                <w:tab w:val="clear" w:pos="2835"/>
              </w:tabs>
              <w:spacing w:before="40" w:after="40" w:line="220" w:lineRule="exact"/>
              <w:ind w:left="113" w:right="28"/>
              <w:jc w:val="right"/>
              <w:rPr>
                <w:sz w:val="18"/>
              </w:rPr>
            </w:pPr>
            <w:r w:rsidRPr="003A1036">
              <w:rPr>
                <w:sz w:val="18"/>
              </w:rPr>
              <w:t>1 hombre</w:t>
            </w:r>
          </w:p>
        </w:tc>
        <w:tc>
          <w:tcPr>
            <w:tcW w:w="568" w:type="dxa"/>
            <w:shd w:val="clear" w:color="auto" w:fill="auto"/>
            <w:vAlign w:val="bottom"/>
          </w:tcPr>
          <w:p w14:paraId="0884924E" w14:textId="77777777" w:rsidR="00B92948" w:rsidRPr="003A1036" w:rsidRDefault="00B92948" w:rsidP="00535FF7">
            <w:pPr>
              <w:pStyle w:val="SingleTxtG"/>
              <w:tabs>
                <w:tab w:val="clear" w:pos="1701"/>
                <w:tab w:val="clear" w:pos="2268"/>
                <w:tab w:val="clear" w:pos="2835"/>
              </w:tabs>
              <w:spacing w:before="40" w:after="40" w:line="220" w:lineRule="exact"/>
              <w:ind w:left="113" w:right="28"/>
              <w:jc w:val="right"/>
              <w:rPr>
                <w:sz w:val="18"/>
              </w:rPr>
            </w:pPr>
            <w:r w:rsidRPr="003A1036">
              <w:rPr>
                <w:sz w:val="18"/>
              </w:rPr>
              <w:t>-</w:t>
            </w:r>
          </w:p>
        </w:tc>
        <w:tc>
          <w:tcPr>
            <w:tcW w:w="1172" w:type="dxa"/>
            <w:shd w:val="clear" w:color="auto" w:fill="auto"/>
            <w:vAlign w:val="bottom"/>
          </w:tcPr>
          <w:p w14:paraId="60ED754E" w14:textId="77777777" w:rsidR="00B92948" w:rsidRPr="003A1036" w:rsidRDefault="00B92948" w:rsidP="00535FF7">
            <w:pPr>
              <w:pStyle w:val="SingleTxtG"/>
              <w:tabs>
                <w:tab w:val="clear" w:pos="1701"/>
                <w:tab w:val="clear" w:pos="2268"/>
                <w:tab w:val="clear" w:pos="2835"/>
              </w:tabs>
              <w:spacing w:before="40" w:after="40" w:line="220" w:lineRule="exact"/>
              <w:ind w:left="113" w:right="28"/>
              <w:jc w:val="right"/>
              <w:rPr>
                <w:sz w:val="18"/>
              </w:rPr>
            </w:pPr>
            <w:r w:rsidRPr="003A1036">
              <w:rPr>
                <w:sz w:val="18"/>
              </w:rPr>
              <w:t>1 macedonio</w:t>
            </w:r>
          </w:p>
          <w:p w14:paraId="10BA094E" w14:textId="77777777" w:rsidR="00B92948" w:rsidRPr="003A1036" w:rsidRDefault="00B92948" w:rsidP="00535FF7">
            <w:pPr>
              <w:pStyle w:val="SingleTxtG"/>
              <w:tabs>
                <w:tab w:val="clear" w:pos="1701"/>
                <w:tab w:val="clear" w:pos="2268"/>
                <w:tab w:val="clear" w:pos="2835"/>
              </w:tabs>
              <w:spacing w:before="40" w:after="40" w:line="220" w:lineRule="exact"/>
              <w:ind w:left="113" w:right="28"/>
              <w:jc w:val="right"/>
              <w:rPr>
                <w:sz w:val="18"/>
              </w:rPr>
            </w:pPr>
            <w:r w:rsidRPr="003A1036">
              <w:rPr>
                <w:sz w:val="18"/>
              </w:rPr>
              <w:t>4 albaneses</w:t>
            </w:r>
          </w:p>
          <w:p w14:paraId="4C03B241" w14:textId="77777777" w:rsidR="00B92948" w:rsidRPr="003A1036" w:rsidRDefault="00B92948" w:rsidP="00535FF7">
            <w:pPr>
              <w:pStyle w:val="SingleTxtG"/>
              <w:tabs>
                <w:tab w:val="clear" w:pos="1701"/>
                <w:tab w:val="clear" w:pos="2268"/>
                <w:tab w:val="clear" w:pos="2835"/>
              </w:tabs>
              <w:spacing w:before="40" w:after="40" w:line="220" w:lineRule="exact"/>
              <w:ind w:left="113" w:right="28"/>
              <w:jc w:val="right"/>
              <w:rPr>
                <w:sz w:val="18"/>
              </w:rPr>
            </w:pPr>
            <w:r w:rsidRPr="003A1036">
              <w:rPr>
                <w:sz w:val="18"/>
              </w:rPr>
              <w:t>3 romaníes</w:t>
            </w:r>
          </w:p>
        </w:tc>
        <w:tc>
          <w:tcPr>
            <w:tcW w:w="1658" w:type="dxa"/>
            <w:shd w:val="clear" w:color="auto" w:fill="auto"/>
            <w:vAlign w:val="bottom"/>
          </w:tcPr>
          <w:p w14:paraId="44DA34F0" w14:textId="77777777" w:rsidR="00B92948" w:rsidRPr="003A1036" w:rsidRDefault="00B92948" w:rsidP="00535FF7">
            <w:pPr>
              <w:pStyle w:val="SingleTxtG"/>
              <w:tabs>
                <w:tab w:val="clear" w:pos="1701"/>
                <w:tab w:val="clear" w:pos="2268"/>
                <w:tab w:val="clear" w:pos="2835"/>
              </w:tabs>
              <w:spacing w:before="40" w:after="40" w:line="220" w:lineRule="exact"/>
              <w:ind w:left="113" w:right="28"/>
              <w:jc w:val="right"/>
              <w:rPr>
                <w:sz w:val="18"/>
              </w:rPr>
            </w:pPr>
            <w:r w:rsidRPr="003A1036">
              <w:rPr>
                <w:sz w:val="18"/>
              </w:rPr>
              <w:t>4 matrimonio forzado</w:t>
            </w:r>
          </w:p>
          <w:p w14:paraId="022DC66A" w14:textId="77777777" w:rsidR="00B92948" w:rsidRPr="003A1036" w:rsidRDefault="00B92948" w:rsidP="00535FF7">
            <w:pPr>
              <w:pStyle w:val="SingleTxtG"/>
              <w:tabs>
                <w:tab w:val="clear" w:pos="1701"/>
                <w:tab w:val="clear" w:pos="2268"/>
                <w:tab w:val="clear" w:pos="2835"/>
              </w:tabs>
              <w:spacing w:before="40" w:after="40" w:line="220" w:lineRule="exact"/>
              <w:ind w:left="113" w:right="28"/>
              <w:jc w:val="right"/>
              <w:rPr>
                <w:sz w:val="18"/>
              </w:rPr>
            </w:pPr>
            <w:r w:rsidRPr="003A1036">
              <w:rPr>
                <w:sz w:val="18"/>
              </w:rPr>
              <w:t>3 sexual</w:t>
            </w:r>
          </w:p>
          <w:p w14:paraId="31218136" w14:textId="77777777" w:rsidR="00B92948" w:rsidRPr="003A1036" w:rsidRDefault="00B92948" w:rsidP="00535FF7">
            <w:pPr>
              <w:pStyle w:val="SingleTxtG"/>
              <w:tabs>
                <w:tab w:val="clear" w:pos="1701"/>
                <w:tab w:val="clear" w:pos="2268"/>
                <w:tab w:val="clear" w:pos="2835"/>
              </w:tabs>
              <w:spacing w:before="40" w:after="40" w:line="220" w:lineRule="exact"/>
              <w:ind w:left="113" w:right="28"/>
              <w:jc w:val="right"/>
              <w:rPr>
                <w:sz w:val="18"/>
              </w:rPr>
            </w:pPr>
            <w:r w:rsidRPr="003A1036">
              <w:rPr>
                <w:sz w:val="18"/>
              </w:rPr>
              <w:t>1 laboral (mendicidad)</w:t>
            </w:r>
          </w:p>
        </w:tc>
        <w:tc>
          <w:tcPr>
            <w:tcW w:w="1625" w:type="dxa"/>
            <w:shd w:val="clear" w:color="auto" w:fill="auto"/>
            <w:vAlign w:val="bottom"/>
          </w:tcPr>
          <w:p w14:paraId="6D66D101" w14:textId="77777777" w:rsidR="00B92948" w:rsidRPr="003A1036" w:rsidRDefault="00B92948" w:rsidP="00535FF7">
            <w:pPr>
              <w:pStyle w:val="SingleTxtG"/>
              <w:tabs>
                <w:tab w:val="clear" w:pos="1701"/>
                <w:tab w:val="clear" w:pos="2268"/>
                <w:tab w:val="clear" w:pos="2835"/>
              </w:tabs>
              <w:spacing w:before="40" w:after="40" w:line="220" w:lineRule="exact"/>
              <w:ind w:left="113" w:right="28"/>
              <w:jc w:val="right"/>
              <w:rPr>
                <w:sz w:val="18"/>
              </w:rPr>
            </w:pPr>
            <w:r w:rsidRPr="003A1036">
              <w:rPr>
                <w:sz w:val="18"/>
              </w:rPr>
              <w:t>5 interno</w:t>
            </w:r>
          </w:p>
          <w:p w14:paraId="1C6D02C9" w14:textId="77777777" w:rsidR="00B92948" w:rsidRPr="003A1036" w:rsidRDefault="00B92948" w:rsidP="00535FF7">
            <w:pPr>
              <w:pStyle w:val="SingleTxtG"/>
              <w:tabs>
                <w:tab w:val="clear" w:pos="1701"/>
                <w:tab w:val="clear" w:pos="2268"/>
                <w:tab w:val="clear" w:pos="2835"/>
              </w:tabs>
              <w:spacing w:before="40" w:after="40" w:line="220" w:lineRule="exact"/>
              <w:ind w:left="113" w:right="28"/>
              <w:jc w:val="right"/>
              <w:rPr>
                <w:sz w:val="18"/>
              </w:rPr>
            </w:pPr>
            <w:r w:rsidRPr="003A1036">
              <w:rPr>
                <w:sz w:val="18"/>
              </w:rPr>
              <w:t>2 externo</w:t>
            </w:r>
          </w:p>
          <w:p w14:paraId="1D109065" w14:textId="77777777" w:rsidR="00B92948" w:rsidRPr="003A1036" w:rsidRDefault="00B92948" w:rsidP="00535FF7">
            <w:pPr>
              <w:pStyle w:val="SingleTxtG"/>
              <w:tabs>
                <w:tab w:val="clear" w:pos="1701"/>
                <w:tab w:val="clear" w:pos="2268"/>
                <w:tab w:val="clear" w:pos="2835"/>
              </w:tabs>
              <w:spacing w:before="40" w:after="40" w:line="220" w:lineRule="exact"/>
              <w:ind w:left="113" w:right="28"/>
              <w:jc w:val="right"/>
              <w:rPr>
                <w:sz w:val="18"/>
              </w:rPr>
            </w:pPr>
            <w:r w:rsidRPr="003A1036">
              <w:rPr>
                <w:sz w:val="18"/>
              </w:rPr>
              <w:t>1 no nacional en el país</w:t>
            </w:r>
          </w:p>
        </w:tc>
        <w:tc>
          <w:tcPr>
            <w:tcW w:w="1212" w:type="dxa"/>
            <w:shd w:val="clear" w:color="auto" w:fill="auto"/>
            <w:vAlign w:val="bottom"/>
          </w:tcPr>
          <w:p w14:paraId="1F802F16" w14:textId="77777777" w:rsidR="00B92948" w:rsidRPr="003A1036" w:rsidRDefault="00B92948" w:rsidP="00535FF7">
            <w:pPr>
              <w:pStyle w:val="SingleTxtG"/>
              <w:tabs>
                <w:tab w:val="clear" w:pos="1701"/>
                <w:tab w:val="clear" w:pos="2268"/>
                <w:tab w:val="clear" w:pos="2835"/>
              </w:tabs>
              <w:spacing w:before="40" w:after="40" w:line="220" w:lineRule="exact"/>
              <w:ind w:left="113" w:right="28"/>
              <w:jc w:val="right"/>
              <w:rPr>
                <w:sz w:val="18"/>
              </w:rPr>
            </w:pPr>
            <w:r w:rsidRPr="003A1036">
              <w:rPr>
                <w:sz w:val="18"/>
              </w:rPr>
              <w:t>del Interior</w:t>
            </w:r>
          </w:p>
          <w:p w14:paraId="139B21E8" w14:textId="77777777" w:rsidR="00B92948" w:rsidRPr="003A1036" w:rsidRDefault="00B92948" w:rsidP="00535FF7">
            <w:pPr>
              <w:pStyle w:val="SingleTxtG"/>
              <w:tabs>
                <w:tab w:val="clear" w:pos="1701"/>
                <w:tab w:val="clear" w:pos="2268"/>
                <w:tab w:val="clear" w:pos="2835"/>
              </w:tabs>
              <w:spacing w:before="40" w:after="40" w:line="220" w:lineRule="exact"/>
              <w:ind w:left="113" w:right="28"/>
              <w:jc w:val="right"/>
              <w:rPr>
                <w:sz w:val="18"/>
              </w:rPr>
            </w:pPr>
            <w:r w:rsidRPr="003A1036">
              <w:rPr>
                <w:sz w:val="18"/>
              </w:rPr>
              <w:t>de Trabajo y Política Social</w:t>
            </w:r>
          </w:p>
        </w:tc>
      </w:tr>
      <w:tr w:rsidR="00B92948" w:rsidRPr="003A1036" w14:paraId="70D4A926" w14:textId="77777777" w:rsidTr="00822F09">
        <w:trPr>
          <w:trHeight w:val="240"/>
        </w:trPr>
        <w:tc>
          <w:tcPr>
            <w:tcW w:w="851" w:type="dxa"/>
            <w:shd w:val="clear" w:color="auto" w:fill="auto"/>
          </w:tcPr>
          <w:p w14:paraId="1369DA92" w14:textId="77777777" w:rsidR="00B92948" w:rsidRPr="003A1036" w:rsidRDefault="00B92948" w:rsidP="003A1036">
            <w:pPr>
              <w:pStyle w:val="SingleTxtG"/>
              <w:tabs>
                <w:tab w:val="clear" w:pos="1701"/>
                <w:tab w:val="clear" w:pos="2268"/>
                <w:tab w:val="clear" w:pos="2835"/>
              </w:tabs>
              <w:spacing w:before="40" w:after="40" w:line="220" w:lineRule="exact"/>
              <w:ind w:left="0" w:right="0"/>
              <w:jc w:val="left"/>
              <w:rPr>
                <w:sz w:val="18"/>
              </w:rPr>
            </w:pPr>
            <w:r w:rsidRPr="003A1036">
              <w:rPr>
                <w:sz w:val="18"/>
              </w:rPr>
              <w:t>2015</w:t>
            </w:r>
          </w:p>
        </w:tc>
        <w:tc>
          <w:tcPr>
            <w:tcW w:w="1417" w:type="dxa"/>
            <w:shd w:val="clear" w:color="auto" w:fill="auto"/>
            <w:vAlign w:val="bottom"/>
          </w:tcPr>
          <w:p w14:paraId="5EF2E1B6" w14:textId="77777777" w:rsidR="00B92948" w:rsidRPr="003A1036" w:rsidRDefault="00B92948" w:rsidP="00535FF7">
            <w:pPr>
              <w:pStyle w:val="SingleTxtG"/>
              <w:tabs>
                <w:tab w:val="clear" w:pos="1701"/>
                <w:tab w:val="clear" w:pos="2268"/>
                <w:tab w:val="clear" w:pos="2835"/>
              </w:tabs>
              <w:spacing w:before="40" w:after="40" w:line="220" w:lineRule="exact"/>
              <w:ind w:left="113" w:right="28"/>
              <w:jc w:val="right"/>
              <w:rPr>
                <w:sz w:val="18"/>
              </w:rPr>
            </w:pPr>
            <w:r w:rsidRPr="003A1036">
              <w:rPr>
                <w:sz w:val="18"/>
              </w:rPr>
              <w:t>3</w:t>
            </w:r>
          </w:p>
        </w:tc>
        <w:tc>
          <w:tcPr>
            <w:tcW w:w="1134" w:type="dxa"/>
            <w:shd w:val="clear" w:color="auto" w:fill="auto"/>
            <w:vAlign w:val="bottom"/>
          </w:tcPr>
          <w:p w14:paraId="26C9F8AE" w14:textId="77777777" w:rsidR="00B92948" w:rsidRPr="003A1036" w:rsidRDefault="00B92948" w:rsidP="00535FF7">
            <w:pPr>
              <w:pStyle w:val="SingleTxtG"/>
              <w:tabs>
                <w:tab w:val="clear" w:pos="1701"/>
                <w:tab w:val="clear" w:pos="2268"/>
                <w:tab w:val="clear" w:pos="2835"/>
              </w:tabs>
              <w:spacing w:before="40" w:after="40" w:line="220" w:lineRule="exact"/>
              <w:ind w:left="113" w:right="28"/>
              <w:jc w:val="right"/>
              <w:rPr>
                <w:sz w:val="18"/>
              </w:rPr>
            </w:pPr>
            <w:r w:rsidRPr="003A1036">
              <w:rPr>
                <w:sz w:val="18"/>
              </w:rPr>
              <w:t>mujeres</w:t>
            </w:r>
          </w:p>
        </w:tc>
        <w:tc>
          <w:tcPr>
            <w:tcW w:w="568" w:type="dxa"/>
            <w:shd w:val="clear" w:color="auto" w:fill="auto"/>
            <w:vAlign w:val="bottom"/>
          </w:tcPr>
          <w:p w14:paraId="2D5604D4" w14:textId="77777777" w:rsidR="00B92948" w:rsidRPr="003A1036" w:rsidRDefault="00B92948" w:rsidP="00535FF7">
            <w:pPr>
              <w:pStyle w:val="SingleTxtG"/>
              <w:tabs>
                <w:tab w:val="clear" w:pos="1701"/>
                <w:tab w:val="clear" w:pos="2268"/>
                <w:tab w:val="clear" w:pos="2835"/>
              </w:tabs>
              <w:spacing w:before="40" w:after="40" w:line="220" w:lineRule="exact"/>
              <w:ind w:left="113" w:right="28"/>
              <w:jc w:val="right"/>
              <w:rPr>
                <w:sz w:val="18"/>
              </w:rPr>
            </w:pPr>
            <w:r w:rsidRPr="003A1036">
              <w:rPr>
                <w:sz w:val="18"/>
              </w:rPr>
              <w:t>-</w:t>
            </w:r>
          </w:p>
        </w:tc>
        <w:tc>
          <w:tcPr>
            <w:tcW w:w="1172" w:type="dxa"/>
            <w:shd w:val="clear" w:color="auto" w:fill="auto"/>
            <w:vAlign w:val="bottom"/>
          </w:tcPr>
          <w:p w14:paraId="5803F5C8" w14:textId="77777777" w:rsidR="00B92948" w:rsidRPr="003A1036" w:rsidRDefault="00B92948" w:rsidP="00535FF7">
            <w:pPr>
              <w:pStyle w:val="SingleTxtG"/>
              <w:tabs>
                <w:tab w:val="clear" w:pos="1701"/>
                <w:tab w:val="clear" w:pos="2268"/>
                <w:tab w:val="clear" w:pos="2835"/>
              </w:tabs>
              <w:spacing w:before="40" w:after="40" w:line="220" w:lineRule="exact"/>
              <w:ind w:left="113" w:right="28"/>
              <w:jc w:val="right"/>
              <w:rPr>
                <w:sz w:val="18"/>
              </w:rPr>
            </w:pPr>
            <w:r w:rsidRPr="003A1036">
              <w:rPr>
                <w:sz w:val="18"/>
              </w:rPr>
              <w:t>2 albanesas</w:t>
            </w:r>
          </w:p>
          <w:p w14:paraId="2AF8DF69" w14:textId="77777777" w:rsidR="00B92948" w:rsidRPr="003A1036" w:rsidRDefault="00B92948" w:rsidP="00535FF7">
            <w:pPr>
              <w:pStyle w:val="SingleTxtG"/>
              <w:tabs>
                <w:tab w:val="clear" w:pos="1701"/>
                <w:tab w:val="clear" w:pos="2268"/>
                <w:tab w:val="clear" w:pos="2835"/>
              </w:tabs>
              <w:spacing w:before="40" w:after="40" w:line="220" w:lineRule="exact"/>
              <w:ind w:left="113" w:right="28"/>
              <w:jc w:val="right"/>
              <w:rPr>
                <w:sz w:val="18"/>
              </w:rPr>
            </w:pPr>
            <w:r w:rsidRPr="003A1036">
              <w:rPr>
                <w:sz w:val="18"/>
              </w:rPr>
              <w:t>1 romaní</w:t>
            </w:r>
          </w:p>
        </w:tc>
        <w:tc>
          <w:tcPr>
            <w:tcW w:w="1658" w:type="dxa"/>
            <w:shd w:val="clear" w:color="auto" w:fill="auto"/>
            <w:vAlign w:val="bottom"/>
          </w:tcPr>
          <w:p w14:paraId="289F8C3F" w14:textId="77777777" w:rsidR="00B92948" w:rsidRPr="003A1036" w:rsidRDefault="00B92948" w:rsidP="00535FF7">
            <w:pPr>
              <w:pStyle w:val="SingleTxtG"/>
              <w:tabs>
                <w:tab w:val="clear" w:pos="1701"/>
                <w:tab w:val="clear" w:pos="2268"/>
                <w:tab w:val="clear" w:pos="2835"/>
              </w:tabs>
              <w:spacing w:before="40" w:after="40" w:line="220" w:lineRule="exact"/>
              <w:ind w:left="113" w:right="28"/>
              <w:jc w:val="right"/>
              <w:rPr>
                <w:sz w:val="18"/>
              </w:rPr>
            </w:pPr>
            <w:r w:rsidRPr="003A1036">
              <w:rPr>
                <w:sz w:val="18"/>
              </w:rPr>
              <w:t>1 matrimonio forzado</w:t>
            </w:r>
          </w:p>
          <w:p w14:paraId="0BD42335" w14:textId="77777777" w:rsidR="00B92948" w:rsidRPr="003A1036" w:rsidRDefault="00B92948" w:rsidP="00535FF7">
            <w:pPr>
              <w:pStyle w:val="SingleTxtG"/>
              <w:tabs>
                <w:tab w:val="clear" w:pos="1701"/>
                <w:tab w:val="clear" w:pos="2268"/>
                <w:tab w:val="clear" w:pos="2835"/>
              </w:tabs>
              <w:spacing w:before="40" w:after="40" w:line="220" w:lineRule="exact"/>
              <w:ind w:left="113" w:right="28"/>
              <w:jc w:val="right"/>
              <w:rPr>
                <w:sz w:val="18"/>
              </w:rPr>
            </w:pPr>
            <w:r w:rsidRPr="003A1036">
              <w:rPr>
                <w:sz w:val="18"/>
              </w:rPr>
              <w:t>1 sexual</w:t>
            </w:r>
          </w:p>
          <w:p w14:paraId="64576552" w14:textId="77777777" w:rsidR="00B92948" w:rsidRPr="003A1036" w:rsidRDefault="00B92948" w:rsidP="00535FF7">
            <w:pPr>
              <w:pStyle w:val="SingleTxtG"/>
              <w:tabs>
                <w:tab w:val="clear" w:pos="1701"/>
                <w:tab w:val="clear" w:pos="2268"/>
                <w:tab w:val="clear" w:pos="2835"/>
              </w:tabs>
              <w:spacing w:before="40" w:after="40" w:line="220" w:lineRule="exact"/>
              <w:ind w:left="113" w:right="28"/>
              <w:jc w:val="right"/>
              <w:rPr>
                <w:sz w:val="18"/>
              </w:rPr>
            </w:pPr>
            <w:r w:rsidRPr="003A1036">
              <w:rPr>
                <w:sz w:val="18"/>
              </w:rPr>
              <w:t>1 laboral</w:t>
            </w:r>
          </w:p>
        </w:tc>
        <w:tc>
          <w:tcPr>
            <w:tcW w:w="1625" w:type="dxa"/>
            <w:shd w:val="clear" w:color="auto" w:fill="auto"/>
            <w:vAlign w:val="bottom"/>
          </w:tcPr>
          <w:p w14:paraId="07D6D60E" w14:textId="77777777" w:rsidR="00B92948" w:rsidRPr="003A1036" w:rsidRDefault="00B92948" w:rsidP="00535FF7">
            <w:pPr>
              <w:pStyle w:val="SingleTxtG"/>
              <w:tabs>
                <w:tab w:val="clear" w:pos="1701"/>
                <w:tab w:val="clear" w:pos="2268"/>
                <w:tab w:val="clear" w:pos="2835"/>
              </w:tabs>
              <w:spacing w:before="40" w:after="40" w:line="220" w:lineRule="exact"/>
              <w:ind w:left="113" w:right="28"/>
              <w:jc w:val="right"/>
              <w:rPr>
                <w:sz w:val="18"/>
              </w:rPr>
            </w:pPr>
            <w:r w:rsidRPr="003A1036">
              <w:rPr>
                <w:sz w:val="18"/>
              </w:rPr>
              <w:t>1 interno</w:t>
            </w:r>
          </w:p>
          <w:p w14:paraId="57DE93B4" w14:textId="77777777" w:rsidR="00B92948" w:rsidRPr="003A1036" w:rsidRDefault="00B92948" w:rsidP="00535FF7">
            <w:pPr>
              <w:pStyle w:val="SingleTxtG"/>
              <w:tabs>
                <w:tab w:val="clear" w:pos="1701"/>
                <w:tab w:val="clear" w:pos="2268"/>
                <w:tab w:val="clear" w:pos="2835"/>
              </w:tabs>
              <w:spacing w:before="40" w:after="40" w:line="220" w:lineRule="exact"/>
              <w:ind w:left="113" w:right="28"/>
              <w:jc w:val="right"/>
              <w:rPr>
                <w:sz w:val="18"/>
              </w:rPr>
            </w:pPr>
            <w:r w:rsidRPr="003A1036">
              <w:rPr>
                <w:sz w:val="18"/>
              </w:rPr>
              <w:t>2 externo</w:t>
            </w:r>
          </w:p>
        </w:tc>
        <w:tc>
          <w:tcPr>
            <w:tcW w:w="1212" w:type="dxa"/>
            <w:shd w:val="clear" w:color="auto" w:fill="auto"/>
            <w:vAlign w:val="bottom"/>
          </w:tcPr>
          <w:p w14:paraId="10D53836" w14:textId="77777777" w:rsidR="00B92948" w:rsidRPr="003A1036" w:rsidRDefault="00B92948" w:rsidP="00535FF7">
            <w:pPr>
              <w:pStyle w:val="SingleTxtG"/>
              <w:tabs>
                <w:tab w:val="clear" w:pos="1701"/>
                <w:tab w:val="clear" w:pos="2268"/>
                <w:tab w:val="clear" w:pos="2835"/>
              </w:tabs>
              <w:spacing w:before="40" w:after="40" w:line="220" w:lineRule="exact"/>
              <w:ind w:left="113" w:right="28"/>
              <w:jc w:val="right"/>
              <w:rPr>
                <w:sz w:val="18"/>
              </w:rPr>
            </w:pPr>
            <w:r w:rsidRPr="003A1036">
              <w:rPr>
                <w:sz w:val="18"/>
              </w:rPr>
              <w:t>del Interior</w:t>
            </w:r>
          </w:p>
          <w:p w14:paraId="5EDA1E98" w14:textId="77777777" w:rsidR="00B92948" w:rsidRPr="003A1036" w:rsidRDefault="00B92948" w:rsidP="00535FF7">
            <w:pPr>
              <w:pStyle w:val="SingleTxtG"/>
              <w:tabs>
                <w:tab w:val="clear" w:pos="1701"/>
                <w:tab w:val="clear" w:pos="2268"/>
                <w:tab w:val="clear" w:pos="2835"/>
              </w:tabs>
              <w:spacing w:before="40" w:after="40" w:line="220" w:lineRule="exact"/>
              <w:ind w:left="113" w:right="28"/>
              <w:jc w:val="right"/>
              <w:rPr>
                <w:sz w:val="18"/>
              </w:rPr>
            </w:pPr>
            <w:r w:rsidRPr="003A1036">
              <w:rPr>
                <w:sz w:val="18"/>
              </w:rPr>
              <w:t>de Trabajo y Política Social</w:t>
            </w:r>
          </w:p>
        </w:tc>
      </w:tr>
      <w:tr w:rsidR="00B92948" w:rsidRPr="003A1036" w14:paraId="2D759A7A" w14:textId="77777777" w:rsidTr="00822F09">
        <w:trPr>
          <w:trHeight w:val="240"/>
        </w:trPr>
        <w:tc>
          <w:tcPr>
            <w:tcW w:w="851" w:type="dxa"/>
            <w:shd w:val="clear" w:color="auto" w:fill="auto"/>
          </w:tcPr>
          <w:p w14:paraId="296A0148" w14:textId="77777777" w:rsidR="00B92948" w:rsidRPr="003A1036" w:rsidRDefault="00B92948" w:rsidP="003A1036">
            <w:pPr>
              <w:pStyle w:val="SingleTxtG"/>
              <w:tabs>
                <w:tab w:val="clear" w:pos="1701"/>
                <w:tab w:val="clear" w:pos="2268"/>
                <w:tab w:val="clear" w:pos="2835"/>
              </w:tabs>
              <w:spacing w:before="40" w:after="40" w:line="220" w:lineRule="exact"/>
              <w:ind w:left="0" w:right="0"/>
              <w:jc w:val="left"/>
              <w:rPr>
                <w:sz w:val="18"/>
              </w:rPr>
            </w:pPr>
            <w:r w:rsidRPr="003A1036">
              <w:rPr>
                <w:sz w:val="18"/>
              </w:rPr>
              <w:t>2016</w:t>
            </w:r>
          </w:p>
        </w:tc>
        <w:tc>
          <w:tcPr>
            <w:tcW w:w="1417" w:type="dxa"/>
            <w:shd w:val="clear" w:color="auto" w:fill="auto"/>
            <w:vAlign w:val="bottom"/>
          </w:tcPr>
          <w:p w14:paraId="62BFDEFA" w14:textId="77777777" w:rsidR="00B92948" w:rsidRPr="003A1036" w:rsidRDefault="00B92948" w:rsidP="00535FF7">
            <w:pPr>
              <w:pStyle w:val="SingleTxtG"/>
              <w:tabs>
                <w:tab w:val="clear" w:pos="1701"/>
                <w:tab w:val="clear" w:pos="2268"/>
                <w:tab w:val="clear" w:pos="2835"/>
              </w:tabs>
              <w:spacing w:before="40" w:after="40" w:line="220" w:lineRule="exact"/>
              <w:ind w:left="113" w:right="28"/>
              <w:jc w:val="right"/>
              <w:rPr>
                <w:sz w:val="18"/>
              </w:rPr>
            </w:pPr>
            <w:r w:rsidRPr="003A1036">
              <w:rPr>
                <w:sz w:val="18"/>
              </w:rPr>
              <w:t>6</w:t>
            </w:r>
          </w:p>
        </w:tc>
        <w:tc>
          <w:tcPr>
            <w:tcW w:w="1134" w:type="dxa"/>
            <w:shd w:val="clear" w:color="auto" w:fill="auto"/>
            <w:vAlign w:val="bottom"/>
          </w:tcPr>
          <w:p w14:paraId="75DA0305" w14:textId="77777777" w:rsidR="00B92948" w:rsidRPr="003A1036" w:rsidRDefault="00B92948" w:rsidP="00535FF7">
            <w:pPr>
              <w:pStyle w:val="SingleTxtG"/>
              <w:tabs>
                <w:tab w:val="clear" w:pos="1701"/>
                <w:tab w:val="clear" w:pos="2268"/>
                <w:tab w:val="clear" w:pos="2835"/>
              </w:tabs>
              <w:spacing w:before="40" w:after="40" w:line="220" w:lineRule="exact"/>
              <w:ind w:left="113" w:right="28"/>
              <w:jc w:val="right"/>
              <w:rPr>
                <w:sz w:val="18"/>
              </w:rPr>
            </w:pPr>
            <w:r w:rsidRPr="003A1036">
              <w:rPr>
                <w:sz w:val="18"/>
              </w:rPr>
              <w:t>mujeres</w:t>
            </w:r>
          </w:p>
        </w:tc>
        <w:tc>
          <w:tcPr>
            <w:tcW w:w="568" w:type="dxa"/>
            <w:shd w:val="clear" w:color="auto" w:fill="auto"/>
            <w:vAlign w:val="bottom"/>
          </w:tcPr>
          <w:p w14:paraId="47B2CDBA" w14:textId="77777777" w:rsidR="00B92948" w:rsidRPr="003A1036" w:rsidRDefault="00B92948" w:rsidP="00535FF7">
            <w:pPr>
              <w:pStyle w:val="SingleTxtG"/>
              <w:tabs>
                <w:tab w:val="clear" w:pos="1701"/>
                <w:tab w:val="clear" w:pos="2268"/>
                <w:tab w:val="clear" w:pos="2835"/>
              </w:tabs>
              <w:spacing w:before="40" w:after="40" w:line="220" w:lineRule="exact"/>
              <w:ind w:left="113" w:right="28"/>
              <w:jc w:val="right"/>
              <w:rPr>
                <w:sz w:val="18"/>
              </w:rPr>
            </w:pPr>
            <w:r w:rsidRPr="003A1036">
              <w:rPr>
                <w:sz w:val="18"/>
              </w:rPr>
              <w:t>-</w:t>
            </w:r>
          </w:p>
        </w:tc>
        <w:tc>
          <w:tcPr>
            <w:tcW w:w="1172" w:type="dxa"/>
            <w:shd w:val="clear" w:color="auto" w:fill="auto"/>
            <w:vAlign w:val="bottom"/>
          </w:tcPr>
          <w:p w14:paraId="318B3C9A" w14:textId="77777777" w:rsidR="00B92948" w:rsidRPr="003A1036" w:rsidRDefault="00B92948" w:rsidP="00535FF7">
            <w:pPr>
              <w:pStyle w:val="SingleTxtG"/>
              <w:tabs>
                <w:tab w:val="clear" w:pos="1701"/>
                <w:tab w:val="clear" w:pos="2268"/>
                <w:tab w:val="clear" w:pos="2835"/>
              </w:tabs>
              <w:spacing w:before="40" w:after="40" w:line="220" w:lineRule="exact"/>
              <w:ind w:left="113" w:right="28"/>
              <w:jc w:val="right"/>
              <w:rPr>
                <w:sz w:val="18"/>
              </w:rPr>
            </w:pPr>
            <w:r w:rsidRPr="003A1036">
              <w:rPr>
                <w:sz w:val="18"/>
              </w:rPr>
              <w:t>1 macedonia</w:t>
            </w:r>
          </w:p>
          <w:p w14:paraId="45A0A63A" w14:textId="77777777" w:rsidR="00B92948" w:rsidRPr="003A1036" w:rsidRDefault="00B92948" w:rsidP="00535FF7">
            <w:pPr>
              <w:pStyle w:val="SingleTxtG"/>
              <w:tabs>
                <w:tab w:val="clear" w:pos="1701"/>
                <w:tab w:val="clear" w:pos="2268"/>
                <w:tab w:val="clear" w:pos="2835"/>
              </w:tabs>
              <w:spacing w:before="40" w:after="40" w:line="220" w:lineRule="exact"/>
              <w:ind w:left="113" w:right="28"/>
              <w:jc w:val="right"/>
              <w:rPr>
                <w:sz w:val="18"/>
              </w:rPr>
            </w:pPr>
            <w:r w:rsidRPr="003A1036">
              <w:rPr>
                <w:sz w:val="18"/>
              </w:rPr>
              <w:t>1 serbia</w:t>
            </w:r>
          </w:p>
          <w:p w14:paraId="3F15E772" w14:textId="77777777" w:rsidR="00B92948" w:rsidRPr="003A1036" w:rsidRDefault="00B92948" w:rsidP="00535FF7">
            <w:pPr>
              <w:pStyle w:val="SingleTxtG"/>
              <w:tabs>
                <w:tab w:val="clear" w:pos="1701"/>
                <w:tab w:val="clear" w:pos="2268"/>
                <w:tab w:val="clear" w:pos="2835"/>
              </w:tabs>
              <w:spacing w:before="40" w:after="40" w:line="220" w:lineRule="exact"/>
              <w:ind w:left="113" w:right="28"/>
              <w:jc w:val="right"/>
              <w:rPr>
                <w:sz w:val="18"/>
              </w:rPr>
            </w:pPr>
            <w:r w:rsidRPr="003A1036">
              <w:rPr>
                <w:sz w:val="18"/>
              </w:rPr>
              <w:t>2 albanesas</w:t>
            </w:r>
          </w:p>
          <w:p w14:paraId="465CDB3A" w14:textId="77777777" w:rsidR="00B92948" w:rsidRPr="003A1036" w:rsidRDefault="00B92948" w:rsidP="00535FF7">
            <w:pPr>
              <w:pStyle w:val="SingleTxtG"/>
              <w:tabs>
                <w:tab w:val="clear" w:pos="1701"/>
                <w:tab w:val="clear" w:pos="2268"/>
                <w:tab w:val="clear" w:pos="2835"/>
              </w:tabs>
              <w:spacing w:before="40" w:after="40" w:line="220" w:lineRule="exact"/>
              <w:ind w:left="113" w:right="28"/>
              <w:jc w:val="right"/>
              <w:rPr>
                <w:sz w:val="18"/>
              </w:rPr>
            </w:pPr>
            <w:r w:rsidRPr="003A1036">
              <w:rPr>
                <w:sz w:val="18"/>
              </w:rPr>
              <w:t>2 romaníes</w:t>
            </w:r>
          </w:p>
        </w:tc>
        <w:tc>
          <w:tcPr>
            <w:tcW w:w="1658" w:type="dxa"/>
            <w:shd w:val="clear" w:color="auto" w:fill="auto"/>
            <w:vAlign w:val="bottom"/>
          </w:tcPr>
          <w:p w14:paraId="73531F9A" w14:textId="77777777" w:rsidR="00B92948" w:rsidRPr="003A1036" w:rsidRDefault="00B92948" w:rsidP="00535FF7">
            <w:pPr>
              <w:pStyle w:val="SingleTxtG"/>
              <w:tabs>
                <w:tab w:val="clear" w:pos="1701"/>
                <w:tab w:val="clear" w:pos="2268"/>
                <w:tab w:val="clear" w:pos="2835"/>
              </w:tabs>
              <w:spacing w:before="40" w:after="40" w:line="220" w:lineRule="exact"/>
              <w:ind w:left="113" w:right="28"/>
              <w:jc w:val="right"/>
              <w:rPr>
                <w:sz w:val="18"/>
              </w:rPr>
            </w:pPr>
            <w:r w:rsidRPr="003A1036">
              <w:rPr>
                <w:sz w:val="18"/>
              </w:rPr>
              <w:t>5 sexual</w:t>
            </w:r>
          </w:p>
          <w:p w14:paraId="56F0477D" w14:textId="77777777" w:rsidR="00B92948" w:rsidRPr="003A1036" w:rsidRDefault="00B92948" w:rsidP="00535FF7">
            <w:pPr>
              <w:pStyle w:val="SingleTxtG"/>
              <w:tabs>
                <w:tab w:val="clear" w:pos="1701"/>
                <w:tab w:val="clear" w:pos="2268"/>
                <w:tab w:val="clear" w:pos="2835"/>
              </w:tabs>
              <w:spacing w:before="40" w:after="40" w:line="220" w:lineRule="exact"/>
              <w:ind w:left="113" w:right="28"/>
              <w:jc w:val="right"/>
              <w:rPr>
                <w:sz w:val="18"/>
              </w:rPr>
            </w:pPr>
            <w:r w:rsidRPr="003A1036">
              <w:rPr>
                <w:sz w:val="18"/>
              </w:rPr>
              <w:t>1 sexual y matrimonio y forzado</w:t>
            </w:r>
          </w:p>
        </w:tc>
        <w:tc>
          <w:tcPr>
            <w:tcW w:w="1625" w:type="dxa"/>
            <w:shd w:val="clear" w:color="auto" w:fill="auto"/>
            <w:vAlign w:val="bottom"/>
          </w:tcPr>
          <w:p w14:paraId="5AF359A7" w14:textId="77777777" w:rsidR="00B92948" w:rsidRPr="003A1036" w:rsidRDefault="00B92948" w:rsidP="00535FF7">
            <w:pPr>
              <w:pStyle w:val="SingleTxtG"/>
              <w:tabs>
                <w:tab w:val="clear" w:pos="1701"/>
                <w:tab w:val="clear" w:pos="2268"/>
                <w:tab w:val="clear" w:pos="2835"/>
              </w:tabs>
              <w:spacing w:before="40" w:after="40" w:line="220" w:lineRule="exact"/>
              <w:ind w:left="113" w:right="28"/>
              <w:jc w:val="right"/>
              <w:rPr>
                <w:sz w:val="18"/>
              </w:rPr>
            </w:pPr>
            <w:r w:rsidRPr="003A1036">
              <w:rPr>
                <w:sz w:val="18"/>
              </w:rPr>
              <w:t>5 interno</w:t>
            </w:r>
          </w:p>
          <w:p w14:paraId="44C3544D" w14:textId="77777777" w:rsidR="00B92948" w:rsidRPr="003A1036" w:rsidRDefault="00B92948" w:rsidP="00535FF7">
            <w:pPr>
              <w:pStyle w:val="SingleTxtG"/>
              <w:tabs>
                <w:tab w:val="clear" w:pos="1701"/>
                <w:tab w:val="clear" w:pos="2268"/>
                <w:tab w:val="clear" w:pos="2835"/>
              </w:tabs>
              <w:spacing w:before="40" w:after="40" w:line="220" w:lineRule="exact"/>
              <w:ind w:left="113" w:right="28"/>
              <w:jc w:val="right"/>
              <w:rPr>
                <w:sz w:val="18"/>
              </w:rPr>
            </w:pPr>
            <w:r w:rsidRPr="003A1036">
              <w:rPr>
                <w:sz w:val="18"/>
              </w:rPr>
              <w:t>1 no nacional en el país</w:t>
            </w:r>
          </w:p>
        </w:tc>
        <w:tc>
          <w:tcPr>
            <w:tcW w:w="1212" w:type="dxa"/>
            <w:shd w:val="clear" w:color="auto" w:fill="auto"/>
            <w:vAlign w:val="bottom"/>
          </w:tcPr>
          <w:p w14:paraId="1485F8C0" w14:textId="77777777" w:rsidR="00B92948" w:rsidRPr="003A1036" w:rsidRDefault="00B92948" w:rsidP="00535FF7">
            <w:pPr>
              <w:pStyle w:val="SingleTxtG"/>
              <w:tabs>
                <w:tab w:val="clear" w:pos="1701"/>
                <w:tab w:val="clear" w:pos="2268"/>
                <w:tab w:val="clear" w:pos="2835"/>
              </w:tabs>
              <w:spacing w:before="40" w:after="40" w:line="220" w:lineRule="exact"/>
              <w:ind w:left="113" w:right="28"/>
              <w:jc w:val="right"/>
              <w:rPr>
                <w:sz w:val="18"/>
              </w:rPr>
            </w:pPr>
            <w:r w:rsidRPr="003A1036">
              <w:rPr>
                <w:sz w:val="18"/>
              </w:rPr>
              <w:t>del Interior</w:t>
            </w:r>
          </w:p>
          <w:p w14:paraId="72A48B01" w14:textId="77777777" w:rsidR="00B92948" w:rsidRPr="003A1036" w:rsidRDefault="00B92948" w:rsidP="00535FF7">
            <w:pPr>
              <w:pStyle w:val="SingleTxtG"/>
              <w:tabs>
                <w:tab w:val="clear" w:pos="1701"/>
                <w:tab w:val="clear" w:pos="2268"/>
                <w:tab w:val="clear" w:pos="2835"/>
              </w:tabs>
              <w:spacing w:before="40" w:after="40" w:line="220" w:lineRule="exact"/>
              <w:ind w:left="113" w:right="28"/>
              <w:jc w:val="right"/>
              <w:rPr>
                <w:sz w:val="18"/>
              </w:rPr>
            </w:pPr>
            <w:r w:rsidRPr="003A1036">
              <w:rPr>
                <w:sz w:val="18"/>
              </w:rPr>
              <w:t>de Trabajo y Política Social</w:t>
            </w:r>
          </w:p>
        </w:tc>
      </w:tr>
      <w:tr w:rsidR="00B92948" w:rsidRPr="003A1036" w14:paraId="4FBFEBEA" w14:textId="77777777" w:rsidTr="00822F09">
        <w:trPr>
          <w:trHeight w:val="240"/>
        </w:trPr>
        <w:tc>
          <w:tcPr>
            <w:tcW w:w="851" w:type="dxa"/>
            <w:shd w:val="clear" w:color="auto" w:fill="auto"/>
          </w:tcPr>
          <w:p w14:paraId="13B41091" w14:textId="77777777" w:rsidR="00B92948" w:rsidRPr="003A1036" w:rsidRDefault="00B92948" w:rsidP="003A1036">
            <w:pPr>
              <w:pStyle w:val="SingleTxtG"/>
              <w:tabs>
                <w:tab w:val="clear" w:pos="1701"/>
                <w:tab w:val="clear" w:pos="2268"/>
                <w:tab w:val="clear" w:pos="2835"/>
              </w:tabs>
              <w:spacing w:before="40" w:after="40" w:line="220" w:lineRule="exact"/>
              <w:ind w:left="0" w:right="0"/>
              <w:jc w:val="left"/>
              <w:rPr>
                <w:sz w:val="18"/>
              </w:rPr>
            </w:pPr>
            <w:r w:rsidRPr="003A1036">
              <w:rPr>
                <w:sz w:val="18"/>
              </w:rPr>
              <w:t>2017</w:t>
            </w:r>
          </w:p>
        </w:tc>
        <w:tc>
          <w:tcPr>
            <w:tcW w:w="1417" w:type="dxa"/>
            <w:shd w:val="clear" w:color="auto" w:fill="auto"/>
            <w:vAlign w:val="bottom"/>
          </w:tcPr>
          <w:p w14:paraId="7DEC40C5" w14:textId="77777777" w:rsidR="00B92948" w:rsidRPr="003A1036" w:rsidRDefault="00B92948" w:rsidP="00535FF7">
            <w:pPr>
              <w:pStyle w:val="SingleTxtG"/>
              <w:tabs>
                <w:tab w:val="clear" w:pos="1701"/>
                <w:tab w:val="clear" w:pos="2268"/>
                <w:tab w:val="clear" w:pos="2835"/>
              </w:tabs>
              <w:spacing w:before="40" w:after="40" w:line="220" w:lineRule="exact"/>
              <w:ind w:left="113" w:right="28"/>
              <w:jc w:val="right"/>
              <w:rPr>
                <w:sz w:val="18"/>
              </w:rPr>
            </w:pPr>
            <w:r w:rsidRPr="003A1036">
              <w:rPr>
                <w:sz w:val="18"/>
              </w:rPr>
              <w:t>2</w:t>
            </w:r>
          </w:p>
        </w:tc>
        <w:tc>
          <w:tcPr>
            <w:tcW w:w="1134" w:type="dxa"/>
            <w:shd w:val="clear" w:color="auto" w:fill="auto"/>
            <w:vAlign w:val="bottom"/>
          </w:tcPr>
          <w:p w14:paraId="6B7DCB50" w14:textId="77777777" w:rsidR="00B92948" w:rsidRPr="003A1036" w:rsidRDefault="00B92948" w:rsidP="00535FF7">
            <w:pPr>
              <w:pStyle w:val="SingleTxtG"/>
              <w:tabs>
                <w:tab w:val="clear" w:pos="1701"/>
                <w:tab w:val="clear" w:pos="2268"/>
                <w:tab w:val="clear" w:pos="2835"/>
              </w:tabs>
              <w:spacing w:before="40" w:after="40" w:line="220" w:lineRule="exact"/>
              <w:ind w:left="113" w:right="28"/>
              <w:jc w:val="right"/>
              <w:rPr>
                <w:sz w:val="18"/>
              </w:rPr>
            </w:pPr>
            <w:r w:rsidRPr="003A1036">
              <w:rPr>
                <w:sz w:val="18"/>
              </w:rPr>
              <w:t>1 hombre</w:t>
            </w:r>
          </w:p>
          <w:p w14:paraId="53ED9EBE" w14:textId="77777777" w:rsidR="00B92948" w:rsidRPr="003A1036" w:rsidRDefault="00B92948" w:rsidP="00535FF7">
            <w:pPr>
              <w:pStyle w:val="SingleTxtG"/>
              <w:tabs>
                <w:tab w:val="clear" w:pos="1701"/>
                <w:tab w:val="clear" w:pos="2268"/>
                <w:tab w:val="clear" w:pos="2835"/>
              </w:tabs>
              <w:spacing w:before="40" w:after="40" w:line="220" w:lineRule="exact"/>
              <w:ind w:left="113" w:right="28"/>
              <w:jc w:val="right"/>
              <w:rPr>
                <w:sz w:val="18"/>
              </w:rPr>
            </w:pPr>
            <w:r w:rsidRPr="003A1036">
              <w:rPr>
                <w:sz w:val="18"/>
              </w:rPr>
              <w:t>1 mujer</w:t>
            </w:r>
          </w:p>
        </w:tc>
        <w:tc>
          <w:tcPr>
            <w:tcW w:w="568" w:type="dxa"/>
            <w:shd w:val="clear" w:color="auto" w:fill="auto"/>
            <w:vAlign w:val="bottom"/>
          </w:tcPr>
          <w:p w14:paraId="5DEFC167" w14:textId="77777777" w:rsidR="00B92948" w:rsidRPr="003A1036" w:rsidRDefault="00B92948" w:rsidP="00535FF7">
            <w:pPr>
              <w:pStyle w:val="SingleTxtG"/>
              <w:tabs>
                <w:tab w:val="clear" w:pos="1701"/>
                <w:tab w:val="clear" w:pos="2268"/>
                <w:tab w:val="clear" w:pos="2835"/>
              </w:tabs>
              <w:spacing w:before="40" w:after="40" w:line="220" w:lineRule="exact"/>
              <w:ind w:left="113" w:right="28"/>
              <w:jc w:val="right"/>
              <w:rPr>
                <w:sz w:val="18"/>
              </w:rPr>
            </w:pPr>
            <w:r w:rsidRPr="003A1036">
              <w:rPr>
                <w:sz w:val="18"/>
              </w:rPr>
              <w:t>-</w:t>
            </w:r>
          </w:p>
        </w:tc>
        <w:tc>
          <w:tcPr>
            <w:tcW w:w="1172" w:type="dxa"/>
            <w:shd w:val="clear" w:color="auto" w:fill="auto"/>
            <w:vAlign w:val="bottom"/>
          </w:tcPr>
          <w:p w14:paraId="51DB7937" w14:textId="77777777" w:rsidR="00B92948" w:rsidRPr="003A1036" w:rsidRDefault="00B92948" w:rsidP="00535FF7">
            <w:pPr>
              <w:pStyle w:val="SingleTxtG"/>
              <w:tabs>
                <w:tab w:val="clear" w:pos="1701"/>
                <w:tab w:val="clear" w:pos="2268"/>
                <w:tab w:val="clear" w:pos="2835"/>
              </w:tabs>
              <w:spacing w:before="40" w:after="40" w:line="220" w:lineRule="exact"/>
              <w:ind w:left="113" w:right="28"/>
              <w:jc w:val="right"/>
              <w:rPr>
                <w:sz w:val="18"/>
              </w:rPr>
            </w:pPr>
            <w:r w:rsidRPr="003A1036">
              <w:rPr>
                <w:sz w:val="18"/>
              </w:rPr>
              <w:t>2 romaníes</w:t>
            </w:r>
          </w:p>
        </w:tc>
        <w:tc>
          <w:tcPr>
            <w:tcW w:w="1658" w:type="dxa"/>
            <w:shd w:val="clear" w:color="auto" w:fill="auto"/>
            <w:vAlign w:val="bottom"/>
          </w:tcPr>
          <w:p w14:paraId="6BC602ED" w14:textId="77777777" w:rsidR="00B92948" w:rsidRPr="003A1036" w:rsidRDefault="00B92948" w:rsidP="00535FF7">
            <w:pPr>
              <w:pStyle w:val="SingleTxtG"/>
              <w:tabs>
                <w:tab w:val="clear" w:pos="1701"/>
                <w:tab w:val="clear" w:pos="2268"/>
                <w:tab w:val="clear" w:pos="2835"/>
              </w:tabs>
              <w:spacing w:before="40" w:after="40" w:line="220" w:lineRule="exact"/>
              <w:ind w:left="113" w:right="28"/>
              <w:jc w:val="right"/>
              <w:rPr>
                <w:sz w:val="18"/>
              </w:rPr>
            </w:pPr>
            <w:r w:rsidRPr="003A1036">
              <w:rPr>
                <w:sz w:val="18"/>
              </w:rPr>
              <w:t>1 mendicidad</w:t>
            </w:r>
          </w:p>
          <w:p w14:paraId="266B3709" w14:textId="77777777" w:rsidR="00B92948" w:rsidRPr="003A1036" w:rsidRDefault="00B92948" w:rsidP="00535FF7">
            <w:pPr>
              <w:pStyle w:val="SingleTxtG"/>
              <w:tabs>
                <w:tab w:val="clear" w:pos="1701"/>
                <w:tab w:val="clear" w:pos="2268"/>
                <w:tab w:val="clear" w:pos="2835"/>
              </w:tabs>
              <w:spacing w:before="40" w:after="40" w:line="220" w:lineRule="exact"/>
              <w:ind w:left="113" w:right="28"/>
              <w:jc w:val="right"/>
              <w:rPr>
                <w:sz w:val="18"/>
              </w:rPr>
            </w:pPr>
            <w:r w:rsidRPr="003A1036">
              <w:rPr>
                <w:sz w:val="18"/>
              </w:rPr>
              <w:t>1 sexual</w:t>
            </w:r>
          </w:p>
        </w:tc>
        <w:tc>
          <w:tcPr>
            <w:tcW w:w="1625" w:type="dxa"/>
            <w:shd w:val="clear" w:color="auto" w:fill="auto"/>
            <w:vAlign w:val="bottom"/>
          </w:tcPr>
          <w:p w14:paraId="7A2B0E56" w14:textId="77777777" w:rsidR="00B92948" w:rsidRPr="003A1036" w:rsidRDefault="00B92948" w:rsidP="00535FF7">
            <w:pPr>
              <w:pStyle w:val="SingleTxtG"/>
              <w:tabs>
                <w:tab w:val="clear" w:pos="1701"/>
                <w:tab w:val="clear" w:pos="2268"/>
                <w:tab w:val="clear" w:pos="2835"/>
              </w:tabs>
              <w:spacing w:before="40" w:after="40" w:line="220" w:lineRule="exact"/>
              <w:ind w:left="113" w:right="28"/>
              <w:jc w:val="right"/>
              <w:rPr>
                <w:sz w:val="18"/>
              </w:rPr>
            </w:pPr>
            <w:r w:rsidRPr="003A1036">
              <w:rPr>
                <w:sz w:val="18"/>
              </w:rPr>
              <w:t>2 interno</w:t>
            </w:r>
          </w:p>
        </w:tc>
        <w:tc>
          <w:tcPr>
            <w:tcW w:w="1212" w:type="dxa"/>
            <w:shd w:val="clear" w:color="auto" w:fill="auto"/>
            <w:vAlign w:val="bottom"/>
          </w:tcPr>
          <w:p w14:paraId="60D1F0AD" w14:textId="77777777" w:rsidR="00B92948" w:rsidRPr="003A1036" w:rsidRDefault="00B92948" w:rsidP="00535FF7">
            <w:pPr>
              <w:pStyle w:val="SingleTxtG"/>
              <w:tabs>
                <w:tab w:val="clear" w:pos="1701"/>
                <w:tab w:val="clear" w:pos="2268"/>
                <w:tab w:val="clear" w:pos="2835"/>
              </w:tabs>
              <w:spacing w:before="40" w:after="40" w:line="220" w:lineRule="exact"/>
              <w:ind w:left="113" w:right="28"/>
              <w:jc w:val="right"/>
              <w:rPr>
                <w:sz w:val="18"/>
              </w:rPr>
            </w:pPr>
            <w:r w:rsidRPr="003A1036">
              <w:rPr>
                <w:sz w:val="18"/>
              </w:rPr>
              <w:t>del Interior</w:t>
            </w:r>
          </w:p>
          <w:p w14:paraId="710B0B5D" w14:textId="77777777" w:rsidR="00B92948" w:rsidRPr="003A1036" w:rsidRDefault="00B92948" w:rsidP="00535FF7">
            <w:pPr>
              <w:pStyle w:val="SingleTxtG"/>
              <w:tabs>
                <w:tab w:val="clear" w:pos="1701"/>
                <w:tab w:val="clear" w:pos="2268"/>
                <w:tab w:val="clear" w:pos="2835"/>
              </w:tabs>
              <w:spacing w:before="40" w:after="40" w:line="220" w:lineRule="exact"/>
              <w:ind w:left="113" w:right="28"/>
              <w:jc w:val="right"/>
              <w:rPr>
                <w:sz w:val="18"/>
              </w:rPr>
            </w:pPr>
            <w:r w:rsidRPr="003A1036">
              <w:rPr>
                <w:sz w:val="18"/>
              </w:rPr>
              <w:t>de Trabajo y Política Social</w:t>
            </w:r>
          </w:p>
        </w:tc>
      </w:tr>
      <w:tr w:rsidR="003A1036" w:rsidRPr="003A1036" w14:paraId="098BA60B" w14:textId="77777777" w:rsidTr="00822F09">
        <w:trPr>
          <w:trHeight w:val="240"/>
        </w:trPr>
        <w:tc>
          <w:tcPr>
            <w:tcW w:w="851" w:type="dxa"/>
            <w:tcBorders>
              <w:bottom w:val="single" w:sz="12" w:space="0" w:color="auto"/>
            </w:tcBorders>
            <w:shd w:val="clear" w:color="auto" w:fill="auto"/>
          </w:tcPr>
          <w:p w14:paraId="10CA570A" w14:textId="77777777" w:rsidR="00B92948" w:rsidRPr="003A1036" w:rsidRDefault="00B92948" w:rsidP="003A1036">
            <w:pPr>
              <w:pStyle w:val="SingleTxtG"/>
              <w:tabs>
                <w:tab w:val="clear" w:pos="1701"/>
                <w:tab w:val="clear" w:pos="2268"/>
                <w:tab w:val="clear" w:pos="2835"/>
              </w:tabs>
              <w:spacing w:before="40" w:after="40" w:line="220" w:lineRule="exact"/>
              <w:ind w:left="0" w:right="0"/>
              <w:jc w:val="left"/>
              <w:rPr>
                <w:sz w:val="18"/>
              </w:rPr>
            </w:pPr>
            <w:r w:rsidRPr="003A1036">
              <w:rPr>
                <w:sz w:val="18"/>
              </w:rPr>
              <w:t xml:space="preserve">2018 </w:t>
            </w:r>
            <w:r w:rsidR="00535FF7">
              <w:rPr>
                <w:sz w:val="18"/>
              </w:rPr>
              <w:br/>
            </w:r>
            <w:r w:rsidRPr="003A1036">
              <w:rPr>
                <w:sz w:val="18"/>
              </w:rPr>
              <w:t>hasta abril</w:t>
            </w:r>
          </w:p>
        </w:tc>
        <w:tc>
          <w:tcPr>
            <w:tcW w:w="1417" w:type="dxa"/>
            <w:tcBorders>
              <w:bottom w:val="single" w:sz="12" w:space="0" w:color="auto"/>
            </w:tcBorders>
            <w:shd w:val="clear" w:color="auto" w:fill="auto"/>
            <w:vAlign w:val="bottom"/>
          </w:tcPr>
          <w:p w14:paraId="3D79C4BE" w14:textId="77777777" w:rsidR="00B92948" w:rsidRPr="003A1036" w:rsidRDefault="00B92948" w:rsidP="00535FF7">
            <w:pPr>
              <w:pStyle w:val="SingleTxtG"/>
              <w:tabs>
                <w:tab w:val="clear" w:pos="1701"/>
                <w:tab w:val="clear" w:pos="2268"/>
                <w:tab w:val="clear" w:pos="2835"/>
              </w:tabs>
              <w:spacing w:before="40" w:after="40" w:line="220" w:lineRule="exact"/>
              <w:ind w:left="113" w:right="28"/>
              <w:jc w:val="right"/>
              <w:rPr>
                <w:sz w:val="18"/>
              </w:rPr>
            </w:pPr>
            <w:r w:rsidRPr="003A1036">
              <w:rPr>
                <w:sz w:val="18"/>
              </w:rPr>
              <w:t>5</w:t>
            </w:r>
          </w:p>
        </w:tc>
        <w:tc>
          <w:tcPr>
            <w:tcW w:w="1134" w:type="dxa"/>
            <w:tcBorders>
              <w:bottom w:val="single" w:sz="12" w:space="0" w:color="auto"/>
            </w:tcBorders>
            <w:shd w:val="clear" w:color="auto" w:fill="auto"/>
            <w:vAlign w:val="bottom"/>
          </w:tcPr>
          <w:p w14:paraId="037D8A03" w14:textId="77777777" w:rsidR="00B92948" w:rsidRPr="003A1036" w:rsidRDefault="00B92948" w:rsidP="00535FF7">
            <w:pPr>
              <w:pStyle w:val="SingleTxtG"/>
              <w:tabs>
                <w:tab w:val="clear" w:pos="1701"/>
                <w:tab w:val="clear" w:pos="2268"/>
                <w:tab w:val="clear" w:pos="2835"/>
              </w:tabs>
              <w:spacing w:before="40" w:after="40" w:line="220" w:lineRule="exact"/>
              <w:ind w:left="113" w:right="28"/>
              <w:jc w:val="right"/>
              <w:rPr>
                <w:sz w:val="18"/>
              </w:rPr>
            </w:pPr>
            <w:r w:rsidRPr="003A1036">
              <w:rPr>
                <w:sz w:val="18"/>
              </w:rPr>
              <w:t>5 mujeres</w:t>
            </w:r>
          </w:p>
        </w:tc>
        <w:tc>
          <w:tcPr>
            <w:tcW w:w="568" w:type="dxa"/>
            <w:tcBorders>
              <w:bottom w:val="single" w:sz="12" w:space="0" w:color="auto"/>
            </w:tcBorders>
            <w:shd w:val="clear" w:color="auto" w:fill="auto"/>
            <w:vAlign w:val="bottom"/>
          </w:tcPr>
          <w:p w14:paraId="02245888" w14:textId="77777777" w:rsidR="00B92948" w:rsidRPr="003A1036" w:rsidRDefault="00B92948" w:rsidP="00535FF7">
            <w:pPr>
              <w:pStyle w:val="SingleTxtG"/>
              <w:tabs>
                <w:tab w:val="clear" w:pos="1701"/>
                <w:tab w:val="clear" w:pos="2268"/>
                <w:tab w:val="clear" w:pos="2835"/>
              </w:tabs>
              <w:spacing w:before="40" w:after="40" w:line="220" w:lineRule="exact"/>
              <w:ind w:left="113" w:right="28"/>
              <w:jc w:val="right"/>
              <w:rPr>
                <w:sz w:val="18"/>
              </w:rPr>
            </w:pPr>
            <w:r w:rsidRPr="003A1036">
              <w:rPr>
                <w:sz w:val="18"/>
              </w:rPr>
              <w:t>-</w:t>
            </w:r>
          </w:p>
        </w:tc>
        <w:tc>
          <w:tcPr>
            <w:tcW w:w="1172" w:type="dxa"/>
            <w:tcBorders>
              <w:bottom w:val="single" w:sz="12" w:space="0" w:color="auto"/>
            </w:tcBorders>
            <w:shd w:val="clear" w:color="auto" w:fill="auto"/>
            <w:vAlign w:val="bottom"/>
          </w:tcPr>
          <w:p w14:paraId="4764F8CD" w14:textId="77777777" w:rsidR="00B92948" w:rsidRPr="003A1036" w:rsidRDefault="00B92948" w:rsidP="00535FF7">
            <w:pPr>
              <w:pStyle w:val="SingleTxtG"/>
              <w:tabs>
                <w:tab w:val="clear" w:pos="1701"/>
                <w:tab w:val="clear" w:pos="2268"/>
                <w:tab w:val="clear" w:pos="2835"/>
              </w:tabs>
              <w:spacing w:before="40" w:after="40" w:line="220" w:lineRule="exact"/>
              <w:ind w:left="113" w:right="28"/>
              <w:jc w:val="right"/>
              <w:rPr>
                <w:sz w:val="18"/>
              </w:rPr>
            </w:pPr>
            <w:r w:rsidRPr="003A1036">
              <w:rPr>
                <w:sz w:val="18"/>
              </w:rPr>
              <w:t>1 macedonia</w:t>
            </w:r>
          </w:p>
          <w:p w14:paraId="07A9AE70" w14:textId="77777777" w:rsidR="00B92948" w:rsidRPr="003A1036" w:rsidRDefault="00B92948" w:rsidP="00535FF7">
            <w:pPr>
              <w:pStyle w:val="SingleTxtG"/>
              <w:tabs>
                <w:tab w:val="clear" w:pos="1701"/>
                <w:tab w:val="clear" w:pos="2268"/>
                <w:tab w:val="clear" w:pos="2835"/>
              </w:tabs>
              <w:spacing w:before="40" w:after="40" w:line="220" w:lineRule="exact"/>
              <w:ind w:left="113" w:right="28"/>
              <w:jc w:val="right"/>
              <w:rPr>
                <w:sz w:val="18"/>
              </w:rPr>
            </w:pPr>
            <w:r w:rsidRPr="003A1036">
              <w:rPr>
                <w:sz w:val="18"/>
              </w:rPr>
              <w:t>2 romaníes</w:t>
            </w:r>
          </w:p>
          <w:p w14:paraId="1395C0A1" w14:textId="77777777" w:rsidR="00B92948" w:rsidRPr="003A1036" w:rsidRDefault="00B92948" w:rsidP="00535FF7">
            <w:pPr>
              <w:pStyle w:val="SingleTxtG"/>
              <w:tabs>
                <w:tab w:val="clear" w:pos="1701"/>
                <w:tab w:val="clear" w:pos="2268"/>
                <w:tab w:val="clear" w:pos="2835"/>
              </w:tabs>
              <w:spacing w:before="40" w:after="40" w:line="220" w:lineRule="exact"/>
              <w:ind w:left="113" w:right="28"/>
              <w:jc w:val="right"/>
              <w:rPr>
                <w:sz w:val="18"/>
              </w:rPr>
            </w:pPr>
            <w:r w:rsidRPr="003A1036">
              <w:rPr>
                <w:sz w:val="18"/>
              </w:rPr>
              <w:t>2 albanesas</w:t>
            </w:r>
          </w:p>
        </w:tc>
        <w:tc>
          <w:tcPr>
            <w:tcW w:w="1658" w:type="dxa"/>
            <w:tcBorders>
              <w:bottom w:val="single" w:sz="12" w:space="0" w:color="auto"/>
            </w:tcBorders>
            <w:shd w:val="clear" w:color="auto" w:fill="auto"/>
            <w:vAlign w:val="bottom"/>
          </w:tcPr>
          <w:p w14:paraId="730B8DF8" w14:textId="77777777" w:rsidR="00B92948" w:rsidRPr="003A1036" w:rsidRDefault="00B92948" w:rsidP="00535FF7">
            <w:pPr>
              <w:pStyle w:val="SingleTxtG"/>
              <w:tabs>
                <w:tab w:val="clear" w:pos="1701"/>
                <w:tab w:val="clear" w:pos="2268"/>
                <w:tab w:val="clear" w:pos="2835"/>
              </w:tabs>
              <w:spacing w:before="40" w:after="40" w:line="220" w:lineRule="exact"/>
              <w:ind w:left="113" w:right="28"/>
              <w:jc w:val="right"/>
              <w:rPr>
                <w:sz w:val="18"/>
              </w:rPr>
            </w:pPr>
            <w:r w:rsidRPr="003A1036">
              <w:rPr>
                <w:sz w:val="18"/>
              </w:rPr>
              <w:t>2 sexual</w:t>
            </w:r>
          </w:p>
          <w:p w14:paraId="1D5246C0" w14:textId="77777777" w:rsidR="00B92948" w:rsidRPr="003A1036" w:rsidRDefault="00B92948" w:rsidP="00535FF7">
            <w:pPr>
              <w:pStyle w:val="SingleTxtG"/>
              <w:tabs>
                <w:tab w:val="clear" w:pos="1701"/>
                <w:tab w:val="clear" w:pos="2268"/>
                <w:tab w:val="clear" w:pos="2835"/>
              </w:tabs>
              <w:spacing w:before="40" w:after="40" w:line="220" w:lineRule="exact"/>
              <w:ind w:left="113" w:right="28"/>
              <w:jc w:val="right"/>
              <w:rPr>
                <w:sz w:val="18"/>
              </w:rPr>
            </w:pPr>
            <w:r w:rsidRPr="003A1036">
              <w:rPr>
                <w:sz w:val="18"/>
              </w:rPr>
              <w:t>2 matrimonio forzado</w:t>
            </w:r>
          </w:p>
          <w:p w14:paraId="7870FDB3" w14:textId="77777777" w:rsidR="00B92948" w:rsidRPr="003A1036" w:rsidRDefault="00B92948" w:rsidP="00535FF7">
            <w:pPr>
              <w:pStyle w:val="SingleTxtG"/>
              <w:tabs>
                <w:tab w:val="clear" w:pos="1701"/>
                <w:tab w:val="clear" w:pos="2268"/>
                <w:tab w:val="clear" w:pos="2835"/>
              </w:tabs>
              <w:spacing w:before="40" w:after="40" w:line="220" w:lineRule="exact"/>
              <w:ind w:left="113" w:right="28"/>
              <w:jc w:val="right"/>
              <w:rPr>
                <w:sz w:val="18"/>
              </w:rPr>
            </w:pPr>
            <w:r w:rsidRPr="003A1036">
              <w:rPr>
                <w:sz w:val="18"/>
              </w:rPr>
              <w:t>1 sexual y laboral</w:t>
            </w:r>
          </w:p>
        </w:tc>
        <w:tc>
          <w:tcPr>
            <w:tcW w:w="1625" w:type="dxa"/>
            <w:tcBorders>
              <w:bottom w:val="single" w:sz="12" w:space="0" w:color="auto"/>
            </w:tcBorders>
            <w:shd w:val="clear" w:color="auto" w:fill="auto"/>
            <w:vAlign w:val="bottom"/>
          </w:tcPr>
          <w:p w14:paraId="21C1C6F2" w14:textId="77777777" w:rsidR="00B92948" w:rsidRPr="003A1036" w:rsidRDefault="00B92948" w:rsidP="00535FF7">
            <w:pPr>
              <w:pStyle w:val="SingleTxtG"/>
              <w:tabs>
                <w:tab w:val="clear" w:pos="1701"/>
                <w:tab w:val="clear" w:pos="2268"/>
                <w:tab w:val="clear" w:pos="2835"/>
              </w:tabs>
              <w:spacing w:before="40" w:after="40" w:line="220" w:lineRule="exact"/>
              <w:ind w:left="113" w:right="28"/>
              <w:jc w:val="right"/>
              <w:rPr>
                <w:sz w:val="18"/>
              </w:rPr>
            </w:pPr>
            <w:r w:rsidRPr="003A1036">
              <w:rPr>
                <w:sz w:val="18"/>
              </w:rPr>
              <w:t>4 interno</w:t>
            </w:r>
          </w:p>
          <w:p w14:paraId="21FA02C4" w14:textId="77777777" w:rsidR="00B92948" w:rsidRPr="003A1036" w:rsidRDefault="00B92948" w:rsidP="00535FF7">
            <w:pPr>
              <w:pStyle w:val="SingleTxtG"/>
              <w:tabs>
                <w:tab w:val="clear" w:pos="1701"/>
                <w:tab w:val="clear" w:pos="2268"/>
                <w:tab w:val="clear" w:pos="2835"/>
              </w:tabs>
              <w:spacing w:before="40" w:after="40" w:line="220" w:lineRule="exact"/>
              <w:ind w:left="113" w:right="28"/>
              <w:jc w:val="right"/>
              <w:rPr>
                <w:sz w:val="18"/>
              </w:rPr>
            </w:pPr>
            <w:r w:rsidRPr="003A1036">
              <w:rPr>
                <w:sz w:val="18"/>
              </w:rPr>
              <w:t>1 no nacional en el país</w:t>
            </w:r>
          </w:p>
        </w:tc>
        <w:tc>
          <w:tcPr>
            <w:tcW w:w="1212" w:type="dxa"/>
            <w:tcBorders>
              <w:bottom w:val="single" w:sz="12" w:space="0" w:color="auto"/>
            </w:tcBorders>
            <w:shd w:val="clear" w:color="auto" w:fill="auto"/>
            <w:vAlign w:val="bottom"/>
          </w:tcPr>
          <w:p w14:paraId="0F48CC4F" w14:textId="77777777" w:rsidR="00B92948" w:rsidRPr="003A1036" w:rsidRDefault="00B92948" w:rsidP="00535FF7">
            <w:pPr>
              <w:pStyle w:val="SingleTxtG"/>
              <w:tabs>
                <w:tab w:val="clear" w:pos="1701"/>
                <w:tab w:val="clear" w:pos="2268"/>
                <w:tab w:val="clear" w:pos="2835"/>
              </w:tabs>
              <w:spacing w:before="40" w:after="40" w:line="220" w:lineRule="exact"/>
              <w:ind w:left="113" w:right="28"/>
              <w:jc w:val="right"/>
              <w:rPr>
                <w:sz w:val="18"/>
              </w:rPr>
            </w:pPr>
            <w:r w:rsidRPr="003A1036">
              <w:rPr>
                <w:sz w:val="18"/>
              </w:rPr>
              <w:t>del Interior</w:t>
            </w:r>
          </w:p>
          <w:p w14:paraId="76D2A187" w14:textId="77777777" w:rsidR="00B92948" w:rsidRPr="003A1036" w:rsidRDefault="00B92948" w:rsidP="00535FF7">
            <w:pPr>
              <w:pStyle w:val="SingleTxtG"/>
              <w:tabs>
                <w:tab w:val="clear" w:pos="1701"/>
                <w:tab w:val="clear" w:pos="2268"/>
                <w:tab w:val="clear" w:pos="2835"/>
              </w:tabs>
              <w:spacing w:before="40" w:after="40" w:line="220" w:lineRule="exact"/>
              <w:ind w:left="113" w:right="28"/>
              <w:jc w:val="right"/>
              <w:rPr>
                <w:sz w:val="18"/>
              </w:rPr>
            </w:pPr>
            <w:r w:rsidRPr="003A1036">
              <w:rPr>
                <w:sz w:val="18"/>
              </w:rPr>
              <w:t>de Trabajo y Política Social</w:t>
            </w:r>
          </w:p>
        </w:tc>
      </w:tr>
    </w:tbl>
    <w:p w14:paraId="4D6D99FC" w14:textId="77777777" w:rsidR="00B92948" w:rsidRPr="00B92948" w:rsidRDefault="00B92948" w:rsidP="0095553A">
      <w:pPr>
        <w:pStyle w:val="SingleTxtG"/>
        <w:spacing w:before="240"/>
      </w:pPr>
      <w:r w:rsidRPr="00B92948">
        <w:t>236.</w:t>
      </w:r>
      <w:r w:rsidRPr="00B92948">
        <w:tab/>
        <w:t>De conformidad con la recomendación 8, el principio de no discriminación se incorpora en el marco jurídico y en los programas y medidas relativos a los niños. Todos niños víctimas de la trata de personas, independientemente de su origen étnico o nacional, reciben asistencia y apoyo. El principio de no discriminación es un principio básico de los procedimientos operativos estándar para el tratamiento de las víctimas de la trata y también se aplica al Programa de Asistencia y Apoyo para la Reintegración de los Niños Víctimas.</w:t>
      </w:r>
    </w:p>
    <w:p w14:paraId="00B935E9" w14:textId="77777777" w:rsidR="00B92948" w:rsidRPr="00B92948" w:rsidRDefault="00B92948" w:rsidP="00B92948">
      <w:pPr>
        <w:pStyle w:val="SingleTxtG"/>
      </w:pPr>
      <w:r w:rsidRPr="00B92948">
        <w:t>237.</w:t>
      </w:r>
      <w:r w:rsidRPr="00B92948">
        <w:tab/>
        <w:t xml:space="preserve">Habida cuenta de que la seguridad de las víctimas reviste carácter prioritario, se les asignan tutores de los Centros de Trabajo Social y, si es necesario, traductores. </w:t>
      </w:r>
    </w:p>
    <w:p w14:paraId="5C55EB8F" w14:textId="77777777" w:rsidR="00B92948" w:rsidRPr="00B92948" w:rsidRDefault="00B92948" w:rsidP="00B92948">
      <w:pPr>
        <w:pStyle w:val="SingleTxtG"/>
      </w:pPr>
      <w:r w:rsidRPr="00B92948">
        <w:t>238.</w:t>
      </w:r>
      <w:r w:rsidRPr="00B92948">
        <w:tab/>
        <w:t>En cooperación con el UNICEF y varias ONG, se ha preparado e impreso material informativo en varios idiomas con el objetivo de familiarizar a las víctimas con sus derechos y opciones.</w:t>
      </w:r>
    </w:p>
    <w:p w14:paraId="673AA477" w14:textId="77777777" w:rsidR="00B92948" w:rsidRPr="00B92948" w:rsidRDefault="00B92948" w:rsidP="00B92948">
      <w:pPr>
        <w:pStyle w:val="SingleTxtG"/>
      </w:pPr>
      <w:r w:rsidRPr="00B92948">
        <w:t>239.</w:t>
      </w:r>
      <w:r w:rsidRPr="00B92948">
        <w:tab/>
        <w:t>Para los empleados de instituciones estatales y públicas en los planos nacional y local, incluidos los interlocutores sociales del sector civil, en el período que se examina el Ministerio de Trabajo y Política Social organizó un gran número de sesiones de capacitación básica y especializada sobre la manera de reconocer la discriminación y sobre las salvaguardias disponibles para la no discriminación.</w:t>
      </w:r>
    </w:p>
    <w:p w14:paraId="4FC45487" w14:textId="77777777" w:rsidR="00B92948" w:rsidRPr="00B92948" w:rsidRDefault="00B92948" w:rsidP="00B92948">
      <w:pPr>
        <w:pStyle w:val="SingleTxtG"/>
      </w:pPr>
      <w:r w:rsidRPr="00B92948">
        <w:t>240.</w:t>
      </w:r>
      <w:r w:rsidRPr="00B92948">
        <w:tab/>
        <w:t>Para más detalles sobre las actividades destinadas a mejorar la inclusión social de los romaníes, véase la sección 9 sobre medidas especiales de protección, subsección b).</w:t>
      </w:r>
    </w:p>
    <w:p w14:paraId="39EB9D14" w14:textId="77777777" w:rsidR="00B92948" w:rsidRPr="00B92948" w:rsidRDefault="00B92948" w:rsidP="00B92948">
      <w:pPr>
        <w:pStyle w:val="SingleTxtG"/>
      </w:pPr>
      <w:r w:rsidRPr="00B92948">
        <w:t>241.</w:t>
      </w:r>
      <w:r w:rsidRPr="00B92948">
        <w:tab/>
        <w:t>De conformidad con la recomendación 9, el Subgrupo de Lucha contra la Venta de Niños es un órgano especializado (véase la respuesta a la recomendación 6) que atiende las necesidades específicas de los niños víctimas, protegiendo al mismo tiempo sus derechos. De conformidad con su mandato, el Subgrupo gestiona las actividades relacionadas con los niños y se adhiere a todos los principios, incluido el principio de no discriminación.</w:t>
      </w:r>
    </w:p>
    <w:p w14:paraId="1EF5E089" w14:textId="77777777" w:rsidR="00B92948" w:rsidRPr="00B92948" w:rsidRDefault="00B92948" w:rsidP="00B92948">
      <w:pPr>
        <w:pStyle w:val="SingleTxtG"/>
      </w:pPr>
      <w:r w:rsidRPr="00B92948">
        <w:t>242.</w:t>
      </w:r>
      <w:r w:rsidRPr="00B92948">
        <w:tab/>
        <w:t xml:space="preserve">Todas las instituciones, entidades y personas incluidas en el sistema de justicia para niños se rigen por la Ley de Justicia para Niños, cuyo objetivo general es proteger a los niños contra la delincuencia, la violencia y cualquier otra forma de amenaza a sus derechos y libertades. </w:t>
      </w:r>
    </w:p>
    <w:p w14:paraId="59B39A32" w14:textId="77777777" w:rsidR="00B92948" w:rsidRPr="00B92948" w:rsidRDefault="00B92948" w:rsidP="00B92948">
      <w:pPr>
        <w:pStyle w:val="SingleTxtG"/>
      </w:pPr>
      <w:r w:rsidRPr="00B92948">
        <w:t>243.</w:t>
      </w:r>
      <w:r w:rsidRPr="00B92948">
        <w:tab/>
        <w:t xml:space="preserve">La parte V de la Ley de Justicia para Niños se ocupa de la protección de los niños como víctimas de delitos o como testigos en procedimientos penales. Regula la protección </w:t>
      </w:r>
      <w:r w:rsidRPr="00B92948">
        <w:lastRenderedPageBreak/>
        <w:t xml:space="preserve">de los niños que actúan como partes damnificadas o testigos y protege los derechos de los niños víctimas respetando el principio de no discriminación. </w:t>
      </w:r>
    </w:p>
    <w:p w14:paraId="5A2F535E" w14:textId="77777777" w:rsidR="00B92948" w:rsidRPr="00B92948" w:rsidRDefault="00B92948" w:rsidP="00B92948">
      <w:pPr>
        <w:pStyle w:val="SingleTxtG"/>
      </w:pPr>
      <w:r w:rsidRPr="00B92948">
        <w:t>244.</w:t>
      </w:r>
      <w:r w:rsidRPr="00B92948">
        <w:tab/>
        <w:t>De conformidad con las recomendaciones 3 y 10, el Subgrupo de Lucha contra la Venta de Niños sigue funcionando como un órgano de trabajo dentro de la Comisión Nacional. Las actividades del Subgrupo se centran en la prevención de la venta de niños y la mejora de la protección de los niños víctimas, así como en la coordinación de la cooperación entre las partes pertinentes. El órgano prepara un plan operativo de actividades para combatir la venta de niños, que dimana de la Estrategia y Plan de Acción Nacional para la Lucha contra la Trata de Personas y la Migración Ilegal 2017-2020. Por iniciativa del Subgrupo, se modificó el artículo 418 del Código Penal</w:t>
      </w:r>
      <w:r w:rsidRPr="00B92948">
        <w:rPr>
          <w:rStyle w:val="Refdenotaalpie"/>
        </w:rPr>
        <w:footnoteReference w:id="56"/>
      </w:r>
      <w:r w:rsidRPr="00B92948">
        <w:t xml:space="preserve"> mediante la imposición de una pena de un mínimo de ocho años de prisión para toda persona que induzca a un niño a la mendicidad o la explotación para actividades ilícitas. El mismo artículo prevé una pena de prisión de al menos </w:t>
      </w:r>
      <w:r w:rsidR="0032448F">
        <w:t>10</w:t>
      </w:r>
      <w:r w:rsidRPr="00B92948">
        <w:t xml:space="preserve"> años para el autor de esos actos delictivos contra un niño menor de 14 años. El artículo</w:t>
      </w:r>
      <w:r w:rsidR="0032448F">
        <w:t> </w:t>
      </w:r>
      <w:r w:rsidRPr="00B92948">
        <w:t xml:space="preserve">418 volvió a modificarse mediante la adición del párrafo 4, que hace más estricta la política penal y prevé una pena de prisión de un mínimo de 12 años para un cliente que solicite favores sexuales de un niño menor de 14 años. </w:t>
      </w:r>
    </w:p>
    <w:p w14:paraId="649E29DE" w14:textId="77777777" w:rsidR="00B92948" w:rsidRPr="00B92948" w:rsidRDefault="00B92948" w:rsidP="00B92948">
      <w:pPr>
        <w:pStyle w:val="SingleTxtG"/>
      </w:pPr>
      <w:r w:rsidRPr="00B92948">
        <w:t>245.</w:t>
      </w:r>
      <w:r w:rsidRPr="00B92948">
        <w:tab/>
        <w:t xml:space="preserve">En consonancia con la recomendación 14 de las observaciones finales, el Ministerio de Trabajo y Política Social trabaja arduamente en la preparación de la cuarta Estrategia y Plan de Acción Nacional para la Lucha contra la Trata de Personas y la Migración Ilegal 2017-2020. En vista de ello y en consonancia con las actividades prioritarias esbozadas en el Plan de Reforma del Gobierno 3-6-9, el Ministerio, en colaboración con el Ministerio del Interior y varias ONG establecieron equipos móviles encargados de identificar las categorías vulnerables, incluidas las víctimas de la trata en cinco ciudades: Skopie, Bitola, </w:t>
      </w:r>
      <w:proofErr w:type="spellStart"/>
      <w:r w:rsidRPr="00B92948">
        <w:t>Gevgelija</w:t>
      </w:r>
      <w:proofErr w:type="spellEnd"/>
      <w:r w:rsidRPr="00B92948">
        <w:t xml:space="preserve">, Tetovo y Kumanovo. </w:t>
      </w:r>
    </w:p>
    <w:p w14:paraId="22B918FE" w14:textId="77777777" w:rsidR="00B92948" w:rsidRPr="00B92948" w:rsidRDefault="00B92948" w:rsidP="0095553A">
      <w:pPr>
        <w:pStyle w:val="H23G"/>
      </w:pPr>
      <w:r w:rsidRPr="00B92948">
        <w:tab/>
        <w:t>b)</w:t>
      </w:r>
      <w:r w:rsidRPr="00B92948">
        <w:tab/>
        <w:t>Otros cambios importantes en relación con las medidas jurídicas adoptadas</w:t>
      </w:r>
      <w:bookmarkStart w:id="92" w:name="_Toc56781489"/>
      <w:bookmarkEnd w:id="92"/>
    </w:p>
    <w:p w14:paraId="32009EF7" w14:textId="77777777" w:rsidR="00B92948" w:rsidRPr="00B92948" w:rsidRDefault="00B92948" w:rsidP="00B92948">
      <w:pPr>
        <w:pStyle w:val="SingleTxtG"/>
      </w:pPr>
      <w:r w:rsidRPr="00B92948">
        <w:t>246.</w:t>
      </w:r>
      <w:r w:rsidRPr="00B92948">
        <w:tab/>
        <w:t>El artículo 20 de la Convención, relativo a la pornografía infantil, está contemplado en el artículo 193-a del Código Penal sobre producción y distribución de pornografía infantil. Prevé sanciones en los siguientes casos:</w:t>
      </w:r>
    </w:p>
    <w:p w14:paraId="5CDF49A3" w14:textId="77777777" w:rsidR="00B92948" w:rsidRPr="00B92948" w:rsidRDefault="00B92948" w:rsidP="00B92948">
      <w:pPr>
        <w:pStyle w:val="SingleTxtG"/>
      </w:pPr>
      <w:r w:rsidRPr="00B92948">
        <w:tab/>
        <w:t>a)</w:t>
      </w:r>
      <w:r w:rsidRPr="00B92948">
        <w:tab/>
        <w:t>Quien produzca pornografía infantil con el fin de distribuirla, transferirla, ofrecerla o de cualquier otra forma ponerla a disposición de otra persona, será condenado a una pena de prisión de cinco años como mínimo;</w:t>
      </w:r>
    </w:p>
    <w:p w14:paraId="7D18DF3B" w14:textId="77777777" w:rsidR="00B92948" w:rsidRPr="00B92948" w:rsidRDefault="00B92948" w:rsidP="00B92948">
      <w:pPr>
        <w:pStyle w:val="SingleTxtG"/>
      </w:pPr>
      <w:r w:rsidRPr="00B92948">
        <w:tab/>
        <w:t>b)</w:t>
      </w:r>
      <w:r w:rsidRPr="00B92948">
        <w:tab/>
        <w:t>Quien compre pornografía infantil para sí mismo o para otra persona, o posea pornografía infantil, será condenado a una pena de prisión de 5 a 8 años;</w:t>
      </w:r>
    </w:p>
    <w:p w14:paraId="3E38E5A7" w14:textId="77777777" w:rsidR="00B92948" w:rsidRPr="00B92948" w:rsidRDefault="00B92948" w:rsidP="00B92948">
      <w:pPr>
        <w:pStyle w:val="SingleTxtG"/>
      </w:pPr>
      <w:r w:rsidRPr="00B92948">
        <w:tab/>
        <w:t>c)</w:t>
      </w:r>
      <w:r w:rsidRPr="00B92948">
        <w:tab/>
        <w:t>Si el delito a que se refieren los párrafos 1 y 2 del presente artículo se comete a través de un sistema de información u otros medios de comunicación de masas, el autor será condenado a una pena de prisión de ocho años como mínimo;</w:t>
      </w:r>
    </w:p>
    <w:p w14:paraId="27CEFE07" w14:textId="77777777" w:rsidR="00B92948" w:rsidRPr="00B92948" w:rsidRDefault="00B92948" w:rsidP="00B92948">
      <w:pPr>
        <w:pStyle w:val="SingleTxtG"/>
      </w:pPr>
      <w:r w:rsidRPr="00B92948">
        <w:tab/>
        <w:t>d)</w:t>
      </w:r>
      <w:r w:rsidRPr="00B92948">
        <w:tab/>
        <w:t>Si el delito a que se refiere el presente artículo es cometido por una persona jurídica, se le impondrá una multa</w:t>
      </w:r>
      <w:r w:rsidR="0032448F">
        <w:t>.</w:t>
      </w:r>
    </w:p>
    <w:p w14:paraId="4AF41B86" w14:textId="77777777" w:rsidR="00B92948" w:rsidRPr="00B92948" w:rsidRDefault="00B92948" w:rsidP="00B92948">
      <w:pPr>
        <w:pStyle w:val="SingleTxtG"/>
      </w:pPr>
      <w:r w:rsidRPr="00B92948">
        <w:t>247.</w:t>
      </w:r>
      <w:r w:rsidRPr="00B92948">
        <w:tab/>
        <w:t xml:space="preserve">El artículo 21 de la Convención, relativo a actos delictivos consistentes en incluir a un niño en espectáculos pornográficos, se refleja en el artículo 193 sobre exhibición de material pornográfico a un niño. Según la edad del niño y el tipo de delito, los párrafos 1 a 8 del mismo artículo prevén una pena de prisión que va de un mínimo de 6 meses a un máximo de 8 años, y una multa en caso de que el autor sea una persona jurídica. </w:t>
      </w:r>
    </w:p>
    <w:p w14:paraId="11D0BA60" w14:textId="77777777" w:rsidR="00B92948" w:rsidRPr="00B92948" w:rsidRDefault="00B92948" w:rsidP="00B92948">
      <w:pPr>
        <w:pStyle w:val="SingleTxtG"/>
      </w:pPr>
      <w:r w:rsidRPr="00B92948">
        <w:t>248.</w:t>
      </w:r>
      <w:r w:rsidRPr="00B92948">
        <w:tab/>
        <w:t>El acto delictivo que se describe en el artículo 190 sobre la satisfacción de necesidades sexuales delante de otra persona, se corresponde con el artículo 20 de la Convención que tipifica los actos que privan a niños de su medio familiar. En el artículo 190 (</w:t>
      </w:r>
      <w:proofErr w:type="spellStart"/>
      <w:r w:rsidRPr="00B92948">
        <w:t>párrs</w:t>
      </w:r>
      <w:proofErr w:type="spellEnd"/>
      <w:r w:rsidRPr="00B92948">
        <w:t>. 1 a 3), según la edad del niño y la forma en que se comete el delito, la Ley prevé una multa o una pena de prisión de 1 a 8 años.</w:t>
      </w:r>
    </w:p>
    <w:p w14:paraId="0F8AAE6C" w14:textId="77777777" w:rsidR="00B92948" w:rsidRPr="00B92948" w:rsidRDefault="00B92948" w:rsidP="0095553A">
      <w:pPr>
        <w:pStyle w:val="H23G"/>
      </w:pPr>
      <w:r w:rsidRPr="00B92948">
        <w:lastRenderedPageBreak/>
        <w:tab/>
        <w:t>c)</w:t>
      </w:r>
      <w:r w:rsidRPr="00B92948">
        <w:tab/>
        <w:t xml:space="preserve">La responsabilidad penal de las entidades jurídicas se incorporó en el Código </w:t>
      </w:r>
      <w:r w:rsidR="00535FF7">
        <w:br/>
      </w:r>
      <w:r w:rsidRPr="00B92948">
        <w:t>Penal en</w:t>
      </w:r>
      <w:r w:rsidR="0032448F">
        <w:t xml:space="preserve"> </w:t>
      </w:r>
      <w:r w:rsidRPr="00B92948">
        <w:t xml:space="preserve">2004 y se regula en los </w:t>
      </w:r>
      <w:r w:rsidRPr="00594659">
        <w:t>artículos 28-a, -b y -c</w:t>
      </w:r>
      <w:r w:rsidRPr="00B92948">
        <w:t xml:space="preserve">. Se basa en el principio </w:t>
      </w:r>
      <w:r w:rsidR="00535FF7">
        <w:br/>
      </w:r>
      <w:r w:rsidRPr="00B92948">
        <w:t xml:space="preserve">de la responsabilidad asumida por la entidad jurídica derivada de la acción </w:t>
      </w:r>
      <w:r w:rsidR="00535FF7">
        <w:br/>
      </w:r>
      <w:r w:rsidRPr="00B92948">
        <w:t xml:space="preserve">o de una falla en la supervisión obligatoria por los órganos de gestión, la persona responsable u otra persona autorizada para actuar en nombre de la entidad </w:t>
      </w:r>
      <w:r w:rsidR="00535FF7">
        <w:br/>
      </w:r>
      <w:r w:rsidRPr="00B92948">
        <w:t xml:space="preserve">jurídica. La responsabilidad de la entidad jurídica no excluye la responsabilidad </w:t>
      </w:r>
      <w:r w:rsidR="00535FF7">
        <w:br/>
      </w:r>
      <w:r w:rsidRPr="00B92948">
        <w:t>penal de cualquier persona individual que actúe como autor (art. 28-b 1))</w:t>
      </w:r>
      <w:bookmarkStart w:id="93" w:name="_Toc56781490"/>
      <w:bookmarkEnd w:id="93"/>
    </w:p>
    <w:p w14:paraId="56522BE4" w14:textId="77777777" w:rsidR="00B92948" w:rsidRPr="00B92948" w:rsidRDefault="00B92948" w:rsidP="00B92948">
      <w:pPr>
        <w:pStyle w:val="SingleTxtG"/>
      </w:pPr>
      <w:r w:rsidRPr="00B92948">
        <w:t>249.</w:t>
      </w:r>
      <w:r w:rsidRPr="00B92948">
        <w:tab/>
        <w:t>Además, la entidad jurídica también es responsable de todo acto delictivo cometido por un empleado u otro representante de la entidad jurídica, en el que el acto delictivo dé lugar a una ganancia considerable de bienes o cause un daño considerable a otra entidad, como se indica en el artículo 28-2.</w:t>
      </w:r>
    </w:p>
    <w:p w14:paraId="296AAEAF" w14:textId="77777777" w:rsidR="00B92948" w:rsidRPr="00B92948" w:rsidRDefault="00B92948" w:rsidP="00B92948">
      <w:pPr>
        <w:pStyle w:val="SingleTxtG"/>
      </w:pPr>
      <w:r w:rsidRPr="00B92948">
        <w:t>250.</w:t>
      </w:r>
      <w:r w:rsidRPr="00B92948">
        <w:tab/>
        <w:t xml:space="preserve">De conformidad con </w:t>
      </w:r>
      <w:r w:rsidRPr="00594659">
        <w:t>los artículos 96-a y -b</w:t>
      </w:r>
      <w:r w:rsidRPr="00B92948">
        <w:t xml:space="preserve"> del Código Penal, la principal pena para las personas jurídicas es una multa. En las condiciones estipuladas en el Código, si la persona jurídica repite el delito, el tribunal puede dictar una o más sanciones adicionales, como las siguientes: la prohibición de que se le expida una licencia en el futuro o la remoción de una licencia, concesión o autorización; la prohibición de participar en licitaciones públicas, celebrar contratos de adquisiciones públicas o establecer alianzas público-privadas; la prohibición de establecer nuevas entidades jurídicas; la prohibición de utilizar subvenciones y otros créditos beneficiosos; la prohibición de utilizar fondos del presupuesto del Estado para la financiación de partidos políticos; o una prohibición temporal o permanente de desempeñar un servicio específico e incluso la disolución de la entidad legal. </w:t>
      </w:r>
    </w:p>
    <w:p w14:paraId="7CBC35C7" w14:textId="77777777" w:rsidR="00B92948" w:rsidRPr="00B92948" w:rsidRDefault="00B92948" w:rsidP="0095553A">
      <w:pPr>
        <w:pStyle w:val="H23G"/>
      </w:pPr>
      <w:r w:rsidRPr="00B92948">
        <w:tab/>
        <w:t>d)</w:t>
      </w:r>
      <w:r w:rsidRPr="00B92948">
        <w:tab/>
        <w:t>Medidas de prevención y sensibilización</w:t>
      </w:r>
      <w:bookmarkStart w:id="94" w:name="_Toc56781491"/>
      <w:bookmarkEnd w:id="94"/>
    </w:p>
    <w:p w14:paraId="5B681B10" w14:textId="77777777" w:rsidR="00B92948" w:rsidRPr="00B92948" w:rsidRDefault="00B92948" w:rsidP="00B92948">
      <w:pPr>
        <w:pStyle w:val="SingleTxtG"/>
      </w:pPr>
      <w:r w:rsidRPr="00B92948">
        <w:t>251.</w:t>
      </w:r>
      <w:r w:rsidRPr="00B92948">
        <w:tab/>
        <w:t xml:space="preserve">En consonancia con la recomendación 18 y además de las actividades emprendidas con arreglo a la recomendación 14, se ha iniciado un proyecto de lucha contra la trata de personas con fines de explotación laboral en el marco del Mecanismo Horizontal para los Balcanes Occidentales y Turquía 2017, destinado a apoyar a Europa Sudoriental y a Turquía a ajustarse a las normas y el acervo europeos. </w:t>
      </w:r>
    </w:p>
    <w:p w14:paraId="43E313BF" w14:textId="77777777" w:rsidR="00B92948" w:rsidRPr="00B92948" w:rsidRDefault="00B92948" w:rsidP="00B92948">
      <w:pPr>
        <w:pStyle w:val="SingleTxtG"/>
      </w:pPr>
      <w:r w:rsidRPr="00B92948">
        <w:t>252.</w:t>
      </w:r>
      <w:r w:rsidRPr="00B92948">
        <w:tab/>
        <w:t xml:space="preserve">En 2014 el Ministerio de Trabajo y Política Social, en cooperación con el Centro de Trabajo Social del municipio de </w:t>
      </w:r>
      <w:proofErr w:type="spellStart"/>
      <w:r w:rsidRPr="00B92948">
        <w:t>Probishtip</w:t>
      </w:r>
      <w:proofErr w:type="spellEnd"/>
      <w:r w:rsidRPr="00B92948">
        <w:t>, organizó un curso de capacitación para el personal docente y asesores psicológicos y pedagógicos con el fin de prevenir los riesgos sociales y la trata de personas.</w:t>
      </w:r>
    </w:p>
    <w:p w14:paraId="7979658B" w14:textId="77777777" w:rsidR="00B92948" w:rsidRPr="00B92948" w:rsidRDefault="00B92948" w:rsidP="00B92948">
      <w:pPr>
        <w:pStyle w:val="SingleTxtG"/>
      </w:pPr>
      <w:r w:rsidRPr="00B92948">
        <w:t>253.</w:t>
      </w:r>
      <w:r w:rsidRPr="00B92948">
        <w:tab/>
        <w:t>En mayo de 2015, el Ministerio de Trabajo y Política Social organizó un curso de capacitación de dos días de duración sobre la prevención y protección de los niños, dirigida a los empleados de cuatro instituciones públicas de protección social: el Hogar Infantil 11 de Octubre de Skopie, el</w:t>
      </w:r>
      <w:r w:rsidRPr="00B92948">
        <w:rPr>
          <w:lang w:val="en-GB"/>
        </w:rPr>
        <w:t xml:space="preserve"> </w:t>
      </w:r>
      <w:proofErr w:type="spellStart"/>
      <w:r w:rsidRPr="00B92948">
        <w:rPr>
          <w:lang w:val="en-GB"/>
        </w:rPr>
        <w:t>Hogar</w:t>
      </w:r>
      <w:proofErr w:type="spellEnd"/>
      <w:r w:rsidRPr="00B92948">
        <w:rPr>
          <w:lang w:val="en-GB"/>
        </w:rPr>
        <w:t xml:space="preserve"> </w:t>
      </w:r>
      <w:proofErr w:type="spellStart"/>
      <w:r w:rsidRPr="00B92948">
        <w:t>Ranka</w:t>
      </w:r>
      <w:proofErr w:type="spellEnd"/>
      <w:r w:rsidRPr="00B92948">
        <w:t xml:space="preserve"> </w:t>
      </w:r>
      <w:proofErr w:type="spellStart"/>
      <w:r w:rsidRPr="00B92948">
        <w:t>Milanovikj</w:t>
      </w:r>
      <w:proofErr w:type="spellEnd"/>
      <w:r w:rsidRPr="00B92948">
        <w:t xml:space="preserve"> de acogimiento de niños y jóvenes con trastornos de conducta en Skopie, el Hogar 25 de Mayo de acogimiento de niños y jóvenes con problemas educacionales y sociales en Skopie y Aldeas Infantiles SOS. </w:t>
      </w:r>
    </w:p>
    <w:p w14:paraId="4139798F" w14:textId="77777777" w:rsidR="00B92948" w:rsidRPr="00B92948" w:rsidRDefault="00B92948" w:rsidP="00B92948">
      <w:pPr>
        <w:pStyle w:val="SingleTxtG"/>
      </w:pPr>
      <w:r w:rsidRPr="00B92948">
        <w:t>254.</w:t>
      </w:r>
      <w:r w:rsidRPr="00B92948">
        <w:tab/>
        <w:t>También se han llevado a cabo varios cursos de capacitación básica y especializada para la detección y remisión de las víctimas y los niños víctimas de la trata de personas dirigidas a agentes de policía e inspectores de delincuencia juvenil.</w:t>
      </w:r>
    </w:p>
    <w:p w14:paraId="54F94AB9" w14:textId="77777777" w:rsidR="00B92948" w:rsidRPr="00B92948" w:rsidRDefault="00B92948" w:rsidP="00B92948">
      <w:pPr>
        <w:pStyle w:val="SingleTxtG"/>
      </w:pPr>
      <w:r w:rsidRPr="00B92948">
        <w:t>255.</w:t>
      </w:r>
      <w:r w:rsidRPr="00B92948">
        <w:tab/>
        <w:t xml:space="preserve">En 2015, en la Academia de Policía de </w:t>
      </w:r>
      <w:proofErr w:type="spellStart"/>
      <w:r w:rsidRPr="00B92948">
        <w:t>Idrizovo</w:t>
      </w:r>
      <w:proofErr w:type="spellEnd"/>
      <w:r w:rsidRPr="00B92948">
        <w:t xml:space="preserve">, el Ministerio de Trabajo y Política Social, en colaboración con la Comisión Nacional de Lucha contra la Trata de Personas y la Migración Ilegal, el Ministerio del Interior y la ONG </w:t>
      </w:r>
      <w:proofErr w:type="spellStart"/>
      <w:r w:rsidRPr="00B92948">
        <w:t>Equal</w:t>
      </w:r>
      <w:proofErr w:type="spellEnd"/>
      <w:r w:rsidRPr="00B92948">
        <w:t xml:space="preserve"> Access, y con el apoyo de la Agencia Alemana de Cooperación Internacional (</w:t>
      </w:r>
      <w:proofErr w:type="spellStart"/>
      <w:r w:rsidRPr="00B92948">
        <w:t>GIZ</w:t>
      </w:r>
      <w:proofErr w:type="spellEnd"/>
      <w:r w:rsidRPr="00B92948">
        <w:t>), organizó tres sesiones diarias de capacitación para 75 personas con miras a la aplicación de los indicadores para la identificación de las víctimas y los niños víctimas de la trata.</w:t>
      </w:r>
    </w:p>
    <w:p w14:paraId="7AB48AFF" w14:textId="77777777" w:rsidR="00B92948" w:rsidRPr="00B92948" w:rsidRDefault="00B92948" w:rsidP="00B92948">
      <w:pPr>
        <w:pStyle w:val="SingleTxtG"/>
      </w:pPr>
      <w:r w:rsidRPr="00B92948">
        <w:t>256.</w:t>
      </w:r>
      <w:r w:rsidRPr="00B92948">
        <w:tab/>
        <w:t xml:space="preserve">Con el fin de mejorar la capacidad del país para desarrollar formas alternativas de protección y proporcionar recursos para la guarda de los niños víctimas de la trata de personas, el Ministerio de Trabajo y Política Social celebró también sesiones especiales de capacitación para familias de acogida. En Skopie y Veles se capacitó a 9 tutores de familias de acogida con la cooperación de la organización </w:t>
      </w:r>
      <w:proofErr w:type="spellStart"/>
      <w:r w:rsidRPr="00B92948">
        <w:t>For</w:t>
      </w:r>
      <w:proofErr w:type="spellEnd"/>
      <w:r w:rsidRPr="00B92948">
        <w:t xml:space="preserve"> a </w:t>
      </w:r>
      <w:proofErr w:type="spellStart"/>
      <w:r w:rsidRPr="00B92948">
        <w:t>Happy</w:t>
      </w:r>
      <w:proofErr w:type="spellEnd"/>
      <w:r w:rsidRPr="00B92948">
        <w:t xml:space="preserve"> </w:t>
      </w:r>
      <w:proofErr w:type="spellStart"/>
      <w:r w:rsidRPr="00B92948">
        <w:t>Childhood</w:t>
      </w:r>
      <w:proofErr w:type="spellEnd"/>
      <w:r w:rsidRPr="00B92948">
        <w:t xml:space="preserve"> y el apoyo de la</w:t>
      </w:r>
      <w:r w:rsidR="00535FF7">
        <w:t> </w:t>
      </w:r>
      <w:proofErr w:type="spellStart"/>
      <w:r w:rsidRPr="00B92948">
        <w:t>GIZ</w:t>
      </w:r>
      <w:proofErr w:type="spellEnd"/>
      <w:r w:rsidRPr="00B92948">
        <w:t>.</w:t>
      </w:r>
    </w:p>
    <w:p w14:paraId="7B455923" w14:textId="77777777" w:rsidR="00B92948" w:rsidRPr="00B92948" w:rsidRDefault="00B92948" w:rsidP="00B92948">
      <w:pPr>
        <w:pStyle w:val="SingleTxtG"/>
      </w:pPr>
      <w:r w:rsidRPr="00B92948">
        <w:t>257.</w:t>
      </w:r>
      <w:r w:rsidRPr="00B92948">
        <w:tab/>
        <w:t xml:space="preserve">En 2016, con la cooperación de la Misión de la Organización para la Seguridad y la Cooperación en Europa (OSCE), el Sector de Igualdad de Oportunidades del Ministerio de </w:t>
      </w:r>
      <w:r w:rsidRPr="00B92948">
        <w:lastRenderedPageBreak/>
        <w:t xml:space="preserve">Trabajo y Política Social impartió dos cursos de formación dirigidos a 60 profesionales, incluidos asistentes sociales de Centros de Trabajo Social y voluntarios de los campamentos de </w:t>
      </w:r>
      <w:proofErr w:type="spellStart"/>
      <w:r w:rsidRPr="00B92948">
        <w:t>Vinojug</w:t>
      </w:r>
      <w:proofErr w:type="spellEnd"/>
      <w:r w:rsidRPr="00B92948">
        <w:t xml:space="preserve"> y </w:t>
      </w:r>
      <w:proofErr w:type="spellStart"/>
      <w:r w:rsidRPr="00B92948">
        <w:t>Tabanovce</w:t>
      </w:r>
      <w:proofErr w:type="spellEnd"/>
      <w:r w:rsidRPr="00B92948">
        <w:t xml:space="preserve"> y del Centro de Recepción de Solicitantes de Asilo.</w:t>
      </w:r>
    </w:p>
    <w:p w14:paraId="2E798156" w14:textId="77777777" w:rsidR="00B92948" w:rsidRPr="00B92948" w:rsidRDefault="00B92948" w:rsidP="00B92948">
      <w:pPr>
        <w:pStyle w:val="SingleTxtG"/>
      </w:pPr>
      <w:r w:rsidRPr="00B92948">
        <w:t>258.</w:t>
      </w:r>
      <w:r w:rsidRPr="00B92948">
        <w:tab/>
        <w:t xml:space="preserve">El Ministerio también organizó capacitación sobre la aplicación de los procedimientos operativos estándar para la detección de niños extranjeros no acompañados y de categorías vulnerables, así como sobre los indicadores generales para la detección preliminar de niños que son presuntas víctimas de la trata de personas en el contexto de corrientes migratorias mixtas. </w:t>
      </w:r>
    </w:p>
    <w:p w14:paraId="06639032" w14:textId="77777777" w:rsidR="00B92948" w:rsidRPr="00B92948" w:rsidRDefault="00B92948" w:rsidP="00B92948">
      <w:pPr>
        <w:pStyle w:val="SingleTxtG"/>
        <w:rPr>
          <w:lang w:val="en-GB"/>
        </w:rPr>
      </w:pPr>
      <w:r w:rsidRPr="00B92948">
        <w:t>259.</w:t>
      </w:r>
      <w:r w:rsidRPr="00B92948">
        <w:tab/>
        <w:t xml:space="preserve">Asimismo, los días 27 y 28 de septiembre, se celebró en </w:t>
      </w:r>
      <w:proofErr w:type="spellStart"/>
      <w:r w:rsidRPr="00B92948">
        <w:t>Struga</w:t>
      </w:r>
      <w:proofErr w:type="spellEnd"/>
      <w:r w:rsidRPr="00B92948">
        <w:t xml:space="preserve"> un curso de capacitación sobre los aspectos de género de la trata. Estuvo dirigido a agentes de policía, asistentes sociales y organizaciones civiles. Representantes del Sector de Igualdad de Oportunidades del Ministerio de Trabajo y Política Social asistieron al curso, organizado por la </w:t>
      </w:r>
      <w:proofErr w:type="spellStart"/>
      <w:r w:rsidRPr="00B92948">
        <w:t>Macedonian</w:t>
      </w:r>
      <w:proofErr w:type="spellEnd"/>
      <w:r w:rsidRPr="00B92948">
        <w:t xml:space="preserve"> Young </w:t>
      </w:r>
      <w:proofErr w:type="spellStart"/>
      <w:r w:rsidRPr="00B92948">
        <w:t>Lawyers</w:t>
      </w:r>
      <w:proofErr w:type="spellEnd"/>
      <w:r w:rsidRPr="00B92948">
        <w:t xml:space="preserve"> </w:t>
      </w:r>
      <w:proofErr w:type="spellStart"/>
      <w:r w:rsidRPr="00B92948">
        <w:t>Association</w:t>
      </w:r>
      <w:proofErr w:type="spellEnd"/>
      <w:r w:rsidRPr="00B92948">
        <w:t xml:space="preserve"> y la oficina de </w:t>
      </w:r>
      <w:proofErr w:type="gramStart"/>
      <w:r w:rsidRPr="00B92948">
        <w:t>ONU</w:t>
      </w:r>
      <w:proofErr w:type="gramEnd"/>
      <w:r w:rsidRPr="00B92948">
        <w:t>-Mujeres.</w:t>
      </w:r>
    </w:p>
    <w:p w14:paraId="349F7A5F" w14:textId="77777777" w:rsidR="00B92948" w:rsidRPr="00B92948" w:rsidRDefault="00B92948" w:rsidP="00B92948">
      <w:pPr>
        <w:pStyle w:val="SingleTxtG"/>
        <w:rPr>
          <w:lang w:val="en-GB"/>
        </w:rPr>
      </w:pPr>
      <w:r w:rsidRPr="00B92948">
        <w:t>260.</w:t>
      </w:r>
      <w:r w:rsidRPr="00B92948">
        <w:tab/>
        <w:t xml:space="preserve">De conformidad con la Ley de Asistencia Jurídica Gratuita, las víctimas de la trata de personas tienen derecho a protección jurídica gratuita. En 2017, la Misión de la OSCE facilitó una lista de abogados que han completado su formación sobre asistencia jurídica gratuita para estas víctimas, impartida en cooperación con la </w:t>
      </w:r>
      <w:proofErr w:type="spellStart"/>
      <w:r w:rsidRPr="00B92948">
        <w:t>Macedonian</w:t>
      </w:r>
      <w:proofErr w:type="spellEnd"/>
      <w:r w:rsidRPr="00B92948">
        <w:t xml:space="preserve"> Young </w:t>
      </w:r>
      <w:proofErr w:type="spellStart"/>
      <w:r w:rsidRPr="00B92948">
        <w:t>Lawyers</w:t>
      </w:r>
      <w:proofErr w:type="spellEnd"/>
      <w:r w:rsidRPr="00B92948">
        <w:t xml:space="preserve"> </w:t>
      </w:r>
      <w:proofErr w:type="spellStart"/>
      <w:r w:rsidRPr="00B92948">
        <w:t>Association</w:t>
      </w:r>
      <w:proofErr w:type="spellEnd"/>
      <w:r w:rsidRPr="00B92948">
        <w:t xml:space="preserve">. </w:t>
      </w:r>
    </w:p>
    <w:p w14:paraId="65266ECB" w14:textId="77777777" w:rsidR="00B92948" w:rsidRPr="00B92948" w:rsidRDefault="00B92948" w:rsidP="00B92948">
      <w:pPr>
        <w:pStyle w:val="SingleTxtG"/>
        <w:rPr>
          <w:lang w:val="en-GB"/>
        </w:rPr>
      </w:pPr>
      <w:r w:rsidRPr="00B92948">
        <w:t>261.</w:t>
      </w:r>
      <w:r w:rsidRPr="00B92948">
        <w:tab/>
        <w:t xml:space="preserve">De conformidad con la recomendación 19, se organizan cursos de capacitación continua para la formación profesional sobre temas de derechos humanos y justicia juvenil, trata de personas y venta de niños, con la </w:t>
      </w:r>
      <w:proofErr w:type="gramStart"/>
      <w:r w:rsidRPr="00B92948">
        <w:t>participación activa</w:t>
      </w:r>
      <w:proofErr w:type="gramEnd"/>
      <w:r w:rsidRPr="00B92948">
        <w:t xml:space="preserve"> de instituciones y organizaciones civiles internacionales y nacionales. </w:t>
      </w:r>
    </w:p>
    <w:p w14:paraId="0E754B40" w14:textId="77777777" w:rsidR="00B92948" w:rsidRPr="00B92948" w:rsidRDefault="00B92948" w:rsidP="0095553A">
      <w:pPr>
        <w:pStyle w:val="H23G"/>
        <w:rPr>
          <w:lang w:val="en-GB"/>
        </w:rPr>
      </w:pPr>
      <w:r w:rsidRPr="00B92948">
        <w:tab/>
        <w:t>e)</w:t>
      </w:r>
      <w:r w:rsidRPr="00B92948">
        <w:tab/>
        <w:t xml:space="preserve">En lo que respecta a las medidas adoptadas para la reintegración social </w:t>
      </w:r>
      <w:r w:rsidR="00535FF7">
        <w:br/>
      </w:r>
      <w:r w:rsidRPr="00B92948">
        <w:t xml:space="preserve">de los niños víctimas, así como su recuperación física y psicológica, </w:t>
      </w:r>
      <w:r w:rsidR="00535FF7">
        <w:br/>
      </w:r>
      <w:r w:rsidRPr="00B92948">
        <w:t xml:space="preserve">como se indica en el Protocolo Facultativo, el Ministerio de Trabajo y Política </w:t>
      </w:r>
      <w:r w:rsidR="00535FF7">
        <w:br/>
      </w:r>
      <w:r w:rsidRPr="00B92948">
        <w:t xml:space="preserve">Social y la Oficina del Mecanismo Nacional de Remisión prestan ayuda </w:t>
      </w:r>
      <w:r w:rsidR="00535FF7">
        <w:br/>
      </w:r>
      <w:r w:rsidRPr="00B92948">
        <w:t xml:space="preserve">y protección a las víctimas de la trata de personas, con la cooperación </w:t>
      </w:r>
      <w:r w:rsidR="00535FF7">
        <w:br/>
      </w:r>
      <w:r w:rsidRPr="00B92948">
        <w:t xml:space="preserve">de los Centros de Trabajo Social y ONG. La Ley de Protección Social prevé </w:t>
      </w:r>
      <w:r w:rsidR="00535FF7">
        <w:br/>
      </w:r>
      <w:r w:rsidRPr="00B92948">
        <w:t xml:space="preserve">el derecho de las víctimas de la trata a recibir asistencia y protección </w:t>
      </w:r>
      <w:r w:rsidR="00535FF7">
        <w:br/>
      </w:r>
      <w:r w:rsidRPr="00B92948">
        <w:t xml:space="preserve">en el Centro para las Víctimas de la Trata de Personas y de la Violencia Sexual. </w:t>
      </w:r>
      <w:r w:rsidR="00535FF7">
        <w:br/>
      </w:r>
      <w:r w:rsidRPr="00B92948">
        <w:t xml:space="preserve">Se ha preparado el Programa de Asistencia y Apoyo al Proceso de Reintegración </w:t>
      </w:r>
      <w:r w:rsidR="00535FF7">
        <w:br/>
      </w:r>
      <w:r w:rsidRPr="00B92948">
        <w:t xml:space="preserve">de los Niños Víctimas de la Trata de Personas, que sirve de base </w:t>
      </w:r>
      <w:r w:rsidR="00535FF7">
        <w:br/>
      </w:r>
      <w:r w:rsidRPr="00B92948">
        <w:t xml:space="preserve">para la formulación de planes personalizados para la reintegración individual </w:t>
      </w:r>
      <w:r w:rsidR="00535FF7">
        <w:br/>
      </w:r>
      <w:r w:rsidRPr="00B92948">
        <w:t>de las víctimas</w:t>
      </w:r>
      <w:bookmarkStart w:id="95" w:name="_Toc56781492"/>
      <w:bookmarkEnd w:id="95"/>
    </w:p>
    <w:p w14:paraId="44D48023" w14:textId="77777777" w:rsidR="00B92948" w:rsidRPr="00B92948" w:rsidRDefault="00B92948" w:rsidP="00B92948">
      <w:pPr>
        <w:pStyle w:val="SingleTxtG"/>
        <w:rPr>
          <w:lang w:val="en-GB"/>
        </w:rPr>
      </w:pPr>
      <w:r w:rsidRPr="00B92948">
        <w:t>262.</w:t>
      </w:r>
      <w:r w:rsidRPr="00B92948">
        <w:tab/>
        <w:t>De conformidad con la recomendación 20, todos los años el Ministerio de Trabajo y Política Social asigna fondos para los gastos generales del Centro para las Víctimas de la Trata de Personas y de la Violencia Sexual, en tanto que las organizaciones civiles con las que el Ministerio ha firmado un memorando de cooperación prestan los servicios propiamente dichos.</w:t>
      </w:r>
    </w:p>
    <w:p w14:paraId="274486CC" w14:textId="77777777" w:rsidR="00B92948" w:rsidRPr="00B92948" w:rsidRDefault="00B92948" w:rsidP="00B92948">
      <w:pPr>
        <w:pStyle w:val="SingleTxtG"/>
        <w:rPr>
          <w:lang w:val="en-GB"/>
        </w:rPr>
      </w:pPr>
      <w:r w:rsidRPr="00B92948">
        <w:t>263.</w:t>
      </w:r>
      <w:r w:rsidRPr="00B92948">
        <w:tab/>
        <w:t>Con arreglo a la recomendación 21, se están ejecutando programas de asistencia y apoyo para la reintegración de los niños víctimas de la trata, mediante la preparación de un plan de reintegración individual teniendo en cuenta el interés superior del niño, así como la edad y las necesidades de este y las consecuencias psicofísicas y sociales específicas.</w:t>
      </w:r>
    </w:p>
    <w:p w14:paraId="0AF40FE9" w14:textId="77777777" w:rsidR="00B92948" w:rsidRPr="00B92948" w:rsidRDefault="00B92948" w:rsidP="00B92948">
      <w:pPr>
        <w:pStyle w:val="SingleTxtG"/>
        <w:rPr>
          <w:lang w:val="en-GB"/>
        </w:rPr>
      </w:pPr>
      <w:r w:rsidRPr="00B92948">
        <w:t>264.</w:t>
      </w:r>
      <w:r w:rsidRPr="00B92948">
        <w:tab/>
        <w:t xml:space="preserve">En virtud de la recomendación 22, el Ministerio de Trabajo y Política Social firmó un memorando de cooperación y dio su consentimiento para la ejecución del Programa de Asistencia y Apoyo al Proceso de Reintegración de los Niños Víctimas de la Trata de Personas y de la Violencia Sexual en el Centro para las Víctimas de la Trata de Personas y de la Violencia Sexual de la organización civil Open Gate/La </w:t>
      </w:r>
      <w:proofErr w:type="spellStart"/>
      <w:r w:rsidRPr="00B92948">
        <w:t>Strada</w:t>
      </w:r>
      <w:proofErr w:type="spellEnd"/>
      <w:r w:rsidRPr="00B92948">
        <w:t>.</w:t>
      </w:r>
    </w:p>
    <w:p w14:paraId="50132247" w14:textId="77777777" w:rsidR="00B92948" w:rsidRPr="00B92948" w:rsidRDefault="00B92948" w:rsidP="00B92948">
      <w:pPr>
        <w:pStyle w:val="SingleTxtG"/>
        <w:rPr>
          <w:lang w:val="en-GB"/>
        </w:rPr>
      </w:pPr>
      <w:r w:rsidRPr="00B92948">
        <w:t>265.</w:t>
      </w:r>
      <w:r w:rsidRPr="00B92948">
        <w:tab/>
        <w:t>En lo que respecta a la recomendación 23, la lista de trabajadores sociales designados en el Mecanismo Nacional de Remisión se renovó en 2017 y se realizó un análisis de las necesidades de capacitación adicional. Se determinó que los trabajadores sociales necesitaban capacitación para la detección, así como sobre métodos y técnicas para entrevistar a los niños víctimas de la trata.</w:t>
      </w:r>
    </w:p>
    <w:p w14:paraId="0916E652" w14:textId="77777777" w:rsidR="00B92948" w:rsidRPr="00B92948" w:rsidRDefault="00B92948" w:rsidP="00B92948">
      <w:pPr>
        <w:pStyle w:val="SingleTxtG"/>
        <w:rPr>
          <w:lang w:val="en-GB"/>
        </w:rPr>
      </w:pPr>
      <w:r w:rsidRPr="00B92948">
        <w:t>266.</w:t>
      </w:r>
      <w:r w:rsidRPr="00B92948">
        <w:tab/>
        <w:t xml:space="preserve">De conformidad con la recomendación 24, los niños son la población </w:t>
      </w:r>
      <w:proofErr w:type="gramStart"/>
      <w:r w:rsidRPr="00B92948">
        <w:t>más vulnerable y más susceptible</w:t>
      </w:r>
      <w:proofErr w:type="gramEnd"/>
      <w:r w:rsidRPr="00B92948">
        <w:t xml:space="preserve"> a diferentes tipos de abuso, de los cuales la venta de niños es el más grave. </w:t>
      </w:r>
      <w:r w:rsidRPr="00B92948">
        <w:lastRenderedPageBreak/>
        <w:t>El grupo con mayor número de víctimas identificadas es el de las niñas de 11 a 17 años, en su mayoría macedonias, albanesas y romaníes, tanto del país como de la región. Las víctimas carecen de medios de subsistencia y tienen un bajo nivel de educación,</w:t>
      </w:r>
      <w:r w:rsidR="00950538">
        <w:t xml:space="preserve"> </w:t>
      </w:r>
      <w:r w:rsidRPr="00B92948">
        <w:t>primaria, secundaria o incompleta. En la mayoría de los casos, las niñas son víctimas de la cadena de la trata de personas y se les hace creer que contraerán matrimonio en el extranjero o que tendrán un empleo legítimo.</w:t>
      </w:r>
    </w:p>
    <w:p w14:paraId="4E8E9A2D" w14:textId="77777777" w:rsidR="00B92948" w:rsidRPr="00B92948" w:rsidRDefault="00B92948" w:rsidP="00B92948">
      <w:pPr>
        <w:pStyle w:val="SingleTxtG"/>
        <w:rPr>
          <w:lang w:val="en-GB"/>
        </w:rPr>
      </w:pPr>
      <w:r w:rsidRPr="00B92948">
        <w:t>267.</w:t>
      </w:r>
      <w:r w:rsidRPr="00B92948">
        <w:tab/>
        <w:t>Las razones más comunes de la venta de niños son la pobreza en la familia, la disfuncionalidad de la familia, todo tipo de violencia contra los niños (como violencia doméstica), la orfandad o la falta del cuidado parental, problemas educativos derivados de las instituciones, la inseguridad respecto del futuro y el firme deseo de una vida mejor, la exclusión del proceso educativo, la situación de calle (la mendicidad o la prestación de diversos servicios en la calle) y la desinformación sobre el problema de la venta de niños, la trata y su prevalencia.</w:t>
      </w:r>
    </w:p>
    <w:p w14:paraId="4FBD87A3" w14:textId="77777777" w:rsidR="00B92948" w:rsidRPr="00B92948" w:rsidRDefault="00B92948" w:rsidP="00B92948">
      <w:pPr>
        <w:pStyle w:val="SingleTxtG"/>
        <w:rPr>
          <w:lang w:val="en-GB"/>
        </w:rPr>
      </w:pPr>
      <w:r w:rsidRPr="00B92948">
        <w:t>268.</w:t>
      </w:r>
      <w:r w:rsidRPr="00B92948">
        <w:tab/>
        <w:t>El Ministerio de Trabajo y Política Social, con la cooperación del Subgrupo de Lucha contra la Venta de Niños, ha preparado un análisis sobre el estado de la identificación y protección de los niños víctimas de la trata. Este análisis tiene por objeto determinar la aplicación práctica de la reglamentación nacional y establecer las posibles deficiencias.</w:t>
      </w:r>
    </w:p>
    <w:p w14:paraId="35096982" w14:textId="77777777" w:rsidR="00B92948" w:rsidRPr="00B92948" w:rsidRDefault="00B92948" w:rsidP="00B92948">
      <w:pPr>
        <w:pStyle w:val="SingleTxtG"/>
        <w:rPr>
          <w:lang w:val="en-GB"/>
        </w:rPr>
      </w:pPr>
      <w:r w:rsidRPr="00B92948">
        <w:t>269.</w:t>
      </w:r>
      <w:r w:rsidRPr="00B92948">
        <w:tab/>
        <w:t xml:space="preserve">El análisis contempla la aplicación del Plan de Acción Nacional de Lucha contra la Esclavitud Infantil 2013-2016 y la ejecución del Programa Operativo para 2014 del Subgrupo de Lucha contra la Venta de Niños. Además de centrarse en la legislación, las políticas y el sistema institucional nacionales y los acuerdos internacionales ratificados, el análisis tiene especialmente en cuenta el Convenio del Consejo de Europa sobre la Lucha contra la Trata de Seres Humanos y la Directiva 2011/36/UE del Parlamento Europeo y del Consejo, relativa a la prevención y lucha contra la trata de seres humanos, haciendo fuerte hincapié en la situación práctica sobre el terreno. </w:t>
      </w:r>
    </w:p>
    <w:p w14:paraId="45216C47" w14:textId="77777777" w:rsidR="00B92948" w:rsidRPr="00B92948" w:rsidRDefault="00B92948" w:rsidP="00B92948">
      <w:pPr>
        <w:pStyle w:val="SingleTxtG"/>
        <w:rPr>
          <w:lang w:val="en-GB"/>
        </w:rPr>
      </w:pPr>
      <w:r w:rsidRPr="00B92948">
        <w:t>270.</w:t>
      </w:r>
      <w:r w:rsidRPr="00B92948">
        <w:tab/>
        <w:t>En consonancia con la recomendación 27, sobre la necesidad de impedir que los niños en peligro sean víctimas de los delitos previstos en el Protocolo, y teniendo presente el aumento de los movimientos de migrantes y refugiados en 2015, que incrementaron los riesgos de un posible aumento de la trata de personas como resultado de la vulnerabilidad de los migrantes en tránsito por el país, el Gobierno aprobó varios documentos importantes, a saber:</w:t>
      </w:r>
    </w:p>
    <w:p w14:paraId="2E43C7A5" w14:textId="77777777" w:rsidR="00B92948" w:rsidRPr="00B92948" w:rsidRDefault="00B92948" w:rsidP="0095553A">
      <w:pPr>
        <w:pStyle w:val="Bullet1G"/>
        <w:rPr>
          <w:lang w:val="en-GB"/>
        </w:rPr>
      </w:pPr>
      <w:r w:rsidRPr="00B92948">
        <w:tab/>
        <w:t>Procedimientos operativos estándar para el trato de niños extranjeros no acompañados, que reúnen un conjunto de métodos, procedimientos y formas de actuar que las instituciones pertinentes pueden utilizar con un niño extranjero no identificado y no acompañado</w:t>
      </w:r>
      <w:r w:rsidR="00535FF7">
        <w:t>.</w:t>
      </w:r>
    </w:p>
    <w:p w14:paraId="794ED556" w14:textId="77777777" w:rsidR="00B92948" w:rsidRPr="00B92948" w:rsidRDefault="00B92948" w:rsidP="0095553A">
      <w:pPr>
        <w:pStyle w:val="Bullet1G"/>
        <w:rPr>
          <w:lang w:val="en-GB"/>
        </w:rPr>
      </w:pPr>
      <w:r w:rsidRPr="00B92948">
        <w:tab/>
        <w:t>Procedimientos operativos estándar para el trato de las categorías de extranjeros vulnerables, que promueven un enfoque que tiene en cuenta las cuestiones de género orientado a la vulnerabilidad de estas personas, y que facilitan la promoción de sus derechos humanos básicos</w:t>
      </w:r>
      <w:r w:rsidR="00535FF7">
        <w:t>.</w:t>
      </w:r>
    </w:p>
    <w:p w14:paraId="605B409F" w14:textId="77777777" w:rsidR="00B92948" w:rsidRPr="00B92948" w:rsidRDefault="00B92948" w:rsidP="0095553A">
      <w:pPr>
        <w:pStyle w:val="Bullet1G"/>
        <w:rPr>
          <w:lang w:val="en-GB"/>
        </w:rPr>
      </w:pPr>
      <w:r w:rsidRPr="00B92948">
        <w:tab/>
        <w:t>La Comisión Nacional de Lucha contra la Trata de Personas y la Migración Ilegal, en cooperación con expertos de la Organización Internacional para las Migraciones (</w:t>
      </w:r>
      <w:proofErr w:type="spellStart"/>
      <w:r w:rsidRPr="00B92948">
        <w:t>OIM</w:t>
      </w:r>
      <w:proofErr w:type="spellEnd"/>
      <w:r w:rsidRPr="00B92948">
        <w:t>), preparó unos indicadores para la detección de víctimas de la trata de personas en el caso de las corrientes migratorias mixtas.</w:t>
      </w:r>
    </w:p>
    <w:p w14:paraId="27CB01AF" w14:textId="77777777" w:rsidR="00B92948" w:rsidRPr="00B92948" w:rsidRDefault="00B92948" w:rsidP="00B92948">
      <w:pPr>
        <w:pStyle w:val="SingleTxtG"/>
        <w:rPr>
          <w:lang w:val="en-GB"/>
        </w:rPr>
      </w:pPr>
      <w:r w:rsidRPr="00B92948">
        <w:t>271.</w:t>
      </w:r>
      <w:r w:rsidRPr="00B92948">
        <w:tab/>
        <w:t xml:space="preserve">Se otorga a los niños refugiados y a los niños bajo protección subsidiaria (se registraron casos de niños no acompañados a los que se concedió protección internacional) acceso a la educación y a la atención sanitaria en las mismas condiciones que a los nacionales macedonios. En 2012 se modificó la Ley del Seguro Médico para garantizar que todas las personas bajo protección internacional gocen de la misma igualdad de acceso al seguro médico que los macedonios. Además, las familias de refugiados que han iniciado voluntariamente el proceso de integración local reciben orientación y asistencia concreta en su vida cotidiana brindada por el Centro de Integración de Refugiados y Extranjeros, incluido el compromiso de cursar la enseñanza primaria y secundaria obligatoria. </w:t>
      </w:r>
    </w:p>
    <w:p w14:paraId="320C5BF6" w14:textId="77777777" w:rsidR="00B92948" w:rsidRPr="00B92948" w:rsidRDefault="00B92948" w:rsidP="00B92948">
      <w:pPr>
        <w:pStyle w:val="SingleTxtG"/>
        <w:rPr>
          <w:lang w:val="en-GB"/>
        </w:rPr>
      </w:pPr>
      <w:r w:rsidRPr="00B92948">
        <w:t>272.</w:t>
      </w:r>
      <w:r w:rsidRPr="00B92948">
        <w:tab/>
        <w:t>En lo que respecta a la integración de los romaníes, véase la sección 9 sobre medidas especiales de protección, subsección b).</w:t>
      </w:r>
    </w:p>
    <w:p w14:paraId="1F30A77D" w14:textId="77777777" w:rsidR="00B92948" w:rsidRPr="00B92948" w:rsidRDefault="00B92948" w:rsidP="00B92948">
      <w:pPr>
        <w:pStyle w:val="SingleTxtG"/>
        <w:rPr>
          <w:lang w:val="en-GB"/>
        </w:rPr>
      </w:pPr>
      <w:r w:rsidRPr="00B92948">
        <w:t>273.</w:t>
      </w:r>
      <w:r w:rsidRPr="00B92948">
        <w:tab/>
        <w:t xml:space="preserve">En cuanto a la recomendación 33, sobre la prioridad de prestar asistencia adecuada que tenga en cuenta las cuestiones de género, y en consonancia con la Ley de Igualdad de Oportunidades para Mujeres y Hombres, destinada a incorporar las cuestiones de género en todos los niveles, la capacitación que imparte el Ministerio de Trabajo y Política Social prevé el seguimiento de la situación en materia de género y vela por que los servicios que se prestan se ajusten a las necesidades específicas tanto de las niñas como de los niños. </w:t>
      </w:r>
    </w:p>
    <w:p w14:paraId="289625F3" w14:textId="77777777" w:rsidR="00B92948" w:rsidRPr="00B92948" w:rsidRDefault="00B92948" w:rsidP="00B92948">
      <w:pPr>
        <w:pStyle w:val="SingleTxtG"/>
        <w:rPr>
          <w:lang w:val="en-GB"/>
        </w:rPr>
      </w:pPr>
      <w:r w:rsidRPr="00B92948">
        <w:t>274.</w:t>
      </w:r>
      <w:r w:rsidRPr="00B92948">
        <w:tab/>
        <w:t xml:space="preserve">En este contexto, en 2016 se celebró en </w:t>
      </w:r>
      <w:proofErr w:type="spellStart"/>
      <w:r w:rsidRPr="00B92948">
        <w:t>Struga</w:t>
      </w:r>
      <w:proofErr w:type="spellEnd"/>
      <w:r w:rsidRPr="00B92948">
        <w:t xml:space="preserve"> una capacitación de dos días sobre las dimensiones de género de la trata de personas. Fue organizada por la </w:t>
      </w:r>
      <w:proofErr w:type="spellStart"/>
      <w:r w:rsidRPr="00B92948">
        <w:t>Macedonian</w:t>
      </w:r>
      <w:proofErr w:type="spellEnd"/>
      <w:r w:rsidRPr="00B92948">
        <w:t xml:space="preserve"> Young </w:t>
      </w:r>
      <w:proofErr w:type="spellStart"/>
      <w:r w:rsidRPr="00B92948">
        <w:t>Lawyers</w:t>
      </w:r>
      <w:proofErr w:type="spellEnd"/>
      <w:r w:rsidRPr="00B92948">
        <w:t xml:space="preserve"> </w:t>
      </w:r>
      <w:proofErr w:type="spellStart"/>
      <w:r w:rsidRPr="00B92948">
        <w:t>Association</w:t>
      </w:r>
      <w:proofErr w:type="spellEnd"/>
      <w:r w:rsidRPr="00B92948">
        <w:t xml:space="preserve"> y ONU-Mujeres, y estuvo dirigida a agentes de policía, trabajadores sociales y organizaciones civiles. Asimismo, las cuestiones de género en relación con la trata de personas se incluyeron en la capacitación organizada por la Comisión Nacional de Lucha contra la Trata de Personas y la Migración Ilegal, con el apoyo de la </w:t>
      </w:r>
      <w:proofErr w:type="spellStart"/>
      <w:r w:rsidRPr="00B92948">
        <w:t>OIM</w:t>
      </w:r>
      <w:proofErr w:type="spellEnd"/>
      <w:r w:rsidRPr="00B92948">
        <w:t xml:space="preserve"> (17 y 18 de octubre de 2016), destinada a la aplicación de los procedimientos operativos estándar para la detección de niños no acompañados, niños extranjeros y otras categorías de extranjeros vulnerables. </w:t>
      </w:r>
    </w:p>
    <w:p w14:paraId="233AB651" w14:textId="77777777" w:rsidR="00B92948" w:rsidRPr="00B92948" w:rsidRDefault="00B92948" w:rsidP="00B92948">
      <w:pPr>
        <w:pStyle w:val="SingleTxtG"/>
        <w:rPr>
          <w:lang w:val="en-GB"/>
        </w:rPr>
      </w:pPr>
      <w:r w:rsidRPr="00B92948">
        <w:t>275.</w:t>
      </w:r>
      <w:r w:rsidRPr="00B92948">
        <w:tab/>
        <w:t xml:space="preserve">De conformidad con la recomendación 37, relativa a la cooperación con las ONG y la prestación de apoyo a sus actividades destinadas a asegurar el acceso a servicios adecuados para los niños víctimas de las prácticas descritas en el Protocolo, todos los años el Ministerio de Trabajo y Política Social asigna fondos para los gastos generales del Centro para las Víctimas de la Trata de Personas y de la Violencia Sexual, en tanto que las organizaciones civiles con las que el Ministerio ha firmado un memorando de cooperación prestan los servicios propiamente dichos (para más detalles véase la respuesta a la recomendación 22). </w:t>
      </w:r>
    </w:p>
    <w:p w14:paraId="1E710F81" w14:textId="77777777" w:rsidR="00B92948" w:rsidRPr="00B92948" w:rsidRDefault="00B92948" w:rsidP="00B92948">
      <w:pPr>
        <w:pStyle w:val="SingleTxtG"/>
        <w:rPr>
          <w:lang w:val="en-GB"/>
        </w:rPr>
      </w:pPr>
      <w:r w:rsidRPr="00B92948">
        <w:t>276.</w:t>
      </w:r>
      <w:r w:rsidRPr="00B92948">
        <w:tab/>
        <w:t>En el Centro para las Víctimas de la Trata de Personas y de la Violencia Sexual hay una habitación separada para el alojamiento de niños, mientras que las demás habitaciones se comparten con los adultos.</w:t>
      </w:r>
    </w:p>
    <w:p w14:paraId="726C85AD" w14:textId="77777777" w:rsidR="00B92948" w:rsidRPr="00B92948" w:rsidRDefault="00B92948" w:rsidP="00B92948">
      <w:pPr>
        <w:pStyle w:val="SingleTxtG"/>
        <w:rPr>
          <w:lang w:val="en-GB"/>
        </w:rPr>
      </w:pPr>
      <w:r w:rsidRPr="00B92948">
        <w:t>277.</w:t>
      </w:r>
      <w:r w:rsidRPr="00B92948">
        <w:tab/>
        <w:t>Cada uno de los 30 Centros de Trabajo Social tiene dos asistentes sociales capacitados, algunos de los cuales son nombrados por el Mecanismo Nacional de Remisión para las Víctimas de la Trata de Personas. Estos asistentes sociales se ocupan de promover y apoyar la reintegración de los niños víctimas de la trata.</w:t>
      </w:r>
    </w:p>
    <w:p w14:paraId="4851386E" w14:textId="77777777" w:rsidR="00B92948" w:rsidRPr="00B92948" w:rsidRDefault="00B92948" w:rsidP="00B92948">
      <w:pPr>
        <w:pStyle w:val="SingleTxtG"/>
        <w:rPr>
          <w:lang w:val="en-GB"/>
        </w:rPr>
      </w:pPr>
      <w:r w:rsidRPr="00B92948">
        <w:t>278.</w:t>
      </w:r>
      <w:r w:rsidRPr="00B92948">
        <w:tab/>
        <w:t xml:space="preserve">En 2018 se redactaron documentos internos y se introdujeron enmiendas al reglamento de normas y estándares para los locales, el equipo, el personal especializado y los recursos necesarios para el establecimiento y el inicio de las operaciones de las instituciones de asistencia social. </w:t>
      </w:r>
    </w:p>
    <w:p w14:paraId="6EEEB417" w14:textId="77777777" w:rsidR="00B92948" w:rsidRPr="00B92948" w:rsidRDefault="00B92948" w:rsidP="0095553A">
      <w:pPr>
        <w:pStyle w:val="H1G"/>
        <w:rPr>
          <w:lang w:val="en-GB"/>
        </w:rPr>
      </w:pPr>
      <w:r w:rsidRPr="00B92948">
        <w:tab/>
        <w:t>11.</w:t>
      </w:r>
      <w:r w:rsidRPr="00B92948">
        <w:tab/>
        <w:t xml:space="preserve">Actividades para la aplicación del Protocolo Facultativo </w:t>
      </w:r>
      <w:r w:rsidR="0095553A">
        <w:br/>
      </w:r>
      <w:r w:rsidRPr="00B92948">
        <w:t xml:space="preserve">de la Convención sobre los Derechos del Niño relativo </w:t>
      </w:r>
      <w:r w:rsidR="0095553A">
        <w:br/>
      </w:r>
      <w:r w:rsidRPr="00B92948">
        <w:t>a la participación de niños en los conflictos armados</w:t>
      </w:r>
      <w:bookmarkStart w:id="96" w:name="_Toc56781493"/>
      <w:bookmarkEnd w:id="96"/>
    </w:p>
    <w:p w14:paraId="567FD848" w14:textId="77777777" w:rsidR="00B92948" w:rsidRPr="00B92948" w:rsidRDefault="00B92948" w:rsidP="00B92948">
      <w:pPr>
        <w:pStyle w:val="SingleTxtG"/>
        <w:rPr>
          <w:lang w:val="en-GB"/>
        </w:rPr>
      </w:pPr>
      <w:r w:rsidRPr="00B92948">
        <w:t>279.</w:t>
      </w:r>
      <w:r w:rsidRPr="00B92948">
        <w:tab/>
        <w:t xml:space="preserve">Las recomendaciones para la aplicación del Protocolo Facultativo de la Convención sobre los Derechos del Niño relativo a la participación de niños en los conflictos armados se han integrado en el Código Penal mediante modificaciones, a saber: el artículo 404 sobre crímenes de guerra contra la población civil tipifica como delito el </w:t>
      </w:r>
      <w:r w:rsidR="00147E0E">
        <w:t>“</w:t>
      </w:r>
      <w:r w:rsidRPr="00B92948">
        <w:t>reclutamiento de personas menores de 18 años de edad en fuerzas armadas que no sean las fuerzas armadas del Estado y su utilización mediante la participación activa en acciones armadas contrarias a las condiciones establecidas por el derecho internacional</w:t>
      </w:r>
      <w:r w:rsidR="00147E0E">
        <w:t>”</w:t>
      </w:r>
      <w:r w:rsidRPr="00B92948">
        <w:t>.</w:t>
      </w:r>
    </w:p>
    <w:p w14:paraId="01991ACD" w14:textId="77777777" w:rsidR="00B92948" w:rsidRPr="00B92948" w:rsidRDefault="00B92948" w:rsidP="00B92948">
      <w:pPr>
        <w:pStyle w:val="SingleTxtG"/>
        <w:rPr>
          <w:lang w:val="en-GB"/>
        </w:rPr>
      </w:pPr>
      <w:r w:rsidRPr="00B92948">
        <w:t>280.</w:t>
      </w:r>
      <w:r w:rsidRPr="00B92948">
        <w:tab/>
        <w:t xml:space="preserve">Con respecto a la recomendación 14 de las observaciones finales del Comité (relativa al informe presentado en virtud del artículo 8 del Protocolo Facultativo de la Convención sobre los Derechos del Niño relativo a la participación de niños en los conflictos armados), sobre un mecanismo de seguimiento de los niños no acompañados o separados de sus progenitores una vez que salen de los centros de acogida, los niños a los que se ha reconocido el derecho a la protección internacional reciben la ayuda del Centro de Integración de Refugiados y Extranjeros, establecido en 2009, cuya tarea es elaborar planes de integración personalizados y hacer un seguimiento de la puesta en práctica de las actividades previstas en esos planes de integración. </w:t>
      </w:r>
    </w:p>
    <w:p w14:paraId="69A5D960" w14:textId="77777777" w:rsidR="00B92948" w:rsidRPr="00B92948" w:rsidRDefault="00B92948" w:rsidP="00B92948">
      <w:pPr>
        <w:pStyle w:val="SingleTxtG"/>
        <w:rPr>
          <w:lang w:val="en-GB"/>
        </w:rPr>
      </w:pPr>
      <w:r w:rsidRPr="00B92948">
        <w:t>281.</w:t>
      </w:r>
      <w:r w:rsidRPr="00B92948">
        <w:tab/>
        <w:t>Se ha encomendado al Ministerio del Interior la tarea de elaborar mecanismos específicos para detectar a los niños que han participado en conflictos armados y organizar la capacitación pertinente del personal que trabajará con esta categoría de niños (para más detalles, véase la sección 9 sobre medidas especiales de protección, subsección a).</w:t>
      </w:r>
    </w:p>
    <w:p w14:paraId="1A912CD8" w14:textId="77777777" w:rsidR="00B92948" w:rsidRPr="00B92948" w:rsidRDefault="00B92948" w:rsidP="00B92948">
      <w:pPr>
        <w:pStyle w:val="SingleTxtG"/>
        <w:rPr>
          <w:lang w:val="en-GB"/>
        </w:rPr>
      </w:pPr>
      <w:r w:rsidRPr="00B92948">
        <w:t>282.</w:t>
      </w:r>
      <w:r w:rsidRPr="00B92948">
        <w:tab/>
        <w:t xml:space="preserve">En el contexto de la recomendación 19 de las mismas observaciones finales, con arreglo a la Ley de Armas solo pueden comerciarse armas de fuego y municiones, y sus partes, que hayan sido examinadas y marcadas de conformidad con las normas que rigen el examen y la marcación de armas de fuego y municiones. </w:t>
      </w:r>
    </w:p>
    <w:p w14:paraId="4E7207CD" w14:textId="77777777" w:rsidR="00B92948" w:rsidRPr="00B92948" w:rsidRDefault="00B92948" w:rsidP="00B92948">
      <w:pPr>
        <w:pStyle w:val="SingleTxtG"/>
        <w:rPr>
          <w:lang w:val="en-GB"/>
        </w:rPr>
      </w:pPr>
      <w:r w:rsidRPr="00B92948">
        <w:t>283.</w:t>
      </w:r>
      <w:r w:rsidRPr="00B92948">
        <w:tab/>
        <w:t xml:space="preserve">Únicamente las empresas que tienen una sede registrada en el territorio del país y a las que se ha expedido un permiso para ejercer esa actividad económica pueden comerciar con armas de fuego y municiones, y sus partes. </w:t>
      </w:r>
    </w:p>
    <w:p w14:paraId="07A21932" w14:textId="77777777" w:rsidR="00B92948" w:rsidRDefault="00B92948" w:rsidP="00B92948">
      <w:pPr>
        <w:pStyle w:val="SingleTxtG"/>
      </w:pPr>
      <w:r w:rsidRPr="009B187A">
        <w:t>284.</w:t>
      </w:r>
      <w:r w:rsidRPr="009B187A">
        <w:tab/>
        <w:t>De conformidad con el artículo 396 del Código Penal (sobre fabricación, posesión, intermediación y comercio no autorizados de armas o explosivos), quien sin autorización fabrique, posea, adquiera, comercie en calidad de intermediario o intercambie armas de fuego, municiones o explosivos, será pasible de una pena de prisión de 3 a 10 años.</w:t>
      </w:r>
    </w:p>
    <w:p w14:paraId="70AD3ED8" w14:textId="77777777" w:rsidR="00B92948" w:rsidRPr="00B92948" w:rsidRDefault="00B92948" w:rsidP="00B92948">
      <w:pPr>
        <w:pStyle w:val="SingleTxtG"/>
        <w:suppressAutoHyphens/>
        <w:spacing w:before="240" w:after="0"/>
        <w:jc w:val="center"/>
        <w:rPr>
          <w:u w:val="single"/>
        </w:rPr>
      </w:pPr>
      <w:r>
        <w:rPr>
          <w:u w:val="single"/>
        </w:rPr>
        <w:tab/>
      </w:r>
      <w:r>
        <w:rPr>
          <w:u w:val="single"/>
        </w:rPr>
        <w:tab/>
      </w:r>
      <w:r>
        <w:rPr>
          <w:u w:val="single"/>
        </w:rPr>
        <w:tab/>
      </w:r>
    </w:p>
    <w:sectPr w:rsidR="00B92948" w:rsidRPr="00B92948" w:rsidSect="00B92948">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BF6D46" w14:textId="77777777" w:rsidR="00031E39" w:rsidRPr="007C2DEF" w:rsidRDefault="00031E39" w:rsidP="007C2DEF">
      <w:pPr>
        <w:pStyle w:val="Piedepgina"/>
      </w:pPr>
    </w:p>
  </w:endnote>
  <w:endnote w:type="continuationSeparator" w:id="0">
    <w:p w14:paraId="7DEE7F04" w14:textId="77777777" w:rsidR="00031E39" w:rsidRPr="007C2DEF" w:rsidRDefault="00031E39" w:rsidP="007C2DEF">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tobiSerifRegular">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251431" w14:textId="77777777" w:rsidR="00031E39" w:rsidRPr="00B92948" w:rsidRDefault="00031E39" w:rsidP="00B92948">
    <w:pPr>
      <w:pStyle w:val="Piedepgina"/>
      <w:tabs>
        <w:tab w:val="right" w:pos="9638"/>
      </w:tabs>
    </w:pPr>
    <w:r w:rsidRPr="00B92948">
      <w:rPr>
        <w:b/>
        <w:sz w:val="18"/>
      </w:rPr>
      <w:fldChar w:fldCharType="begin"/>
    </w:r>
    <w:r w:rsidRPr="00B92948">
      <w:rPr>
        <w:b/>
        <w:sz w:val="18"/>
      </w:rPr>
      <w:instrText xml:space="preserve"> PAGE  \* MERGEFORMAT </w:instrText>
    </w:r>
    <w:r w:rsidRPr="00B92948">
      <w:rPr>
        <w:b/>
        <w:sz w:val="18"/>
      </w:rPr>
      <w:fldChar w:fldCharType="separate"/>
    </w:r>
    <w:r w:rsidRPr="00B92948">
      <w:rPr>
        <w:b/>
        <w:noProof/>
        <w:sz w:val="18"/>
      </w:rPr>
      <w:t>2</w:t>
    </w:r>
    <w:r w:rsidRPr="00B92948">
      <w:rPr>
        <w:b/>
        <w:sz w:val="18"/>
      </w:rPr>
      <w:fldChar w:fldCharType="end"/>
    </w:r>
    <w:r>
      <w:rPr>
        <w:b/>
        <w:sz w:val="18"/>
      </w:rPr>
      <w:tab/>
    </w:r>
    <w:proofErr w:type="spellStart"/>
    <w:r>
      <w:t>GE.20</w:t>
    </w:r>
    <w:proofErr w:type="spellEnd"/>
    <w:r>
      <w:t>-15762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F6F1CD" w14:textId="77777777" w:rsidR="00031E39" w:rsidRPr="00B92948" w:rsidRDefault="00031E39" w:rsidP="00B92948">
    <w:pPr>
      <w:pStyle w:val="Piedepgina"/>
      <w:tabs>
        <w:tab w:val="right" w:pos="9638"/>
      </w:tabs>
      <w:rPr>
        <w:b/>
        <w:sz w:val="18"/>
      </w:rPr>
    </w:pPr>
    <w:proofErr w:type="spellStart"/>
    <w:r>
      <w:t>GE.20</w:t>
    </w:r>
    <w:proofErr w:type="spellEnd"/>
    <w:r>
      <w:t>-15762</w:t>
    </w:r>
    <w:r>
      <w:tab/>
    </w:r>
    <w:r w:rsidRPr="00B92948">
      <w:rPr>
        <w:b/>
        <w:sz w:val="18"/>
      </w:rPr>
      <w:fldChar w:fldCharType="begin"/>
    </w:r>
    <w:r w:rsidRPr="00B92948">
      <w:rPr>
        <w:b/>
        <w:sz w:val="18"/>
      </w:rPr>
      <w:instrText xml:space="preserve"> PAGE  \* MERGEFORMAT </w:instrText>
    </w:r>
    <w:r w:rsidRPr="00B92948">
      <w:rPr>
        <w:b/>
        <w:sz w:val="18"/>
      </w:rPr>
      <w:fldChar w:fldCharType="separate"/>
    </w:r>
    <w:r w:rsidRPr="00B92948">
      <w:rPr>
        <w:b/>
        <w:noProof/>
        <w:sz w:val="18"/>
      </w:rPr>
      <w:t>3</w:t>
    </w:r>
    <w:r w:rsidRPr="00B9294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03C35" w14:textId="77777777" w:rsidR="00031E39" w:rsidRPr="00B92948" w:rsidRDefault="00031E39" w:rsidP="00B92948">
    <w:pPr>
      <w:pStyle w:val="Piedepgina"/>
      <w:spacing w:before="120" w:line="240" w:lineRule="auto"/>
      <w:rPr>
        <w:sz w:val="20"/>
      </w:rPr>
    </w:pPr>
    <w:proofErr w:type="spellStart"/>
    <w:r>
      <w:rPr>
        <w:sz w:val="20"/>
      </w:rPr>
      <w:t>GE.</w:t>
    </w:r>
    <w:r>
      <w:rPr>
        <w:noProof/>
      </w:rPr>
      <w:drawing>
        <wp:anchor distT="0" distB="0" distL="114300" distR="114300" simplePos="0" relativeHeight="251657728" behindDoc="0" locked="1" layoutInCell="1" allowOverlap="1" wp14:anchorId="5E79EA1F" wp14:editId="061786CD">
          <wp:simplePos x="0" y="0"/>
          <wp:positionH relativeFrom="margin">
            <wp:posOffset>4319905</wp:posOffset>
          </wp:positionH>
          <wp:positionV relativeFrom="margin">
            <wp:posOffset>9144000</wp:posOffset>
          </wp:positionV>
          <wp:extent cx="1085850" cy="228600"/>
          <wp:effectExtent l="0" t="0" r="0" b="0"/>
          <wp:wrapNone/>
          <wp:docPr id="1" name="Imagen 1"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20</w:t>
    </w:r>
    <w:proofErr w:type="spellEnd"/>
    <w:r>
      <w:rPr>
        <w:sz w:val="20"/>
      </w:rPr>
      <w:t>-15762  (S)</w:t>
    </w:r>
    <w:r>
      <w:rPr>
        <w:noProof/>
        <w:sz w:val="20"/>
      </w:rPr>
      <w:drawing>
        <wp:anchor distT="0" distB="0" distL="114300" distR="114300" simplePos="0" relativeHeight="251658752" behindDoc="0" locked="0" layoutInCell="1" allowOverlap="1" wp14:anchorId="4F9B0A4A" wp14:editId="09E68BFB">
          <wp:simplePos x="0" y="0"/>
          <wp:positionH relativeFrom="margin">
            <wp:posOffset>5489575</wp:posOffset>
          </wp:positionH>
          <wp:positionV relativeFrom="margin">
            <wp:posOffset>8891905</wp:posOffset>
          </wp:positionV>
          <wp:extent cx="561975" cy="5619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120121    130121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2E2509" w14:textId="77777777" w:rsidR="00031E39" w:rsidRPr="001075E9" w:rsidRDefault="00031E39" w:rsidP="001075E9">
      <w:pPr>
        <w:tabs>
          <w:tab w:val="right" w:pos="2155"/>
        </w:tabs>
        <w:spacing w:after="80" w:line="240" w:lineRule="auto"/>
        <w:ind w:left="680"/>
        <w:rPr>
          <w:u w:val="single"/>
        </w:rPr>
      </w:pPr>
      <w:r>
        <w:rPr>
          <w:u w:val="single"/>
        </w:rPr>
        <w:tab/>
      </w:r>
    </w:p>
  </w:footnote>
  <w:footnote w:type="continuationSeparator" w:id="0">
    <w:p w14:paraId="60692E16" w14:textId="77777777" w:rsidR="00031E39" w:rsidRDefault="00031E39" w:rsidP="007C2DEF">
      <w:pPr>
        <w:tabs>
          <w:tab w:val="right" w:pos="2155"/>
        </w:tabs>
        <w:spacing w:after="80" w:line="240" w:lineRule="auto"/>
        <w:ind w:left="680"/>
        <w:rPr>
          <w:u w:val="single"/>
        </w:rPr>
      </w:pPr>
      <w:r>
        <w:rPr>
          <w:u w:val="single"/>
        </w:rPr>
        <w:tab/>
      </w:r>
    </w:p>
  </w:footnote>
  <w:footnote w:id="1">
    <w:p w14:paraId="6C94E084" w14:textId="77777777" w:rsidR="00031E39" w:rsidRPr="00B92948" w:rsidRDefault="00031E39" w:rsidP="00B92948">
      <w:pPr>
        <w:pStyle w:val="Textonotapie"/>
        <w:rPr>
          <w:sz w:val="20"/>
        </w:rPr>
      </w:pPr>
      <w:r>
        <w:tab/>
      </w:r>
      <w:r w:rsidRPr="00B92948">
        <w:rPr>
          <w:rStyle w:val="Refdenotaalpie"/>
          <w:sz w:val="20"/>
          <w:vertAlign w:val="baseline"/>
        </w:rPr>
        <w:t>*</w:t>
      </w:r>
      <w:r w:rsidRPr="00B92948">
        <w:rPr>
          <w:rStyle w:val="Refdenotaalpie"/>
          <w:vertAlign w:val="baseline"/>
        </w:rPr>
        <w:tab/>
      </w:r>
      <w:r w:rsidRPr="00B92948">
        <w:t>La versión original del presente documento no fue objeto de revisión editorial oficial.</w:t>
      </w:r>
    </w:p>
  </w:footnote>
  <w:footnote w:id="2">
    <w:p w14:paraId="26761AF8" w14:textId="77777777" w:rsidR="00031E39" w:rsidRPr="009B187A" w:rsidRDefault="00031E39" w:rsidP="00B92948">
      <w:pPr>
        <w:pStyle w:val="Textonotapie"/>
      </w:pPr>
      <w:r w:rsidRPr="009B187A">
        <w:tab/>
      </w:r>
      <w:r w:rsidRPr="00B92948">
        <w:rPr>
          <w:rStyle w:val="Refdenotaalpie"/>
        </w:rPr>
        <w:footnoteRef/>
      </w:r>
      <w:r w:rsidRPr="009B187A">
        <w:tab/>
      </w:r>
      <w:r w:rsidRPr="00CD4DE4">
        <w:rPr>
          <w:i/>
        </w:rPr>
        <w:t>Boletín Oficial</w:t>
      </w:r>
      <w:r w:rsidRPr="009B187A">
        <w:t xml:space="preserve"> núm. 148/2013.</w:t>
      </w:r>
    </w:p>
  </w:footnote>
  <w:footnote w:id="3">
    <w:p w14:paraId="1BF56F0B" w14:textId="77777777" w:rsidR="00031E39" w:rsidRPr="009B187A" w:rsidRDefault="00031E39" w:rsidP="00B92948">
      <w:pPr>
        <w:pStyle w:val="Textonotapie"/>
      </w:pPr>
      <w:r w:rsidRPr="009B187A">
        <w:rPr>
          <w:rFonts w:eastAsia="StobiSerifRegular"/>
        </w:rPr>
        <w:tab/>
      </w:r>
      <w:r w:rsidRPr="00B92948">
        <w:rPr>
          <w:rStyle w:val="Refdenotaalpie"/>
        </w:rPr>
        <w:footnoteRef/>
      </w:r>
      <w:r w:rsidRPr="009B187A">
        <w:tab/>
      </w:r>
      <w:r w:rsidRPr="00C7622E">
        <w:rPr>
          <w:i/>
        </w:rPr>
        <w:t>Boletines Oficiales</w:t>
      </w:r>
      <w:r w:rsidRPr="009B187A">
        <w:t xml:space="preserve"> </w:t>
      </w:r>
      <w:proofErr w:type="spellStart"/>
      <w:r w:rsidRPr="009B187A">
        <w:t>núms</w:t>
      </w:r>
      <w:proofErr w:type="spellEnd"/>
      <w:r w:rsidRPr="009B187A">
        <w:t>. 80/92, 9/96, 38/04, 33/06, 84/08, 67/10, 156/10, 39/12, 44/12, 38/14, 115/14, 104/15 y 150/15.</w:t>
      </w:r>
    </w:p>
  </w:footnote>
  <w:footnote w:id="4">
    <w:p w14:paraId="31B1AF65" w14:textId="77777777" w:rsidR="00031E39" w:rsidRPr="009B187A" w:rsidRDefault="00031E39" w:rsidP="00B92948">
      <w:pPr>
        <w:pStyle w:val="Textonotapie"/>
      </w:pPr>
      <w:r w:rsidRPr="009B187A">
        <w:tab/>
      </w:r>
      <w:r w:rsidRPr="00B92948">
        <w:rPr>
          <w:rStyle w:val="Refdenotaalpie"/>
        </w:rPr>
        <w:footnoteRef/>
      </w:r>
      <w:r w:rsidRPr="009B187A">
        <w:tab/>
      </w:r>
      <w:r w:rsidRPr="00CD4DE4">
        <w:rPr>
          <w:i/>
        </w:rPr>
        <w:t>Boletín Oficial</w:t>
      </w:r>
      <w:r w:rsidRPr="009B187A">
        <w:t xml:space="preserve"> núm. 148/13.</w:t>
      </w:r>
    </w:p>
  </w:footnote>
  <w:footnote w:id="5">
    <w:p w14:paraId="08A28A97" w14:textId="77777777" w:rsidR="00031E39" w:rsidRPr="009B187A" w:rsidRDefault="00031E39" w:rsidP="00B92948">
      <w:pPr>
        <w:pStyle w:val="Textonotapie"/>
      </w:pPr>
      <w:r w:rsidRPr="009B187A">
        <w:tab/>
      </w:r>
      <w:r w:rsidRPr="00B92948">
        <w:rPr>
          <w:rStyle w:val="Refdenotaalpie"/>
        </w:rPr>
        <w:footnoteRef/>
      </w:r>
      <w:r w:rsidRPr="009B187A">
        <w:tab/>
      </w:r>
      <w:r w:rsidRPr="00CD4DE4">
        <w:rPr>
          <w:i/>
        </w:rPr>
        <w:t>Boletín Oficial</w:t>
      </w:r>
      <w:r w:rsidRPr="009B187A">
        <w:t xml:space="preserve"> núm. 23/13.</w:t>
      </w:r>
    </w:p>
  </w:footnote>
  <w:footnote w:id="6">
    <w:p w14:paraId="5EAB6E9D" w14:textId="77777777" w:rsidR="00031E39" w:rsidRPr="009B187A" w:rsidRDefault="00031E39" w:rsidP="00B92948">
      <w:pPr>
        <w:pStyle w:val="Textonotapie"/>
      </w:pPr>
      <w:r w:rsidRPr="009B187A">
        <w:tab/>
      </w:r>
      <w:r w:rsidRPr="00B92948">
        <w:rPr>
          <w:rStyle w:val="Refdenotaalpie"/>
        </w:rPr>
        <w:footnoteRef/>
      </w:r>
      <w:r w:rsidRPr="009B187A">
        <w:tab/>
        <w:t>La Ley no está en vigor.</w:t>
      </w:r>
    </w:p>
  </w:footnote>
  <w:footnote w:id="7">
    <w:p w14:paraId="71BF59DE" w14:textId="77777777" w:rsidR="00031E39" w:rsidRPr="009B187A" w:rsidRDefault="00031E39" w:rsidP="00B92948">
      <w:pPr>
        <w:pStyle w:val="Textonotapie"/>
        <w:rPr>
          <w:rFonts w:eastAsia="StobiSerifRegular"/>
        </w:rPr>
      </w:pPr>
      <w:r w:rsidRPr="009B187A">
        <w:rPr>
          <w:bCs/>
        </w:rPr>
        <w:tab/>
      </w:r>
      <w:r w:rsidRPr="00B92948">
        <w:rPr>
          <w:rStyle w:val="Refdenotaalpie"/>
        </w:rPr>
        <w:footnoteRef/>
      </w:r>
      <w:r w:rsidRPr="009B187A">
        <w:tab/>
      </w:r>
      <w:r w:rsidRPr="00C7622E">
        <w:rPr>
          <w:i/>
        </w:rPr>
        <w:t>Boletines Oficiales</w:t>
      </w:r>
      <w:r w:rsidRPr="009B187A">
        <w:t xml:space="preserve"> </w:t>
      </w:r>
      <w:proofErr w:type="spellStart"/>
      <w:r w:rsidRPr="009B187A">
        <w:t>núms.52</w:t>
      </w:r>
      <w:proofErr w:type="spellEnd"/>
      <w:r w:rsidRPr="009B187A">
        <w:t>/1991, 1/1992, 31/1998, 91/2001, 84/2003 y 107/2005.</w:t>
      </w:r>
    </w:p>
  </w:footnote>
  <w:footnote w:id="8">
    <w:p w14:paraId="54E79BDF" w14:textId="77777777" w:rsidR="00031E39" w:rsidRPr="009B187A" w:rsidRDefault="00031E39" w:rsidP="00B92948">
      <w:pPr>
        <w:pStyle w:val="Textonotapie"/>
      </w:pPr>
      <w:r w:rsidRPr="009B187A">
        <w:tab/>
      </w:r>
      <w:r w:rsidRPr="00B92948">
        <w:rPr>
          <w:rStyle w:val="Refdenotaalpie"/>
        </w:rPr>
        <w:footnoteRef/>
      </w:r>
      <w:r w:rsidRPr="009B187A">
        <w:tab/>
      </w:r>
      <w:r w:rsidRPr="00CD4DE4">
        <w:rPr>
          <w:i/>
        </w:rPr>
        <w:t>Boletín Oficial</w:t>
      </w:r>
      <w:r w:rsidRPr="009B187A">
        <w:t xml:space="preserve"> núm. 148/13.</w:t>
      </w:r>
    </w:p>
  </w:footnote>
  <w:footnote w:id="9">
    <w:p w14:paraId="5453AE86" w14:textId="77777777" w:rsidR="00031E39" w:rsidRPr="009B187A" w:rsidRDefault="00031E39" w:rsidP="00147E0E">
      <w:pPr>
        <w:pStyle w:val="Textonotapie"/>
      </w:pPr>
      <w:r w:rsidRPr="009B187A">
        <w:tab/>
      </w:r>
      <w:r w:rsidRPr="00B92948">
        <w:rPr>
          <w:rStyle w:val="Refdenotaalpie"/>
        </w:rPr>
        <w:footnoteRef/>
      </w:r>
      <w:r w:rsidRPr="009B187A">
        <w:tab/>
      </w:r>
      <w:r w:rsidRPr="00CD4DE4">
        <w:rPr>
          <w:i/>
        </w:rPr>
        <w:t>Boletín Oficial</w:t>
      </w:r>
      <w:r w:rsidRPr="009B187A">
        <w:t xml:space="preserve"> núm. 23/13.</w:t>
      </w:r>
    </w:p>
  </w:footnote>
  <w:footnote w:id="10">
    <w:p w14:paraId="295B35D4" w14:textId="77777777" w:rsidR="00031E39" w:rsidRPr="009B187A" w:rsidRDefault="00031E39" w:rsidP="00B92948">
      <w:pPr>
        <w:pStyle w:val="Textonotapie"/>
      </w:pPr>
      <w:r w:rsidRPr="009B187A">
        <w:tab/>
      </w:r>
      <w:r w:rsidRPr="00B92948">
        <w:rPr>
          <w:rStyle w:val="Refdenotaalpie"/>
        </w:rPr>
        <w:footnoteRef/>
      </w:r>
      <w:r w:rsidRPr="009B187A">
        <w:tab/>
        <w:t>El órgano está dirigido por el Ministerio de Trabajo y Política Social e integrado por representantes de todos los ministerios competentes, organizaciones de la sociedad civil y organizaciones internacionales.</w:t>
      </w:r>
    </w:p>
  </w:footnote>
  <w:footnote w:id="11">
    <w:p w14:paraId="2B2CD61E" w14:textId="77777777" w:rsidR="00031E39" w:rsidRPr="009B187A" w:rsidRDefault="00031E39" w:rsidP="00B92948">
      <w:pPr>
        <w:pStyle w:val="Textonotapie"/>
      </w:pPr>
      <w:r w:rsidRPr="009B187A">
        <w:tab/>
      </w:r>
      <w:r w:rsidRPr="00B92948">
        <w:rPr>
          <w:rStyle w:val="Refdenotaalpie"/>
        </w:rPr>
        <w:footnoteRef/>
      </w:r>
      <w:r w:rsidRPr="009B187A">
        <w:tab/>
        <w:t xml:space="preserve">Se han establecido equipos intersectoriales para la protección de los niños contra los malos tratos y el descuido en las ciudades de Skopie, </w:t>
      </w:r>
      <w:proofErr w:type="spellStart"/>
      <w:r w:rsidRPr="009B187A">
        <w:t>Gostivar</w:t>
      </w:r>
      <w:proofErr w:type="spellEnd"/>
      <w:r w:rsidRPr="009B187A">
        <w:t xml:space="preserve">, </w:t>
      </w:r>
      <w:proofErr w:type="spellStart"/>
      <w:r w:rsidRPr="009B187A">
        <w:t>Stip</w:t>
      </w:r>
      <w:proofErr w:type="spellEnd"/>
      <w:r w:rsidRPr="009B187A">
        <w:t xml:space="preserve">, Bitola, </w:t>
      </w:r>
      <w:proofErr w:type="spellStart"/>
      <w:proofErr w:type="gramStart"/>
      <w:r w:rsidRPr="009B187A">
        <w:t>Kumanovo,Veles</w:t>
      </w:r>
      <w:proofErr w:type="spellEnd"/>
      <w:proofErr w:type="gramEnd"/>
      <w:r w:rsidRPr="009B187A">
        <w:t xml:space="preserve">, </w:t>
      </w:r>
      <w:proofErr w:type="spellStart"/>
      <w:r w:rsidRPr="009B187A">
        <w:t>Gevgelija</w:t>
      </w:r>
      <w:proofErr w:type="spellEnd"/>
      <w:r w:rsidRPr="009B187A">
        <w:t xml:space="preserve"> y </w:t>
      </w:r>
      <w:proofErr w:type="spellStart"/>
      <w:r w:rsidRPr="009B187A">
        <w:t>Ohrid</w:t>
      </w:r>
      <w:proofErr w:type="spellEnd"/>
      <w:r w:rsidRPr="009B187A">
        <w:t>.</w:t>
      </w:r>
    </w:p>
  </w:footnote>
  <w:footnote w:id="12">
    <w:p w14:paraId="721EF70A" w14:textId="77777777" w:rsidR="00031E39" w:rsidRPr="009B187A" w:rsidRDefault="00031E39" w:rsidP="00B92948">
      <w:pPr>
        <w:pStyle w:val="Textonotapie"/>
      </w:pPr>
      <w:r w:rsidRPr="009B187A">
        <w:tab/>
      </w:r>
      <w:r w:rsidRPr="00B92948">
        <w:rPr>
          <w:rStyle w:val="Refdenotaalpie"/>
        </w:rPr>
        <w:footnoteRef/>
      </w:r>
      <w:r w:rsidRPr="009B187A">
        <w:tab/>
      </w:r>
      <w:r w:rsidRPr="00CD4DE4">
        <w:rPr>
          <w:i/>
        </w:rPr>
        <w:t>Fuente:</w:t>
      </w:r>
      <w:r w:rsidRPr="009B187A">
        <w:t xml:space="preserve"> Instituto de Asuntos de Protección Social.</w:t>
      </w:r>
    </w:p>
  </w:footnote>
  <w:footnote w:id="13">
    <w:p w14:paraId="28F8390A" w14:textId="77777777" w:rsidR="00031E39" w:rsidRPr="009B187A" w:rsidRDefault="00031E39" w:rsidP="00B92948">
      <w:pPr>
        <w:pStyle w:val="Textonotapie"/>
      </w:pPr>
      <w:r w:rsidRPr="009B187A">
        <w:tab/>
      </w:r>
      <w:r w:rsidRPr="00B92948">
        <w:rPr>
          <w:rStyle w:val="Refdenotaalpie"/>
        </w:rPr>
        <w:footnoteRef/>
      </w:r>
      <w:r w:rsidRPr="009B187A">
        <w:t xml:space="preserve"> </w:t>
      </w:r>
      <w:r w:rsidRPr="009B187A">
        <w:tab/>
      </w:r>
      <w:r w:rsidRPr="00CD4DE4">
        <w:rPr>
          <w:i/>
        </w:rPr>
        <w:t>Boletín Oficial</w:t>
      </w:r>
      <w:r w:rsidRPr="009B187A">
        <w:t xml:space="preserve"> núm. 135/2010.</w:t>
      </w:r>
    </w:p>
  </w:footnote>
  <w:footnote w:id="14">
    <w:p w14:paraId="55B0F897" w14:textId="77777777" w:rsidR="00031E39" w:rsidRPr="009B187A" w:rsidRDefault="00031E39" w:rsidP="00B92948">
      <w:pPr>
        <w:pStyle w:val="Textonotapie"/>
      </w:pPr>
      <w:r w:rsidRPr="009B187A">
        <w:tab/>
      </w:r>
      <w:r w:rsidRPr="00B92948">
        <w:rPr>
          <w:rStyle w:val="Refdenotaalpie"/>
        </w:rPr>
        <w:footnoteRef/>
      </w:r>
      <w:r w:rsidRPr="009B187A">
        <w:tab/>
      </w:r>
      <w:r w:rsidRPr="00CD4DE4">
        <w:rPr>
          <w:i/>
        </w:rPr>
        <w:t>Boletín Oficial</w:t>
      </w:r>
      <w:r w:rsidRPr="009B187A">
        <w:t xml:space="preserve"> núm. 148 /2013.</w:t>
      </w:r>
    </w:p>
  </w:footnote>
  <w:footnote w:id="15">
    <w:p w14:paraId="013DAF65" w14:textId="77777777" w:rsidR="00031E39" w:rsidRPr="009B187A" w:rsidRDefault="00031E39" w:rsidP="00B92948">
      <w:pPr>
        <w:pStyle w:val="Textonotapie"/>
      </w:pPr>
      <w:r w:rsidRPr="009B187A">
        <w:tab/>
      </w:r>
      <w:r w:rsidRPr="00B92948">
        <w:rPr>
          <w:rStyle w:val="Refdenotaalpie"/>
        </w:rPr>
        <w:footnoteRef/>
      </w:r>
      <w:r w:rsidRPr="009B187A">
        <w:tab/>
      </w:r>
      <w:r w:rsidRPr="00CD4DE4">
        <w:rPr>
          <w:i/>
        </w:rPr>
        <w:t>Boletín Oficial</w:t>
      </w:r>
      <w:r w:rsidRPr="009B187A">
        <w:t xml:space="preserve"> núm. 25/15.</w:t>
      </w:r>
    </w:p>
  </w:footnote>
  <w:footnote w:id="16">
    <w:p w14:paraId="367E76CE" w14:textId="77777777" w:rsidR="00031E39" w:rsidRPr="009B187A" w:rsidRDefault="00031E39" w:rsidP="00B92948">
      <w:pPr>
        <w:pStyle w:val="Textonotapie"/>
      </w:pPr>
      <w:r w:rsidRPr="009B187A">
        <w:tab/>
      </w:r>
      <w:r w:rsidRPr="00B92948">
        <w:rPr>
          <w:rStyle w:val="Refdenotaalpie"/>
        </w:rPr>
        <w:footnoteRef/>
      </w:r>
      <w:r w:rsidRPr="009B187A">
        <w:tab/>
      </w:r>
      <w:r w:rsidRPr="00CD4DE4">
        <w:rPr>
          <w:i/>
        </w:rPr>
        <w:t>Boletín Oficial</w:t>
      </w:r>
      <w:r w:rsidRPr="009B187A">
        <w:t xml:space="preserve"> núm. 71/15.</w:t>
      </w:r>
    </w:p>
  </w:footnote>
  <w:footnote w:id="17">
    <w:p w14:paraId="2CA090C2" w14:textId="77777777" w:rsidR="00031E39" w:rsidRPr="009B187A" w:rsidRDefault="00031E39" w:rsidP="00B92948">
      <w:pPr>
        <w:pStyle w:val="Textonotapie"/>
      </w:pPr>
      <w:r w:rsidRPr="009B187A">
        <w:tab/>
      </w:r>
      <w:r w:rsidRPr="00B92948">
        <w:rPr>
          <w:rStyle w:val="Refdenotaalpie"/>
        </w:rPr>
        <w:footnoteRef/>
      </w:r>
      <w:r w:rsidRPr="009B187A">
        <w:tab/>
      </w:r>
      <w:r w:rsidRPr="00CD4DE4">
        <w:rPr>
          <w:i/>
        </w:rPr>
        <w:t>Boletín Oficial</w:t>
      </w:r>
      <w:r w:rsidRPr="009B187A">
        <w:t xml:space="preserve"> núm. 48/18.</w:t>
      </w:r>
    </w:p>
  </w:footnote>
  <w:footnote w:id="18">
    <w:p w14:paraId="26DE3234" w14:textId="77777777" w:rsidR="00031E39" w:rsidRPr="009B187A" w:rsidRDefault="00031E39" w:rsidP="00B92948">
      <w:pPr>
        <w:pStyle w:val="Textonotapie"/>
      </w:pPr>
      <w:r w:rsidRPr="009B187A">
        <w:tab/>
      </w:r>
      <w:r w:rsidRPr="00B92948">
        <w:rPr>
          <w:rStyle w:val="Refdenotaalpie"/>
        </w:rPr>
        <w:footnoteRef/>
      </w:r>
      <w:r w:rsidRPr="009B187A">
        <w:tab/>
      </w:r>
      <w:r w:rsidRPr="00CD4DE4">
        <w:rPr>
          <w:i/>
        </w:rPr>
        <w:t>Boletín Oficial</w:t>
      </w:r>
      <w:r w:rsidRPr="009B187A">
        <w:t xml:space="preserve"> núm. 46/14.</w:t>
      </w:r>
    </w:p>
  </w:footnote>
  <w:footnote w:id="19">
    <w:p w14:paraId="3538B28F" w14:textId="77777777" w:rsidR="00031E39" w:rsidRPr="009B187A" w:rsidRDefault="00031E39" w:rsidP="00B92948">
      <w:pPr>
        <w:pStyle w:val="Textonotapie"/>
      </w:pPr>
      <w:r w:rsidRPr="009B187A">
        <w:tab/>
      </w:r>
      <w:r w:rsidRPr="00B92948">
        <w:rPr>
          <w:rStyle w:val="Refdenotaalpie"/>
        </w:rPr>
        <w:footnoteRef/>
      </w:r>
      <w:r w:rsidRPr="009B187A">
        <w:tab/>
      </w:r>
      <w:r w:rsidRPr="00CD4DE4">
        <w:rPr>
          <w:i/>
        </w:rPr>
        <w:t>Boletín Oficial</w:t>
      </w:r>
      <w:r w:rsidRPr="009B187A">
        <w:t xml:space="preserve"> núm. 98/14.</w:t>
      </w:r>
    </w:p>
  </w:footnote>
  <w:footnote w:id="20">
    <w:p w14:paraId="5B26DE3B" w14:textId="77777777" w:rsidR="00031E39" w:rsidRPr="009B187A" w:rsidRDefault="00031E39" w:rsidP="00B92948">
      <w:pPr>
        <w:pStyle w:val="Textonotapie"/>
      </w:pPr>
      <w:r w:rsidRPr="009B187A">
        <w:tab/>
      </w:r>
      <w:r w:rsidRPr="00B92948">
        <w:rPr>
          <w:rStyle w:val="Refdenotaalpie"/>
        </w:rPr>
        <w:footnoteRef/>
      </w:r>
      <w:r w:rsidRPr="009B187A">
        <w:tab/>
      </w:r>
      <w:r w:rsidRPr="00CD4DE4">
        <w:rPr>
          <w:i/>
        </w:rPr>
        <w:t>Boletín Oficial</w:t>
      </w:r>
      <w:r w:rsidRPr="009B187A">
        <w:t xml:space="preserve"> núm. 62/13.</w:t>
      </w:r>
    </w:p>
  </w:footnote>
  <w:footnote w:id="21">
    <w:p w14:paraId="7D2865CE" w14:textId="77777777" w:rsidR="00031E39" w:rsidRPr="009B187A" w:rsidRDefault="00031E39" w:rsidP="00B92948">
      <w:pPr>
        <w:pStyle w:val="Textonotapie"/>
      </w:pPr>
      <w:r w:rsidRPr="009B187A">
        <w:tab/>
      </w:r>
      <w:r w:rsidRPr="00B92948">
        <w:rPr>
          <w:rStyle w:val="Refdenotaalpie"/>
        </w:rPr>
        <w:footnoteRef/>
      </w:r>
      <w:r w:rsidRPr="009B187A">
        <w:tab/>
      </w:r>
      <w:r w:rsidRPr="00CD4DE4">
        <w:rPr>
          <w:i/>
        </w:rPr>
        <w:t>Boletín Oficial</w:t>
      </w:r>
      <w:r w:rsidRPr="009B187A">
        <w:t xml:space="preserve"> núm. 12/14.</w:t>
      </w:r>
    </w:p>
  </w:footnote>
  <w:footnote w:id="22">
    <w:p w14:paraId="11D69104" w14:textId="77777777" w:rsidR="00031E39" w:rsidRPr="009B187A" w:rsidRDefault="00031E39" w:rsidP="00B92948">
      <w:pPr>
        <w:pStyle w:val="Textonotapie"/>
      </w:pPr>
      <w:r w:rsidRPr="009B187A">
        <w:tab/>
      </w:r>
      <w:r w:rsidRPr="00B92948">
        <w:rPr>
          <w:rStyle w:val="Refdenotaalpie"/>
        </w:rPr>
        <w:footnoteRef/>
      </w:r>
      <w:r w:rsidRPr="009B187A">
        <w:tab/>
      </w:r>
      <w:r w:rsidRPr="00CD4DE4">
        <w:rPr>
          <w:i/>
        </w:rPr>
        <w:t>Fuente:</w:t>
      </w:r>
      <w:r w:rsidRPr="009B187A">
        <w:t xml:space="preserve"> Ministerio de Justicia.</w:t>
      </w:r>
    </w:p>
  </w:footnote>
  <w:footnote w:id="23">
    <w:p w14:paraId="6F85FF9F" w14:textId="77777777" w:rsidR="00031E39" w:rsidRPr="009B187A" w:rsidRDefault="00031E39" w:rsidP="00B92948">
      <w:pPr>
        <w:pStyle w:val="Textonotapie"/>
      </w:pPr>
      <w:r w:rsidRPr="009B187A">
        <w:tab/>
      </w:r>
      <w:r w:rsidRPr="00B92948">
        <w:rPr>
          <w:rStyle w:val="Refdenotaalpie"/>
        </w:rPr>
        <w:footnoteRef/>
      </w:r>
      <w:r w:rsidRPr="009B187A">
        <w:tab/>
      </w:r>
      <w:r w:rsidRPr="00CD4DE4">
        <w:rPr>
          <w:i/>
        </w:rPr>
        <w:t>Fuente:</w:t>
      </w:r>
      <w:r w:rsidRPr="009B187A">
        <w:t xml:space="preserve"> Ministerio de Justicia.</w:t>
      </w:r>
    </w:p>
  </w:footnote>
  <w:footnote w:id="24">
    <w:p w14:paraId="02AC674F" w14:textId="77777777" w:rsidR="00031E39" w:rsidRPr="009B187A" w:rsidRDefault="00031E39" w:rsidP="00B92948">
      <w:pPr>
        <w:pStyle w:val="Textonotapie"/>
      </w:pPr>
      <w:r w:rsidRPr="009B187A">
        <w:tab/>
      </w:r>
      <w:r w:rsidRPr="00B92948">
        <w:rPr>
          <w:rStyle w:val="Refdenotaalpie"/>
        </w:rPr>
        <w:footnoteRef/>
      </w:r>
      <w:r w:rsidRPr="009B187A">
        <w:tab/>
      </w:r>
      <w:r w:rsidRPr="00CD4DE4">
        <w:rPr>
          <w:i/>
        </w:rPr>
        <w:t>Fuente:</w:t>
      </w:r>
      <w:r w:rsidRPr="009B187A">
        <w:t xml:space="preserve"> Ministerio de Trabajo y Política Social.</w:t>
      </w:r>
    </w:p>
  </w:footnote>
  <w:footnote w:id="25">
    <w:p w14:paraId="2B03EE95" w14:textId="77777777" w:rsidR="00031E39" w:rsidRPr="009B187A" w:rsidRDefault="00031E39" w:rsidP="00B92948">
      <w:pPr>
        <w:pStyle w:val="Textonotapie"/>
      </w:pPr>
      <w:r w:rsidRPr="009B187A">
        <w:tab/>
      </w:r>
      <w:r w:rsidRPr="00B92948">
        <w:rPr>
          <w:rStyle w:val="Refdenotaalpie"/>
        </w:rPr>
        <w:footnoteRef/>
      </w:r>
      <w:r w:rsidRPr="009B187A">
        <w:tab/>
      </w:r>
      <w:r w:rsidRPr="00CD4DE4">
        <w:rPr>
          <w:i/>
        </w:rPr>
        <w:t>Boletín Oficial</w:t>
      </w:r>
      <w:r w:rsidRPr="009B187A">
        <w:t xml:space="preserve"> núm. 115/14.</w:t>
      </w:r>
    </w:p>
  </w:footnote>
  <w:footnote w:id="26">
    <w:p w14:paraId="50E49C67" w14:textId="77777777" w:rsidR="00031E39" w:rsidRPr="009B187A" w:rsidRDefault="00031E39" w:rsidP="00B92948">
      <w:pPr>
        <w:pStyle w:val="Textonotapie"/>
      </w:pPr>
      <w:r w:rsidRPr="009B187A">
        <w:tab/>
      </w:r>
      <w:r w:rsidRPr="00B92948">
        <w:rPr>
          <w:rStyle w:val="Refdenotaalpie"/>
        </w:rPr>
        <w:footnoteRef/>
      </w:r>
      <w:r w:rsidRPr="009B187A">
        <w:tab/>
      </w:r>
      <w:r w:rsidRPr="00CD4DE4">
        <w:rPr>
          <w:i/>
        </w:rPr>
        <w:t>Fuente:</w:t>
      </w:r>
      <w:r w:rsidRPr="009B187A">
        <w:t xml:space="preserve"> Ministerio de Trabajo y Política Social.</w:t>
      </w:r>
    </w:p>
  </w:footnote>
  <w:footnote w:id="27">
    <w:p w14:paraId="6D50F6D4" w14:textId="77777777" w:rsidR="00031E39" w:rsidRPr="009B187A" w:rsidRDefault="00031E39" w:rsidP="00B92948">
      <w:pPr>
        <w:pStyle w:val="Textonotapie"/>
      </w:pPr>
      <w:r w:rsidRPr="009B187A">
        <w:tab/>
      </w:r>
      <w:r w:rsidRPr="00B92948">
        <w:rPr>
          <w:rStyle w:val="Refdenotaalpie"/>
        </w:rPr>
        <w:footnoteRef/>
      </w:r>
      <w:r w:rsidRPr="009B187A">
        <w:tab/>
      </w:r>
      <w:r w:rsidRPr="00CD4DE4">
        <w:rPr>
          <w:i/>
        </w:rPr>
        <w:t>Boletín Oficial</w:t>
      </w:r>
      <w:r w:rsidRPr="009B187A">
        <w:t xml:space="preserve"> núm. 10/15.</w:t>
      </w:r>
    </w:p>
  </w:footnote>
  <w:footnote w:id="28">
    <w:p w14:paraId="561A13EE" w14:textId="77777777" w:rsidR="00031E39" w:rsidRPr="009B187A" w:rsidRDefault="00031E39" w:rsidP="00B92948">
      <w:pPr>
        <w:pStyle w:val="Textonotapie"/>
      </w:pPr>
      <w:r w:rsidRPr="009B187A">
        <w:tab/>
      </w:r>
      <w:r w:rsidRPr="00B92948">
        <w:rPr>
          <w:rStyle w:val="Refdenotaalpie"/>
        </w:rPr>
        <w:footnoteRef/>
      </w:r>
      <w:r w:rsidRPr="009B187A">
        <w:tab/>
      </w:r>
      <w:r w:rsidRPr="00C7622E">
        <w:rPr>
          <w:i/>
        </w:rPr>
        <w:t>Boletines Oficiales</w:t>
      </w:r>
      <w:r w:rsidRPr="009B187A">
        <w:t xml:space="preserve"> </w:t>
      </w:r>
      <w:proofErr w:type="spellStart"/>
      <w:r w:rsidRPr="009B187A">
        <w:t>núms</w:t>
      </w:r>
      <w:proofErr w:type="spellEnd"/>
      <w:r w:rsidRPr="009B187A">
        <w:t>. 43/12, 145/12, 65/13, 87/13, 164/13, 39/14, 43/14, 69/12, 101/14, 132/14, 188/14, 10/15, 61/15, 154/15 y 192/15.</w:t>
      </w:r>
    </w:p>
  </w:footnote>
  <w:footnote w:id="29">
    <w:p w14:paraId="417B8779" w14:textId="77777777" w:rsidR="00031E39" w:rsidRPr="009B187A" w:rsidRDefault="00031E39" w:rsidP="00B92948">
      <w:pPr>
        <w:pStyle w:val="Textonotapie"/>
      </w:pPr>
      <w:r w:rsidRPr="009B187A">
        <w:tab/>
      </w:r>
      <w:r w:rsidRPr="00B92948">
        <w:rPr>
          <w:rStyle w:val="Refdenotaalpie"/>
        </w:rPr>
        <w:footnoteRef/>
      </w:r>
      <w:r w:rsidRPr="009B187A">
        <w:tab/>
      </w:r>
      <w:r w:rsidRPr="00CD4DE4">
        <w:rPr>
          <w:i/>
        </w:rPr>
        <w:t>Fuente:</w:t>
      </w:r>
      <w:r w:rsidRPr="009B187A">
        <w:t xml:space="preserve"> Instituto para la Salud de la Madre y el Niño (</w:t>
      </w:r>
      <w:proofErr w:type="spellStart"/>
      <w:r w:rsidRPr="009B187A">
        <w:t>IHMC</w:t>
      </w:r>
      <w:proofErr w:type="spellEnd"/>
      <w:r w:rsidRPr="009B187A">
        <w:t>), 2016.</w:t>
      </w:r>
    </w:p>
  </w:footnote>
  <w:footnote w:id="30">
    <w:p w14:paraId="3B090A05" w14:textId="77777777" w:rsidR="00031E39" w:rsidRPr="009B187A" w:rsidRDefault="00031E39" w:rsidP="00B92948">
      <w:pPr>
        <w:pStyle w:val="Textonotapie"/>
      </w:pPr>
      <w:r w:rsidRPr="009B187A">
        <w:tab/>
      </w:r>
      <w:r w:rsidRPr="00B92948">
        <w:rPr>
          <w:rStyle w:val="Refdenotaalpie"/>
        </w:rPr>
        <w:footnoteRef/>
      </w:r>
      <w:r w:rsidRPr="009B187A">
        <w:tab/>
      </w:r>
      <w:r w:rsidRPr="00CD4DE4">
        <w:rPr>
          <w:i/>
        </w:rPr>
        <w:t>Fuente:</w:t>
      </w:r>
      <w:r w:rsidRPr="009B187A">
        <w:t xml:space="preserve"> Resultados de Perinatología 2013-2016, Centro Nacional de Salud Reproductiva.</w:t>
      </w:r>
    </w:p>
  </w:footnote>
  <w:footnote w:id="31">
    <w:p w14:paraId="64D22C38" w14:textId="77777777" w:rsidR="00031E39" w:rsidRPr="009B187A" w:rsidRDefault="00031E39" w:rsidP="00B92948">
      <w:pPr>
        <w:pStyle w:val="Textonotapie"/>
      </w:pPr>
      <w:r w:rsidRPr="009B187A">
        <w:tab/>
      </w:r>
      <w:r w:rsidRPr="00B92948">
        <w:rPr>
          <w:rStyle w:val="Refdenotaalpie"/>
        </w:rPr>
        <w:footnoteRef/>
      </w:r>
      <w:r w:rsidRPr="009B187A">
        <w:tab/>
      </w:r>
      <w:r w:rsidRPr="00CD4DE4">
        <w:rPr>
          <w:i/>
        </w:rPr>
        <w:t>Fuente:</w:t>
      </w:r>
      <w:r w:rsidRPr="009B187A">
        <w:t xml:space="preserve"> Instituto de Salud Pública, Centro de Salud de Skopie. </w:t>
      </w:r>
    </w:p>
  </w:footnote>
  <w:footnote w:id="32">
    <w:p w14:paraId="6DF74857" w14:textId="77777777" w:rsidR="00031E39" w:rsidRPr="009B187A" w:rsidRDefault="00031E39" w:rsidP="00B92948">
      <w:pPr>
        <w:pStyle w:val="Textonotapie"/>
      </w:pPr>
      <w:r w:rsidRPr="009B187A">
        <w:tab/>
      </w:r>
      <w:r w:rsidRPr="00B92948">
        <w:rPr>
          <w:rStyle w:val="Refdenotaalpie"/>
        </w:rPr>
        <w:footnoteRef/>
      </w:r>
      <w:r w:rsidRPr="009B187A">
        <w:tab/>
      </w:r>
      <w:r w:rsidRPr="00CD4DE4">
        <w:rPr>
          <w:i/>
        </w:rPr>
        <w:t>Fuente:</w:t>
      </w:r>
      <w:r w:rsidRPr="009B187A">
        <w:t xml:space="preserve"> </w:t>
      </w:r>
      <w:proofErr w:type="spellStart"/>
      <w:r w:rsidRPr="009B187A">
        <w:t>IHMC</w:t>
      </w:r>
      <w:proofErr w:type="spellEnd"/>
      <w:r w:rsidRPr="009B187A">
        <w:t>, Centro de Salud de Skopie.</w:t>
      </w:r>
    </w:p>
  </w:footnote>
  <w:footnote w:id="33">
    <w:p w14:paraId="429F364E" w14:textId="77777777" w:rsidR="00031E39" w:rsidRPr="009B187A" w:rsidRDefault="00031E39" w:rsidP="00B92948">
      <w:pPr>
        <w:pStyle w:val="Textonotapie"/>
      </w:pPr>
      <w:r w:rsidRPr="009B187A">
        <w:tab/>
      </w:r>
      <w:r w:rsidRPr="00B92948">
        <w:rPr>
          <w:rStyle w:val="Refdenotaalpie"/>
        </w:rPr>
        <w:footnoteRef/>
      </w:r>
      <w:r w:rsidRPr="009B187A">
        <w:tab/>
      </w:r>
      <w:r w:rsidRPr="00CD4DE4">
        <w:rPr>
          <w:i/>
        </w:rPr>
        <w:t>Fuente:</w:t>
      </w:r>
      <w:r w:rsidRPr="009B187A">
        <w:t xml:space="preserve"> Oficina Estatal de Estadística e </w:t>
      </w:r>
      <w:proofErr w:type="spellStart"/>
      <w:r w:rsidRPr="009B187A">
        <w:t>IHMC</w:t>
      </w:r>
      <w:proofErr w:type="spellEnd"/>
      <w:r w:rsidRPr="009B187A">
        <w:t xml:space="preserve">, Centro de Salud de Skopie. </w:t>
      </w:r>
    </w:p>
  </w:footnote>
  <w:footnote w:id="34">
    <w:p w14:paraId="70F31C2F" w14:textId="77777777" w:rsidR="00031E39" w:rsidRPr="009B187A" w:rsidRDefault="00031E39" w:rsidP="00B92948">
      <w:pPr>
        <w:pStyle w:val="Textonotapie"/>
      </w:pPr>
      <w:r w:rsidRPr="009B187A">
        <w:tab/>
      </w:r>
      <w:r w:rsidRPr="00B92948">
        <w:rPr>
          <w:rStyle w:val="Refdenotaalpie"/>
        </w:rPr>
        <w:footnoteRef/>
      </w:r>
      <w:r w:rsidRPr="009B187A">
        <w:tab/>
      </w:r>
      <w:r w:rsidRPr="00CD4DE4">
        <w:rPr>
          <w:i/>
        </w:rPr>
        <w:t>Fuente:</w:t>
      </w:r>
      <w:r w:rsidRPr="009B187A">
        <w:t xml:space="preserve"> Encuesta de Indicadores Múltiples por Conglomerados, 2011.</w:t>
      </w:r>
    </w:p>
  </w:footnote>
  <w:footnote w:id="35">
    <w:p w14:paraId="398D2CB6" w14:textId="77777777" w:rsidR="00031E39" w:rsidRPr="009B187A" w:rsidRDefault="00031E39" w:rsidP="00B92948">
      <w:pPr>
        <w:pStyle w:val="Textonotapie"/>
      </w:pPr>
      <w:r w:rsidRPr="009B187A">
        <w:tab/>
      </w:r>
      <w:r w:rsidRPr="00B92948">
        <w:rPr>
          <w:rStyle w:val="Refdenotaalpie"/>
        </w:rPr>
        <w:footnoteRef/>
      </w:r>
      <w:r w:rsidRPr="009B187A">
        <w:tab/>
      </w:r>
      <w:r w:rsidRPr="00CD4DE4">
        <w:rPr>
          <w:i/>
        </w:rPr>
        <w:t>Fuente:</w:t>
      </w:r>
      <w:r w:rsidRPr="009B187A">
        <w:t xml:space="preserve"> Oficina Estatal de Estadística, publicaciones </w:t>
      </w:r>
      <w:proofErr w:type="spellStart"/>
      <w:r w:rsidRPr="009B187A">
        <w:t>núms</w:t>
      </w:r>
      <w:proofErr w:type="spellEnd"/>
      <w:r w:rsidRPr="009B187A">
        <w:t>. 2, 4, 16, 10/856, julio de 2016.</w:t>
      </w:r>
    </w:p>
  </w:footnote>
  <w:footnote w:id="36">
    <w:p w14:paraId="77F922D9" w14:textId="77777777" w:rsidR="00031E39" w:rsidRPr="009B187A" w:rsidRDefault="00031E39" w:rsidP="00B92948">
      <w:pPr>
        <w:pStyle w:val="Textonotapie"/>
      </w:pPr>
      <w:r w:rsidRPr="009B187A">
        <w:tab/>
      </w:r>
      <w:r w:rsidRPr="00B92948">
        <w:rPr>
          <w:rStyle w:val="Refdenotaalpie"/>
        </w:rPr>
        <w:footnoteRef/>
      </w:r>
      <w:r w:rsidRPr="009B187A">
        <w:tab/>
      </w:r>
      <w:r w:rsidRPr="00CD4DE4">
        <w:rPr>
          <w:i/>
        </w:rPr>
        <w:t>Fuente:</w:t>
      </w:r>
      <w:r w:rsidRPr="009B187A">
        <w:t xml:space="preserve"> Oficina Estatal de Estadística e </w:t>
      </w:r>
      <w:proofErr w:type="spellStart"/>
      <w:r w:rsidRPr="009B187A">
        <w:t>IHMC</w:t>
      </w:r>
      <w:proofErr w:type="spellEnd"/>
      <w:r w:rsidRPr="009B187A">
        <w:t>, Centro de Salud de Skopie.</w:t>
      </w:r>
    </w:p>
  </w:footnote>
  <w:footnote w:id="37">
    <w:p w14:paraId="2BBACBC8" w14:textId="77777777" w:rsidR="00031E39" w:rsidRPr="009B187A" w:rsidRDefault="00031E39" w:rsidP="00B92948">
      <w:pPr>
        <w:pStyle w:val="Textonotapie"/>
      </w:pPr>
      <w:r w:rsidRPr="009B187A">
        <w:tab/>
      </w:r>
      <w:r w:rsidRPr="00B92948">
        <w:rPr>
          <w:rStyle w:val="Refdenotaalpie"/>
        </w:rPr>
        <w:footnoteRef/>
      </w:r>
      <w:r w:rsidRPr="009B187A">
        <w:tab/>
        <w:t xml:space="preserve">Fuente de los cuadros 7, 8, 9, 10 y 11: Oficina Estatal de Estadística e </w:t>
      </w:r>
      <w:proofErr w:type="spellStart"/>
      <w:r w:rsidRPr="009B187A">
        <w:t>IHMC</w:t>
      </w:r>
      <w:proofErr w:type="spellEnd"/>
      <w:r w:rsidRPr="009B187A">
        <w:t>, Centro de Salud de Skopie.</w:t>
      </w:r>
    </w:p>
  </w:footnote>
  <w:footnote w:id="38">
    <w:p w14:paraId="38286F54" w14:textId="77777777" w:rsidR="00031E39" w:rsidRPr="009B187A" w:rsidRDefault="00031E39" w:rsidP="00B92948">
      <w:pPr>
        <w:pStyle w:val="Textonotapie"/>
      </w:pPr>
      <w:r w:rsidRPr="009B187A">
        <w:tab/>
      </w:r>
      <w:r w:rsidRPr="00B92948">
        <w:rPr>
          <w:rStyle w:val="Refdenotaalpie"/>
        </w:rPr>
        <w:footnoteRef/>
      </w:r>
      <w:r w:rsidRPr="009B187A">
        <w:tab/>
      </w:r>
      <w:r w:rsidRPr="00CD4DE4">
        <w:rPr>
          <w:i/>
        </w:rPr>
        <w:t>Boletín Oficial</w:t>
      </w:r>
      <w:r w:rsidRPr="009B187A">
        <w:t xml:space="preserve"> núm. 177/15.</w:t>
      </w:r>
    </w:p>
  </w:footnote>
  <w:footnote w:id="39">
    <w:p w14:paraId="0243C1C9" w14:textId="77777777" w:rsidR="00031E39" w:rsidRPr="009B187A" w:rsidRDefault="00031E39" w:rsidP="00B92948">
      <w:pPr>
        <w:pStyle w:val="Textonotapie"/>
      </w:pPr>
      <w:r w:rsidRPr="009B187A">
        <w:tab/>
      </w:r>
      <w:r w:rsidRPr="00B92948">
        <w:rPr>
          <w:rStyle w:val="Refdenotaalpie"/>
        </w:rPr>
        <w:footnoteRef/>
      </w:r>
      <w:r w:rsidRPr="009B187A">
        <w:tab/>
      </w:r>
      <w:r w:rsidRPr="00CD4DE4">
        <w:rPr>
          <w:i/>
        </w:rPr>
        <w:t>Fuente:</w:t>
      </w:r>
      <w:r w:rsidRPr="009B187A">
        <w:t xml:space="preserve"> Instituto de Salud Pública.</w:t>
      </w:r>
    </w:p>
  </w:footnote>
  <w:footnote w:id="40">
    <w:p w14:paraId="7C6DEE71" w14:textId="77777777" w:rsidR="00031E39" w:rsidRPr="009B187A" w:rsidRDefault="00031E39" w:rsidP="00B92948">
      <w:pPr>
        <w:pStyle w:val="Textonotapie"/>
      </w:pPr>
      <w:r w:rsidRPr="009B187A">
        <w:tab/>
      </w:r>
      <w:r w:rsidRPr="00B92948">
        <w:rPr>
          <w:rStyle w:val="Refdenotaalpie"/>
        </w:rPr>
        <w:footnoteRef/>
      </w:r>
      <w:r w:rsidRPr="009B187A">
        <w:tab/>
      </w:r>
      <w:r w:rsidRPr="00CD4DE4">
        <w:rPr>
          <w:i/>
        </w:rPr>
        <w:t>Fuente:</w:t>
      </w:r>
      <w:r w:rsidRPr="009B187A">
        <w:t xml:space="preserve"> </w:t>
      </w:r>
      <w:proofErr w:type="spellStart"/>
      <w:r w:rsidRPr="009B187A">
        <w:t>IHMC</w:t>
      </w:r>
      <w:proofErr w:type="spellEnd"/>
      <w:r w:rsidRPr="009B187A">
        <w:t>.</w:t>
      </w:r>
    </w:p>
  </w:footnote>
  <w:footnote w:id="41">
    <w:p w14:paraId="20616EA0" w14:textId="77777777" w:rsidR="00031E39" w:rsidRPr="009B187A" w:rsidRDefault="00031E39" w:rsidP="00B92948">
      <w:pPr>
        <w:pStyle w:val="Textonotapie"/>
      </w:pPr>
      <w:r w:rsidRPr="009B187A">
        <w:tab/>
      </w:r>
      <w:r w:rsidRPr="00B92948">
        <w:rPr>
          <w:rStyle w:val="Refdenotaalpie"/>
        </w:rPr>
        <w:footnoteRef/>
      </w:r>
      <w:r w:rsidRPr="009B187A">
        <w:tab/>
      </w:r>
      <w:r w:rsidRPr="00CD4DE4">
        <w:rPr>
          <w:i/>
        </w:rPr>
        <w:t>Fuente:</w:t>
      </w:r>
      <w:r w:rsidRPr="009B187A">
        <w:t xml:space="preserve"> Instituto de Salud Pública.</w:t>
      </w:r>
    </w:p>
  </w:footnote>
  <w:footnote w:id="42">
    <w:p w14:paraId="54DDA732" w14:textId="77777777" w:rsidR="00031E39" w:rsidRPr="009B187A" w:rsidRDefault="00031E39" w:rsidP="00B92948">
      <w:pPr>
        <w:pStyle w:val="Textonotapie"/>
      </w:pPr>
      <w:r w:rsidRPr="009B187A">
        <w:tab/>
      </w:r>
      <w:r w:rsidRPr="00B92948">
        <w:rPr>
          <w:rStyle w:val="Refdenotaalpie"/>
        </w:rPr>
        <w:footnoteRef/>
      </w:r>
      <w:r w:rsidRPr="009B187A">
        <w:tab/>
        <w:t>HERA 2015: Manuales de enseñanza entre pares sobre los temas relativos a los derechos de salud sexual y reproductiva.</w:t>
      </w:r>
    </w:p>
  </w:footnote>
  <w:footnote w:id="43">
    <w:p w14:paraId="56641669" w14:textId="77777777" w:rsidR="00031E39" w:rsidRPr="009B187A" w:rsidRDefault="00031E39" w:rsidP="00B92948">
      <w:pPr>
        <w:pStyle w:val="Textonotapie"/>
      </w:pPr>
      <w:r w:rsidRPr="009B187A">
        <w:tab/>
      </w:r>
      <w:r w:rsidRPr="00B92948">
        <w:rPr>
          <w:rStyle w:val="Refdenotaalpie"/>
        </w:rPr>
        <w:footnoteRef/>
      </w:r>
      <w:r w:rsidRPr="009B187A">
        <w:tab/>
        <w:t xml:space="preserve">El UNICEF también celebra un acuerdo anual que contiene una sección sobre refugiados. </w:t>
      </w:r>
    </w:p>
  </w:footnote>
  <w:footnote w:id="44">
    <w:p w14:paraId="58BC8D8A" w14:textId="77777777" w:rsidR="00031E39" w:rsidRPr="009B187A" w:rsidRDefault="00031E39" w:rsidP="00B92948">
      <w:pPr>
        <w:pStyle w:val="Textonotapie"/>
      </w:pPr>
      <w:r w:rsidRPr="009B187A">
        <w:tab/>
      </w:r>
      <w:r w:rsidRPr="00B92948">
        <w:rPr>
          <w:rStyle w:val="Refdenotaalpie"/>
        </w:rPr>
        <w:footnoteRef/>
      </w:r>
      <w:r w:rsidRPr="009B187A">
        <w:tab/>
      </w:r>
      <w:r w:rsidRPr="00CD4DE4">
        <w:rPr>
          <w:i/>
        </w:rPr>
        <w:t>Fuente:</w:t>
      </w:r>
      <w:r w:rsidRPr="009B187A">
        <w:t xml:space="preserve"> Ministerio del Interior.</w:t>
      </w:r>
    </w:p>
  </w:footnote>
  <w:footnote w:id="45">
    <w:p w14:paraId="548EC757" w14:textId="77777777" w:rsidR="00031E39" w:rsidRPr="009B187A" w:rsidRDefault="00031E39" w:rsidP="00B92948">
      <w:pPr>
        <w:pStyle w:val="Textonotapie"/>
      </w:pPr>
      <w:r w:rsidRPr="009B187A">
        <w:tab/>
      </w:r>
      <w:r w:rsidRPr="00B92948">
        <w:rPr>
          <w:rStyle w:val="Refdenotaalpie"/>
        </w:rPr>
        <w:footnoteRef/>
      </w:r>
      <w:r w:rsidRPr="009B187A">
        <w:tab/>
      </w:r>
      <w:r w:rsidRPr="00CD4DE4">
        <w:rPr>
          <w:i/>
        </w:rPr>
        <w:t>Fuente:</w:t>
      </w:r>
      <w:r w:rsidRPr="009B187A">
        <w:t xml:space="preserve"> Oficina Estatal de Estadística.</w:t>
      </w:r>
    </w:p>
  </w:footnote>
  <w:footnote w:id="46">
    <w:p w14:paraId="04823724" w14:textId="77777777" w:rsidR="00031E39" w:rsidRPr="009B187A" w:rsidRDefault="00031E39" w:rsidP="00B92948">
      <w:pPr>
        <w:pStyle w:val="Textonotapie"/>
      </w:pPr>
      <w:r w:rsidRPr="009B187A">
        <w:tab/>
      </w:r>
      <w:r w:rsidRPr="00B92948">
        <w:rPr>
          <w:rStyle w:val="Refdenotaalpie"/>
        </w:rPr>
        <w:footnoteRef/>
      </w:r>
      <w:r w:rsidRPr="009B187A">
        <w:tab/>
      </w:r>
      <w:r w:rsidRPr="00CD4DE4">
        <w:rPr>
          <w:i/>
        </w:rPr>
        <w:t>Fuente:</w:t>
      </w:r>
      <w:r w:rsidRPr="009B187A">
        <w:t xml:space="preserve"> Oficina Estatal de Estadística.</w:t>
      </w:r>
    </w:p>
  </w:footnote>
  <w:footnote w:id="47">
    <w:p w14:paraId="128A0E16" w14:textId="77777777" w:rsidR="00031E39" w:rsidRPr="009B187A" w:rsidRDefault="00031E39" w:rsidP="00B92948">
      <w:pPr>
        <w:pStyle w:val="Textonotapie"/>
      </w:pPr>
      <w:r w:rsidRPr="009B187A">
        <w:tab/>
      </w:r>
      <w:r w:rsidRPr="00B92948">
        <w:rPr>
          <w:rStyle w:val="Refdenotaalpie"/>
        </w:rPr>
        <w:footnoteRef/>
      </w:r>
      <w:r w:rsidRPr="009B187A">
        <w:tab/>
      </w:r>
      <w:r w:rsidRPr="00CD4DE4">
        <w:rPr>
          <w:i/>
        </w:rPr>
        <w:t>Fuente:</w:t>
      </w:r>
      <w:r w:rsidRPr="009B187A">
        <w:t xml:space="preserve"> Oficina Estatal de Estadística.</w:t>
      </w:r>
    </w:p>
  </w:footnote>
  <w:footnote w:id="48">
    <w:p w14:paraId="554B29B3" w14:textId="77777777" w:rsidR="00031E39" w:rsidRPr="009B187A" w:rsidRDefault="00031E39" w:rsidP="00B92948">
      <w:pPr>
        <w:pStyle w:val="Textonotapie"/>
      </w:pPr>
      <w:r w:rsidRPr="009B187A">
        <w:tab/>
      </w:r>
      <w:r w:rsidRPr="00B92948">
        <w:rPr>
          <w:rStyle w:val="Refdenotaalpie"/>
        </w:rPr>
        <w:footnoteRef/>
      </w:r>
      <w:r w:rsidRPr="009B187A">
        <w:tab/>
      </w:r>
      <w:r w:rsidRPr="00CD4DE4">
        <w:rPr>
          <w:i/>
        </w:rPr>
        <w:t>Fuente:</w:t>
      </w:r>
      <w:r w:rsidRPr="009B187A">
        <w:t xml:space="preserve"> Oficina Estatal de Estadística.</w:t>
      </w:r>
    </w:p>
  </w:footnote>
  <w:footnote w:id="49">
    <w:p w14:paraId="3F8B8B59" w14:textId="77777777" w:rsidR="00031E39" w:rsidRPr="009B187A" w:rsidRDefault="00031E39" w:rsidP="00B92948">
      <w:pPr>
        <w:pStyle w:val="Textonotapie"/>
      </w:pPr>
      <w:r w:rsidRPr="009B187A">
        <w:tab/>
      </w:r>
      <w:r w:rsidRPr="00B92948">
        <w:rPr>
          <w:rStyle w:val="Refdenotaalpie"/>
        </w:rPr>
        <w:footnoteRef/>
      </w:r>
      <w:r w:rsidRPr="009B187A">
        <w:tab/>
      </w:r>
      <w:r w:rsidRPr="00CD4DE4">
        <w:rPr>
          <w:i/>
        </w:rPr>
        <w:t>Fuente:</w:t>
      </w:r>
      <w:r w:rsidRPr="009B187A">
        <w:t xml:space="preserve"> Oficina Estatal de Estadística.</w:t>
      </w:r>
    </w:p>
  </w:footnote>
  <w:footnote w:id="50">
    <w:p w14:paraId="676DAE92" w14:textId="77777777" w:rsidR="00031E39" w:rsidRPr="009B187A" w:rsidRDefault="00031E39" w:rsidP="00B92948">
      <w:pPr>
        <w:pStyle w:val="Textonotapie"/>
      </w:pPr>
      <w:r w:rsidRPr="009B187A">
        <w:tab/>
      </w:r>
      <w:r w:rsidRPr="00B92948">
        <w:rPr>
          <w:rStyle w:val="Refdenotaalpie"/>
        </w:rPr>
        <w:footnoteRef/>
      </w:r>
      <w:r w:rsidRPr="009B187A">
        <w:tab/>
      </w:r>
      <w:r w:rsidRPr="00CD4DE4">
        <w:rPr>
          <w:i/>
        </w:rPr>
        <w:t>Fuente:</w:t>
      </w:r>
      <w:r w:rsidRPr="009B187A">
        <w:t xml:space="preserve"> Ministerio de Trabajo y Política Social.</w:t>
      </w:r>
    </w:p>
  </w:footnote>
  <w:footnote w:id="51">
    <w:p w14:paraId="75CEFDB0" w14:textId="77777777" w:rsidR="00031E39" w:rsidRPr="009B187A" w:rsidRDefault="00031E39" w:rsidP="00B92948">
      <w:pPr>
        <w:pStyle w:val="Textonotapie"/>
      </w:pPr>
      <w:r w:rsidRPr="009B187A">
        <w:tab/>
      </w:r>
      <w:r w:rsidRPr="00B92948">
        <w:rPr>
          <w:rStyle w:val="Refdenotaalpie"/>
        </w:rPr>
        <w:footnoteRef/>
      </w:r>
      <w:r w:rsidRPr="009B187A">
        <w:tab/>
      </w:r>
      <w:r w:rsidRPr="00CD4DE4">
        <w:rPr>
          <w:i/>
        </w:rPr>
        <w:t>Fuente:</w:t>
      </w:r>
      <w:r w:rsidRPr="009B187A">
        <w:t xml:space="preserve"> Ministerio de Trabajo y Política Social.</w:t>
      </w:r>
    </w:p>
  </w:footnote>
  <w:footnote w:id="52">
    <w:p w14:paraId="20E7434C" w14:textId="77777777" w:rsidR="00031E39" w:rsidRPr="009B187A" w:rsidRDefault="00031E39" w:rsidP="00B92948">
      <w:pPr>
        <w:pStyle w:val="Textonotapie"/>
      </w:pPr>
      <w:r w:rsidRPr="009B187A">
        <w:tab/>
      </w:r>
      <w:r w:rsidRPr="00B92948">
        <w:rPr>
          <w:rStyle w:val="Refdenotaalpie"/>
        </w:rPr>
        <w:footnoteRef/>
      </w:r>
      <w:r w:rsidRPr="009B187A">
        <w:tab/>
      </w:r>
      <w:r w:rsidRPr="00CD4DE4">
        <w:rPr>
          <w:i/>
        </w:rPr>
        <w:t>Boletín Oficial</w:t>
      </w:r>
      <w:r w:rsidRPr="009B187A">
        <w:t xml:space="preserve"> núm. 226/15.</w:t>
      </w:r>
    </w:p>
  </w:footnote>
  <w:footnote w:id="53">
    <w:p w14:paraId="630D85E9" w14:textId="77777777" w:rsidR="00031E39" w:rsidRPr="009B187A" w:rsidRDefault="00031E39" w:rsidP="00B92948">
      <w:pPr>
        <w:pStyle w:val="Textonotapie"/>
      </w:pPr>
      <w:r w:rsidRPr="009B187A">
        <w:tab/>
      </w:r>
      <w:r w:rsidRPr="00B92948">
        <w:rPr>
          <w:rStyle w:val="Refdenotaalpie"/>
        </w:rPr>
        <w:footnoteRef/>
      </w:r>
      <w:r w:rsidRPr="009B187A">
        <w:tab/>
      </w:r>
      <w:r w:rsidRPr="00CD4DE4">
        <w:rPr>
          <w:i/>
        </w:rPr>
        <w:t>Boletín Oficial</w:t>
      </w:r>
      <w:r w:rsidRPr="009B187A">
        <w:t xml:space="preserve"> núm. 148/13.</w:t>
      </w:r>
    </w:p>
  </w:footnote>
  <w:footnote w:id="54">
    <w:p w14:paraId="18D72A8B" w14:textId="77777777" w:rsidR="00031E39" w:rsidRPr="009B187A" w:rsidRDefault="00031E39" w:rsidP="00B92948">
      <w:pPr>
        <w:pStyle w:val="Textonotapie"/>
      </w:pPr>
      <w:r w:rsidRPr="009B187A">
        <w:tab/>
      </w:r>
      <w:r w:rsidRPr="00B92948">
        <w:rPr>
          <w:rStyle w:val="Refdenotaalpie"/>
        </w:rPr>
        <w:footnoteRef/>
      </w:r>
      <w:r w:rsidRPr="009B187A">
        <w:tab/>
        <w:t>Los miembros de la Comisión son el Ministerio del Interior, el Ministerio de Relaciones Exteriores, la Fiscalía de Primera Instancia contra la Delincuencia Organizada y la Corrupción, el Ministerio de Educación y Ciencia, el Ministerio de Salud, el Ministerio de Trabajo y Política Social, la Inspección del Trabajo y un juez del Tribunal de Primera Instancia núm.</w:t>
      </w:r>
      <w:r w:rsidR="00822F09">
        <w:t xml:space="preserve"> </w:t>
      </w:r>
      <w:r w:rsidRPr="009B187A">
        <w:t>1 de Skopie.</w:t>
      </w:r>
    </w:p>
  </w:footnote>
  <w:footnote w:id="55">
    <w:p w14:paraId="1187C362" w14:textId="77777777" w:rsidR="00031E39" w:rsidRPr="009B187A" w:rsidRDefault="00031E39" w:rsidP="00B92948">
      <w:pPr>
        <w:pStyle w:val="Textonotapie"/>
      </w:pPr>
      <w:r w:rsidRPr="009B187A">
        <w:tab/>
      </w:r>
      <w:r w:rsidRPr="00B92948">
        <w:rPr>
          <w:rStyle w:val="Refdenotaalpie"/>
        </w:rPr>
        <w:footnoteRef/>
      </w:r>
      <w:r w:rsidRPr="009B187A">
        <w:tab/>
      </w:r>
      <w:r w:rsidRPr="00CD4DE4">
        <w:rPr>
          <w:i/>
        </w:rPr>
        <w:t>Fuente:</w:t>
      </w:r>
      <w:r w:rsidRPr="009B187A">
        <w:t xml:space="preserve"> Comisión Nacional de Lucha contra la Trata de Personas y la Migración Ilegal.</w:t>
      </w:r>
    </w:p>
  </w:footnote>
  <w:footnote w:id="56">
    <w:p w14:paraId="205F3283" w14:textId="77777777" w:rsidR="00031E39" w:rsidRPr="009B187A" w:rsidRDefault="00031E39" w:rsidP="00B92948">
      <w:pPr>
        <w:pStyle w:val="Textonotapie"/>
      </w:pPr>
      <w:r w:rsidRPr="009B187A">
        <w:tab/>
      </w:r>
      <w:r w:rsidRPr="00B92948">
        <w:rPr>
          <w:rStyle w:val="Refdenotaalpie"/>
        </w:rPr>
        <w:footnoteRef/>
      </w:r>
      <w:r w:rsidRPr="009B187A">
        <w:tab/>
      </w:r>
      <w:r w:rsidRPr="00CD4DE4">
        <w:rPr>
          <w:i/>
        </w:rPr>
        <w:t>Boletín Oficial</w:t>
      </w:r>
      <w:r w:rsidRPr="009B187A">
        <w:t xml:space="preserve"> núm. 226/15.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951901" w14:textId="5A506DAA" w:rsidR="00031E39" w:rsidRPr="00B92948" w:rsidRDefault="00C7622E">
    <w:pPr>
      <w:pStyle w:val="Encabezado"/>
    </w:pPr>
    <w:fldSimple w:instr=" TITLE  \* MERGEFORMAT ">
      <w:r w:rsidR="00895F11">
        <w:t>CRC/C/MKD/3-6</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3F1E78" w14:textId="461D0E73" w:rsidR="00031E39" w:rsidRPr="00B92948" w:rsidRDefault="00C7622E" w:rsidP="00B92948">
    <w:pPr>
      <w:pStyle w:val="Encabezado"/>
      <w:jc w:val="right"/>
    </w:pPr>
    <w:fldSimple w:instr=" TITLE  \* MERGEFORMAT ">
      <w:r w:rsidR="00895F11">
        <w:t>CRC/C/MKD/3-6</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9.1pt;height:9.1pt" o:bullet="t">
        <v:imagedata r:id="rId1" o:title="BD10268_"/>
      </v:shape>
    </w:pict>
  </w:numPicBullet>
  <w:numPicBullet w:numPicBulletId="1">
    <w:pict>
      <v:shape id="_x0000_i1033" type="#_x0000_t75" style="width:11.15pt;height:11.15pt" o:bullet="t">
        <v:imagedata r:id="rId2" o:title="BD10264_"/>
      </v:shape>
    </w:pict>
  </w:numPicBullet>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2C262728"/>
    <w:lvl w:ilvl="0" w:tplc="A0964646">
      <w:start w:val="1"/>
      <w:numFmt w:val="decimal"/>
      <w:lvlText w:val="%1."/>
      <w:lvlJc w:val="left"/>
      <w:pPr>
        <w:tabs>
          <w:tab w:val="num" w:pos="0"/>
        </w:tabs>
        <w:ind w:left="1134" w:firstLine="0"/>
      </w:pPr>
      <w:rPr>
        <w:rFonts w:ascii="Times New Roman" w:hAnsi="Times New Roman" w:hint="default"/>
        <w:b w:val="0"/>
        <w:i w:val="0"/>
        <w:sz w:val="20"/>
        <w:lang w:val="en-G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A2104D"/>
    <w:multiLevelType w:val="multilevel"/>
    <w:tmpl w:val="0C0A0023"/>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070214D0"/>
    <w:multiLevelType w:val="hybridMultilevel"/>
    <w:tmpl w:val="23F8686E"/>
    <w:lvl w:ilvl="0" w:tplc="FB7A23C2">
      <w:start w:val="1"/>
      <w:numFmt w:val="bullet"/>
      <w:lvlText w:val=""/>
      <w:lvlPicBulletId w:val="0"/>
      <w:lvlJc w:val="left"/>
      <w:pPr>
        <w:ind w:left="12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142577A9"/>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8E41E4B"/>
    <w:multiLevelType w:val="hybridMultilevel"/>
    <w:tmpl w:val="C45C71FE"/>
    <w:lvl w:ilvl="0" w:tplc="BE843D62">
      <w:start w:val="1"/>
      <w:numFmt w:val="bullet"/>
      <w:lvlText w:val=""/>
      <w:lvlPicBulletId w:val="1"/>
      <w:lvlJc w:val="left"/>
      <w:pPr>
        <w:ind w:left="12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8F637C"/>
    <w:multiLevelType w:val="hybridMultilevel"/>
    <w:tmpl w:val="4448EFA2"/>
    <w:lvl w:ilvl="0" w:tplc="ADD0A8E6">
      <w:start w:val="1"/>
      <w:numFmt w:val="bullet"/>
      <w:lvlText w:val=""/>
      <w:lvlJc w:val="left"/>
      <w:pPr>
        <w:ind w:left="900" w:hanging="360"/>
      </w:pPr>
      <w:rPr>
        <w:rFonts w:ascii="Symbol" w:hAnsi="Symbol" w:hint="default"/>
        <w:sz w:val="12"/>
        <w:szCs w:val="12"/>
      </w:rPr>
    </w:lvl>
    <w:lvl w:ilvl="1" w:tplc="0C0A0003" w:tentative="1">
      <w:start w:val="1"/>
      <w:numFmt w:val="bullet"/>
      <w:lvlText w:val="o"/>
      <w:lvlJc w:val="left"/>
      <w:pPr>
        <w:ind w:left="1620" w:hanging="360"/>
      </w:pPr>
      <w:rPr>
        <w:rFonts w:ascii="Courier New" w:hAnsi="Courier New" w:cs="Courier New" w:hint="default"/>
      </w:rPr>
    </w:lvl>
    <w:lvl w:ilvl="2" w:tplc="0C0A0005" w:tentative="1">
      <w:start w:val="1"/>
      <w:numFmt w:val="bullet"/>
      <w:lvlText w:val=""/>
      <w:lvlJc w:val="left"/>
      <w:pPr>
        <w:ind w:left="2340" w:hanging="360"/>
      </w:pPr>
      <w:rPr>
        <w:rFonts w:ascii="Wingdings" w:hAnsi="Wingdings" w:hint="default"/>
      </w:rPr>
    </w:lvl>
    <w:lvl w:ilvl="3" w:tplc="0C0A0001" w:tentative="1">
      <w:start w:val="1"/>
      <w:numFmt w:val="bullet"/>
      <w:lvlText w:val=""/>
      <w:lvlJc w:val="left"/>
      <w:pPr>
        <w:ind w:left="3060" w:hanging="360"/>
      </w:pPr>
      <w:rPr>
        <w:rFonts w:ascii="Symbol" w:hAnsi="Symbol" w:hint="default"/>
      </w:rPr>
    </w:lvl>
    <w:lvl w:ilvl="4" w:tplc="0C0A0003" w:tentative="1">
      <w:start w:val="1"/>
      <w:numFmt w:val="bullet"/>
      <w:lvlText w:val="o"/>
      <w:lvlJc w:val="left"/>
      <w:pPr>
        <w:ind w:left="3780" w:hanging="360"/>
      </w:pPr>
      <w:rPr>
        <w:rFonts w:ascii="Courier New" w:hAnsi="Courier New" w:cs="Courier New" w:hint="default"/>
      </w:rPr>
    </w:lvl>
    <w:lvl w:ilvl="5" w:tplc="0C0A0005" w:tentative="1">
      <w:start w:val="1"/>
      <w:numFmt w:val="bullet"/>
      <w:lvlText w:val=""/>
      <w:lvlJc w:val="left"/>
      <w:pPr>
        <w:ind w:left="4500" w:hanging="360"/>
      </w:pPr>
      <w:rPr>
        <w:rFonts w:ascii="Wingdings" w:hAnsi="Wingdings" w:hint="default"/>
      </w:rPr>
    </w:lvl>
    <w:lvl w:ilvl="6" w:tplc="0C0A0001" w:tentative="1">
      <w:start w:val="1"/>
      <w:numFmt w:val="bullet"/>
      <w:lvlText w:val=""/>
      <w:lvlJc w:val="left"/>
      <w:pPr>
        <w:ind w:left="5220" w:hanging="360"/>
      </w:pPr>
      <w:rPr>
        <w:rFonts w:ascii="Symbol" w:hAnsi="Symbol" w:hint="default"/>
      </w:rPr>
    </w:lvl>
    <w:lvl w:ilvl="7" w:tplc="0C0A0003" w:tentative="1">
      <w:start w:val="1"/>
      <w:numFmt w:val="bullet"/>
      <w:lvlText w:val="o"/>
      <w:lvlJc w:val="left"/>
      <w:pPr>
        <w:ind w:left="5940" w:hanging="360"/>
      </w:pPr>
      <w:rPr>
        <w:rFonts w:ascii="Courier New" w:hAnsi="Courier New" w:cs="Courier New" w:hint="default"/>
      </w:rPr>
    </w:lvl>
    <w:lvl w:ilvl="8" w:tplc="0C0A0005" w:tentative="1">
      <w:start w:val="1"/>
      <w:numFmt w:val="bullet"/>
      <w:lvlText w:val=""/>
      <w:lvlJc w:val="left"/>
      <w:pPr>
        <w:ind w:left="6660" w:hanging="360"/>
      </w:pPr>
      <w:rPr>
        <w:rFonts w:ascii="Wingdings" w:hAnsi="Wingdings" w:hint="default"/>
      </w:rPr>
    </w:lvl>
  </w:abstractNum>
  <w:abstractNum w:abstractNumId="2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ACF4EB2"/>
    <w:multiLevelType w:val="hybridMultilevel"/>
    <w:tmpl w:val="CB6C816A"/>
    <w:lvl w:ilvl="0" w:tplc="425AC676">
      <w:start w:val="1"/>
      <w:numFmt w:val="bullet"/>
      <w:lvlText w:val="•"/>
      <w:lvlJc w:val="left"/>
      <w:pPr>
        <w:tabs>
          <w:tab w:val="num" w:pos="2268"/>
        </w:tabs>
        <w:ind w:left="2268" w:hanging="170"/>
      </w:pPr>
      <w:rPr>
        <w:rFonts w:ascii="Times New Roman" w:hAnsi="Times New Roman" w:cs="Times New Roman" w:hint="default"/>
      </w:rPr>
    </w:lvl>
    <w:lvl w:ilvl="1" w:tplc="1F9A9FCA" w:tentative="1">
      <w:start w:val="1"/>
      <w:numFmt w:val="bullet"/>
      <w:lvlText w:val="o"/>
      <w:lvlJc w:val="left"/>
      <w:pPr>
        <w:tabs>
          <w:tab w:val="num" w:pos="3708"/>
        </w:tabs>
        <w:ind w:left="3708" w:hanging="360"/>
      </w:pPr>
      <w:rPr>
        <w:rFonts w:ascii="Courier New" w:hAnsi="Courier New" w:hint="default"/>
      </w:rPr>
    </w:lvl>
    <w:lvl w:ilvl="2" w:tplc="7A2E9B64" w:tentative="1">
      <w:start w:val="1"/>
      <w:numFmt w:val="bullet"/>
      <w:lvlText w:val=""/>
      <w:lvlJc w:val="left"/>
      <w:pPr>
        <w:tabs>
          <w:tab w:val="num" w:pos="4428"/>
        </w:tabs>
        <w:ind w:left="4428" w:hanging="360"/>
      </w:pPr>
      <w:rPr>
        <w:rFonts w:ascii="Wingdings" w:hAnsi="Wingdings" w:hint="default"/>
      </w:rPr>
    </w:lvl>
    <w:lvl w:ilvl="3" w:tplc="C3622F66" w:tentative="1">
      <w:start w:val="1"/>
      <w:numFmt w:val="bullet"/>
      <w:lvlText w:val=""/>
      <w:lvlJc w:val="left"/>
      <w:pPr>
        <w:tabs>
          <w:tab w:val="num" w:pos="5148"/>
        </w:tabs>
        <w:ind w:left="5148" w:hanging="360"/>
      </w:pPr>
      <w:rPr>
        <w:rFonts w:ascii="Symbol" w:hAnsi="Symbol" w:hint="default"/>
      </w:rPr>
    </w:lvl>
    <w:lvl w:ilvl="4" w:tplc="BCC0868E" w:tentative="1">
      <w:start w:val="1"/>
      <w:numFmt w:val="bullet"/>
      <w:lvlText w:val="o"/>
      <w:lvlJc w:val="left"/>
      <w:pPr>
        <w:tabs>
          <w:tab w:val="num" w:pos="5868"/>
        </w:tabs>
        <w:ind w:left="5868" w:hanging="360"/>
      </w:pPr>
      <w:rPr>
        <w:rFonts w:ascii="Courier New" w:hAnsi="Courier New" w:hint="default"/>
      </w:rPr>
    </w:lvl>
    <w:lvl w:ilvl="5" w:tplc="87CE68FC" w:tentative="1">
      <w:start w:val="1"/>
      <w:numFmt w:val="bullet"/>
      <w:lvlText w:val=""/>
      <w:lvlJc w:val="left"/>
      <w:pPr>
        <w:tabs>
          <w:tab w:val="num" w:pos="6588"/>
        </w:tabs>
        <w:ind w:left="6588" w:hanging="360"/>
      </w:pPr>
      <w:rPr>
        <w:rFonts w:ascii="Wingdings" w:hAnsi="Wingdings" w:hint="default"/>
      </w:rPr>
    </w:lvl>
    <w:lvl w:ilvl="6" w:tplc="F244C108" w:tentative="1">
      <w:start w:val="1"/>
      <w:numFmt w:val="bullet"/>
      <w:lvlText w:val=""/>
      <w:lvlJc w:val="left"/>
      <w:pPr>
        <w:tabs>
          <w:tab w:val="num" w:pos="7308"/>
        </w:tabs>
        <w:ind w:left="7308" w:hanging="360"/>
      </w:pPr>
      <w:rPr>
        <w:rFonts w:ascii="Symbol" w:hAnsi="Symbol" w:hint="default"/>
      </w:rPr>
    </w:lvl>
    <w:lvl w:ilvl="7" w:tplc="C6C86830" w:tentative="1">
      <w:start w:val="1"/>
      <w:numFmt w:val="bullet"/>
      <w:lvlText w:val="o"/>
      <w:lvlJc w:val="left"/>
      <w:pPr>
        <w:tabs>
          <w:tab w:val="num" w:pos="8028"/>
        </w:tabs>
        <w:ind w:left="8028" w:hanging="360"/>
      </w:pPr>
      <w:rPr>
        <w:rFonts w:ascii="Courier New" w:hAnsi="Courier New" w:hint="default"/>
      </w:rPr>
    </w:lvl>
    <w:lvl w:ilvl="8" w:tplc="778E22C8" w:tentative="1">
      <w:start w:val="1"/>
      <w:numFmt w:val="bullet"/>
      <w:lvlText w:val=""/>
      <w:lvlJc w:val="left"/>
      <w:pPr>
        <w:tabs>
          <w:tab w:val="num" w:pos="8748"/>
        </w:tabs>
        <w:ind w:left="8748" w:hanging="360"/>
      </w:pPr>
      <w:rPr>
        <w:rFonts w:ascii="Wingdings" w:hAnsi="Wingdings" w:hint="default"/>
      </w:rPr>
    </w:lvl>
  </w:abstractNum>
  <w:abstractNum w:abstractNumId="22" w15:restartNumberingAfterBreak="0">
    <w:nsid w:val="41103AD7"/>
    <w:multiLevelType w:val="hybridMultilevel"/>
    <w:tmpl w:val="A3EC095C"/>
    <w:lvl w:ilvl="0" w:tplc="90DA61A6">
      <w:start w:val="1"/>
      <w:numFmt w:val="decimal"/>
      <w:lvlText w:val="%1."/>
      <w:lvlJc w:val="left"/>
      <w:pPr>
        <w:ind w:left="1854" w:hanging="360"/>
      </w:pPr>
      <w:rPr>
        <w:rFonts w:hint="default"/>
        <w:b w:val="0"/>
      </w:rPr>
    </w:lvl>
    <w:lvl w:ilvl="1" w:tplc="918295FC">
      <w:start w:val="1"/>
      <w:numFmt w:val="lowerLetter"/>
      <w:lvlText w:val="%2)"/>
      <w:lvlJc w:val="left"/>
      <w:pPr>
        <w:ind w:left="3348" w:hanging="1134"/>
      </w:pPr>
      <w:rPr>
        <w:rFonts w:hint="default"/>
      </w:rPr>
    </w:lvl>
    <w:lvl w:ilvl="2" w:tplc="BC44F6F4">
      <w:start w:val="1"/>
      <w:numFmt w:val="decimal"/>
      <w:lvlText w:val="(%3)"/>
      <w:lvlJc w:val="left"/>
      <w:pPr>
        <w:ind w:left="3474" w:hanging="36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3" w15:restartNumberingAfterBreak="0">
    <w:nsid w:val="4D1C5FA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55B834FB"/>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5"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7" w15:restartNumberingAfterBreak="0">
    <w:nsid w:val="5E7D3283"/>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8" w15:restartNumberingAfterBreak="0">
    <w:nsid w:val="5F2E28B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0" w15:restartNumberingAfterBreak="0">
    <w:nsid w:val="68AD07B2"/>
    <w:multiLevelType w:val="hybridMultilevel"/>
    <w:tmpl w:val="7FEE3222"/>
    <w:lvl w:ilvl="0" w:tplc="BB8EB0B6">
      <w:start w:val="1"/>
      <w:numFmt w:val="bullet"/>
      <w:lvlText w:val="•"/>
      <w:lvlJc w:val="left"/>
      <w:pPr>
        <w:tabs>
          <w:tab w:val="num" w:pos="1701"/>
        </w:tabs>
        <w:ind w:left="1701" w:hanging="170"/>
      </w:pPr>
      <w:rPr>
        <w:rFonts w:ascii="Times New Roman" w:hAnsi="Times New Roman" w:cs="Times New Roman" w:hint="default"/>
      </w:rPr>
    </w:lvl>
    <w:lvl w:ilvl="1" w:tplc="A91ACD6A" w:tentative="1">
      <w:start w:val="1"/>
      <w:numFmt w:val="bullet"/>
      <w:lvlText w:val="o"/>
      <w:lvlJc w:val="left"/>
      <w:pPr>
        <w:tabs>
          <w:tab w:val="num" w:pos="3141"/>
        </w:tabs>
        <w:ind w:left="3141" w:hanging="360"/>
      </w:pPr>
      <w:rPr>
        <w:rFonts w:ascii="Courier New" w:hAnsi="Courier New" w:hint="default"/>
      </w:rPr>
    </w:lvl>
    <w:lvl w:ilvl="2" w:tplc="D110CB76" w:tentative="1">
      <w:start w:val="1"/>
      <w:numFmt w:val="bullet"/>
      <w:lvlText w:val=""/>
      <w:lvlJc w:val="left"/>
      <w:pPr>
        <w:tabs>
          <w:tab w:val="num" w:pos="3861"/>
        </w:tabs>
        <w:ind w:left="3861" w:hanging="360"/>
      </w:pPr>
      <w:rPr>
        <w:rFonts w:ascii="Wingdings" w:hAnsi="Wingdings" w:hint="default"/>
      </w:rPr>
    </w:lvl>
    <w:lvl w:ilvl="3" w:tplc="ED5ED338" w:tentative="1">
      <w:start w:val="1"/>
      <w:numFmt w:val="bullet"/>
      <w:lvlText w:val=""/>
      <w:lvlJc w:val="left"/>
      <w:pPr>
        <w:tabs>
          <w:tab w:val="num" w:pos="4581"/>
        </w:tabs>
        <w:ind w:left="4581" w:hanging="360"/>
      </w:pPr>
      <w:rPr>
        <w:rFonts w:ascii="Symbol" w:hAnsi="Symbol" w:hint="default"/>
      </w:rPr>
    </w:lvl>
    <w:lvl w:ilvl="4" w:tplc="B76E815C" w:tentative="1">
      <w:start w:val="1"/>
      <w:numFmt w:val="bullet"/>
      <w:lvlText w:val="o"/>
      <w:lvlJc w:val="left"/>
      <w:pPr>
        <w:tabs>
          <w:tab w:val="num" w:pos="5301"/>
        </w:tabs>
        <w:ind w:left="5301" w:hanging="360"/>
      </w:pPr>
      <w:rPr>
        <w:rFonts w:ascii="Courier New" w:hAnsi="Courier New" w:hint="default"/>
      </w:rPr>
    </w:lvl>
    <w:lvl w:ilvl="5" w:tplc="4E7682B8" w:tentative="1">
      <w:start w:val="1"/>
      <w:numFmt w:val="bullet"/>
      <w:lvlText w:val=""/>
      <w:lvlJc w:val="left"/>
      <w:pPr>
        <w:tabs>
          <w:tab w:val="num" w:pos="6021"/>
        </w:tabs>
        <w:ind w:left="6021" w:hanging="360"/>
      </w:pPr>
      <w:rPr>
        <w:rFonts w:ascii="Wingdings" w:hAnsi="Wingdings" w:hint="default"/>
      </w:rPr>
    </w:lvl>
    <w:lvl w:ilvl="6" w:tplc="2FAE6AEE" w:tentative="1">
      <w:start w:val="1"/>
      <w:numFmt w:val="bullet"/>
      <w:lvlText w:val=""/>
      <w:lvlJc w:val="left"/>
      <w:pPr>
        <w:tabs>
          <w:tab w:val="num" w:pos="6741"/>
        </w:tabs>
        <w:ind w:left="6741" w:hanging="360"/>
      </w:pPr>
      <w:rPr>
        <w:rFonts w:ascii="Symbol" w:hAnsi="Symbol" w:hint="default"/>
      </w:rPr>
    </w:lvl>
    <w:lvl w:ilvl="7" w:tplc="87C06BA8" w:tentative="1">
      <w:start w:val="1"/>
      <w:numFmt w:val="bullet"/>
      <w:lvlText w:val="o"/>
      <w:lvlJc w:val="left"/>
      <w:pPr>
        <w:tabs>
          <w:tab w:val="num" w:pos="7461"/>
        </w:tabs>
        <w:ind w:left="7461" w:hanging="360"/>
      </w:pPr>
      <w:rPr>
        <w:rFonts w:ascii="Courier New" w:hAnsi="Courier New" w:hint="default"/>
      </w:rPr>
    </w:lvl>
    <w:lvl w:ilvl="8" w:tplc="70BC45F2" w:tentative="1">
      <w:start w:val="1"/>
      <w:numFmt w:val="bullet"/>
      <w:lvlText w:val=""/>
      <w:lvlJc w:val="left"/>
      <w:pPr>
        <w:tabs>
          <w:tab w:val="num" w:pos="8181"/>
        </w:tabs>
        <w:ind w:left="8181" w:hanging="360"/>
      </w:pPr>
      <w:rPr>
        <w:rFonts w:ascii="Wingdings" w:hAnsi="Wingdings" w:hint="default"/>
      </w:rPr>
    </w:lvl>
  </w:abstractNum>
  <w:abstractNum w:abstractNumId="31"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D2E5F58"/>
    <w:multiLevelType w:val="hybridMultilevel"/>
    <w:tmpl w:val="F6D2842E"/>
    <w:lvl w:ilvl="0" w:tplc="F4282500">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F4282500">
      <w:start w:val="1"/>
      <w:numFmt w:val="lowerLetter"/>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3" w15:restartNumberingAfterBreak="0">
    <w:nsid w:val="70C80BB6"/>
    <w:multiLevelType w:val="hybridMultilevel"/>
    <w:tmpl w:val="DF4291B8"/>
    <w:lvl w:ilvl="0" w:tplc="F4282500">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4"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767238B8"/>
    <w:multiLevelType w:val="hybridMultilevel"/>
    <w:tmpl w:val="30B2916E"/>
    <w:lvl w:ilvl="0" w:tplc="F4282500">
      <w:start w:val="1"/>
      <w:numFmt w:val="lowerLetter"/>
      <w:lvlText w:val="(%1)"/>
      <w:lvlJc w:val="left"/>
      <w:pPr>
        <w:ind w:left="3474" w:hanging="360"/>
      </w:pPr>
      <w:rPr>
        <w:rFonts w:hint="default"/>
      </w:rPr>
    </w:lvl>
    <w:lvl w:ilvl="1" w:tplc="08090019" w:tentative="1">
      <w:start w:val="1"/>
      <w:numFmt w:val="lowerLetter"/>
      <w:lvlText w:val="%2."/>
      <w:lvlJc w:val="left"/>
      <w:pPr>
        <w:ind w:left="4194" w:hanging="360"/>
      </w:pPr>
    </w:lvl>
    <w:lvl w:ilvl="2" w:tplc="F4282500">
      <w:start w:val="1"/>
      <w:numFmt w:val="lowerLetter"/>
      <w:lvlText w:val="(%3)"/>
      <w:lvlJc w:val="left"/>
      <w:pPr>
        <w:ind w:left="4914" w:hanging="180"/>
      </w:pPr>
      <w:rPr>
        <w:rFonts w:hint="default"/>
      </w:rPr>
    </w:lvl>
    <w:lvl w:ilvl="3" w:tplc="0809000F" w:tentative="1">
      <w:start w:val="1"/>
      <w:numFmt w:val="decimal"/>
      <w:lvlText w:val="%4."/>
      <w:lvlJc w:val="left"/>
      <w:pPr>
        <w:ind w:left="5634" w:hanging="360"/>
      </w:pPr>
    </w:lvl>
    <w:lvl w:ilvl="4" w:tplc="08090019" w:tentative="1">
      <w:start w:val="1"/>
      <w:numFmt w:val="lowerLetter"/>
      <w:lvlText w:val="%5."/>
      <w:lvlJc w:val="left"/>
      <w:pPr>
        <w:ind w:left="6354" w:hanging="360"/>
      </w:pPr>
    </w:lvl>
    <w:lvl w:ilvl="5" w:tplc="0809001B" w:tentative="1">
      <w:start w:val="1"/>
      <w:numFmt w:val="lowerRoman"/>
      <w:lvlText w:val="%6."/>
      <w:lvlJc w:val="right"/>
      <w:pPr>
        <w:ind w:left="7074" w:hanging="180"/>
      </w:pPr>
    </w:lvl>
    <w:lvl w:ilvl="6" w:tplc="0809000F" w:tentative="1">
      <w:start w:val="1"/>
      <w:numFmt w:val="decimal"/>
      <w:lvlText w:val="%7."/>
      <w:lvlJc w:val="left"/>
      <w:pPr>
        <w:ind w:left="7794" w:hanging="360"/>
      </w:pPr>
    </w:lvl>
    <w:lvl w:ilvl="7" w:tplc="08090019" w:tentative="1">
      <w:start w:val="1"/>
      <w:numFmt w:val="lowerLetter"/>
      <w:lvlText w:val="%8."/>
      <w:lvlJc w:val="left"/>
      <w:pPr>
        <w:ind w:left="8514" w:hanging="360"/>
      </w:pPr>
    </w:lvl>
    <w:lvl w:ilvl="8" w:tplc="0809001B" w:tentative="1">
      <w:start w:val="1"/>
      <w:numFmt w:val="lowerRoman"/>
      <w:lvlText w:val="%9."/>
      <w:lvlJc w:val="right"/>
      <w:pPr>
        <w:ind w:left="9234" w:hanging="180"/>
      </w:pPr>
    </w:lvl>
  </w:abstractNum>
  <w:abstractNum w:abstractNumId="36" w15:restartNumberingAfterBreak="0">
    <w:nsid w:val="79D539CB"/>
    <w:multiLevelType w:val="hybridMultilevel"/>
    <w:tmpl w:val="CB54F260"/>
    <w:lvl w:ilvl="0" w:tplc="F4282500">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F4282500">
      <w:start w:val="1"/>
      <w:numFmt w:val="lowerLetter"/>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7"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31"/>
  </w:num>
  <w:num w:numId="2">
    <w:abstractNumId w:val="20"/>
  </w:num>
  <w:num w:numId="3">
    <w:abstractNumId w:val="37"/>
  </w:num>
  <w:num w:numId="4">
    <w:abstractNumId w:val="34"/>
  </w:num>
  <w:num w:numId="5">
    <w:abstractNumId w:val="26"/>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3"/>
  </w:num>
  <w:num w:numId="17">
    <w:abstractNumId w:val="18"/>
  </w:num>
  <w:num w:numId="18">
    <w:abstractNumId w:val="17"/>
  </w:num>
  <w:num w:numId="19">
    <w:abstractNumId w:val="10"/>
  </w:num>
  <w:num w:numId="20">
    <w:abstractNumId w:val="25"/>
  </w:num>
  <w:num w:numId="21">
    <w:abstractNumId w:val="29"/>
  </w:num>
  <w:num w:numId="22">
    <w:abstractNumId w:val="15"/>
  </w:num>
  <w:num w:numId="23">
    <w:abstractNumId w:val="30"/>
  </w:num>
  <w:num w:numId="24">
    <w:abstractNumId w:val="21"/>
  </w:num>
  <w:num w:numId="25">
    <w:abstractNumId w:val="12"/>
  </w:num>
  <w:num w:numId="26">
    <w:abstractNumId w:val="16"/>
  </w:num>
  <w:num w:numId="27">
    <w:abstractNumId w:val="22"/>
  </w:num>
  <w:num w:numId="28">
    <w:abstractNumId w:val="33"/>
  </w:num>
  <w:num w:numId="29">
    <w:abstractNumId w:val="36"/>
  </w:num>
  <w:num w:numId="30">
    <w:abstractNumId w:val="35"/>
  </w:num>
  <w:num w:numId="31">
    <w:abstractNumId w:val="32"/>
  </w:num>
  <w:num w:numId="32">
    <w:abstractNumId w:val="24"/>
  </w:num>
  <w:num w:numId="33">
    <w:abstractNumId w:val="23"/>
  </w:num>
  <w:num w:numId="34">
    <w:abstractNumId w:val="27"/>
  </w:num>
  <w:num w:numId="35">
    <w:abstractNumId w:val="14"/>
  </w:num>
  <w:num w:numId="36">
    <w:abstractNumId w:val="28"/>
  </w:num>
  <w:num w:numId="37">
    <w:abstractNumId w:val="11"/>
  </w:num>
  <w:num w:numId="38">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B81"/>
    <w:rsid w:val="00002131"/>
    <w:rsid w:val="0001747F"/>
    <w:rsid w:val="0002279D"/>
    <w:rsid w:val="00023B74"/>
    <w:rsid w:val="00031E39"/>
    <w:rsid w:val="00033EE1"/>
    <w:rsid w:val="00096BA3"/>
    <w:rsid w:val="000B57E7"/>
    <w:rsid w:val="000C0C75"/>
    <w:rsid w:val="000C54A1"/>
    <w:rsid w:val="000F09DF"/>
    <w:rsid w:val="000F61B2"/>
    <w:rsid w:val="001075E9"/>
    <w:rsid w:val="001256EA"/>
    <w:rsid w:val="00131715"/>
    <w:rsid w:val="00147E0E"/>
    <w:rsid w:val="00161852"/>
    <w:rsid w:val="00180183"/>
    <w:rsid w:val="001835D4"/>
    <w:rsid w:val="0018649F"/>
    <w:rsid w:val="00196389"/>
    <w:rsid w:val="001A21D8"/>
    <w:rsid w:val="001B269E"/>
    <w:rsid w:val="001B45D6"/>
    <w:rsid w:val="001B5FFA"/>
    <w:rsid w:val="001C7A89"/>
    <w:rsid w:val="001D1565"/>
    <w:rsid w:val="001F04A4"/>
    <w:rsid w:val="0022038F"/>
    <w:rsid w:val="00220F72"/>
    <w:rsid w:val="00240004"/>
    <w:rsid w:val="002720CE"/>
    <w:rsid w:val="002931F6"/>
    <w:rsid w:val="002A2EFC"/>
    <w:rsid w:val="002B0208"/>
    <w:rsid w:val="002C0E18"/>
    <w:rsid w:val="002D4970"/>
    <w:rsid w:val="002D5AAC"/>
    <w:rsid w:val="00301299"/>
    <w:rsid w:val="00322004"/>
    <w:rsid w:val="003231AF"/>
    <w:rsid w:val="0032448F"/>
    <w:rsid w:val="00325F12"/>
    <w:rsid w:val="0033201C"/>
    <w:rsid w:val="003402C2"/>
    <w:rsid w:val="003525B7"/>
    <w:rsid w:val="003538E7"/>
    <w:rsid w:val="00381C24"/>
    <w:rsid w:val="003958D0"/>
    <w:rsid w:val="003A1036"/>
    <w:rsid w:val="003A7565"/>
    <w:rsid w:val="003B00E5"/>
    <w:rsid w:val="003F10BE"/>
    <w:rsid w:val="004043B6"/>
    <w:rsid w:val="00414A16"/>
    <w:rsid w:val="00423624"/>
    <w:rsid w:val="00427F10"/>
    <w:rsid w:val="00454E07"/>
    <w:rsid w:val="00460292"/>
    <w:rsid w:val="004B2CE2"/>
    <w:rsid w:val="004D45DB"/>
    <w:rsid w:val="004E252F"/>
    <w:rsid w:val="0050108D"/>
    <w:rsid w:val="00517728"/>
    <w:rsid w:val="00520240"/>
    <w:rsid w:val="00523E75"/>
    <w:rsid w:val="00535FF7"/>
    <w:rsid w:val="00536DF4"/>
    <w:rsid w:val="00572E19"/>
    <w:rsid w:val="00594659"/>
    <w:rsid w:val="005A0383"/>
    <w:rsid w:val="005A182D"/>
    <w:rsid w:val="005C43E4"/>
    <w:rsid w:val="005D7179"/>
    <w:rsid w:val="005F0B42"/>
    <w:rsid w:val="005F2AD1"/>
    <w:rsid w:val="00624630"/>
    <w:rsid w:val="006B3A76"/>
    <w:rsid w:val="006C6A08"/>
    <w:rsid w:val="006E79BC"/>
    <w:rsid w:val="006F35EE"/>
    <w:rsid w:val="006F7B0F"/>
    <w:rsid w:val="007021FF"/>
    <w:rsid w:val="00740D9F"/>
    <w:rsid w:val="00757357"/>
    <w:rsid w:val="00767A25"/>
    <w:rsid w:val="007A059A"/>
    <w:rsid w:val="007B7A3B"/>
    <w:rsid w:val="007C2DEF"/>
    <w:rsid w:val="007D0A1F"/>
    <w:rsid w:val="007D1B32"/>
    <w:rsid w:val="007D431B"/>
    <w:rsid w:val="007E16A7"/>
    <w:rsid w:val="007F3812"/>
    <w:rsid w:val="007F4281"/>
    <w:rsid w:val="008136D8"/>
    <w:rsid w:val="00822F09"/>
    <w:rsid w:val="00834B71"/>
    <w:rsid w:val="0086445C"/>
    <w:rsid w:val="00867322"/>
    <w:rsid w:val="008675EF"/>
    <w:rsid w:val="00885E0D"/>
    <w:rsid w:val="00895F11"/>
    <w:rsid w:val="00896266"/>
    <w:rsid w:val="008A08D7"/>
    <w:rsid w:val="008A3EA3"/>
    <w:rsid w:val="008C2B1A"/>
    <w:rsid w:val="008D1450"/>
    <w:rsid w:val="008D228D"/>
    <w:rsid w:val="008D7E0A"/>
    <w:rsid w:val="008E1429"/>
    <w:rsid w:val="00906890"/>
    <w:rsid w:val="00925B81"/>
    <w:rsid w:val="00945724"/>
    <w:rsid w:val="00950538"/>
    <w:rsid w:val="00951972"/>
    <w:rsid w:val="0095553A"/>
    <w:rsid w:val="0097018D"/>
    <w:rsid w:val="009B520C"/>
    <w:rsid w:val="009B58DB"/>
    <w:rsid w:val="009C646E"/>
    <w:rsid w:val="009E1414"/>
    <w:rsid w:val="00A04AB0"/>
    <w:rsid w:val="00A43957"/>
    <w:rsid w:val="00A54C2C"/>
    <w:rsid w:val="00A5723C"/>
    <w:rsid w:val="00A5766B"/>
    <w:rsid w:val="00A917B3"/>
    <w:rsid w:val="00A9316D"/>
    <w:rsid w:val="00A97C80"/>
    <w:rsid w:val="00AB4B51"/>
    <w:rsid w:val="00AB6A51"/>
    <w:rsid w:val="00AE056E"/>
    <w:rsid w:val="00AF233A"/>
    <w:rsid w:val="00B10CC7"/>
    <w:rsid w:val="00B62458"/>
    <w:rsid w:val="00B8687E"/>
    <w:rsid w:val="00B92464"/>
    <w:rsid w:val="00B92948"/>
    <w:rsid w:val="00BA72B2"/>
    <w:rsid w:val="00BC73E8"/>
    <w:rsid w:val="00BD33EE"/>
    <w:rsid w:val="00BD70BA"/>
    <w:rsid w:val="00C0409C"/>
    <w:rsid w:val="00C20B4E"/>
    <w:rsid w:val="00C457D0"/>
    <w:rsid w:val="00C60F0C"/>
    <w:rsid w:val="00C64E6A"/>
    <w:rsid w:val="00C67843"/>
    <w:rsid w:val="00C7622E"/>
    <w:rsid w:val="00C805C9"/>
    <w:rsid w:val="00C92471"/>
    <w:rsid w:val="00CA1679"/>
    <w:rsid w:val="00CB10E8"/>
    <w:rsid w:val="00CB6838"/>
    <w:rsid w:val="00CD4DE4"/>
    <w:rsid w:val="00D15EAE"/>
    <w:rsid w:val="00D318C7"/>
    <w:rsid w:val="00D33D63"/>
    <w:rsid w:val="00D81B32"/>
    <w:rsid w:val="00D83653"/>
    <w:rsid w:val="00D90138"/>
    <w:rsid w:val="00DD299D"/>
    <w:rsid w:val="00DE02B2"/>
    <w:rsid w:val="00DF1649"/>
    <w:rsid w:val="00DF63E3"/>
    <w:rsid w:val="00E2328D"/>
    <w:rsid w:val="00E23796"/>
    <w:rsid w:val="00E73F76"/>
    <w:rsid w:val="00EA66DE"/>
    <w:rsid w:val="00EA791D"/>
    <w:rsid w:val="00EB6693"/>
    <w:rsid w:val="00EE1F7A"/>
    <w:rsid w:val="00EF1360"/>
    <w:rsid w:val="00EF3220"/>
    <w:rsid w:val="00F233A3"/>
    <w:rsid w:val="00F23FB6"/>
    <w:rsid w:val="00F50DE1"/>
    <w:rsid w:val="00F65F7A"/>
    <w:rsid w:val="00F80811"/>
    <w:rsid w:val="00F84A5C"/>
    <w:rsid w:val="00F90979"/>
    <w:rsid w:val="00F917AB"/>
    <w:rsid w:val="00F94155"/>
    <w:rsid w:val="00FA3077"/>
    <w:rsid w:val="00FB2D3D"/>
    <w:rsid w:val="00FD11CA"/>
    <w:rsid w:val="00FD2E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82EB51"/>
  <w15:docId w15:val="{BD422F44-30DC-4DA4-ADDB-718ECD331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A3EA3"/>
    <w:pPr>
      <w:spacing w:line="240" w:lineRule="atLeast"/>
    </w:pPr>
    <w:rPr>
      <w:lang w:val="es-ES" w:eastAsia="es-ES"/>
    </w:rPr>
  </w:style>
  <w:style w:type="paragraph" w:styleId="Ttulo1">
    <w:name w:val="heading 1"/>
    <w:aliases w:val="Table_G,Cuadro_G"/>
    <w:basedOn w:val="SingleTxtG"/>
    <w:next w:val="SingleTxtG"/>
    <w:link w:val="Ttulo1Car"/>
    <w:qFormat/>
    <w:rsid w:val="007F4281"/>
    <w:pPr>
      <w:keepNext/>
      <w:spacing w:after="0" w:line="240" w:lineRule="auto"/>
      <w:outlineLvl w:val="0"/>
    </w:pPr>
    <w:rPr>
      <w:rFonts w:cs="Arial"/>
      <w:bCs/>
      <w:szCs w:val="32"/>
    </w:rPr>
  </w:style>
  <w:style w:type="paragraph" w:styleId="Ttulo2">
    <w:name w:val="heading 2"/>
    <w:basedOn w:val="Normal"/>
    <w:next w:val="Normal"/>
    <w:link w:val="Ttulo2Car"/>
    <w:rsid w:val="008C2B1A"/>
    <w:pPr>
      <w:keepNext/>
      <w:outlineLvl w:val="1"/>
    </w:pPr>
    <w:rPr>
      <w:rFonts w:cs="Arial"/>
      <w:bCs/>
      <w:iCs/>
      <w:szCs w:val="28"/>
    </w:rPr>
  </w:style>
  <w:style w:type="paragraph" w:styleId="Ttulo3">
    <w:name w:val="heading 3"/>
    <w:basedOn w:val="Normal"/>
    <w:next w:val="Normal"/>
    <w:link w:val="Ttulo3Car"/>
    <w:rsid w:val="008C2B1A"/>
    <w:pPr>
      <w:keepNext/>
      <w:spacing w:before="240" w:after="60"/>
      <w:outlineLvl w:val="2"/>
    </w:pPr>
    <w:rPr>
      <w:rFonts w:ascii="Arial" w:hAnsi="Arial" w:cs="Arial"/>
      <w:b/>
      <w:bCs/>
      <w:sz w:val="26"/>
      <w:szCs w:val="26"/>
    </w:rPr>
  </w:style>
  <w:style w:type="paragraph" w:styleId="Ttulo4">
    <w:name w:val="heading 4"/>
    <w:basedOn w:val="Normal"/>
    <w:next w:val="Normal"/>
    <w:link w:val="Ttulo4Car"/>
    <w:rsid w:val="008C2B1A"/>
    <w:pPr>
      <w:keepNext/>
      <w:spacing w:before="240" w:after="60"/>
      <w:outlineLvl w:val="3"/>
    </w:pPr>
    <w:rPr>
      <w:b/>
      <w:bCs/>
      <w:sz w:val="28"/>
      <w:szCs w:val="28"/>
    </w:rPr>
  </w:style>
  <w:style w:type="paragraph" w:styleId="Ttulo5">
    <w:name w:val="heading 5"/>
    <w:basedOn w:val="Normal"/>
    <w:next w:val="Normal"/>
    <w:link w:val="Ttulo5Car"/>
    <w:rsid w:val="008C2B1A"/>
    <w:pPr>
      <w:spacing w:before="240" w:after="60"/>
      <w:outlineLvl w:val="4"/>
    </w:pPr>
    <w:rPr>
      <w:b/>
      <w:bCs/>
      <w:i/>
      <w:iCs/>
      <w:sz w:val="26"/>
      <w:szCs w:val="26"/>
    </w:rPr>
  </w:style>
  <w:style w:type="paragraph" w:styleId="Ttulo6">
    <w:name w:val="heading 6"/>
    <w:basedOn w:val="Normal"/>
    <w:next w:val="Normal"/>
    <w:link w:val="Ttulo6Car"/>
    <w:rsid w:val="008C2B1A"/>
    <w:pPr>
      <w:spacing w:before="240" w:after="60"/>
      <w:outlineLvl w:val="5"/>
    </w:pPr>
    <w:rPr>
      <w:b/>
      <w:bCs/>
      <w:sz w:val="22"/>
      <w:szCs w:val="22"/>
    </w:rPr>
  </w:style>
  <w:style w:type="paragraph" w:styleId="Ttulo7">
    <w:name w:val="heading 7"/>
    <w:basedOn w:val="Normal"/>
    <w:next w:val="Normal"/>
    <w:link w:val="Ttulo7Car"/>
    <w:rsid w:val="008C2B1A"/>
    <w:pPr>
      <w:spacing w:before="240" w:after="60"/>
      <w:outlineLvl w:val="6"/>
    </w:pPr>
    <w:rPr>
      <w:sz w:val="24"/>
      <w:szCs w:val="24"/>
    </w:rPr>
  </w:style>
  <w:style w:type="paragraph" w:styleId="Ttulo8">
    <w:name w:val="heading 8"/>
    <w:basedOn w:val="Normal"/>
    <w:next w:val="Normal"/>
    <w:link w:val="Ttulo8Car"/>
    <w:rsid w:val="008C2B1A"/>
    <w:pPr>
      <w:spacing w:before="240" w:after="60"/>
      <w:outlineLvl w:val="7"/>
    </w:pPr>
    <w:rPr>
      <w:i/>
      <w:iCs/>
      <w:sz w:val="24"/>
      <w:szCs w:val="24"/>
    </w:rPr>
  </w:style>
  <w:style w:type="paragraph" w:styleId="Ttulo9">
    <w:name w:val="heading 9"/>
    <w:basedOn w:val="Normal"/>
    <w:next w:val="Normal"/>
    <w:link w:val="Ttulo9Car"/>
    <w:rsid w:val="008C2B1A"/>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8C2B1A"/>
    <w:rPr>
      <w:rFonts w:ascii="Times New Roman" w:hAnsi="Times New Roman"/>
      <w:sz w:val="18"/>
      <w:vertAlign w:val="superscript"/>
    </w:rPr>
  </w:style>
  <w:style w:type="paragraph" w:customStyle="1" w:styleId="HMG">
    <w:name w:val="_ H __M_G"/>
    <w:basedOn w:val="Normal"/>
    <w:next w:val="Normal"/>
    <w:qFormat/>
    <w:rsid w:val="008C2B1A"/>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8C2B1A"/>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8C2B1A"/>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8C2B1A"/>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8C2B1A"/>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8C2B1A"/>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
    <w:basedOn w:val="Normal"/>
    <w:next w:val="Normal"/>
    <w:link w:val="EncabezadoCar"/>
    <w:qFormat/>
    <w:rsid w:val="001B5FFA"/>
    <w:pPr>
      <w:pBdr>
        <w:bottom w:val="single" w:sz="4" w:space="4" w:color="auto"/>
      </w:pBdr>
      <w:spacing w:line="240" w:lineRule="auto"/>
    </w:pPr>
    <w:rPr>
      <w:b/>
      <w:sz w:val="18"/>
    </w:rPr>
  </w:style>
  <w:style w:type="paragraph" w:customStyle="1" w:styleId="SingleTxtG">
    <w:name w:val="_ Single Txt_G"/>
    <w:basedOn w:val="Normal"/>
    <w:link w:val="SingleTxtGChar"/>
    <w:qFormat/>
    <w:rsid w:val="008C2B1A"/>
    <w:pPr>
      <w:tabs>
        <w:tab w:val="left" w:pos="1701"/>
        <w:tab w:val="left" w:pos="2268"/>
        <w:tab w:val="left" w:pos="2835"/>
      </w:tabs>
      <w:spacing w:after="120"/>
      <w:ind w:left="1134" w:right="1134"/>
      <w:jc w:val="both"/>
    </w:pPr>
  </w:style>
  <w:style w:type="paragraph" w:customStyle="1" w:styleId="SMG">
    <w:name w:val="__S_M_G"/>
    <w:basedOn w:val="Normal"/>
    <w:next w:val="Normal"/>
    <w:rsid w:val="008C2B1A"/>
    <w:pPr>
      <w:keepNext/>
      <w:keepLines/>
      <w:suppressAutoHyphens/>
      <w:spacing w:before="240" w:after="240" w:line="420" w:lineRule="exact"/>
      <w:ind w:left="1134" w:right="1134"/>
    </w:pPr>
    <w:rPr>
      <w:b/>
      <w:sz w:val="40"/>
    </w:rPr>
  </w:style>
  <w:style w:type="paragraph" w:customStyle="1" w:styleId="SLG">
    <w:name w:val="__S_L_G"/>
    <w:basedOn w:val="Normal"/>
    <w:next w:val="Normal"/>
    <w:rsid w:val="008C2B1A"/>
    <w:pPr>
      <w:keepNext/>
      <w:keepLines/>
      <w:spacing w:before="240" w:after="240" w:line="580" w:lineRule="exact"/>
      <w:ind w:left="1134" w:right="1134"/>
    </w:pPr>
    <w:rPr>
      <w:b/>
      <w:sz w:val="56"/>
    </w:rPr>
  </w:style>
  <w:style w:type="paragraph" w:customStyle="1" w:styleId="SSG">
    <w:name w:val="__S_S_G"/>
    <w:basedOn w:val="Normal"/>
    <w:next w:val="Normal"/>
    <w:rsid w:val="008C2B1A"/>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qFormat/>
    <w:rsid w:val="008C2B1A"/>
    <w:rPr>
      <w:sz w:val="16"/>
    </w:rPr>
  </w:style>
  <w:style w:type="paragraph" w:customStyle="1" w:styleId="XLargeG">
    <w:name w:val="__XLarge_G"/>
    <w:basedOn w:val="Normal"/>
    <w:next w:val="Normal"/>
    <w:rsid w:val="008C2B1A"/>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8C2B1A"/>
    <w:pPr>
      <w:tabs>
        <w:tab w:val="right" w:pos="1021"/>
      </w:tabs>
      <w:spacing w:line="220" w:lineRule="exact"/>
      <w:ind w:left="1134" w:right="1134" w:hanging="1134"/>
    </w:pPr>
    <w:rPr>
      <w:sz w:val="18"/>
    </w:rPr>
  </w:style>
  <w:style w:type="table" w:styleId="Tablaconcuadrcula">
    <w:name w:val="Table Grid"/>
    <w:basedOn w:val="Tablanormal"/>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8C2B1A"/>
    <w:pPr>
      <w:numPr>
        <w:numId w:val="3"/>
      </w:numPr>
    </w:pPr>
  </w:style>
  <w:style w:type="numbering" w:styleId="1ai">
    <w:name w:val="Outline List 1"/>
    <w:basedOn w:val="Sinlista"/>
    <w:rsid w:val="008C2B1A"/>
    <w:pPr>
      <w:numPr>
        <w:numId w:val="4"/>
      </w:numPr>
    </w:pPr>
  </w:style>
  <w:style w:type="character" w:styleId="AcrnimoHTML">
    <w:name w:val="HTML Acronym"/>
    <w:basedOn w:val="Fuentedeprrafopredeter"/>
    <w:semiHidden/>
    <w:rsid w:val="008C2B1A"/>
  </w:style>
  <w:style w:type="numbering" w:styleId="ArtculoSeccin">
    <w:name w:val="Outline List 3"/>
    <w:basedOn w:val="Sinlista"/>
    <w:rsid w:val="008C2B1A"/>
    <w:pPr>
      <w:numPr>
        <w:numId w:val="5"/>
      </w:numPr>
    </w:pPr>
  </w:style>
  <w:style w:type="paragraph" w:styleId="Cierre">
    <w:name w:val="Closing"/>
    <w:basedOn w:val="Normal"/>
    <w:link w:val="CierreCar"/>
    <w:semiHidden/>
    <w:rsid w:val="008C2B1A"/>
    <w:pPr>
      <w:ind w:left="4252"/>
    </w:pPr>
  </w:style>
  <w:style w:type="character" w:styleId="CitaHTML">
    <w:name w:val="HTML Cite"/>
    <w:basedOn w:val="Fuentedeprrafopredeter"/>
    <w:semiHidden/>
    <w:rsid w:val="008C2B1A"/>
    <w:rPr>
      <w:i/>
      <w:iCs/>
    </w:rPr>
  </w:style>
  <w:style w:type="character" w:styleId="CdigoHTML">
    <w:name w:val="HTML Code"/>
    <w:basedOn w:val="Fuentedeprrafopredeter"/>
    <w:semiHidden/>
    <w:rsid w:val="008C2B1A"/>
    <w:rPr>
      <w:rFonts w:ascii="Courier New" w:hAnsi="Courier New" w:cs="Courier New"/>
      <w:sz w:val="20"/>
      <w:szCs w:val="20"/>
    </w:rPr>
  </w:style>
  <w:style w:type="paragraph" w:styleId="Continuarlista">
    <w:name w:val="List Continue"/>
    <w:basedOn w:val="Normal"/>
    <w:semiHidden/>
    <w:rsid w:val="008C2B1A"/>
    <w:pPr>
      <w:spacing w:after="120"/>
      <w:ind w:left="283"/>
    </w:pPr>
  </w:style>
  <w:style w:type="paragraph" w:styleId="Continuarlista2">
    <w:name w:val="List Continue 2"/>
    <w:basedOn w:val="Normal"/>
    <w:semiHidden/>
    <w:rsid w:val="008C2B1A"/>
    <w:pPr>
      <w:spacing w:after="120"/>
      <w:ind w:left="566"/>
    </w:pPr>
  </w:style>
  <w:style w:type="paragraph" w:styleId="Continuarlista3">
    <w:name w:val="List Continue 3"/>
    <w:basedOn w:val="Normal"/>
    <w:semiHidden/>
    <w:rsid w:val="008C2B1A"/>
    <w:pPr>
      <w:spacing w:after="120"/>
      <w:ind w:left="849"/>
    </w:pPr>
  </w:style>
  <w:style w:type="paragraph" w:styleId="Continuarlista4">
    <w:name w:val="List Continue 4"/>
    <w:basedOn w:val="Normal"/>
    <w:semiHidden/>
    <w:rsid w:val="008C2B1A"/>
    <w:pPr>
      <w:spacing w:after="120"/>
      <w:ind w:left="1132"/>
    </w:pPr>
  </w:style>
  <w:style w:type="paragraph" w:styleId="Continuarlista5">
    <w:name w:val="List Continue 5"/>
    <w:basedOn w:val="Normal"/>
    <w:semiHidden/>
    <w:rsid w:val="008C2B1A"/>
    <w:pPr>
      <w:spacing w:after="120"/>
      <w:ind w:left="1415"/>
    </w:pPr>
  </w:style>
  <w:style w:type="character" w:styleId="DefinicinHTML">
    <w:name w:val="HTML Definition"/>
    <w:basedOn w:val="Fuentedeprrafopredeter"/>
    <w:semiHidden/>
    <w:rsid w:val="008C2B1A"/>
    <w:rPr>
      <w:i/>
      <w:iCs/>
    </w:rPr>
  </w:style>
  <w:style w:type="paragraph" w:styleId="DireccinHTML">
    <w:name w:val="HTML Address"/>
    <w:basedOn w:val="Normal"/>
    <w:link w:val="DireccinHTMLCar"/>
    <w:semiHidden/>
    <w:rsid w:val="008C2B1A"/>
    <w:rPr>
      <w:i/>
      <w:iCs/>
    </w:rPr>
  </w:style>
  <w:style w:type="paragraph" w:styleId="Direccinsobre">
    <w:name w:val="envelope address"/>
    <w:basedOn w:val="Normal"/>
    <w:semiHidden/>
    <w:rsid w:val="008C2B1A"/>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8C2B1A"/>
    <w:rPr>
      <w:rFonts w:ascii="Courier New" w:hAnsi="Courier New" w:cs="Courier New"/>
    </w:rPr>
  </w:style>
  <w:style w:type="paragraph" w:styleId="Encabezadodemensaje">
    <w:name w:val="Message Header"/>
    <w:basedOn w:val="Normal"/>
    <w:link w:val="EncabezadodemensajeCar"/>
    <w:semiHidden/>
    <w:rsid w:val="008C2B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8C2B1A"/>
  </w:style>
  <w:style w:type="character" w:styleId="nfasis">
    <w:name w:val="Emphasis"/>
    <w:basedOn w:val="Fuentedeprrafopredeter"/>
    <w:semiHidden/>
    <w:rsid w:val="008C2B1A"/>
    <w:rPr>
      <w:i/>
      <w:iCs/>
    </w:rPr>
  </w:style>
  <w:style w:type="paragraph" w:styleId="Fecha">
    <w:name w:val="Date"/>
    <w:basedOn w:val="Normal"/>
    <w:next w:val="Normal"/>
    <w:link w:val="FechaCar"/>
    <w:semiHidden/>
    <w:rsid w:val="008C2B1A"/>
  </w:style>
  <w:style w:type="paragraph" w:styleId="Firma">
    <w:name w:val="Signature"/>
    <w:basedOn w:val="Normal"/>
    <w:link w:val="FirmaCar"/>
    <w:semiHidden/>
    <w:rsid w:val="008C2B1A"/>
    <w:pPr>
      <w:ind w:left="4252"/>
    </w:pPr>
  </w:style>
  <w:style w:type="paragraph" w:styleId="Firmadecorreoelectrnico">
    <w:name w:val="E-mail Signature"/>
    <w:basedOn w:val="Normal"/>
    <w:link w:val="FirmadecorreoelectrnicoCar"/>
    <w:semiHidden/>
    <w:rsid w:val="008C2B1A"/>
  </w:style>
  <w:style w:type="character" w:styleId="Hipervnculo">
    <w:name w:val="Hyperlink"/>
    <w:basedOn w:val="Fuentedeprrafopredeter"/>
    <w:rsid w:val="009E1414"/>
    <w:rPr>
      <w:color w:val="0000FF"/>
      <w:u w:val="none"/>
    </w:rPr>
  </w:style>
  <w:style w:type="character" w:styleId="Hipervnculovisitado">
    <w:name w:val="FollowedHyperlink"/>
    <w:basedOn w:val="Fuentedeprrafopredeter"/>
    <w:rsid w:val="009E1414"/>
    <w:rPr>
      <w:color w:val="0000FF"/>
      <w:u w:val="none"/>
    </w:rPr>
  </w:style>
  <w:style w:type="paragraph" w:styleId="HTMLconformatoprevio">
    <w:name w:val="HTML Preformatted"/>
    <w:basedOn w:val="Normal"/>
    <w:link w:val="HTMLconformatoprevioCar"/>
    <w:semiHidden/>
    <w:rsid w:val="008C2B1A"/>
    <w:rPr>
      <w:rFonts w:ascii="Courier New" w:hAnsi="Courier New" w:cs="Courier New"/>
    </w:rPr>
  </w:style>
  <w:style w:type="paragraph" w:styleId="Lista">
    <w:name w:val="List"/>
    <w:basedOn w:val="Normal"/>
    <w:semiHidden/>
    <w:rsid w:val="008C2B1A"/>
    <w:pPr>
      <w:ind w:left="283" w:hanging="283"/>
    </w:pPr>
  </w:style>
  <w:style w:type="paragraph" w:styleId="Lista2">
    <w:name w:val="List 2"/>
    <w:basedOn w:val="Normal"/>
    <w:semiHidden/>
    <w:rsid w:val="008C2B1A"/>
    <w:pPr>
      <w:ind w:left="566" w:hanging="283"/>
    </w:pPr>
  </w:style>
  <w:style w:type="paragraph" w:styleId="Lista3">
    <w:name w:val="List 3"/>
    <w:basedOn w:val="Normal"/>
    <w:semiHidden/>
    <w:rsid w:val="008C2B1A"/>
    <w:pPr>
      <w:ind w:left="849" w:hanging="283"/>
    </w:pPr>
  </w:style>
  <w:style w:type="paragraph" w:styleId="Lista4">
    <w:name w:val="List 4"/>
    <w:basedOn w:val="Normal"/>
    <w:semiHidden/>
    <w:rsid w:val="008C2B1A"/>
    <w:pPr>
      <w:ind w:left="1132" w:hanging="283"/>
    </w:pPr>
  </w:style>
  <w:style w:type="paragraph" w:styleId="Lista5">
    <w:name w:val="List 5"/>
    <w:basedOn w:val="Normal"/>
    <w:semiHidden/>
    <w:rsid w:val="008C2B1A"/>
    <w:pPr>
      <w:ind w:left="1415" w:hanging="283"/>
    </w:pPr>
  </w:style>
  <w:style w:type="paragraph" w:styleId="Listaconnmeros">
    <w:name w:val="List Number"/>
    <w:basedOn w:val="Normal"/>
    <w:semiHidden/>
    <w:rsid w:val="008C2B1A"/>
    <w:pPr>
      <w:numPr>
        <w:numId w:val="6"/>
      </w:numPr>
    </w:pPr>
  </w:style>
  <w:style w:type="paragraph" w:styleId="Listaconnmeros2">
    <w:name w:val="List Number 2"/>
    <w:basedOn w:val="Normal"/>
    <w:semiHidden/>
    <w:rsid w:val="008C2B1A"/>
    <w:pPr>
      <w:numPr>
        <w:numId w:val="7"/>
      </w:numPr>
    </w:pPr>
  </w:style>
  <w:style w:type="paragraph" w:styleId="Listaconnmeros3">
    <w:name w:val="List Number 3"/>
    <w:basedOn w:val="Normal"/>
    <w:semiHidden/>
    <w:rsid w:val="008C2B1A"/>
    <w:pPr>
      <w:numPr>
        <w:numId w:val="8"/>
      </w:numPr>
    </w:pPr>
  </w:style>
  <w:style w:type="paragraph" w:styleId="Listaconnmeros4">
    <w:name w:val="List Number 4"/>
    <w:basedOn w:val="Normal"/>
    <w:semiHidden/>
    <w:rsid w:val="008C2B1A"/>
    <w:pPr>
      <w:numPr>
        <w:numId w:val="9"/>
      </w:numPr>
    </w:pPr>
  </w:style>
  <w:style w:type="paragraph" w:styleId="Listaconnmeros5">
    <w:name w:val="List Number 5"/>
    <w:basedOn w:val="Normal"/>
    <w:semiHidden/>
    <w:rsid w:val="008C2B1A"/>
    <w:pPr>
      <w:numPr>
        <w:numId w:val="10"/>
      </w:numPr>
    </w:pPr>
  </w:style>
  <w:style w:type="paragraph" w:styleId="Listaconvietas">
    <w:name w:val="List Bullet"/>
    <w:basedOn w:val="Normal"/>
    <w:semiHidden/>
    <w:rsid w:val="008C2B1A"/>
    <w:pPr>
      <w:numPr>
        <w:numId w:val="11"/>
      </w:numPr>
    </w:pPr>
  </w:style>
  <w:style w:type="paragraph" w:styleId="Listaconvietas2">
    <w:name w:val="List Bullet 2"/>
    <w:basedOn w:val="Normal"/>
    <w:semiHidden/>
    <w:rsid w:val="008C2B1A"/>
    <w:pPr>
      <w:numPr>
        <w:numId w:val="12"/>
      </w:numPr>
    </w:pPr>
  </w:style>
  <w:style w:type="paragraph" w:styleId="Listaconvietas3">
    <w:name w:val="List Bullet 3"/>
    <w:basedOn w:val="Normal"/>
    <w:semiHidden/>
    <w:rsid w:val="008C2B1A"/>
    <w:pPr>
      <w:numPr>
        <w:numId w:val="13"/>
      </w:numPr>
    </w:pPr>
  </w:style>
  <w:style w:type="paragraph" w:styleId="Listaconvietas4">
    <w:name w:val="List Bullet 4"/>
    <w:basedOn w:val="Normal"/>
    <w:semiHidden/>
    <w:rsid w:val="008C2B1A"/>
    <w:pPr>
      <w:numPr>
        <w:numId w:val="14"/>
      </w:numPr>
    </w:pPr>
  </w:style>
  <w:style w:type="paragraph" w:styleId="Listaconvietas5">
    <w:name w:val="List Bullet 5"/>
    <w:basedOn w:val="Normal"/>
    <w:semiHidden/>
    <w:rsid w:val="008C2B1A"/>
    <w:pPr>
      <w:numPr>
        <w:numId w:val="15"/>
      </w:numPr>
    </w:pPr>
  </w:style>
  <w:style w:type="character" w:styleId="MquinadeescribirHTML">
    <w:name w:val="HTML Typewriter"/>
    <w:basedOn w:val="Fuentedeprrafopredeter"/>
    <w:semiHidden/>
    <w:rsid w:val="008C2B1A"/>
    <w:rPr>
      <w:rFonts w:ascii="Courier New" w:hAnsi="Courier New" w:cs="Courier New"/>
      <w:sz w:val="20"/>
      <w:szCs w:val="20"/>
    </w:rPr>
  </w:style>
  <w:style w:type="paragraph" w:styleId="NormalWeb">
    <w:name w:val="Normal (Web)"/>
    <w:basedOn w:val="Normal"/>
    <w:semiHidden/>
    <w:rsid w:val="008C2B1A"/>
    <w:rPr>
      <w:sz w:val="24"/>
      <w:szCs w:val="24"/>
    </w:rPr>
  </w:style>
  <w:style w:type="character" w:styleId="Nmerodelnea">
    <w:name w:val="line number"/>
    <w:basedOn w:val="Fuentedeprrafopredeter"/>
    <w:semiHidden/>
    <w:rsid w:val="008C2B1A"/>
  </w:style>
  <w:style w:type="character" w:styleId="Nmerodepgina">
    <w:name w:val="page number"/>
    <w:aliases w:val="7_G"/>
    <w:basedOn w:val="Fuentedeprrafopredeter"/>
    <w:qFormat/>
    <w:rsid w:val="008C2B1A"/>
    <w:rPr>
      <w:b/>
      <w:sz w:val="18"/>
    </w:rPr>
  </w:style>
  <w:style w:type="character" w:styleId="Refdenotaalfinal">
    <w:name w:val="endnote reference"/>
    <w:aliases w:val="1_G"/>
    <w:basedOn w:val="Refdenotaalpie"/>
    <w:qFormat/>
    <w:rsid w:val="008C2B1A"/>
    <w:rPr>
      <w:rFonts w:ascii="Times New Roman" w:hAnsi="Times New Roman"/>
      <w:sz w:val="18"/>
      <w:vertAlign w:val="superscript"/>
    </w:rPr>
  </w:style>
  <w:style w:type="paragraph" w:styleId="Remitedesobre">
    <w:name w:val="envelope return"/>
    <w:basedOn w:val="Normal"/>
    <w:semiHidden/>
    <w:rsid w:val="008C2B1A"/>
    <w:rPr>
      <w:rFonts w:ascii="Arial" w:hAnsi="Arial" w:cs="Arial"/>
    </w:rPr>
  </w:style>
  <w:style w:type="paragraph" w:styleId="Saludo">
    <w:name w:val="Salutation"/>
    <w:basedOn w:val="Normal"/>
    <w:next w:val="Normal"/>
    <w:link w:val="SaludoCar"/>
    <w:semiHidden/>
    <w:rsid w:val="008C2B1A"/>
  </w:style>
  <w:style w:type="paragraph" w:styleId="Sangra2detindependiente">
    <w:name w:val="Body Text Indent 2"/>
    <w:basedOn w:val="Normal"/>
    <w:link w:val="Sangra2detindependienteCar"/>
    <w:semiHidden/>
    <w:rsid w:val="008C2B1A"/>
    <w:pPr>
      <w:spacing w:after="120" w:line="480" w:lineRule="auto"/>
      <w:ind w:left="283"/>
    </w:pPr>
  </w:style>
  <w:style w:type="paragraph" w:styleId="Sangra3detindependiente">
    <w:name w:val="Body Text Indent 3"/>
    <w:basedOn w:val="Normal"/>
    <w:link w:val="Sangra3detindependienteCar"/>
    <w:semiHidden/>
    <w:rsid w:val="008C2B1A"/>
    <w:pPr>
      <w:spacing w:after="120"/>
      <w:ind w:left="283"/>
    </w:pPr>
    <w:rPr>
      <w:sz w:val="16"/>
      <w:szCs w:val="16"/>
    </w:rPr>
  </w:style>
  <w:style w:type="paragraph" w:styleId="Sangradetextonormal">
    <w:name w:val="Body Text Indent"/>
    <w:basedOn w:val="Normal"/>
    <w:link w:val="SangradetextonormalCar"/>
    <w:semiHidden/>
    <w:rsid w:val="008C2B1A"/>
    <w:pPr>
      <w:spacing w:after="120"/>
      <w:ind w:left="283"/>
    </w:pPr>
  </w:style>
  <w:style w:type="paragraph" w:styleId="Sangranormal">
    <w:name w:val="Normal Indent"/>
    <w:basedOn w:val="Normal"/>
    <w:semiHidden/>
    <w:rsid w:val="008C2B1A"/>
    <w:pPr>
      <w:ind w:left="567"/>
    </w:pPr>
  </w:style>
  <w:style w:type="paragraph" w:styleId="Subttulo">
    <w:name w:val="Subtitle"/>
    <w:basedOn w:val="Normal"/>
    <w:link w:val="SubttuloCar"/>
    <w:semiHidden/>
    <w:rsid w:val="008C2B1A"/>
    <w:pPr>
      <w:spacing w:after="60"/>
      <w:jc w:val="center"/>
      <w:outlineLvl w:val="1"/>
    </w:pPr>
    <w:rPr>
      <w:rFonts w:ascii="Arial" w:hAnsi="Arial" w:cs="Arial"/>
      <w:sz w:val="24"/>
      <w:szCs w:val="24"/>
    </w:rPr>
  </w:style>
  <w:style w:type="table" w:styleId="Tablabsica1">
    <w:name w:val="Table Simple 1"/>
    <w:basedOn w:val="Tablanormal"/>
    <w:rsid w:val="008C2B1A"/>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8C2B1A"/>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8C2B1A"/>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8C2B1A"/>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8C2B1A"/>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8C2B1A"/>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8C2B1A"/>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8C2B1A"/>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8C2B1A"/>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8C2B1A"/>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8C2B1A"/>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8C2B1A"/>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rsid w:val="008C2B1A"/>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rsid w:val="008C2B1A"/>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8C2B1A"/>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8C2B1A"/>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8C2B1A"/>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8C2B1A"/>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8C2B1A"/>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8C2B1A"/>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8C2B1A"/>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8C2B1A"/>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8C2B1A"/>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8C2B1A"/>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8C2B1A"/>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8C2B1A"/>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8C2B1A"/>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8C2B1A"/>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8C2B1A"/>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8C2B1A"/>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8C2B1A"/>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8C2B1A"/>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8C2B1A"/>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8C2B1A"/>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8C2B1A"/>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8C2B1A"/>
    <w:rPr>
      <w:rFonts w:ascii="Courier New" w:hAnsi="Courier New" w:cs="Courier New"/>
      <w:sz w:val="20"/>
      <w:szCs w:val="20"/>
    </w:rPr>
  </w:style>
  <w:style w:type="paragraph" w:styleId="Textodebloque">
    <w:name w:val="Block Text"/>
    <w:basedOn w:val="Normal"/>
    <w:semiHidden/>
    <w:rsid w:val="008C2B1A"/>
    <w:pPr>
      <w:spacing w:after="120"/>
      <w:ind w:left="1440" w:right="1440"/>
    </w:pPr>
  </w:style>
  <w:style w:type="character" w:styleId="Textoennegrita">
    <w:name w:val="Strong"/>
    <w:basedOn w:val="Fuentedeprrafopredeter"/>
    <w:semiHidden/>
    <w:rsid w:val="008C2B1A"/>
    <w:rPr>
      <w:b/>
      <w:bCs/>
    </w:rPr>
  </w:style>
  <w:style w:type="paragraph" w:styleId="Textoindependiente">
    <w:name w:val="Body Text"/>
    <w:basedOn w:val="Normal"/>
    <w:link w:val="TextoindependienteCar"/>
    <w:semiHidden/>
    <w:rsid w:val="008C2B1A"/>
    <w:pPr>
      <w:spacing w:after="120"/>
    </w:pPr>
  </w:style>
  <w:style w:type="paragraph" w:styleId="Textoindependiente2">
    <w:name w:val="Body Text 2"/>
    <w:basedOn w:val="Normal"/>
    <w:link w:val="Textoindependiente2Car"/>
    <w:semiHidden/>
    <w:rsid w:val="008C2B1A"/>
    <w:pPr>
      <w:spacing w:after="120" w:line="480" w:lineRule="auto"/>
    </w:pPr>
  </w:style>
  <w:style w:type="paragraph" w:styleId="Textoindependiente3">
    <w:name w:val="Body Text 3"/>
    <w:basedOn w:val="Normal"/>
    <w:link w:val="Textoindependiente3Car"/>
    <w:semiHidden/>
    <w:rsid w:val="008C2B1A"/>
    <w:pPr>
      <w:spacing w:after="120"/>
    </w:pPr>
    <w:rPr>
      <w:sz w:val="16"/>
      <w:szCs w:val="16"/>
    </w:rPr>
  </w:style>
  <w:style w:type="paragraph" w:styleId="Textoindependienteprimerasangra">
    <w:name w:val="Body Text First Indent"/>
    <w:basedOn w:val="Textoindependiente"/>
    <w:link w:val="TextoindependienteprimerasangraCar"/>
    <w:semiHidden/>
    <w:rsid w:val="008C2B1A"/>
    <w:pPr>
      <w:ind w:firstLine="210"/>
    </w:pPr>
  </w:style>
  <w:style w:type="paragraph" w:styleId="Textoindependienteprimerasangra2">
    <w:name w:val="Body Text First Indent 2"/>
    <w:basedOn w:val="Sangradetextonormal"/>
    <w:link w:val="Textoindependienteprimerasangra2Car"/>
    <w:semiHidden/>
    <w:rsid w:val="008C2B1A"/>
    <w:pPr>
      <w:ind w:firstLine="210"/>
    </w:pPr>
  </w:style>
  <w:style w:type="paragraph" w:styleId="Textonotaalfinal">
    <w:name w:val="endnote text"/>
    <w:aliases w:val="2_G"/>
    <w:basedOn w:val="Textonotapie"/>
    <w:link w:val="TextonotaalfinalCar"/>
    <w:qFormat/>
    <w:rsid w:val="008C2B1A"/>
  </w:style>
  <w:style w:type="paragraph" w:styleId="Textosinformato">
    <w:name w:val="Plain Text"/>
    <w:basedOn w:val="Normal"/>
    <w:link w:val="TextosinformatoCar"/>
    <w:semiHidden/>
    <w:rsid w:val="008C2B1A"/>
    <w:rPr>
      <w:rFonts w:ascii="Courier New" w:hAnsi="Courier New" w:cs="Courier New"/>
    </w:rPr>
  </w:style>
  <w:style w:type="paragraph" w:styleId="Ttulo">
    <w:name w:val="Title"/>
    <w:basedOn w:val="Normal"/>
    <w:link w:val="TtuloCar"/>
    <w:semiHidden/>
    <w:rsid w:val="008C2B1A"/>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8C2B1A"/>
    <w:rPr>
      <w:i/>
      <w:iCs/>
    </w:rPr>
  </w:style>
  <w:style w:type="paragraph" w:customStyle="1" w:styleId="Bullet1G">
    <w:name w:val="_Bullet 1_G"/>
    <w:basedOn w:val="Normal"/>
    <w:qFormat/>
    <w:rsid w:val="008C2B1A"/>
    <w:pPr>
      <w:numPr>
        <w:numId w:val="1"/>
      </w:numPr>
      <w:spacing w:after="120"/>
      <w:ind w:right="1134"/>
      <w:jc w:val="both"/>
    </w:pPr>
    <w:rPr>
      <w:lang w:eastAsia="en-US"/>
    </w:rPr>
  </w:style>
  <w:style w:type="paragraph" w:customStyle="1" w:styleId="Bullet2G">
    <w:name w:val="_Bullet 2_G"/>
    <w:basedOn w:val="Normal"/>
    <w:qFormat/>
    <w:rsid w:val="008C2B1A"/>
    <w:pPr>
      <w:numPr>
        <w:numId w:val="2"/>
      </w:numPr>
      <w:spacing w:after="120"/>
      <w:ind w:right="1134"/>
      <w:jc w:val="both"/>
    </w:pPr>
  </w:style>
  <w:style w:type="paragraph" w:styleId="Sinespaciado">
    <w:name w:val="No Spacing"/>
    <w:uiPriority w:val="1"/>
    <w:semiHidden/>
    <w:rsid w:val="009E1414"/>
    <w:rPr>
      <w:lang w:val="es-ES" w:eastAsia="es-ES"/>
    </w:rPr>
  </w:style>
  <w:style w:type="paragraph" w:styleId="Textodeglobo">
    <w:name w:val="Balloon Text"/>
    <w:basedOn w:val="Normal"/>
    <w:link w:val="TextodegloboCar"/>
    <w:semiHidden/>
    <w:rsid w:val="007D431B"/>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7D431B"/>
    <w:rPr>
      <w:rFonts w:ascii="Tahoma" w:hAnsi="Tahoma" w:cs="Tahoma"/>
      <w:sz w:val="16"/>
      <w:szCs w:val="16"/>
      <w:lang w:val="es-ES" w:eastAsia="es-ES"/>
    </w:rPr>
  </w:style>
  <w:style w:type="paragraph" w:customStyle="1" w:styleId="ParNoG">
    <w:name w:val="_ParNo_G"/>
    <w:basedOn w:val="Normal"/>
    <w:qFormat/>
    <w:rsid w:val="00F65F7A"/>
    <w:pPr>
      <w:numPr>
        <w:numId w:val="16"/>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styleId="nfasisintenso">
    <w:name w:val="Intense Emphasis"/>
    <w:uiPriority w:val="21"/>
    <w:semiHidden/>
    <w:rsid w:val="00B92948"/>
    <w:rPr>
      <w:b/>
      <w:bCs/>
      <w:i/>
      <w:iCs/>
      <w:color w:val="4F81BD"/>
    </w:rPr>
  </w:style>
  <w:style w:type="paragraph" w:styleId="Citadestacada">
    <w:name w:val="Intense Quote"/>
    <w:basedOn w:val="Normal"/>
    <w:next w:val="Normal"/>
    <w:link w:val="CitadestacadaCar"/>
    <w:uiPriority w:val="30"/>
    <w:semiHidden/>
    <w:rsid w:val="00B92948"/>
    <w:pPr>
      <w:pBdr>
        <w:bottom w:val="single" w:sz="4" w:space="4" w:color="4F81BD"/>
      </w:pBdr>
      <w:spacing w:before="200" w:after="280"/>
      <w:ind w:left="936" w:right="936"/>
    </w:pPr>
    <w:rPr>
      <w:b/>
      <w:bCs/>
      <w:i/>
      <w:iCs/>
      <w:color w:val="4F81BD"/>
    </w:rPr>
  </w:style>
  <w:style w:type="character" w:customStyle="1" w:styleId="CitadestacadaCar">
    <w:name w:val="Cita destacada Car"/>
    <w:basedOn w:val="Fuentedeprrafopredeter"/>
    <w:link w:val="Citadestacada"/>
    <w:uiPriority w:val="30"/>
    <w:semiHidden/>
    <w:rsid w:val="00B92948"/>
    <w:rPr>
      <w:b/>
      <w:bCs/>
      <w:i/>
      <w:iCs/>
      <w:color w:val="4F81BD"/>
      <w:lang w:val="es-ES" w:eastAsia="es-ES"/>
    </w:rPr>
  </w:style>
  <w:style w:type="character" w:customStyle="1" w:styleId="Ttulo1Car">
    <w:name w:val="Título 1 Car"/>
    <w:aliases w:val="Table_G Car,Cuadro_G Car"/>
    <w:basedOn w:val="Fuentedeprrafopredeter"/>
    <w:link w:val="Ttulo1"/>
    <w:rsid w:val="00B92948"/>
    <w:rPr>
      <w:rFonts w:cs="Arial"/>
      <w:bCs/>
      <w:szCs w:val="32"/>
      <w:lang w:val="es-ES" w:eastAsia="es-ES"/>
    </w:rPr>
  </w:style>
  <w:style w:type="character" w:customStyle="1" w:styleId="CierreCar">
    <w:name w:val="Cierre Car"/>
    <w:basedOn w:val="Fuentedeprrafopredeter"/>
    <w:link w:val="Cierre"/>
    <w:semiHidden/>
    <w:rsid w:val="00B92948"/>
    <w:rPr>
      <w:lang w:val="es-ES" w:eastAsia="es-ES"/>
    </w:rPr>
  </w:style>
  <w:style w:type="character" w:customStyle="1" w:styleId="TextonotapieCar">
    <w:name w:val="Texto nota pie Car"/>
    <w:aliases w:val="5_G Car"/>
    <w:basedOn w:val="Fuentedeprrafopredeter"/>
    <w:link w:val="Textonotapie"/>
    <w:rsid w:val="00B92948"/>
    <w:rPr>
      <w:sz w:val="18"/>
      <w:lang w:val="es-ES" w:eastAsia="es-ES"/>
    </w:rPr>
  </w:style>
  <w:style w:type="character" w:customStyle="1" w:styleId="TextonotaalfinalCar">
    <w:name w:val="Texto nota al final Car"/>
    <w:aliases w:val="2_G Car"/>
    <w:basedOn w:val="Fuentedeprrafopredeter"/>
    <w:link w:val="Textonotaalfinal"/>
    <w:rsid w:val="00B92948"/>
    <w:rPr>
      <w:sz w:val="18"/>
      <w:lang w:val="es-ES" w:eastAsia="es-ES"/>
    </w:rPr>
  </w:style>
  <w:style w:type="character" w:customStyle="1" w:styleId="PiedepginaCar">
    <w:name w:val="Pie de página Car"/>
    <w:aliases w:val="3_G Car"/>
    <w:basedOn w:val="Fuentedeprrafopredeter"/>
    <w:link w:val="Piedepgina"/>
    <w:rsid w:val="00B92948"/>
    <w:rPr>
      <w:sz w:val="16"/>
      <w:lang w:val="es-ES" w:eastAsia="es-ES"/>
    </w:rPr>
  </w:style>
  <w:style w:type="character" w:customStyle="1" w:styleId="Ttulo2Car">
    <w:name w:val="Título 2 Car"/>
    <w:basedOn w:val="Fuentedeprrafopredeter"/>
    <w:link w:val="Ttulo2"/>
    <w:rsid w:val="00B92948"/>
    <w:rPr>
      <w:rFonts w:cs="Arial"/>
      <w:bCs/>
      <w:iCs/>
      <w:szCs w:val="28"/>
      <w:lang w:val="es-ES" w:eastAsia="es-ES"/>
    </w:rPr>
  </w:style>
  <w:style w:type="character" w:customStyle="1" w:styleId="Ttulo3Car">
    <w:name w:val="Título 3 Car"/>
    <w:basedOn w:val="Fuentedeprrafopredeter"/>
    <w:link w:val="Ttulo3"/>
    <w:rsid w:val="00B92948"/>
    <w:rPr>
      <w:rFonts w:ascii="Arial" w:hAnsi="Arial" w:cs="Arial"/>
      <w:b/>
      <w:bCs/>
      <w:sz w:val="26"/>
      <w:szCs w:val="26"/>
      <w:lang w:val="es-ES" w:eastAsia="es-ES"/>
    </w:rPr>
  </w:style>
  <w:style w:type="character" w:customStyle="1" w:styleId="Ttulo4Car">
    <w:name w:val="Título 4 Car"/>
    <w:basedOn w:val="Fuentedeprrafopredeter"/>
    <w:link w:val="Ttulo4"/>
    <w:rsid w:val="00B92948"/>
    <w:rPr>
      <w:b/>
      <w:bCs/>
      <w:sz w:val="28"/>
      <w:szCs w:val="28"/>
      <w:lang w:val="es-ES" w:eastAsia="es-ES"/>
    </w:rPr>
  </w:style>
  <w:style w:type="character" w:customStyle="1" w:styleId="Ttulo5Car">
    <w:name w:val="Título 5 Car"/>
    <w:basedOn w:val="Fuentedeprrafopredeter"/>
    <w:link w:val="Ttulo5"/>
    <w:rsid w:val="00B92948"/>
    <w:rPr>
      <w:b/>
      <w:bCs/>
      <w:i/>
      <w:iCs/>
      <w:sz w:val="26"/>
      <w:szCs w:val="26"/>
      <w:lang w:val="es-ES" w:eastAsia="es-ES"/>
    </w:rPr>
  </w:style>
  <w:style w:type="character" w:customStyle="1" w:styleId="Ttulo6Car">
    <w:name w:val="Título 6 Car"/>
    <w:basedOn w:val="Fuentedeprrafopredeter"/>
    <w:link w:val="Ttulo6"/>
    <w:rsid w:val="00B92948"/>
    <w:rPr>
      <w:b/>
      <w:bCs/>
      <w:sz w:val="22"/>
      <w:szCs w:val="22"/>
      <w:lang w:val="es-ES" w:eastAsia="es-ES"/>
    </w:rPr>
  </w:style>
  <w:style w:type="character" w:customStyle="1" w:styleId="Ttulo7Car">
    <w:name w:val="Título 7 Car"/>
    <w:basedOn w:val="Fuentedeprrafopredeter"/>
    <w:link w:val="Ttulo7"/>
    <w:rsid w:val="00B92948"/>
    <w:rPr>
      <w:sz w:val="24"/>
      <w:szCs w:val="24"/>
      <w:lang w:val="es-ES" w:eastAsia="es-ES"/>
    </w:rPr>
  </w:style>
  <w:style w:type="character" w:customStyle="1" w:styleId="Ttulo8Car">
    <w:name w:val="Título 8 Car"/>
    <w:basedOn w:val="Fuentedeprrafopredeter"/>
    <w:link w:val="Ttulo8"/>
    <w:rsid w:val="00B92948"/>
    <w:rPr>
      <w:i/>
      <w:iCs/>
      <w:sz w:val="24"/>
      <w:szCs w:val="24"/>
      <w:lang w:val="es-ES" w:eastAsia="es-ES"/>
    </w:rPr>
  </w:style>
  <w:style w:type="character" w:customStyle="1" w:styleId="Ttulo9Car">
    <w:name w:val="Título 9 Car"/>
    <w:basedOn w:val="Fuentedeprrafopredeter"/>
    <w:link w:val="Ttulo9"/>
    <w:rsid w:val="00B92948"/>
    <w:rPr>
      <w:rFonts w:ascii="Arial" w:hAnsi="Arial" w:cs="Arial"/>
      <w:sz w:val="22"/>
      <w:szCs w:val="22"/>
      <w:lang w:val="es-ES" w:eastAsia="es-ES"/>
    </w:rPr>
  </w:style>
  <w:style w:type="character" w:styleId="Ttulodellibro">
    <w:name w:val="Book Title"/>
    <w:basedOn w:val="Fuentedeprrafopredeter"/>
    <w:uiPriority w:val="33"/>
    <w:semiHidden/>
    <w:rsid w:val="00B92948"/>
    <w:rPr>
      <w:b/>
      <w:bCs/>
      <w:smallCaps/>
      <w:spacing w:val="5"/>
    </w:rPr>
  </w:style>
  <w:style w:type="character" w:customStyle="1" w:styleId="EncabezadoCar">
    <w:name w:val="Encabezado Car"/>
    <w:aliases w:val="6_G Car"/>
    <w:basedOn w:val="Fuentedeprrafopredeter"/>
    <w:link w:val="Encabezado"/>
    <w:rsid w:val="00B92948"/>
    <w:rPr>
      <w:b/>
      <w:sz w:val="18"/>
      <w:lang w:val="es-ES" w:eastAsia="es-ES"/>
    </w:rPr>
  </w:style>
  <w:style w:type="character" w:customStyle="1" w:styleId="DireccinHTMLCar">
    <w:name w:val="Dirección HTML Car"/>
    <w:basedOn w:val="Fuentedeprrafopredeter"/>
    <w:link w:val="DireccinHTML"/>
    <w:semiHidden/>
    <w:rsid w:val="00B92948"/>
    <w:rPr>
      <w:i/>
      <w:iCs/>
      <w:lang w:val="es-ES" w:eastAsia="es-ES"/>
    </w:rPr>
  </w:style>
  <w:style w:type="character" w:customStyle="1" w:styleId="EncabezadodemensajeCar">
    <w:name w:val="Encabezado de mensaje Car"/>
    <w:basedOn w:val="Fuentedeprrafopredeter"/>
    <w:link w:val="Encabezadodemensaje"/>
    <w:semiHidden/>
    <w:rsid w:val="00B92948"/>
    <w:rPr>
      <w:rFonts w:ascii="Arial" w:hAnsi="Arial" w:cs="Arial"/>
      <w:sz w:val="24"/>
      <w:szCs w:val="24"/>
      <w:shd w:val="pct20" w:color="auto" w:fill="auto"/>
      <w:lang w:val="es-ES" w:eastAsia="es-ES"/>
    </w:rPr>
  </w:style>
  <w:style w:type="character" w:styleId="Refdecomentario">
    <w:name w:val="annotation reference"/>
    <w:basedOn w:val="Fuentedeprrafopredeter"/>
    <w:uiPriority w:val="99"/>
    <w:semiHidden/>
    <w:unhideWhenUsed/>
    <w:rsid w:val="00B92948"/>
    <w:rPr>
      <w:sz w:val="16"/>
      <w:szCs w:val="16"/>
    </w:rPr>
  </w:style>
  <w:style w:type="paragraph" w:styleId="Textocomentario">
    <w:name w:val="annotation text"/>
    <w:basedOn w:val="Normal"/>
    <w:link w:val="TextocomentarioCar"/>
    <w:semiHidden/>
    <w:unhideWhenUsed/>
    <w:rsid w:val="00B92948"/>
    <w:pPr>
      <w:spacing w:line="240" w:lineRule="auto"/>
    </w:pPr>
    <w:rPr>
      <w:rFonts w:eastAsia="SimSun"/>
      <w:lang w:val="en-GB" w:eastAsia="zh-CN"/>
    </w:rPr>
  </w:style>
  <w:style w:type="character" w:customStyle="1" w:styleId="TextocomentarioCar">
    <w:name w:val="Texto comentario Car"/>
    <w:basedOn w:val="Fuentedeprrafopredeter"/>
    <w:link w:val="Textocomentario"/>
    <w:semiHidden/>
    <w:rsid w:val="00B92948"/>
    <w:rPr>
      <w:rFonts w:eastAsia="SimSun"/>
      <w:lang w:val="en-GB"/>
    </w:rPr>
  </w:style>
  <w:style w:type="paragraph" w:styleId="Asuntodelcomentario">
    <w:name w:val="annotation subject"/>
    <w:basedOn w:val="Textocomentario"/>
    <w:next w:val="Textocomentario"/>
    <w:link w:val="AsuntodelcomentarioCar"/>
    <w:uiPriority w:val="99"/>
    <w:semiHidden/>
    <w:unhideWhenUsed/>
    <w:rsid w:val="00B92948"/>
    <w:rPr>
      <w:b/>
      <w:bCs/>
    </w:rPr>
  </w:style>
  <w:style w:type="character" w:customStyle="1" w:styleId="AsuntodelcomentarioCar">
    <w:name w:val="Asunto del comentario Car"/>
    <w:basedOn w:val="TextocomentarioCar"/>
    <w:link w:val="Asuntodelcomentario"/>
    <w:uiPriority w:val="99"/>
    <w:semiHidden/>
    <w:rsid w:val="00B92948"/>
    <w:rPr>
      <w:rFonts w:eastAsia="SimSun"/>
      <w:b/>
      <w:bCs/>
      <w:lang w:val="en-GB"/>
    </w:rPr>
  </w:style>
  <w:style w:type="paragraph" w:styleId="TDC1">
    <w:name w:val="toc 1"/>
    <w:basedOn w:val="SingleTxtG"/>
    <w:next w:val="Normal"/>
    <w:autoRedefine/>
    <w:uiPriority w:val="39"/>
    <w:unhideWhenUsed/>
    <w:rsid w:val="00B92948"/>
    <w:pPr>
      <w:tabs>
        <w:tab w:val="clear" w:pos="1701"/>
        <w:tab w:val="clear" w:pos="2268"/>
        <w:tab w:val="clear" w:pos="2835"/>
        <w:tab w:val="right" w:pos="850"/>
        <w:tab w:val="left" w:pos="1134"/>
        <w:tab w:val="left" w:leader="dot" w:pos="8959"/>
        <w:tab w:val="right" w:pos="9638"/>
      </w:tabs>
      <w:ind w:right="737" w:hanging="1134"/>
      <w:jc w:val="left"/>
    </w:pPr>
    <w:rPr>
      <w:bCs/>
      <w:lang w:val="es-ES_tradnl"/>
    </w:rPr>
  </w:style>
  <w:style w:type="paragraph" w:styleId="TDC2">
    <w:name w:val="toc 2"/>
    <w:basedOn w:val="SingleTxtG"/>
    <w:next w:val="Normal"/>
    <w:autoRedefine/>
    <w:uiPriority w:val="39"/>
    <w:unhideWhenUsed/>
    <w:rsid w:val="00B92948"/>
    <w:pPr>
      <w:tabs>
        <w:tab w:val="clear" w:pos="1701"/>
        <w:tab w:val="clear" w:pos="2268"/>
        <w:tab w:val="clear" w:pos="2835"/>
        <w:tab w:val="right" w:pos="850"/>
        <w:tab w:val="left" w:pos="1134"/>
        <w:tab w:val="left" w:pos="1559"/>
        <w:tab w:val="left" w:leader="dot" w:pos="8959"/>
        <w:tab w:val="right" w:pos="9638"/>
      </w:tabs>
      <w:ind w:left="1559" w:right="737" w:hanging="425"/>
      <w:jc w:val="left"/>
    </w:pPr>
    <w:rPr>
      <w:bCs/>
      <w:lang w:val="es-ES_tradnl"/>
    </w:rPr>
  </w:style>
  <w:style w:type="paragraph" w:styleId="TDC3">
    <w:name w:val="toc 3"/>
    <w:basedOn w:val="SingleTxtG"/>
    <w:next w:val="Normal"/>
    <w:autoRedefine/>
    <w:uiPriority w:val="39"/>
    <w:unhideWhenUsed/>
    <w:rsid w:val="00B92948"/>
    <w:pPr>
      <w:tabs>
        <w:tab w:val="clear" w:pos="1701"/>
        <w:tab w:val="clear" w:pos="2268"/>
        <w:tab w:val="clear" w:pos="2835"/>
        <w:tab w:val="right" w:pos="850"/>
        <w:tab w:val="left" w:pos="1134"/>
        <w:tab w:val="left" w:pos="1559"/>
        <w:tab w:val="left" w:pos="1984"/>
        <w:tab w:val="left" w:leader="dot" w:pos="8959"/>
        <w:tab w:val="right" w:pos="9638"/>
      </w:tabs>
      <w:ind w:left="1984" w:right="737" w:hanging="425"/>
      <w:jc w:val="left"/>
    </w:pPr>
    <w:rPr>
      <w:bCs/>
      <w:lang w:val="es-ES_tradnl"/>
    </w:rPr>
  </w:style>
  <w:style w:type="paragraph" w:styleId="TDC4">
    <w:name w:val="toc 4"/>
    <w:basedOn w:val="Normal"/>
    <w:next w:val="Normal"/>
    <w:autoRedefine/>
    <w:uiPriority w:val="39"/>
    <w:unhideWhenUsed/>
    <w:rsid w:val="00B92948"/>
    <w:pPr>
      <w:tabs>
        <w:tab w:val="right" w:pos="850"/>
        <w:tab w:val="left" w:pos="1134"/>
        <w:tab w:val="left" w:pos="1559"/>
        <w:tab w:val="left" w:pos="1984"/>
        <w:tab w:val="left" w:leader="dot" w:pos="7654"/>
        <w:tab w:val="right" w:pos="8929"/>
        <w:tab w:val="right" w:pos="9638"/>
      </w:tabs>
      <w:spacing w:after="120"/>
      <w:ind w:left="1134" w:right="2041" w:hanging="1134"/>
    </w:pPr>
    <w:rPr>
      <w:noProof/>
      <w:lang w:val="ru-RU" w:eastAsia="en-US"/>
    </w:rPr>
  </w:style>
  <w:style w:type="paragraph" w:styleId="TDC5">
    <w:name w:val="toc 5"/>
    <w:basedOn w:val="Normal"/>
    <w:next w:val="Normal"/>
    <w:autoRedefine/>
    <w:uiPriority w:val="39"/>
    <w:unhideWhenUsed/>
    <w:rsid w:val="00B92948"/>
    <w:pPr>
      <w:tabs>
        <w:tab w:val="right" w:pos="850"/>
        <w:tab w:val="left" w:pos="1134"/>
        <w:tab w:val="left" w:pos="1559"/>
        <w:tab w:val="left" w:pos="1984"/>
        <w:tab w:val="left" w:leader="dot" w:pos="7654"/>
        <w:tab w:val="right" w:pos="8929"/>
        <w:tab w:val="right" w:pos="9638"/>
      </w:tabs>
      <w:spacing w:after="120"/>
      <w:ind w:left="1559" w:right="2041" w:hanging="425"/>
    </w:pPr>
    <w:rPr>
      <w:noProof/>
      <w:lang w:eastAsia="en-US"/>
    </w:rPr>
  </w:style>
  <w:style w:type="paragraph" w:styleId="TDC6">
    <w:name w:val="toc 6"/>
    <w:basedOn w:val="Normal"/>
    <w:next w:val="Normal"/>
    <w:autoRedefine/>
    <w:uiPriority w:val="39"/>
    <w:unhideWhenUsed/>
    <w:rsid w:val="00B92948"/>
    <w:pPr>
      <w:tabs>
        <w:tab w:val="right" w:pos="850"/>
        <w:tab w:val="left" w:pos="1134"/>
        <w:tab w:val="left" w:pos="1559"/>
        <w:tab w:val="left" w:pos="1984"/>
        <w:tab w:val="left" w:leader="dot" w:pos="7654"/>
        <w:tab w:val="right" w:pos="8929"/>
        <w:tab w:val="right" w:pos="9638"/>
      </w:tabs>
      <w:spacing w:after="120"/>
      <w:ind w:left="1984" w:right="2041" w:hanging="425"/>
    </w:pPr>
    <w:rPr>
      <w:noProof/>
      <w:lang w:val="fr-CH" w:eastAsia="en-US"/>
    </w:rPr>
  </w:style>
  <w:style w:type="paragraph" w:styleId="TDC7">
    <w:name w:val="toc 7"/>
    <w:basedOn w:val="Normal"/>
    <w:next w:val="Normal"/>
    <w:autoRedefine/>
    <w:uiPriority w:val="39"/>
    <w:unhideWhenUsed/>
    <w:rsid w:val="00B92948"/>
    <w:pPr>
      <w:spacing w:after="100" w:line="259" w:lineRule="auto"/>
      <w:ind w:left="1320"/>
    </w:pPr>
    <w:rPr>
      <w:rFonts w:asciiTheme="minorHAnsi" w:eastAsia="SimSun" w:hAnsiTheme="minorHAnsi" w:cstheme="minorBidi"/>
      <w:sz w:val="22"/>
      <w:szCs w:val="22"/>
      <w:lang w:val="en-US" w:eastAsia="zh-CN"/>
    </w:rPr>
  </w:style>
  <w:style w:type="paragraph" w:styleId="TDC8">
    <w:name w:val="toc 8"/>
    <w:basedOn w:val="Normal"/>
    <w:next w:val="Normal"/>
    <w:autoRedefine/>
    <w:uiPriority w:val="39"/>
    <w:unhideWhenUsed/>
    <w:rsid w:val="00B92948"/>
    <w:pPr>
      <w:spacing w:after="100" w:line="259" w:lineRule="auto"/>
      <w:ind w:left="1540"/>
    </w:pPr>
    <w:rPr>
      <w:rFonts w:asciiTheme="minorHAnsi" w:eastAsia="SimSun" w:hAnsiTheme="minorHAnsi" w:cstheme="minorBidi"/>
      <w:sz w:val="22"/>
      <w:szCs w:val="22"/>
      <w:lang w:val="en-US" w:eastAsia="zh-CN"/>
    </w:rPr>
  </w:style>
  <w:style w:type="paragraph" w:styleId="TDC9">
    <w:name w:val="toc 9"/>
    <w:basedOn w:val="Normal"/>
    <w:next w:val="Normal"/>
    <w:autoRedefine/>
    <w:uiPriority w:val="39"/>
    <w:unhideWhenUsed/>
    <w:rsid w:val="00B92948"/>
    <w:pPr>
      <w:spacing w:after="100" w:line="259" w:lineRule="auto"/>
      <w:ind w:left="1760"/>
    </w:pPr>
    <w:rPr>
      <w:rFonts w:asciiTheme="minorHAnsi" w:eastAsia="SimSun" w:hAnsiTheme="minorHAnsi" w:cstheme="minorBidi"/>
      <w:sz w:val="22"/>
      <w:szCs w:val="22"/>
      <w:lang w:val="en-US" w:eastAsia="zh-CN"/>
    </w:rPr>
  </w:style>
  <w:style w:type="character" w:customStyle="1" w:styleId="EncabezadodenotaCar">
    <w:name w:val="Encabezado de nota Car"/>
    <w:basedOn w:val="Fuentedeprrafopredeter"/>
    <w:link w:val="Encabezadodenota"/>
    <w:semiHidden/>
    <w:rsid w:val="00B92948"/>
    <w:rPr>
      <w:lang w:val="es-ES" w:eastAsia="es-ES"/>
    </w:rPr>
  </w:style>
  <w:style w:type="character" w:customStyle="1" w:styleId="FechaCar">
    <w:name w:val="Fecha Car"/>
    <w:basedOn w:val="Fuentedeprrafopredeter"/>
    <w:link w:val="Fecha"/>
    <w:semiHidden/>
    <w:rsid w:val="00B92948"/>
    <w:rPr>
      <w:lang w:val="es-ES" w:eastAsia="es-ES"/>
    </w:rPr>
  </w:style>
  <w:style w:type="character" w:customStyle="1" w:styleId="FirmaCar">
    <w:name w:val="Firma Car"/>
    <w:basedOn w:val="Fuentedeprrafopredeter"/>
    <w:link w:val="Firma"/>
    <w:semiHidden/>
    <w:rsid w:val="00B92948"/>
    <w:rPr>
      <w:lang w:val="es-ES" w:eastAsia="es-ES"/>
    </w:rPr>
  </w:style>
  <w:style w:type="character" w:customStyle="1" w:styleId="FirmadecorreoelectrnicoCar">
    <w:name w:val="Firma de correo electrónico Car"/>
    <w:basedOn w:val="Fuentedeprrafopredeter"/>
    <w:link w:val="Firmadecorreoelectrnico"/>
    <w:semiHidden/>
    <w:rsid w:val="00B92948"/>
    <w:rPr>
      <w:lang w:val="es-ES" w:eastAsia="es-ES"/>
    </w:rPr>
  </w:style>
  <w:style w:type="character" w:customStyle="1" w:styleId="HTMLconformatoprevioCar">
    <w:name w:val="HTML con formato previo Car"/>
    <w:basedOn w:val="Fuentedeprrafopredeter"/>
    <w:link w:val="HTMLconformatoprevio"/>
    <w:semiHidden/>
    <w:rsid w:val="00B92948"/>
    <w:rPr>
      <w:rFonts w:ascii="Courier New" w:hAnsi="Courier New" w:cs="Courier New"/>
      <w:lang w:val="es-ES" w:eastAsia="es-ES"/>
    </w:rPr>
  </w:style>
  <w:style w:type="character" w:customStyle="1" w:styleId="SaludoCar">
    <w:name w:val="Saludo Car"/>
    <w:basedOn w:val="Fuentedeprrafopredeter"/>
    <w:link w:val="Saludo"/>
    <w:semiHidden/>
    <w:rsid w:val="00B92948"/>
    <w:rPr>
      <w:lang w:val="es-ES" w:eastAsia="es-ES"/>
    </w:rPr>
  </w:style>
  <w:style w:type="character" w:customStyle="1" w:styleId="Sangra2detindependienteCar">
    <w:name w:val="Sangría 2 de t. independiente Car"/>
    <w:basedOn w:val="Fuentedeprrafopredeter"/>
    <w:link w:val="Sangra2detindependiente"/>
    <w:semiHidden/>
    <w:rsid w:val="00B92948"/>
    <w:rPr>
      <w:lang w:val="es-ES" w:eastAsia="es-ES"/>
    </w:rPr>
  </w:style>
  <w:style w:type="character" w:customStyle="1" w:styleId="Sangra3detindependienteCar">
    <w:name w:val="Sangría 3 de t. independiente Car"/>
    <w:basedOn w:val="Fuentedeprrafopredeter"/>
    <w:link w:val="Sangra3detindependiente"/>
    <w:semiHidden/>
    <w:rsid w:val="00B92948"/>
    <w:rPr>
      <w:sz w:val="16"/>
      <w:szCs w:val="16"/>
      <w:lang w:val="es-ES" w:eastAsia="es-ES"/>
    </w:rPr>
  </w:style>
  <w:style w:type="character" w:customStyle="1" w:styleId="SangradetextonormalCar">
    <w:name w:val="Sangría de texto normal Car"/>
    <w:basedOn w:val="Fuentedeprrafopredeter"/>
    <w:link w:val="Sangradetextonormal"/>
    <w:semiHidden/>
    <w:rsid w:val="00B92948"/>
    <w:rPr>
      <w:lang w:val="es-ES" w:eastAsia="es-ES"/>
    </w:rPr>
  </w:style>
  <w:style w:type="character" w:customStyle="1" w:styleId="SubttuloCar">
    <w:name w:val="Subtítulo Car"/>
    <w:basedOn w:val="Fuentedeprrafopredeter"/>
    <w:link w:val="Subttulo"/>
    <w:semiHidden/>
    <w:rsid w:val="00B92948"/>
    <w:rPr>
      <w:rFonts w:ascii="Arial" w:hAnsi="Arial" w:cs="Arial"/>
      <w:sz w:val="24"/>
      <w:szCs w:val="24"/>
      <w:lang w:val="es-ES" w:eastAsia="es-ES"/>
    </w:rPr>
  </w:style>
  <w:style w:type="character" w:customStyle="1" w:styleId="TextoindependienteCar">
    <w:name w:val="Texto independiente Car"/>
    <w:basedOn w:val="Fuentedeprrafopredeter"/>
    <w:link w:val="Textoindependiente"/>
    <w:semiHidden/>
    <w:rsid w:val="00B92948"/>
    <w:rPr>
      <w:lang w:val="es-ES" w:eastAsia="es-ES"/>
    </w:rPr>
  </w:style>
  <w:style w:type="character" w:customStyle="1" w:styleId="Textoindependiente2Car">
    <w:name w:val="Texto independiente 2 Car"/>
    <w:basedOn w:val="Fuentedeprrafopredeter"/>
    <w:link w:val="Textoindependiente2"/>
    <w:semiHidden/>
    <w:rsid w:val="00B92948"/>
    <w:rPr>
      <w:lang w:val="es-ES" w:eastAsia="es-ES"/>
    </w:rPr>
  </w:style>
  <w:style w:type="character" w:customStyle="1" w:styleId="Textoindependiente3Car">
    <w:name w:val="Texto independiente 3 Car"/>
    <w:basedOn w:val="Fuentedeprrafopredeter"/>
    <w:link w:val="Textoindependiente3"/>
    <w:semiHidden/>
    <w:rsid w:val="00B92948"/>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B92948"/>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B92948"/>
    <w:rPr>
      <w:lang w:val="es-ES" w:eastAsia="es-ES"/>
    </w:rPr>
  </w:style>
  <w:style w:type="character" w:customStyle="1" w:styleId="TextosinformatoCar">
    <w:name w:val="Texto sin formato Car"/>
    <w:basedOn w:val="Fuentedeprrafopredeter"/>
    <w:link w:val="Textosinformato"/>
    <w:semiHidden/>
    <w:rsid w:val="00B92948"/>
    <w:rPr>
      <w:rFonts w:ascii="Courier New" w:hAnsi="Courier New" w:cs="Courier New"/>
      <w:lang w:val="es-ES" w:eastAsia="es-ES"/>
    </w:rPr>
  </w:style>
  <w:style w:type="character" w:customStyle="1" w:styleId="TtuloCar">
    <w:name w:val="Título Car"/>
    <w:basedOn w:val="Fuentedeprrafopredeter"/>
    <w:link w:val="Ttulo"/>
    <w:semiHidden/>
    <w:rsid w:val="00B92948"/>
    <w:rPr>
      <w:rFonts w:ascii="Arial" w:hAnsi="Arial" w:cs="Arial"/>
      <w:b/>
      <w:bCs/>
      <w:kern w:val="28"/>
      <w:sz w:val="32"/>
      <w:szCs w:val="32"/>
      <w:lang w:val="es-ES" w:eastAsia="es-ES"/>
    </w:rPr>
  </w:style>
  <w:style w:type="character" w:customStyle="1" w:styleId="SingleTxtGChar">
    <w:name w:val="_ Single Txt_G Char"/>
    <w:link w:val="SingleTxtG"/>
    <w:rsid w:val="00B92948"/>
    <w:rPr>
      <w:lang w:val="es-ES" w:eastAsia="es-ES"/>
    </w:rPr>
  </w:style>
  <w:style w:type="character" w:styleId="Mencinsinresolver">
    <w:name w:val="Unresolved Mention"/>
    <w:basedOn w:val="Fuentedeprrafopredeter"/>
    <w:uiPriority w:val="99"/>
    <w:semiHidden/>
    <w:unhideWhenUsed/>
    <w:rsid w:val="00B92948"/>
    <w:rPr>
      <w:color w:val="605E5C"/>
      <w:shd w:val="clear" w:color="auto" w:fill="E1DFDD"/>
    </w:rPr>
  </w:style>
  <w:style w:type="paragraph" w:styleId="Prrafodelista">
    <w:name w:val="List Paragraph"/>
    <w:basedOn w:val="Normal"/>
    <w:uiPriority w:val="34"/>
    <w:semiHidden/>
    <w:rsid w:val="003538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03143">
      <w:bodyDiv w:val="1"/>
      <w:marLeft w:val="0"/>
      <w:marRight w:val="0"/>
      <w:marTop w:val="0"/>
      <w:marBottom w:val="0"/>
      <w:divBdr>
        <w:top w:val="none" w:sz="0" w:space="0" w:color="auto"/>
        <w:left w:val="none" w:sz="0" w:space="0" w:color="auto"/>
        <w:bottom w:val="none" w:sz="0" w:space="0" w:color="auto"/>
        <w:right w:val="none" w:sz="0" w:space="0" w:color="auto"/>
      </w:divBdr>
    </w:div>
    <w:div w:id="13118663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3.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6.gif"/><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RC.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2</TotalTime>
  <Pages>45</Pages>
  <Words>22653</Words>
  <Characters>124592</Characters>
  <Application>Microsoft Office Word</Application>
  <DocSecurity>0</DocSecurity>
  <Lines>1038</Lines>
  <Paragraphs>293</Paragraphs>
  <ScaleCrop>false</ScaleCrop>
  <HeadingPairs>
    <vt:vector size="2" baseType="variant">
      <vt:variant>
        <vt:lpstr>Título</vt:lpstr>
      </vt:variant>
      <vt:variant>
        <vt:i4>1</vt:i4>
      </vt:variant>
    </vt:vector>
  </HeadingPairs>
  <TitlesOfParts>
    <vt:vector size="1" baseType="lpstr">
      <vt:lpstr>CRC/C/MKD/3-6</vt:lpstr>
    </vt:vector>
  </TitlesOfParts>
  <Company/>
  <LinksUpToDate>false</LinksUpToDate>
  <CharactersWithSpaces>146952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CRC/C/MKD/3-6</dc:title>
  <dc:subject/>
  <dc:creator>Marcel GONZALEZ-PEREZ</dc:creator>
  <cp:keywords/>
  <cp:lastModifiedBy>Maria DE-LA-PLAZA</cp:lastModifiedBy>
  <cp:revision>3</cp:revision>
  <cp:lastPrinted>2021-01-13T14:59:00Z</cp:lastPrinted>
  <dcterms:created xsi:type="dcterms:W3CDTF">2021-01-13T14:58:00Z</dcterms:created>
  <dcterms:modified xsi:type="dcterms:W3CDTF">2021-01-13T14:59:00Z</dcterms:modified>
</cp:coreProperties>
</file>