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EF" w:rsidRPr="009767EF" w:rsidRDefault="009767EF" w:rsidP="009767EF">
      <w:pPr>
        <w:spacing w:line="240" w:lineRule="auto"/>
        <w:rPr>
          <w:sz w:val="2"/>
        </w:rPr>
        <w:sectPr w:rsidR="009767EF" w:rsidRPr="009767EF" w:rsidSect="009767E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Pr>
          <w:rStyle w:val="CommentReference"/>
        </w:rPr>
        <w:commentReference w:id="0"/>
      </w:r>
    </w:p>
    <w:p w:rsidR="00B26FDC" w:rsidRDefault="00770B6C" w:rsidP="00B26FDC">
      <w:pPr>
        <w:pStyle w:val="H1"/>
        <w:ind w:right="1260"/>
      </w:pPr>
      <w:r>
        <w:lastRenderedPageBreak/>
        <w:t>Committee on the Elimination of</w:t>
      </w:r>
      <w:r w:rsidR="00B26FDC">
        <w:t xml:space="preserve"> Discrimination</w:t>
      </w:r>
    </w:p>
    <w:p w:rsidR="005E1F07" w:rsidRDefault="00770B6C" w:rsidP="00B26FDC">
      <w:pPr>
        <w:pStyle w:val="H1"/>
        <w:ind w:right="1260"/>
      </w:pPr>
      <w:r>
        <w:t>against Women</w:t>
      </w:r>
    </w:p>
    <w:p w:rsidR="00B26FDC" w:rsidRPr="00B26FDC" w:rsidRDefault="00B26FDC" w:rsidP="00B26FDC">
      <w:pPr>
        <w:pStyle w:val="SingleTxt"/>
        <w:spacing w:after="0" w:line="120" w:lineRule="exact"/>
        <w:rPr>
          <w:sz w:val="10"/>
        </w:rPr>
      </w:pPr>
    </w:p>
    <w:p w:rsidR="00B26FDC" w:rsidRPr="00B26FDC" w:rsidRDefault="00B26FDC" w:rsidP="00B26FDC">
      <w:pPr>
        <w:pStyle w:val="SingleTxt"/>
        <w:spacing w:after="0" w:line="120" w:lineRule="exact"/>
        <w:rPr>
          <w:sz w:val="10"/>
        </w:rPr>
      </w:pPr>
    </w:p>
    <w:p w:rsidR="00B26FDC" w:rsidRPr="00B26FDC" w:rsidRDefault="00B26FDC" w:rsidP="00B26FDC">
      <w:pPr>
        <w:pStyle w:val="SingleTxt"/>
        <w:spacing w:after="0" w:line="120" w:lineRule="exact"/>
        <w:rPr>
          <w:sz w:val="10"/>
        </w:rPr>
      </w:pPr>
    </w:p>
    <w:p w:rsidR="005E1F07" w:rsidRDefault="00770B6C" w:rsidP="00B26FDC">
      <w:pPr>
        <w:pStyle w:val="HCh"/>
        <w:ind w:left="1267" w:right="1260" w:hanging="1267"/>
      </w:pPr>
      <w:r>
        <w:tab/>
      </w:r>
      <w:r>
        <w:tab/>
        <w:t>Consideration of reports submitted by States parties under Article 18 of the Convention on the Elimination of All Forms of Discrimination against Women</w:t>
      </w:r>
    </w:p>
    <w:p w:rsidR="00770B6C" w:rsidRPr="00B26FDC" w:rsidRDefault="00770B6C" w:rsidP="00B26FDC">
      <w:pPr>
        <w:pStyle w:val="SingleTxt"/>
        <w:spacing w:after="0" w:line="120" w:lineRule="exact"/>
        <w:rPr>
          <w:sz w:val="10"/>
        </w:rPr>
      </w:pPr>
    </w:p>
    <w:p w:rsidR="00B26FDC" w:rsidRPr="00B26FDC" w:rsidRDefault="00B26FDC" w:rsidP="00B26FDC">
      <w:pPr>
        <w:pStyle w:val="SingleTxt"/>
        <w:spacing w:after="0" w:line="120" w:lineRule="exact"/>
        <w:rPr>
          <w:sz w:val="10"/>
        </w:rPr>
      </w:pPr>
    </w:p>
    <w:p w:rsidR="005E1F07" w:rsidRDefault="00770B6C" w:rsidP="00B26FDC">
      <w:pPr>
        <w:pStyle w:val="H1"/>
        <w:ind w:right="1260"/>
      </w:pPr>
      <w:r>
        <w:tab/>
      </w:r>
      <w:r>
        <w:tab/>
        <w:t>Combined sixth and seventh periodic reports of States parties due in 2010</w:t>
      </w:r>
    </w:p>
    <w:p w:rsidR="00B26FDC" w:rsidRPr="00B26FDC" w:rsidRDefault="00B26FDC" w:rsidP="00B26FDC">
      <w:pPr>
        <w:pStyle w:val="SingleTxt"/>
        <w:spacing w:after="0" w:line="120" w:lineRule="exact"/>
        <w:rPr>
          <w:sz w:val="10"/>
        </w:rPr>
      </w:pPr>
    </w:p>
    <w:p w:rsidR="00B26FDC" w:rsidRPr="00B26FDC" w:rsidRDefault="00B26FDC" w:rsidP="00B26FDC">
      <w:pPr>
        <w:pStyle w:val="SingleTxt"/>
        <w:spacing w:after="0" w:line="120" w:lineRule="exact"/>
        <w:rPr>
          <w:sz w:val="10"/>
        </w:rPr>
      </w:pPr>
    </w:p>
    <w:p w:rsidR="005E03D8" w:rsidRPr="005E03D8" w:rsidRDefault="005E03D8" w:rsidP="005E03D8">
      <w:pPr>
        <w:framePr w:w="9792" w:h="432" w:hSpace="180" w:wrap="around" w:hAnchor="page" w:x="1210" w:yAlign="bottom"/>
        <w:spacing w:line="240" w:lineRule="auto"/>
        <w:rPr>
          <w:sz w:val="10"/>
        </w:rPr>
      </w:pPr>
    </w:p>
    <w:p w:rsidR="005E03D8" w:rsidRPr="005E03D8" w:rsidRDefault="005E03D8" w:rsidP="005E03D8">
      <w:pPr>
        <w:framePr w:w="9792" w:h="432" w:hSpace="180" w:wrap="around" w:hAnchor="page" w:x="1210" w:yAlign="bottom"/>
        <w:spacing w:line="240" w:lineRule="auto"/>
        <w:rPr>
          <w:sz w:val="6"/>
        </w:rPr>
      </w:pPr>
      <w:r w:rsidRPr="005E03D8">
        <w:rPr>
          <w:noProof/>
          <w:w w:val="100"/>
          <w:sz w:val="6"/>
          <w:lang w:val="en-US"/>
        </w:rPr>
        <mc:AlternateContent>
          <mc:Choice Requires="wps">
            <w:drawing>
              <wp:anchor distT="0" distB="0" distL="114300" distR="114300" simplePos="0" relativeHeight="251659264" behindDoc="0" locked="0" layoutInCell="1" allowOverlap="1" wp14:anchorId="32E54863" wp14:editId="2116C48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5E03D8" w:rsidRPr="005E03D8" w:rsidRDefault="005E03D8" w:rsidP="005E03D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5E03D8">
        <w:rPr>
          <w:sz w:val="17"/>
        </w:rPr>
        <w:tab/>
        <w:t>*</w:t>
      </w:r>
      <w:r w:rsidRPr="005E03D8">
        <w:rPr>
          <w:sz w:val="17"/>
        </w:rPr>
        <w:tab/>
        <w:t>The present report is being issued without formal editing.</w:t>
      </w:r>
    </w:p>
    <w:p w:rsidR="005E1F07" w:rsidRDefault="00770B6C" w:rsidP="00B26FDC">
      <w:pPr>
        <w:pStyle w:val="HCh"/>
        <w:ind w:left="1267" w:right="1260" w:hanging="1267"/>
      </w:pPr>
      <w:r>
        <w:tab/>
      </w:r>
      <w:r>
        <w:tab/>
        <w:t>Mali</w:t>
      </w:r>
      <w:r w:rsidRPr="008854F9">
        <w:rPr>
          <w:b w:val="0"/>
          <w:spacing w:val="4"/>
          <w:sz w:val="20"/>
        </w:rPr>
        <w:t>*</w:t>
      </w:r>
    </w:p>
    <w:p w:rsidR="00B26FDC" w:rsidRPr="00B26FDC" w:rsidRDefault="00B26FDC" w:rsidP="00B26FDC">
      <w:pPr>
        <w:pStyle w:val="SingleTxt"/>
        <w:spacing w:after="0" w:line="120" w:lineRule="exact"/>
        <w:rPr>
          <w:sz w:val="10"/>
        </w:rPr>
      </w:pPr>
    </w:p>
    <w:p w:rsidR="00B26FDC" w:rsidRPr="00B26FDC" w:rsidRDefault="00B26FDC" w:rsidP="00B26FDC">
      <w:pPr>
        <w:pStyle w:val="SingleTxt"/>
        <w:spacing w:after="0" w:line="120" w:lineRule="exact"/>
        <w:rPr>
          <w:sz w:val="10"/>
        </w:rPr>
      </w:pPr>
    </w:p>
    <w:p w:rsidR="005E1F07" w:rsidRDefault="00770B6C" w:rsidP="00770B6C">
      <w:pPr>
        <w:pStyle w:val="SingleTxt"/>
      </w:pPr>
      <w:r>
        <w:t>[Date of receipt: 27 April 2015]</w:t>
      </w:r>
    </w:p>
    <w:p w:rsidR="00770B6C" w:rsidRDefault="00770B6C" w:rsidP="00770B6C">
      <w:pPr>
        <w:pStyle w:val="SingleTxt"/>
      </w:pPr>
    </w:p>
    <w:p w:rsidR="00B26FDC" w:rsidRDefault="00B26FDC">
      <w:pPr>
        <w:suppressAutoHyphens w:val="0"/>
        <w:spacing w:line="240" w:lineRule="auto"/>
      </w:pPr>
      <w:r>
        <w:br w:type="page"/>
      </w:r>
    </w:p>
    <w:p w:rsidR="005E1F07" w:rsidRDefault="005E03D8" w:rsidP="005E03D8">
      <w:pPr>
        <w:pStyle w:val="H1"/>
        <w:ind w:right="1260"/>
      </w:pPr>
      <w:r>
        <w:lastRenderedPageBreak/>
        <w:tab/>
      </w:r>
      <w:r>
        <w:tab/>
      </w:r>
      <w:r w:rsidR="00770B6C">
        <w:t>Acronyms and abbreviations</w:t>
      </w:r>
    </w:p>
    <w:p w:rsidR="005E03D8" w:rsidRPr="005E03D8" w:rsidRDefault="005E03D8" w:rsidP="005E03D8">
      <w:pPr>
        <w:pStyle w:val="SingleTxt"/>
        <w:spacing w:after="0" w:line="120" w:lineRule="exact"/>
        <w:rPr>
          <w:sz w:val="10"/>
        </w:rPr>
      </w:pPr>
    </w:p>
    <w:p w:rsidR="005E03D8" w:rsidRPr="005E03D8" w:rsidRDefault="005E03D8" w:rsidP="005E03D8">
      <w:pPr>
        <w:pStyle w:val="SingleTxt"/>
        <w:spacing w:after="0" w:line="120" w:lineRule="exact"/>
        <w:rPr>
          <w:sz w:val="10"/>
        </w:rPr>
      </w:pPr>
    </w:p>
    <w:p w:rsidR="00770B6C" w:rsidRDefault="00770B6C" w:rsidP="008854F9">
      <w:pPr>
        <w:pStyle w:val="SingleTxt"/>
        <w:jc w:val="left"/>
      </w:pPr>
      <w:r>
        <w:t xml:space="preserve">ACBF: African Capacity-Building Foundation </w:t>
      </w:r>
    </w:p>
    <w:p w:rsidR="00770B6C" w:rsidRDefault="00770B6C" w:rsidP="008854F9">
      <w:pPr>
        <w:pStyle w:val="SingleTxt"/>
        <w:jc w:val="left"/>
      </w:pPr>
      <w:r>
        <w:t>AMADER: Malian Agency for Energy Development and Rural Electrification</w:t>
      </w:r>
    </w:p>
    <w:p w:rsidR="00770B6C" w:rsidRDefault="00770B6C" w:rsidP="008854F9">
      <w:pPr>
        <w:pStyle w:val="SingleTxt"/>
        <w:jc w:val="left"/>
      </w:pPr>
      <w:r>
        <w:t>AMDH: Malian Association for Human Rights</w:t>
      </w:r>
    </w:p>
    <w:p w:rsidR="00770B6C" w:rsidRDefault="00770B6C" w:rsidP="008854F9">
      <w:pPr>
        <w:pStyle w:val="SingleTxt"/>
        <w:jc w:val="left"/>
      </w:pPr>
      <w:r>
        <w:t xml:space="preserve">AMO: Mandatory Health Insurance </w:t>
      </w:r>
    </w:p>
    <w:p w:rsidR="00770B6C" w:rsidRDefault="00770B6C" w:rsidP="008854F9">
      <w:pPr>
        <w:pStyle w:val="SingleTxt"/>
        <w:jc w:val="left"/>
      </w:pPr>
      <w:r>
        <w:t xml:space="preserve">AMTSL: Active management of the third stage of labour </w:t>
      </w:r>
    </w:p>
    <w:p w:rsidR="00770B6C" w:rsidRDefault="00770B6C" w:rsidP="008854F9">
      <w:pPr>
        <w:pStyle w:val="SingleTxt"/>
        <w:jc w:val="left"/>
      </w:pPr>
      <w:r>
        <w:t>ANICT: National Investment Agency for Local Authorities</w:t>
      </w:r>
    </w:p>
    <w:p w:rsidR="00770B6C" w:rsidRDefault="00770B6C" w:rsidP="008854F9">
      <w:pPr>
        <w:pStyle w:val="SingleTxt"/>
        <w:jc w:val="left"/>
      </w:pPr>
      <w:r>
        <w:t xml:space="preserve">ANPE: National Employment Agency </w:t>
      </w:r>
    </w:p>
    <w:p w:rsidR="00770B6C" w:rsidRDefault="00770B6C" w:rsidP="008854F9">
      <w:pPr>
        <w:pStyle w:val="SingleTxt"/>
        <w:jc w:val="left"/>
      </w:pPr>
      <w:r>
        <w:t>AN-RM: National Assembly of the Republic of Mali</w:t>
      </w:r>
    </w:p>
    <w:p w:rsidR="00770B6C" w:rsidRDefault="00770B6C" w:rsidP="008854F9">
      <w:pPr>
        <w:pStyle w:val="SingleTxt"/>
        <w:jc w:val="left"/>
      </w:pPr>
      <w:r>
        <w:t>ANSSA: National Food Safety Agency</w:t>
      </w:r>
    </w:p>
    <w:p w:rsidR="00770B6C" w:rsidRDefault="00770B6C" w:rsidP="008854F9">
      <w:pPr>
        <w:pStyle w:val="SingleTxt"/>
        <w:jc w:val="left"/>
      </w:pPr>
      <w:r>
        <w:t>APCAM</w:t>
      </w:r>
      <w:r w:rsidR="00DD173B">
        <w:t>:</w:t>
      </w:r>
      <w:r>
        <w:t xml:space="preserve"> Permanent Assembly of Chambers of Agriculture</w:t>
      </w:r>
    </w:p>
    <w:p w:rsidR="00770B6C" w:rsidRDefault="00770B6C" w:rsidP="008854F9">
      <w:pPr>
        <w:pStyle w:val="SingleTxt"/>
        <w:jc w:val="left"/>
      </w:pPr>
      <w:r>
        <w:t>APEJ: Agency for Youth Employment</w:t>
      </w:r>
    </w:p>
    <w:p w:rsidR="00770B6C" w:rsidRDefault="00770B6C" w:rsidP="008854F9">
      <w:pPr>
        <w:pStyle w:val="SingleTxt"/>
        <w:jc w:val="left"/>
      </w:pPr>
      <w:r>
        <w:t>ARV: antiretroviral</w:t>
      </w:r>
      <w:r w:rsidR="005E03D8">
        <w:t xml:space="preserve"> </w:t>
      </w:r>
    </w:p>
    <w:p w:rsidR="00770B6C" w:rsidRDefault="00770B6C" w:rsidP="008854F9">
      <w:pPr>
        <w:pStyle w:val="SingleTxt"/>
        <w:jc w:val="left"/>
      </w:pPr>
      <w:r>
        <w:t xml:space="preserve">ASPROFER: Professional Association of Rural Women </w:t>
      </w:r>
    </w:p>
    <w:p w:rsidR="00770B6C" w:rsidRDefault="00770B6C" w:rsidP="008854F9">
      <w:pPr>
        <w:pStyle w:val="SingleTxt"/>
        <w:jc w:val="left"/>
      </w:pPr>
      <w:r>
        <w:t xml:space="preserve">AU: African Union </w:t>
      </w:r>
    </w:p>
    <w:p w:rsidR="00770B6C" w:rsidRDefault="00770B6C" w:rsidP="008854F9">
      <w:pPr>
        <w:pStyle w:val="SingleTxt"/>
        <w:jc w:val="left"/>
      </w:pPr>
      <w:r>
        <w:t>BOAD: West African Development Bank</w:t>
      </w:r>
    </w:p>
    <w:p w:rsidR="00770B6C" w:rsidRDefault="00770B6C" w:rsidP="008854F9">
      <w:pPr>
        <w:pStyle w:val="SingleTxt"/>
        <w:jc w:val="left"/>
      </w:pPr>
      <w:r>
        <w:t>CADHP: African Charter of Human and Peoples</w:t>
      </w:r>
      <w:r w:rsidR="00DD173B">
        <w:t>’</w:t>
      </w:r>
      <w:r>
        <w:t xml:space="preserve"> Rights</w:t>
      </w:r>
    </w:p>
    <w:p w:rsidR="00770B6C" w:rsidRDefault="00770B6C" w:rsidP="008854F9">
      <w:pPr>
        <w:pStyle w:val="SingleTxt"/>
        <w:jc w:val="left"/>
      </w:pPr>
      <w:r>
        <w:t>CAFE: Women</w:t>
      </w:r>
      <w:r w:rsidR="00DD173B">
        <w:t>’</w:t>
      </w:r>
      <w:r>
        <w:t>s Learning Centre</w:t>
      </w:r>
    </w:p>
    <w:p w:rsidR="00770B6C" w:rsidRDefault="00770B6C" w:rsidP="008854F9">
      <w:pPr>
        <w:pStyle w:val="SingleTxt"/>
        <w:jc w:val="left"/>
      </w:pPr>
      <w:r>
        <w:t>CAP: Educational Outreach Centres</w:t>
      </w:r>
    </w:p>
    <w:p w:rsidR="00770B6C" w:rsidRDefault="00770B6C" w:rsidP="008854F9">
      <w:pPr>
        <w:pStyle w:val="SingleTxt"/>
        <w:jc w:val="left"/>
      </w:pPr>
      <w:r>
        <w:t>CBMT: Medium Term Budgetary Framework</w:t>
      </w:r>
    </w:p>
    <w:p w:rsidR="00770B6C" w:rsidRDefault="00770B6C" w:rsidP="008854F9">
      <w:pPr>
        <w:pStyle w:val="SingleTxt"/>
        <w:jc w:val="left"/>
      </w:pPr>
      <w:r>
        <w:t>CCDV: Voluntary Counselling and Testing Centre</w:t>
      </w:r>
    </w:p>
    <w:p w:rsidR="00770B6C" w:rsidRDefault="00770B6C" w:rsidP="008854F9">
      <w:pPr>
        <w:pStyle w:val="SingleTxt"/>
        <w:jc w:val="left"/>
      </w:pPr>
      <w:r>
        <w:t>CCLIC: Local Information and Communication Centre</w:t>
      </w:r>
    </w:p>
    <w:p w:rsidR="00770B6C" w:rsidRDefault="00770B6C" w:rsidP="008854F9">
      <w:pPr>
        <w:pStyle w:val="SingleTxt"/>
        <w:jc w:val="left"/>
      </w:pPr>
      <w:r>
        <w:t>CCLS: Local Committee to Combat AIDS</w:t>
      </w:r>
    </w:p>
    <w:p w:rsidR="00770B6C" w:rsidRDefault="00770B6C" w:rsidP="008854F9">
      <w:pPr>
        <w:pStyle w:val="SingleTxt"/>
        <w:jc w:val="left"/>
      </w:pPr>
      <w:r>
        <w:t>CCS SFD: Monitoring and Oversight Unit of the Decentralized Financial Systems</w:t>
      </w:r>
    </w:p>
    <w:p w:rsidR="00770B6C" w:rsidRDefault="00770B6C" w:rsidP="008854F9">
      <w:pPr>
        <w:pStyle w:val="SingleTxt"/>
        <w:jc w:val="left"/>
      </w:pPr>
      <w:r>
        <w:t>CDE: Convention on the Rights of the Child</w:t>
      </w:r>
    </w:p>
    <w:p w:rsidR="00770B6C" w:rsidRDefault="00770B6C" w:rsidP="008854F9">
      <w:pPr>
        <w:pStyle w:val="SingleTxt"/>
        <w:jc w:val="left"/>
      </w:pPr>
      <w:r>
        <w:t>CDI: Institutional Development Commission</w:t>
      </w:r>
    </w:p>
    <w:p w:rsidR="00770B6C" w:rsidRDefault="00770B6C" w:rsidP="008854F9">
      <w:pPr>
        <w:pStyle w:val="SingleTxt"/>
        <w:jc w:val="left"/>
      </w:pPr>
      <w:r>
        <w:t>CEA: Economic Commission for Africa</w:t>
      </w:r>
    </w:p>
    <w:p w:rsidR="00770B6C" w:rsidRDefault="00770B6C" w:rsidP="008854F9">
      <w:pPr>
        <w:pStyle w:val="SingleTxt"/>
        <w:jc w:val="left"/>
      </w:pPr>
      <w:r>
        <w:t>CED: Centre for Education in Support of Development</w:t>
      </w:r>
    </w:p>
    <w:p w:rsidR="00770B6C" w:rsidRDefault="00770B6C" w:rsidP="008854F9">
      <w:pPr>
        <w:pStyle w:val="SingleTxt"/>
        <w:jc w:val="left"/>
      </w:pPr>
      <w:r>
        <w:t>CEDAW: Convention on the Elimination of All Forms of Discrimination against Women</w:t>
      </w:r>
    </w:p>
    <w:p w:rsidR="00770B6C" w:rsidRDefault="00770B6C" w:rsidP="008854F9">
      <w:pPr>
        <w:pStyle w:val="SingleTxt"/>
        <w:jc w:val="left"/>
      </w:pPr>
      <w:r>
        <w:t>CESAC: Counselling, Support and Assistance Centre</w:t>
      </w:r>
    </w:p>
    <w:p w:rsidR="00770B6C" w:rsidRPr="005E03D8" w:rsidRDefault="00770B6C" w:rsidP="008854F9">
      <w:pPr>
        <w:pStyle w:val="SingleTxt"/>
        <w:jc w:val="left"/>
        <w:rPr>
          <w:spacing w:val="2"/>
        </w:rPr>
      </w:pPr>
      <w:r w:rsidRPr="005E03D8">
        <w:rPr>
          <w:spacing w:val="2"/>
        </w:rPr>
        <w:t>CLAPN: Local Committee to Combat Practices Harmful to Maternal and Child Health</w:t>
      </w:r>
    </w:p>
    <w:p w:rsidR="00770B6C" w:rsidRDefault="00770B6C" w:rsidP="008854F9">
      <w:pPr>
        <w:pStyle w:val="SingleTxt"/>
        <w:jc w:val="left"/>
      </w:pPr>
      <w:r>
        <w:t>CLLS: Local Council to Combat AIDS</w:t>
      </w:r>
    </w:p>
    <w:p w:rsidR="00770B6C" w:rsidRDefault="00770B6C" w:rsidP="008854F9">
      <w:pPr>
        <w:pStyle w:val="SingleTxt"/>
        <w:spacing w:line="236" w:lineRule="exact"/>
        <w:jc w:val="left"/>
      </w:pPr>
      <w:r>
        <w:lastRenderedPageBreak/>
        <w:t>CNAPN: National Action Committee to Combat Practices Harmful to Maternal and Child Health</w:t>
      </w:r>
    </w:p>
    <w:p w:rsidR="00770B6C" w:rsidRDefault="00770B6C" w:rsidP="008854F9">
      <w:pPr>
        <w:pStyle w:val="SingleTxt"/>
        <w:spacing w:line="236" w:lineRule="exact"/>
        <w:jc w:val="left"/>
      </w:pPr>
      <w:r>
        <w:t xml:space="preserve">CNDIFE: National Centre for Documentation and Information on Women and the Child </w:t>
      </w:r>
    </w:p>
    <w:p w:rsidR="00770B6C" w:rsidRDefault="00770B6C" w:rsidP="008854F9">
      <w:pPr>
        <w:pStyle w:val="SingleTxt"/>
        <w:spacing w:line="236" w:lineRule="exact"/>
        <w:jc w:val="left"/>
      </w:pPr>
      <w:r>
        <w:t xml:space="preserve">CNR/ENF: National Centre for Non-formal Education Resources </w:t>
      </w:r>
    </w:p>
    <w:p w:rsidR="00770B6C" w:rsidRDefault="00770B6C" w:rsidP="008854F9">
      <w:pPr>
        <w:pStyle w:val="SingleTxt"/>
        <w:spacing w:line="236" w:lineRule="exact"/>
        <w:jc w:val="left"/>
      </w:pPr>
      <w:r>
        <w:t>CPS: National Centre for Documentation and Information on Women and the Child</w:t>
      </w:r>
    </w:p>
    <w:p w:rsidR="00770B6C" w:rsidRDefault="00770B6C" w:rsidP="008854F9">
      <w:pPr>
        <w:pStyle w:val="SingleTxt"/>
        <w:spacing w:line="236" w:lineRule="exact"/>
        <w:jc w:val="left"/>
      </w:pPr>
      <w:r>
        <w:t>CRAPN: Regional Committee to Combat Practices Harmful to Maternal and Child Health</w:t>
      </w:r>
    </w:p>
    <w:p w:rsidR="00770B6C" w:rsidRDefault="00770B6C" w:rsidP="008854F9">
      <w:pPr>
        <w:pStyle w:val="SingleTxt"/>
        <w:spacing w:line="236" w:lineRule="exact"/>
        <w:jc w:val="left"/>
      </w:pPr>
      <w:r>
        <w:t>CRLS: Regional Council to Combat AIDS</w:t>
      </w:r>
    </w:p>
    <w:p w:rsidR="00770B6C" w:rsidRDefault="00770B6C" w:rsidP="008854F9">
      <w:pPr>
        <w:pStyle w:val="SingleTxt"/>
        <w:spacing w:line="236" w:lineRule="exact"/>
        <w:jc w:val="left"/>
      </w:pPr>
      <w:r>
        <w:t>CRM: Mali Retirement Fund</w:t>
      </w:r>
    </w:p>
    <w:p w:rsidR="00770B6C" w:rsidRDefault="00770B6C" w:rsidP="008854F9">
      <w:pPr>
        <w:pStyle w:val="SingleTxt"/>
        <w:spacing w:line="236" w:lineRule="exact"/>
        <w:jc w:val="left"/>
      </w:pPr>
      <w:r>
        <w:t>CROCEP: Regional Committee for Guidance, Coordination and Evaluation of PRODESS</w:t>
      </w:r>
    </w:p>
    <w:p w:rsidR="00770B6C" w:rsidRDefault="00770B6C" w:rsidP="008854F9">
      <w:pPr>
        <w:pStyle w:val="SingleTxt"/>
        <w:spacing w:line="236" w:lineRule="exact"/>
        <w:jc w:val="left"/>
      </w:pPr>
      <w:r>
        <w:t>CRT: Committee for Regulation of Telecommunications</w:t>
      </w:r>
    </w:p>
    <w:p w:rsidR="00770B6C" w:rsidRDefault="00770B6C" w:rsidP="008854F9">
      <w:pPr>
        <w:pStyle w:val="SingleTxt"/>
        <w:spacing w:line="236" w:lineRule="exact"/>
        <w:jc w:val="left"/>
      </w:pPr>
      <w:r>
        <w:t>CSCOM: Community Health Centre</w:t>
      </w:r>
    </w:p>
    <w:p w:rsidR="00770B6C" w:rsidRDefault="00770B6C" w:rsidP="008854F9">
      <w:pPr>
        <w:pStyle w:val="SingleTxt"/>
        <w:spacing w:line="236" w:lineRule="exact"/>
        <w:jc w:val="left"/>
      </w:pPr>
      <w:r>
        <w:t>CSCRP: Strategic Framework for Growth and Poverty Reduction</w:t>
      </w:r>
    </w:p>
    <w:p w:rsidR="00770B6C" w:rsidRDefault="00770B6C" w:rsidP="008854F9">
      <w:pPr>
        <w:pStyle w:val="SingleTxt"/>
        <w:spacing w:line="236" w:lineRule="exact"/>
        <w:jc w:val="left"/>
      </w:pPr>
      <w:r>
        <w:t xml:space="preserve">CSLP: Strategic Framework for Combating Poverty </w:t>
      </w:r>
    </w:p>
    <w:p w:rsidR="00770B6C" w:rsidRDefault="00770B6C" w:rsidP="008854F9">
      <w:pPr>
        <w:pStyle w:val="SingleTxt"/>
        <w:spacing w:line="236" w:lineRule="exact"/>
        <w:jc w:val="left"/>
      </w:pPr>
      <w:r>
        <w:t>CVLS: Village Committee to Combat AIDS</w:t>
      </w:r>
    </w:p>
    <w:p w:rsidR="00770B6C" w:rsidRDefault="00770B6C" w:rsidP="008854F9">
      <w:pPr>
        <w:pStyle w:val="SingleTxt"/>
        <w:spacing w:line="236" w:lineRule="exact"/>
        <w:jc w:val="left"/>
      </w:pPr>
      <w:r>
        <w:t>DNEF: National Directorate of Primary Education</w:t>
      </w:r>
    </w:p>
    <w:p w:rsidR="00770B6C" w:rsidRDefault="00770B6C" w:rsidP="008854F9">
      <w:pPr>
        <w:pStyle w:val="SingleTxt"/>
        <w:spacing w:line="236" w:lineRule="exact"/>
        <w:jc w:val="left"/>
      </w:pPr>
      <w:r>
        <w:t>DNS: National Health Directorate</w:t>
      </w:r>
    </w:p>
    <w:p w:rsidR="00770B6C" w:rsidRDefault="00770B6C" w:rsidP="008854F9">
      <w:pPr>
        <w:pStyle w:val="SingleTxt"/>
        <w:spacing w:line="236" w:lineRule="exact"/>
        <w:jc w:val="left"/>
      </w:pPr>
      <w:r>
        <w:t>DOEF: Department of Employment and Training</w:t>
      </w:r>
    </w:p>
    <w:p w:rsidR="00770B6C" w:rsidRDefault="00770B6C" w:rsidP="008854F9">
      <w:pPr>
        <w:pStyle w:val="SingleTxt"/>
        <w:spacing w:line="236" w:lineRule="exact"/>
        <w:jc w:val="left"/>
      </w:pPr>
      <w:r>
        <w:t>ECAPDEF: Survey of Knowledge, Attitudes, and Practices on the Rights of Children and Women</w:t>
      </w:r>
    </w:p>
    <w:p w:rsidR="00770B6C" w:rsidRDefault="00770B6C" w:rsidP="008854F9">
      <w:pPr>
        <w:pStyle w:val="SingleTxt"/>
        <w:spacing w:line="236" w:lineRule="exact"/>
        <w:jc w:val="left"/>
      </w:pPr>
      <w:r>
        <w:t xml:space="preserve">ECOWAS: Economic Community of West African States </w:t>
      </w:r>
    </w:p>
    <w:p w:rsidR="00770B6C" w:rsidRDefault="00770B6C" w:rsidP="008854F9">
      <w:pPr>
        <w:pStyle w:val="SingleTxt"/>
        <w:spacing w:line="236" w:lineRule="exact"/>
        <w:jc w:val="left"/>
      </w:pPr>
      <w:r>
        <w:t>EDS/EDSM:</w:t>
      </w:r>
      <w:r w:rsidR="005E03D8">
        <w:t xml:space="preserve"> </w:t>
      </w:r>
      <w:r>
        <w:t>Malian Demographic and Health Survey (DHS)</w:t>
      </w:r>
    </w:p>
    <w:p w:rsidR="00770B6C" w:rsidRDefault="00770B6C" w:rsidP="008854F9">
      <w:pPr>
        <w:pStyle w:val="SingleTxt"/>
        <w:spacing w:line="236" w:lineRule="exact"/>
        <w:jc w:val="left"/>
      </w:pPr>
      <w:r>
        <w:t>EID: Forum for Democratic Discussion</w:t>
      </w:r>
    </w:p>
    <w:p w:rsidR="00770B6C" w:rsidRDefault="00770B6C" w:rsidP="008854F9">
      <w:pPr>
        <w:pStyle w:val="SingleTxt"/>
        <w:spacing w:line="236" w:lineRule="exact"/>
        <w:jc w:val="left"/>
      </w:pPr>
      <w:r>
        <w:t>ELIM: Light Integrated Household Survey</w:t>
      </w:r>
    </w:p>
    <w:p w:rsidR="00770B6C" w:rsidRDefault="00770B6C" w:rsidP="008854F9">
      <w:pPr>
        <w:pStyle w:val="SingleTxt"/>
        <w:spacing w:line="236" w:lineRule="exact"/>
        <w:jc w:val="left"/>
      </w:pPr>
      <w:r>
        <w:t>EPAM: Continuous Survey of Households</w:t>
      </w:r>
    </w:p>
    <w:p w:rsidR="00770B6C" w:rsidRDefault="00770B6C" w:rsidP="008854F9">
      <w:pPr>
        <w:pStyle w:val="SingleTxt"/>
        <w:spacing w:line="236" w:lineRule="exact"/>
        <w:jc w:val="left"/>
      </w:pPr>
      <w:r>
        <w:t>FAM: Medical Assistance Fund</w:t>
      </w:r>
    </w:p>
    <w:p w:rsidR="00770B6C" w:rsidRDefault="00770B6C" w:rsidP="008854F9">
      <w:pPr>
        <w:pStyle w:val="SingleTxt"/>
        <w:spacing w:line="236" w:lineRule="exact"/>
        <w:jc w:val="left"/>
      </w:pPr>
      <w:r>
        <w:t>FAWE: African Women Educators</w:t>
      </w:r>
      <w:r w:rsidR="00DD173B">
        <w:t>’</w:t>
      </w:r>
      <w:r>
        <w:t xml:space="preserve"> Forum</w:t>
      </w:r>
    </w:p>
    <w:p w:rsidR="00770B6C" w:rsidRDefault="00770B6C" w:rsidP="008854F9">
      <w:pPr>
        <w:pStyle w:val="SingleTxt"/>
        <w:spacing w:line="236" w:lineRule="exact"/>
        <w:jc w:val="left"/>
      </w:pPr>
      <w:r>
        <w:t>FENAFER: National Federation of Rural Women</w:t>
      </w:r>
    </w:p>
    <w:p w:rsidR="00770B6C" w:rsidRDefault="00770B6C" w:rsidP="008854F9">
      <w:pPr>
        <w:pStyle w:val="SingleTxt"/>
        <w:spacing w:line="236" w:lineRule="exact"/>
        <w:jc w:val="left"/>
      </w:pPr>
      <w:r>
        <w:t>FNAM: National Federation of Malian Crafts and Trades Workers</w:t>
      </w:r>
    </w:p>
    <w:p w:rsidR="00770B6C" w:rsidRDefault="00770B6C" w:rsidP="008854F9">
      <w:pPr>
        <w:pStyle w:val="SingleTxt"/>
        <w:spacing w:line="236" w:lineRule="exact"/>
        <w:jc w:val="left"/>
      </w:pPr>
      <w:r>
        <w:t xml:space="preserve">GED: Gender and Development </w:t>
      </w:r>
    </w:p>
    <w:p w:rsidR="00770B6C" w:rsidRDefault="00770B6C" w:rsidP="008854F9">
      <w:pPr>
        <w:pStyle w:val="SingleTxt"/>
        <w:spacing w:line="236" w:lineRule="exact"/>
        <w:jc w:val="left"/>
      </w:pPr>
      <w:r>
        <w:t>GNP</w:t>
      </w:r>
      <w:r w:rsidR="00DD173B">
        <w:t>:</w:t>
      </w:r>
      <w:r>
        <w:t xml:space="preserve"> Gross National Product </w:t>
      </w:r>
    </w:p>
    <w:p w:rsidR="00770B6C" w:rsidRDefault="00770B6C" w:rsidP="008854F9">
      <w:pPr>
        <w:pStyle w:val="SingleTxt"/>
        <w:spacing w:line="236" w:lineRule="exact"/>
        <w:jc w:val="left"/>
      </w:pPr>
      <w:r>
        <w:t>HCNLS: High Council for the Fight Against AIDS</w:t>
      </w:r>
    </w:p>
    <w:p w:rsidR="00770B6C" w:rsidRDefault="00770B6C" w:rsidP="008854F9">
      <w:pPr>
        <w:pStyle w:val="SingleTxt"/>
        <w:spacing w:line="236" w:lineRule="exact"/>
        <w:jc w:val="left"/>
      </w:pPr>
      <w:r>
        <w:t xml:space="preserve">HIV: Human Immunodeficiency Virus </w:t>
      </w:r>
    </w:p>
    <w:p w:rsidR="00770B6C" w:rsidRDefault="00770B6C" w:rsidP="008854F9">
      <w:pPr>
        <w:pStyle w:val="SingleTxt"/>
        <w:spacing w:line="236" w:lineRule="exact"/>
        <w:jc w:val="left"/>
      </w:pPr>
      <w:r>
        <w:t>ICT</w:t>
      </w:r>
      <w:r w:rsidR="00DD173B">
        <w:t>:</w:t>
      </w:r>
      <w:r>
        <w:t xml:space="preserve"> Information and Communication Technology </w:t>
      </w:r>
    </w:p>
    <w:p w:rsidR="00770B6C" w:rsidRDefault="00770B6C" w:rsidP="008854F9">
      <w:pPr>
        <w:pStyle w:val="SingleTxt"/>
        <w:spacing w:line="236" w:lineRule="exact"/>
        <w:jc w:val="left"/>
      </w:pPr>
      <w:r>
        <w:lastRenderedPageBreak/>
        <w:t>IEC: Information, Education and Communication</w:t>
      </w:r>
    </w:p>
    <w:p w:rsidR="00770B6C" w:rsidRDefault="00770B6C" w:rsidP="008854F9">
      <w:pPr>
        <w:pStyle w:val="SingleTxt"/>
        <w:spacing w:line="236" w:lineRule="exact"/>
        <w:jc w:val="left"/>
      </w:pPr>
      <w:r>
        <w:t xml:space="preserve">ILO: International Labour Organization </w:t>
      </w:r>
    </w:p>
    <w:p w:rsidR="00770B6C" w:rsidRDefault="00770B6C" w:rsidP="008854F9">
      <w:pPr>
        <w:pStyle w:val="SingleTxt"/>
        <w:spacing w:line="236" w:lineRule="exact"/>
        <w:jc w:val="left"/>
      </w:pPr>
      <w:r>
        <w:t>INPS: National Social Welfare Institute</w:t>
      </w:r>
    </w:p>
    <w:p w:rsidR="00770B6C" w:rsidRDefault="00770B6C" w:rsidP="008854F9">
      <w:pPr>
        <w:pStyle w:val="SingleTxt"/>
        <w:spacing w:line="236" w:lineRule="exact"/>
        <w:jc w:val="left"/>
      </w:pPr>
      <w:r>
        <w:t>INSTAT: National Institute of Statistics</w:t>
      </w:r>
    </w:p>
    <w:p w:rsidR="00770B6C" w:rsidRDefault="00770B6C" w:rsidP="008854F9">
      <w:pPr>
        <w:pStyle w:val="SingleTxt"/>
        <w:spacing w:line="236" w:lineRule="exact"/>
        <w:jc w:val="left"/>
      </w:pPr>
      <w:r>
        <w:t xml:space="preserve">MAEP: Peer Review Mechanism </w:t>
      </w:r>
    </w:p>
    <w:p w:rsidR="00770B6C" w:rsidRDefault="00770B6C" w:rsidP="008854F9">
      <w:pPr>
        <w:pStyle w:val="SingleTxt"/>
        <w:spacing w:line="236" w:lineRule="exact"/>
        <w:jc w:val="left"/>
      </w:pPr>
      <w:r>
        <w:t xml:space="preserve">MDG: Millennium Development Goal </w:t>
      </w:r>
    </w:p>
    <w:p w:rsidR="00770B6C" w:rsidRDefault="00770B6C" w:rsidP="008854F9">
      <w:pPr>
        <w:pStyle w:val="SingleTxt"/>
        <w:spacing w:line="236" w:lineRule="exact"/>
        <w:jc w:val="left"/>
      </w:pPr>
      <w:r>
        <w:t>MPFEF: Ministry for the Advancement of Women, Children and Families</w:t>
      </w:r>
    </w:p>
    <w:p w:rsidR="00770B6C" w:rsidRDefault="00770B6C" w:rsidP="008854F9">
      <w:pPr>
        <w:pStyle w:val="SingleTxt"/>
        <w:spacing w:line="236" w:lineRule="exact"/>
        <w:jc w:val="left"/>
      </w:pPr>
      <w:r>
        <w:t>NGO:</w:t>
      </w:r>
      <w:r w:rsidR="005E03D8">
        <w:t xml:space="preserve"> </w:t>
      </w:r>
      <w:r>
        <w:t xml:space="preserve">Non-Governmental Organization </w:t>
      </w:r>
    </w:p>
    <w:p w:rsidR="00770B6C" w:rsidRDefault="00770B6C" w:rsidP="008854F9">
      <w:pPr>
        <w:pStyle w:val="SingleTxt"/>
        <w:spacing w:line="236" w:lineRule="exact"/>
        <w:jc w:val="left"/>
      </w:pPr>
      <w:r>
        <w:t>OHADA: Organization for the Harmonization of Business Law in Africa</w:t>
      </w:r>
    </w:p>
    <w:p w:rsidR="00770B6C" w:rsidRDefault="00770B6C" w:rsidP="008854F9">
      <w:pPr>
        <w:pStyle w:val="SingleTxt"/>
        <w:spacing w:line="236" w:lineRule="exact"/>
        <w:jc w:val="left"/>
      </w:pPr>
      <w:r>
        <w:t>PAGIRE: Plan d</w:t>
      </w:r>
      <w:r w:rsidR="00DD173B">
        <w:t>’</w:t>
      </w:r>
      <w:r>
        <w:t>Action de Gestion Intégrée des Ressources en Eau/Integrated Water Resources Management Plan</w:t>
      </w:r>
    </w:p>
    <w:p w:rsidR="00770B6C" w:rsidRDefault="00770B6C" w:rsidP="008854F9">
      <w:pPr>
        <w:pStyle w:val="SingleTxt"/>
        <w:spacing w:line="236" w:lineRule="exact"/>
        <w:jc w:val="left"/>
      </w:pPr>
      <w:r>
        <w:t xml:space="preserve">PAN: National Cross-cutting Action Programmes </w:t>
      </w:r>
    </w:p>
    <w:p w:rsidR="00770B6C" w:rsidRDefault="00770B6C" w:rsidP="008854F9">
      <w:pPr>
        <w:pStyle w:val="SingleTxt"/>
        <w:spacing w:line="236" w:lineRule="exact"/>
        <w:jc w:val="left"/>
      </w:pPr>
      <w:r>
        <w:t>PAREHF: Programme to Strengthen Equity between Men and Women</w:t>
      </w:r>
    </w:p>
    <w:p w:rsidR="00770B6C" w:rsidRDefault="00770B6C" w:rsidP="008854F9">
      <w:pPr>
        <w:pStyle w:val="SingleTxt"/>
        <w:spacing w:line="236" w:lineRule="exact"/>
        <w:jc w:val="left"/>
      </w:pPr>
      <w:r>
        <w:t>PASAOP: Programme to support the Farm System and Rural Organizations</w:t>
      </w:r>
    </w:p>
    <w:p w:rsidR="00770B6C" w:rsidRDefault="00770B6C" w:rsidP="008854F9">
      <w:pPr>
        <w:pStyle w:val="SingleTxt"/>
        <w:spacing w:line="236" w:lineRule="exact"/>
        <w:jc w:val="left"/>
      </w:pPr>
      <w:r>
        <w:t>PCDHG: United Nations support programme for the promotion of human rights</w:t>
      </w:r>
    </w:p>
    <w:p w:rsidR="00770B6C" w:rsidRDefault="00770B6C" w:rsidP="008854F9">
      <w:pPr>
        <w:pStyle w:val="SingleTxt"/>
        <w:spacing w:line="236" w:lineRule="exact"/>
        <w:jc w:val="left"/>
      </w:pPr>
      <w:r>
        <w:t>PDES: Economic and Social Development Programme</w:t>
      </w:r>
    </w:p>
    <w:p w:rsidR="00770B6C" w:rsidRDefault="00770B6C" w:rsidP="008854F9">
      <w:pPr>
        <w:pStyle w:val="SingleTxt"/>
        <w:spacing w:line="236" w:lineRule="exact"/>
        <w:jc w:val="left"/>
      </w:pPr>
      <w:r>
        <w:t>PDHEG: Human Rights Gender Equity Project</w:t>
      </w:r>
    </w:p>
    <w:p w:rsidR="00770B6C" w:rsidRDefault="00770B6C" w:rsidP="008854F9">
      <w:pPr>
        <w:pStyle w:val="SingleTxt"/>
        <w:spacing w:line="236" w:lineRule="exact"/>
        <w:jc w:val="left"/>
      </w:pPr>
      <w:r>
        <w:t>PDSEC: Social, Economic and Cultural Development Programme</w:t>
      </w:r>
    </w:p>
    <w:p w:rsidR="00770B6C" w:rsidRDefault="00770B6C" w:rsidP="008854F9">
      <w:pPr>
        <w:pStyle w:val="SingleTxt"/>
        <w:spacing w:line="236" w:lineRule="exact"/>
        <w:jc w:val="left"/>
      </w:pPr>
      <w:r>
        <w:t>PNAE: Environmental Actions Plan</w:t>
      </w:r>
    </w:p>
    <w:p w:rsidR="00770B6C" w:rsidRDefault="00770B6C" w:rsidP="008854F9">
      <w:pPr>
        <w:pStyle w:val="SingleTxt"/>
        <w:spacing w:line="236" w:lineRule="exact"/>
        <w:jc w:val="left"/>
      </w:pPr>
      <w:r>
        <w:t>PNEHF: National Policy for Equality between Men and Women</w:t>
      </w:r>
    </w:p>
    <w:p w:rsidR="00770B6C" w:rsidRDefault="00770B6C" w:rsidP="008854F9">
      <w:pPr>
        <w:pStyle w:val="SingleTxt"/>
        <w:spacing w:line="236" w:lineRule="exact"/>
        <w:jc w:val="left"/>
      </w:pPr>
      <w:r>
        <w:t>PNLE</w:t>
      </w:r>
      <w:r w:rsidR="00DD173B">
        <w:t>:</w:t>
      </w:r>
      <w:r>
        <w:t xml:space="preserve"> National Programme to Combat Excision</w:t>
      </w:r>
    </w:p>
    <w:p w:rsidR="00770B6C" w:rsidRDefault="00770B6C" w:rsidP="008854F9">
      <w:pPr>
        <w:pStyle w:val="SingleTxt"/>
        <w:spacing w:line="236" w:lineRule="exact"/>
        <w:jc w:val="left"/>
      </w:pPr>
      <w:r>
        <w:t xml:space="preserve">PNPE: National Environment Protection Policy </w:t>
      </w:r>
    </w:p>
    <w:p w:rsidR="00770B6C" w:rsidRDefault="00770B6C" w:rsidP="008854F9">
      <w:pPr>
        <w:pStyle w:val="SingleTxt"/>
        <w:spacing w:line="236" w:lineRule="exact"/>
        <w:jc w:val="left"/>
      </w:pPr>
      <w:r>
        <w:t>PRODEC: Decennial Education Development Programme</w:t>
      </w:r>
    </w:p>
    <w:p w:rsidR="00770B6C" w:rsidRDefault="00770B6C" w:rsidP="008854F9">
      <w:pPr>
        <w:pStyle w:val="SingleTxt"/>
        <w:spacing w:line="236" w:lineRule="exact"/>
        <w:jc w:val="left"/>
      </w:pPr>
      <w:r>
        <w:t>PRODEJ: Decennial Justice Development Programme</w:t>
      </w:r>
    </w:p>
    <w:p w:rsidR="00770B6C" w:rsidRDefault="00770B6C" w:rsidP="008854F9">
      <w:pPr>
        <w:pStyle w:val="SingleTxt"/>
        <w:spacing w:line="236" w:lineRule="exact"/>
        <w:jc w:val="left"/>
      </w:pPr>
      <w:r>
        <w:t>PRODESS: Decennial Socio-sanitary Development Programme</w:t>
      </w:r>
    </w:p>
    <w:p w:rsidR="00770B6C" w:rsidRDefault="00770B6C" w:rsidP="008854F9">
      <w:pPr>
        <w:pStyle w:val="SingleTxt"/>
        <w:spacing w:line="236" w:lineRule="exact"/>
        <w:jc w:val="left"/>
      </w:pPr>
      <w:r>
        <w:t>PROJES: Project for Equality between the Sexes</w:t>
      </w:r>
    </w:p>
    <w:p w:rsidR="00770B6C" w:rsidRDefault="00770B6C" w:rsidP="008854F9">
      <w:pPr>
        <w:pStyle w:val="SingleTxt"/>
        <w:spacing w:line="236" w:lineRule="exact"/>
        <w:jc w:val="left"/>
      </w:pPr>
      <w:r>
        <w:t>PTF: Technical and Financial Partners</w:t>
      </w:r>
    </w:p>
    <w:p w:rsidR="00770B6C" w:rsidRDefault="00770B6C" w:rsidP="008854F9">
      <w:pPr>
        <w:pStyle w:val="SingleTxt"/>
        <w:spacing w:line="236" w:lineRule="exact"/>
        <w:jc w:val="left"/>
      </w:pPr>
      <w:r>
        <w:t>PTME: Programme to prevent Mother-to-Child Transmission</w:t>
      </w:r>
    </w:p>
    <w:p w:rsidR="00770B6C" w:rsidRDefault="00770B6C" w:rsidP="008854F9">
      <w:pPr>
        <w:pStyle w:val="SingleTxt"/>
        <w:spacing w:line="236" w:lineRule="exact"/>
        <w:jc w:val="left"/>
      </w:pPr>
      <w:r>
        <w:t>PVVIH: People Living with HIV</w:t>
      </w:r>
    </w:p>
    <w:p w:rsidR="00770B6C" w:rsidRDefault="00770B6C" w:rsidP="008854F9">
      <w:pPr>
        <w:pStyle w:val="SingleTxt"/>
        <w:spacing w:line="236" w:lineRule="exact"/>
        <w:jc w:val="left"/>
      </w:pPr>
      <w:r>
        <w:t>RAMED: Medical Assistance Scheme</w:t>
      </w:r>
    </w:p>
    <w:p w:rsidR="00770B6C" w:rsidRDefault="00770B6C" w:rsidP="008854F9">
      <w:pPr>
        <w:pStyle w:val="SingleTxt"/>
        <w:spacing w:line="236" w:lineRule="exact"/>
        <w:jc w:val="left"/>
      </w:pPr>
      <w:r>
        <w:t>RECOFEM: Capacity-building Programme for Women</w:t>
      </w:r>
      <w:r w:rsidR="00DD173B">
        <w:t>’</w:t>
      </w:r>
      <w:r>
        <w:t>s Organizations</w:t>
      </w:r>
    </w:p>
    <w:p w:rsidR="00770B6C" w:rsidRDefault="00770B6C" w:rsidP="008854F9">
      <w:pPr>
        <w:pStyle w:val="SingleTxt"/>
        <w:spacing w:line="236" w:lineRule="exact"/>
        <w:jc w:val="left"/>
      </w:pPr>
      <w:r>
        <w:t>REFAE: Network of African Women Economists</w:t>
      </w:r>
    </w:p>
    <w:p w:rsidR="00770B6C" w:rsidRDefault="00770B6C" w:rsidP="008854F9">
      <w:pPr>
        <w:pStyle w:val="SingleTxt"/>
        <w:spacing w:line="236" w:lineRule="exact"/>
        <w:jc w:val="left"/>
      </w:pPr>
      <w:r>
        <w:t xml:space="preserve">UN: United Nations Organization </w:t>
      </w:r>
    </w:p>
    <w:p w:rsidR="005E03D8" w:rsidRDefault="00770B6C" w:rsidP="008854F9">
      <w:pPr>
        <w:pStyle w:val="SingleTxt"/>
        <w:spacing w:line="236" w:lineRule="exact"/>
        <w:jc w:val="left"/>
      </w:pPr>
      <w:r>
        <w:t xml:space="preserve">WAEMU: West African Economic and Monetary Union </w:t>
      </w:r>
      <w:r w:rsidR="005E03D8">
        <w:br w:type="page"/>
      </w:r>
    </w:p>
    <w:p w:rsidR="005E1F07" w:rsidRDefault="005E03D8" w:rsidP="005E03D8">
      <w:pPr>
        <w:pStyle w:val="H1"/>
        <w:ind w:right="1260"/>
      </w:pPr>
      <w:r>
        <w:lastRenderedPageBreak/>
        <w:tab/>
      </w:r>
      <w:r>
        <w:tab/>
      </w:r>
      <w:r w:rsidR="00770B6C">
        <w:t>Specific information in reference to the fundamental Articles of the Convention (articles 1 to 16)</w:t>
      </w:r>
    </w:p>
    <w:p w:rsidR="005E03D8" w:rsidRPr="005E03D8" w:rsidRDefault="005E03D8" w:rsidP="005E03D8">
      <w:pPr>
        <w:pStyle w:val="SingleTxt"/>
        <w:spacing w:after="0" w:line="120" w:lineRule="exact"/>
        <w:rPr>
          <w:sz w:val="10"/>
        </w:rPr>
      </w:pPr>
    </w:p>
    <w:p w:rsidR="005E03D8" w:rsidRPr="005E03D8" w:rsidRDefault="005E03D8" w:rsidP="005E03D8">
      <w:pPr>
        <w:pStyle w:val="SingleTxt"/>
        <w:spacing w:after="0" w:line="120" w:lineRule="exact"/>
        <w:rPr>
          <w:sz w:val="10"/>
        </w:rPr>
      </w:pPr>
    </w:p>
    <w:p w:rsidR="005E1F07" w:rsidRDefault="005E03D8" w:rsidP="005E03D8">
      <w:pPr>
        <w:pStyle w:val="H1"/>
        <w:ind w:right="1260"/>
      </w:pPr>
      <w:r>
        <w:tab/>
      </w:r>
      <w:r>
        <w:tab/>
      </w:r>
      <w:r w:rsidR="00770B6C">
        <w:t>Article 1: Definition of discrimination against women</w:t>
      </w:r>
    </w:p>
    <w:p w:rsidR="005E03D8" w:rsidRPr="005E03D8" w:rsidRDefault="005E03D8" w:rsidP="005E03D8">
      <w:pPr>
        <w:pStyle w:val="SingleTxt"/>
        <w:spacing w:after="0" w:line="120" w:lineRule="exact"/>
        <w:rPr>
          <w:sz w:val="10"/>
        </w:rPr>
      </w:pPr>
    </w:p>
    <w:p w:rsidR="005E03D8" w:rsidRPr="005E03D8" w:rsidRDefault="005E03D8" w:rsidP="005E03D8">
      <w:pPr>
        <w:pStyle w:val="SingleTxt"/>
        <w:spacing w:after="0" w:line="120" w:lineRule="exact"/>
        <w:rPr>
          <w:sz w:val="10"/>
        </w:rPr>
      </w:pPr>
    </w:p>
    <w:p w:rsidR="005E1F07" w:rsidRDefault="00807762" w:rsidP="00770B6C">
      <w:pPr>
        <w:pStyle w:val="SingleTxt"/>
      </w:pPr>
      <w:r>
        <w:t>1.</w:t>
      </w:r>
      <w:r>
        <w:tab/>
      </w:r>
      <w:r w:rsidR="00770B6C">
        <w:t>Mali has ratified the Convention without reservation.</w:t>
      </w:r>
      <w:r w:rsidR="005E03D8">
        <w:t xml:space="preserve"> </w:t>
      </w:r>
      <w:r w:rsidR="00770B6C">
        <w:t xml:space="preserve">Thus, Mali fully adheres to the definition of gender discrimination contained in the Convention, in conformity with article 116 of its constitution, which provides that </w:t>
      </w:r>
      <w:r w:rsidR="00DD173B">
        <w:t>“</w:t>
      </w:r>
      <w:r w:rsidR="00770B6C">
        <w:t>… treaties or agreements properly ratified or approved shall, from the moment they are published, have precedence over national legislation</w:t>
      </w:r>
      <w:r w:rsidR="00DD173B">
        <w:t>”</w:t>
      </w:r>
      <w:r w:rsidR="00770B6C">
        <w:t>.</w:t>
      </w:r>
    </w:p>
    <w:p w:rsidR="005E1F07" w:rsidRDefault="00807762" w:rsidP="00770B6C">
      <w:pPr>
        <w:pStyle w:val="SingleTxt"/>
      </w:pPr>
      <w:r>
        <w:t>2.</w:t>
      </w:r>
      <w:r>
        <w:tab/>
      </w:r>
      <w:r w:rsidR="00770B6C">
        <w:t xml:space="preserve">Article 2 of the Malian Constitution which entered into force on 25 February 1992 provides as follows: </w:t>
      </w:r>
      <w:r w:rsidR="00DD173B">
        <w:t>“</w:t>
      </w:r>
      <w:r w:rsidR="00770B6C">
        <w:t>Every Malian is born and remains free and equal in rights and duties. All discrimination on the basis of social origin, colour, language, race, sex, religion or political opinion shall be prohibited.</w:t>
      </w:r>
      <w:r w:rsidR="00DD173B">
        <w:t>”</w:t>
      </w:r>
    </w:p>
    <w:p w:rsidR="005E1F07" w:rsidRDefault="00807762" w:rsidP="00770B6C">
      <w:pPr>
        <w:pStyle w:val="SingleTxt"/>
      </w:pPr>
      <w:r>
        <w:t>3.</w:t>
      </w:r>
      <w:r>
        <w:tab/>
      </w:r>
      <w:r w:rsidR="00770B6C">
        <w:t>Like other countries, Mali has ratified the Protocol to the African Charter of Human and People</w:t>
      </w:r>
      <w:r w:rsidR="00DD173B">
        <w:t>’</w:t>
      </w:r>
      <w:r w:rsidR="00770B6C">
        <w:t>s Rights on the Rights of Women in Africa.</w:t>
      </w:r>
      <w:r w:rsidR="005E03D8">
        <w:t xml:space="preserve"> </w:t>
      </w:r>
      <w:r w:rsidR="00770B6C">
        <w:t>The Protocol was adopted in July 2003 and entered into force on 25 November 2005.</w:t>
      </w:r>
    </w:p>
    <w:p w:rsidR="00807762" w:rsidRPr="00807762" w:rsidRDefault="00807762" w:rsidP="00807762">
      <w:pPr>
        <w:pStyle w:val="SingleTxt"/>
        <w:spacing w:after="0" w:line="120" w:lineRule="exact"/>
        <w:rPr>
          <w:sz w:val="10"/>
        </w:rPr>
      </w:pPr>
    </w:p>
    <w:p w:rsidR="00807762" w:rsidRPr="00807762" w:rsidRDefault="00807762" w:rsidP="00807762">
      <w:pPr>
        <w:pStyle w:val="SingleTxt"/>
        <w:spacing w:after="0" w:line="120" w:lineRule="exact"/>
        <w:rPr>
          <w:sz w:val="10"/>
        </w:rPr>
      </w:pPr>
    </w:p>
    <w:p w:rsidR="005E1F07" w:rsidRDefault="00807762" w:rsidP="00807762">
      <w:pPr>
        <w:pStyle w:val="H1"/>
        <w:ind w:right="1260"/>
      </w:pPr>
      <w:r>
        <w:tab/>
      </w:r>
      <w:r>
        <w:tab/>
      </w:r>
      <w:r w:rsidR="00770B6C">
        <w:t>Article 2:</w:t>
      </w:r>
      <w:r w:rsidR="005E03D8">
        <w:t xml:space="preserve"> </w:t>
      </w:r>
      <w:r w:rsidR="00770B6C">
        <w:t>Constitutional and legislative provisions and other measures adopted for the purpose of eliminating discrimination against women</w:t>
      </w:r>
    </w:p>
    <w:p w:rsidR="00807762" w:rsidRPr="00807762" w:rsidRDefault="00807762" w:rsidP="00807762">
      <w:pPr>
        <w:pStyle w:val="SingleTxt"/>
        <w:spacing w:after="0" w:line="120" w:lineRule="exact"/>
        <w:rPr>
          <w:sz w:val="10"/>
        </w:rPr>
      </w:pPr>
    </w:p>
    <w:p w:rsidR="00807762" w:rsidRPr="00807762" w:rsidRDefault="00807762" w:rsidP="00807762">
      <w:pPr>
        <w:pStyle w:val="SingleTxt"/>
        <w:spacing w:after="0" w:line="120" w:lineRule="exact"/>
        <w:rPr>
          <w:sz w:val="10"/>
        </w:rPr>
      </w:pPr>
    </w:p>
    <w:p w:rsidR="00770B6C" w:rsidRDefault="00807762" w:rsidP="00770B6C">
      <w:pPr>
        <w:pStyle w:val="SingleTxt"/>
      </w:pPr>
      <w:r>
        <w:t>4.</w:t>
      </w:r>
      <w:r>
        <w:tab/>
      </w:r>
      <w:r w:rsidR="00770B6C">
        <w:t>The Malian Constitution clearly ordains th</w:t>
      </w:r>
      <w:r w:rsidR="005E03D8">
        <w:t>e principle of equality and non</w:t>
      </w:r>
      <w:r w:rsidR="005E03D8">
        <w:noBreakHyphen/>
      </w:r>
      <w:r w:rsidR="00770B6C">
        <w:t>discrimination in articles 1 to 21 thereby guaranteeing that men and women have the same rights and individual freedoms with respect to freedom of thought, freedom of conscience, freedom of religion, freedom of worship, freedom of opinion, freedom of expression, freedom of creation, freedom of movement, freedom of residence, freedom of association, freedom of assembly, freedom of procession and demonstration, freedom of artistic and cultural creation, property rights, freedom of enterprise, right to education, right to training, right to housing, right to recreation, right to health, right to social protection, right to work, right to rest, freedom to join a labour union and right to strike.</w:t>
      </w:r>
    </w:p>
    <w:p w:rsidR="00770B6C" w:rsidRPr="00807762" w:rsidRDefault="00807762" w:rsidP="00770B6C">
      <w:pPr>
        <w:pStyle w:val="SingleTxt"/>
      </w:pPr>
      <w:r>
        <w:tab/>
        <w:t>(a)</w:t>
      </w:r>
      <w:r>
        <w:tab/>
      </w:r>
      <w:r w:rsidR="00770B6C" w:rsidRPr="00807762">
        <w:t>On the basis of the discrimination defined in article 2 of the constitution, law 01-079 of 20 August 2001 establishing the Penal Code contains a provision in article 58 which lays down a penalty consisting of imprisonment for a period of five years for any statement or act of such a kind as to create or give rise to racial or ethnic discrimination, any statement or act whose aim is to incite or perpetuate the spread of regional bias, any manifestation contrary to freedom of worship that might produce antagonisms between citizens …</w:t>
      </w:r>
      <w:r w:rsidR="00DD173B" w:rsidRPr="00807762">
        <w:t>.”</w:t>
      </w:r>
    </w:p>
    <w:p w:rsidR="005E1F07" w:rsidRDefault="00770B6C" w:rsidP="00770B6C">
      <w:pPr>
        <w:pStyle w:val="SingleTxt"/>
      </w:pPr>
      <w:r>
        <w:t>This provision of the Penal Code, however, does not cover discrimination on the basis of sex.</w:t>
      </w:r>
    </w:p>
    <w:p w:rsidR="005E1F07" w:rsidRDefault="00807762" w:rsidP="00770B6C">
      <w:pPr>
        <w:pStyle w:val="SingleTxt"/>
      </w:pPr>
      <w:r>
        <w:tab/>
        <w:t>(b)</w:t>
      </w:r>
      <w:r>
        <w:tab/>
      </w:r>
      <w:r w:rsidR="00770B6C">
        <w:t>There is legal protection for the rights of women on an equal basis with men through national courts, State agencies and other public institutions. Jurisdictions, whether judicial or administrative, make no distinction between men and women in applying the Codes of Civil or Commercial Procedure, the Code of Penal Procedure, etc.</w:t>
      </w:r>
    </w:p>
    <w:p w:rsidR="005E1F07" w:rsidRDefault="00770B6C" w:rsidP="00770B6C">
      <w:pPr>
        <w:pStyle w:val="SingleTxt"/>
      </w:pPr>
      <w:r>
        <w:lastRenderedPageBreak/>
        <w:t>5.</w:t>
      </w:r>
      <w:r w:rsidR="008854F9">
        <w:tab/>
      </w:r>
      <w:r>
        <w:t xml:space="preserve">Despite the fact that the Constitution of 25 February 1992 prohibits discrimination on the basis of sex, there are certain practices which depart from that principle, in particular with regard to succession, the practice of excision, under-age marriage and other practices that may be harmful to the health of women and children. </w:t>
      </w:r>
    </w:p>
    <w:p w:rsidR="005E1F07" w:rsidRDefault="00770B6C" w:rsidP="00770B6C">
      <w:pPr>
        <w:pStyle w:val="SingleTxt"/>
      </w:pPr>
      <w:r>
        <w:t>6.</w:t>
      </w:r>
      <w:r w:rsidR="008854F9">
        <w:tab/>
      </w:r>
      <w:r>
        <w:t>In addition to these constitutional, legislative and regulatory measures, mention should be made of numerous programmes or projects that have been developed, such as the United Nations support programme for the promotion of human and gender rights (PCDHG), the Project to Support Strengthening Gender Equity through Reduction of Economic and Socio-political Disparities (Projet d</w:t>
      </w:r>
      <w:r w:rsidR="00DD173B">
        <w:t>’</w:t>
      </w:r>
      <w:r>
        <w:t>Appui au Renforcement de l</w:t>
      </w:r>
      <w:r w:rsidR="00DD173B">
        <w:t>’</w:t>
      </w:r>
      <w:r>
        <w:t>Equité Homme/Femme pour la Réduction des Disparités Economiques et Sociopolitiques (PAREHF)), and the Project on Equality between the Sexes (Projet d</w:t>
      </w:r>
      <w:r w:rsidR="00DD173B">
        <w:t>’</w:t>
      </w:r>
      <w:r>
        <w:t>Egalité entre les Sexes (PROJES)).</w:t>
      </w:r>
      <w:r w:rsidR="005E03D8">
        <w:t xml:space="preserve"> </w:t>
      </w:r>
      <w:r>
        <w:t>These projects and programmes have, inter alia, helped to make possible the following:</w:t>
      </w:r>
    </w:p>
    <w:p w:rsidR="00770B6C" w:rsidRDefault="00807762" w:rsidP="00807762">
      <w:pPr>
        <w:pStyle w:val="SingleTxt"/>
        <w:tabs>
          <w:tab w:val="right" w:pos="1685"/>
        </w:tabs>
        <w:ind w:left="1742" w:hanging="475"/>
      </w:pPr>
      <w:r>
        <w:tab/>
        <w:t>•</w:t>
      </w:r>
      <w:r w:rsidR="00770B6C">
        <w:tab/>
        <w:t>Translating the information concerning male-female equality, especially the relevant protocols, into language accessible to the largest number of people possible;</w:t>
      </w:r>
    </w:p>
    <w:p w:rsidR="005E1F07" w:rsidRDefault="00807762" w:rsidP="00807762">
      <w:pPr>
        <w:pStyle w:val="SingleTxt"/>
        <w:tabs>
          <w:tab w:val="right" w:pos="1685"/>
        </w:tabs>
        <w:ind w:left="1742" w:hanging="475"/>
      </w:pPr>
      <w:r>
        <w:tab/>
        <w:t>•</w:t>
      </w:r>
      <w:r w:rsidR="00770B6C">
        <w:tab/>
        <w:t>Translating the Convention on the Elimination of All Forms of Discrimination against Women into national languages and its dissemination;</w:t>
      </w:r>
    </w:p>
    <w:p w:rsidR="00770B6C" w:rsidRDefault="00807762" w:rsidP="00807762">
      <w:pPr>
        <w:pStyle w:val="SingleTxt"/>
        <w:tabs>
          <w:tab w:val="right" w:pos="1685"/>
        </w:tabs>
        <w:ind w:left="1742" w:hanging="475"/>
      </w:pPr>
      <w:r>
        <w:tab/>
        <w:t>•</w:t>
      </w:r>
      <w:r w:rsidR="00770B6C">
        <w:tab/>
        <w:t>Translating the Maputo Protocol and the Convention on the Elimination of All Forms of Discrimination against Women into layman</w:t>
      </w:r>
      <w:r w:rsidR="00DD173B">
        <w:t>’</w:t>
      </w:r>
      <w:r w:rsidR="00770B6C">
        <w:t>s language;</w:t>
      </w:r>
    </w:p>
    <w:p w:rsidR="00770B6C" w:rsidRDefault="00807762" w:rsidP="00807762">
      <w:pPr>
        <w:pStyle w:val="SingleTxt"/>
        <w:tabs>
          <w:tab w:val="right" w:pos="1685"/>
        </w:tabs>
        <w:ind w:left="1742" w:hanging="475"/>
      </w:pPr>
      <w:r>
        <w:tab/>
        <w:t>•</w:t>
      </w:r>
      <w:r w:rsidR="00770B6C">
        <w:tab/>
        <w:t>Ratification of the international and African conventions and protocols guaranteeing women</w:t>
      </w:r>
      <w:r w:rsidR="00DD173B">
        <w:t>’</w:t>
      </w:r>
      <w:r w:rsidR="00770B6C">
        <w:t>s rights;</w:t>
      </w:r>
    </w:p>
    <w:p w:rsidR="00770B6C" w:rsidRDefault="00807762" w:rsidP="00807762">
      <w:pPr>
        <w:pStyle w:val="SingleTxt"/>
        <w:tabs>
          <w:tab w:val="right" w:pos="1685"/>
        </w:tabs>
        <w:ind w:left="1742" w:hanging="475"/>
      </w:pPr>
      <w:r>
        <w:tab/>
        <w:t>•</w:t>
      </w:r>
      <w:r w:rsidR="00770B6C">
        <w:tab/>
        <w:t>Continued dissemination of the Convention on the Elimination of All Forms of Discrimination against Women to government and institutions:</w:t>
      </w:r>
    </w:p>
    <w:p w:rsidR="00770B6C" w:rsidRDefault="00807762" w:rsidP="00807762">
      <w:pPr>
        <w:pStyle w:val="SingleTxt"/>
        <w:tabs>
          <w:tab w:val="right" w:pos="1685"/>
        </w:tabs>
        <w:ind w:left="1742" w:hanging="475"/>
      </w:pPr>
      <w:r>
        <w:tab/>
        <w:t>•</w:t>
      </w:r>
      <w:r w:rsidR="00770B6C">
        <w:tab/>
        <w:t>Government (50 officials)</w:t>
      </w:r>
    </w:p>
    <w:p w:rsidR="00770B6C" w:rsidRDefault="00807762" w:rsidP="00807762">
      <w:pPr>
        <w:pStyle w:val="SingleTxt"/>
        <w:tabs>
          <w:tab w:val="right" w:pos="1685"/>
        </w:tabs>
        <w:ind w:left="1742" w:hanging="475"/>
      </w:pPr>
      <w:r>
        <w:tab/>
        <w:t>•</w:t>
      </w:r>
      <w:r w:rsidR="00770B6C">
        <w:tab/>
        <w:t>National Assembly (50 members)</w:t>
      </w:r>
    </w:p>
    <w:p w:rsidR="00770B6C" w:rsidRDefault="00807762" w:rsidP="00807762">
      <w:pPr>
        <w:pStyle w:val="SingleTxt"/>
        <w:tabs>
          <w:tab w:val="right" w:pos="1685"/>
        </w:tabs>
        <w:ind w:left="1742" w:hanging="475"/>
      </w:pPr>
      <w:r>
        <w:tab/>
        <w:t>•</w:t>
      </w:r>
      <w:r w:rsidR="00770B6C">
        <w:tab/>
        <w:t>Economic, social and cultural council (50 members)</w:t>
      </w:r>
    </w:p>
    <w:p w:rsidR="00770B6C" w:rsidRDefault="00807762" w:rsidP="00807762">
      <w:pPr>
        <w:pStyle w:val="SingleTxt"/>
        <w:tabs>
          <w:tab w:val="right" w:pos="1685"/>
        </w:tabs>
        <w:ind w:left="1742" w:hanging="475"/>
      </w:pPr>
      <w:r>
        <w:tab/>
        <w:t>•</w:t>
      </w:r>
      <w:r w:rsidR="00770B6C">
        <w:tab/>
        <w:t>Universities (300 students)</w:t>
      </w:r>
    </w:p>
    <w:p w:rsidR="00770B6C" w:rsidRDefault="00807762" w:rsidP="00807762">
      <w:pPr>
        <w:pStyle w:val="SingleTxt"/>
        <w:tabs>
          <w:tab w:val="right" w:pos="1685"/>
        </w:tabs>
        <w:ind w:left="1742" w:hanging="475"/>
      </w:pPr>
      <w:r>
        <w:tab/>
        <w:t>•</w:t>
      </w:r>
      <w:r w:rsidR="00770B6C">
        <w:tab/>
        <w:t>Military and security forces (100 persons in the aggregate)</w:t>
      </w:r>
    </w:p>
    <w:p w:rsidR="00770B6C" w:rsidRDefault="00807762" w:rsidP="00807762">
      <w:pPr>
        <w:pStyle w:val="SingleTxt"/>
        <w:tabs>
          <w:tab w:val="right" w:pos="1685"/>
        </w:tabs>
        <w:ind w:left="1742" w:hanging="475"/>
      </w:pPr>
      <w:r>
        <w:tab/>
        <w:t>•</w:t>
      </w:r>
      <w:r w:rsidR="00770B6C">
        <w:tab/>
        <w:t>Legal practitioners (50 jurists)</w:t>
      </w:r>
    </w:p>
    <w:p w:rsidR="00770B6C" w:rsidRDefault="00807762" w:rsidP="00807762">
      <w:pPr>
        <w:pStyle w:val="SingleTxt"/>
        <w:tabs>
          <w:tab w:val="right" w:pos="1685"/>
        </w:tabs>
        <w:ind w:left="1742" w:hanging="475"/>
      </w:pPr>
      <w:r>
        <w:tab/>
        <w:t>•</w:t>
      </w:r>
      <w:r w:rsidR="00770B6C">
        <w:tab/>
        <w:t>Traditional and modern communicators (50 people)</w:t>
      </w:r>
    </w:p>
    <w:p w:rsidR="00770B6C" w:rsidRDefault="00807762" w:rsidP="00807762">
      <w:pPr>
        <w:pStyle w:val="SingleTxt"/>
        <w:tabs>
          <w:tab w:val="right" w:pos="1685"/>
        </w:tabs>
        <w:ind w:left="1742" w:hanging="475"/>
      </w:pPr>
      <w:r>
        <w:tab/>
        <w:t>•</w:t>
      </w:r>
      <w:r w:rsidR="00770B6C">
        <w:tab/>
        <w:t>Civil society organizations and populations (50 association leaders)</w:t>
      </w:r>
    </w:p>
    <w:p w:rsidR="005E1F07" w:rsidRDefault="00807762" w:rsidP="00807762">
      <w:pPr>
        <w:pStyle w:val="SingleTxt"/>
        <w:tabs>
          <w:tab w:val="right" w:pos="1685"/>
        </w:tabs>
        <w:ind w:left="1742" w:hanging="475"/>
      </w:pPr>
      <w:r>
        <w:tab/>
        <w:t>•</w:t>
      </w:r>
      <w:r w:rsidR="00770B6C">
        <w:tab/>
        <w:t>Formation of 10 core groups of trainers on the Convention for all the regions of Mali (90 trainers trained).</w:t>
      </w:r>
    </w:p>
    <w:p w:rsidR="005E1F07" w:rsidRDefault="008854F9" w:rsidP="00770B6C">
      <w:pPr>
        <w:pStyle w:val="SingleTxt"/>
      </w:pPr>
      <w:r>
        <w:t>7.</w:t>
      </w:r>
      <w:r w:rsidR="00807762">
        <w:tab/>
      </w:r>
      <w:r w:rsidR="00770B6C">
        <w:t>There are also national institutions and associations dealing with human rights which have the protection of women</w:t>
      </w:r>
      <w:r w:rsidR="00DD173B">
        <w:t>’</w:t>
      </w:r>
      <w:r w:rsidR="00770B6C">
        <w:t xml:space="preserve">s rights within their mandate, such as: the National Human Rights Commission, the Malian Association for Human Rights, the Executive Secretariat of the African Peer Review Mechanism (MAEP), the Forum for Democratic Discussion of the Office of the Mediator of the Republic. </w:t>
      </w:r>
    </w:p>
    <w:p w:rsidR="00807762" w:rsidRPr="00807762" w:rsidRDefault="00807762" w:rsidP="00807762">
      <w:pPr>
        <w:pStyle w:val="SingleTxt"/>
        <w:spacing w:after="0" w:line="120" w:lineRule="exact"/>
        <w:rPr>
          <w:sz w:val="10"/>
        </w:rPr>
      </w:pPr>
    </w:p>
    <w:p w:rsidR="00807762" w:rsidRPr="00807762" w:rsidRDefault="00807762" w:rsidP="00807762">
      <w:pPr>
        <w:pStyle w:val="SingleTxt"/>
        <w:spacing w:after="0" w:line="120" w:lineRule="exact"/>
        <w:rPr>
          <w:sz w:val="10"/>
        </w:rPr>
      </w:pPr>
    </w:p>
    <w:p w:rsidR="005E1F07" w:rsidRDefault="00807762" w:rsidP="00807762">
      <w:pPr>
        <w:pStyle w:val="H1"/>
        <w:ind w:right="1260"/>
      </w:pPr>
      <w:r>
        <w:lastRenderedPageBreak/>
        <w:tab/>
      </w:r>
      <w:r>
        <w:tab/>
      </w:r>
      <w:r w:rsidR="00770B6C">
        <w:t>Article 3: Full Development and Advancement of Women</w:t>
      </w:r>
    </w:p>
    <w:p w:rsidR="00807762" w:rsidRPr="00807762" w:rsidRDefault="00807762" w:rsidP="00807762">
      <w:pPr>
        <w:pStyle w:val="SingleTxt"/>
        <w:spacing w:after="0" w:line="120" w:lineRule="exact"/>
        <w:rPr>
          <w:sz w:val="10"/>
        </w:rPr>
      </w:pPr>
    </w:p>
    <w:p w:rsidR="00807762" w:rsidRPr="00807762" w:rsidRDefault="00807762" w:rsidP="00807762">
      <w:pPr>
        <w:pStyle w:val="SingleTxt"/>
        <w:spacing w:after="0" w:line="120" w:lineRule="exact"/>
        <w:rPr>
          <w:sz w:val="10"/>
        </w:rPr>
      </w:pPr>
    </w:p>
    <w:p w:rsidR="00770B6C" w:rsidRDefault="00807762" w:rsidP="00807762">
      <w:pPr>
        <w:pStyle w:val="H23"/>
        <w:ind w:right="1260"/>
      </w:pPr>
      <w:r>
        <w:tab/>
      </w:r>
      <w:r w:rsidR="00770B6C">
        <w:t>I.</w:t>
      </w:r>
      <w:r w:rsidR="00770B6C">
        <w:tab/>
        <w:t>INSTITUTIONAL FRAMEWORK</w:t>
      </w:r>
    </w:p>
    <w:p w:rsidR="00807762" w:rsidRPr="00807762" w:rsidRDefault="00807762" w:rsidP="00807762">
      <w:pPr>
        <w:pStyle w:val="SingleTxt"/>
        <w:spacing w:after="0" w:line="120" w:lineRule="exact"/>
        <w:rPr>
          <w:sz w:val="10"/>
        </w:rPr>
      </w:pPr>
    </w:p>
    <w:p w:rsidR="005E1F07" w:rsidRDefault="00770B6C" w:rsidP="00770B6C">
      <w:pPr>
        <w:pStyle w:val="SingleTxt"/>
      </w:pPr>
      <w:r>
        <w:t>8.</w:t>
      </w:r>
      <w:r w:rsidR="008854F9">
        <w:tab/>
      </w:r>
      <w:r>
        <w:t>The institutional framework established since 1997 has undergone an organizational audit and an audit of missions in 2007 by the Institutional Development Commission.</w:t>
      </w:r>
    </w:p>
    <w:p w:rsidR="00770B6C" w:rsidRDefault="00770B6C" w:rsidP="00770B6C">
      <w:pPr>
        <w:pStyle w:val="SingleTxt"/>
      </w:pPr>
      <w:r>
        <w:t>9.</w:t>
      </w:r>
      <w:r w:rsidR="008854F9">
        <w:tab/>
      </w:r>
      <w:r>
        <w:t>This audit revealed shortcomings and lacunae with regard to the organization and functional modalities of the National Directorate for the Advancement of Women (Direction Nationale de la Promotion de la Femme), which led to a review of the governing provisions and the establishment of Regional Directorates for women</w:t>
      </w:r>
      <w:r w:rsidR="00DD173B">
        <w:t>’</w:t>
      </w:r>
      <w:r>
        <w:t>s advancement and child and family welfare.</w:t>
      </w:r>
    </w:p>
    <w:p w:rsidR="00770B6C" w:rsidRDefault="00770B6C" w:rsidP="00770B6C">
      <w:pPr>
        <w:pStyle w:val="SingleTxt"/>
      </w:pPr>
      <w:r>
        <w:t>10.</w:t>
      </w:r>
      <w:r w:rsidR="008854F9">
        <w:tab/>
      </w:r>
      <w:r>
        <w:t>The main innovations have included the following:</w:t>
      </w:r>
    </w:p>
    <w:p w:rsidR="00770B6C" w:rsidRDefault="00807762" w:rsidP="00807762">
      <w:pPr>
        <w:pStyle w:val="SingleTxt"/>
        <w:tabs>
          <w:tab w:val="right" w:pos="1685"/>
        </w:tabs>
        <w:ind w:left="1742" w:hanging="475"/>
      </w:pPr>
      <w:r>
        <w:tab/>
        <w:t>•</w:t>
      </w:r>
      <w:r w:rsidR="00770B6C">
        <w:tab/>
        <w:t>A reception and orientation office was created staffed at the national level;</w:t>
      </w:r>
    </w:p>
    <w:p w:rsidR="00770B6C" w:rsidRDefault="00807762" w:rsidP="00807762">
      <w:pPr>
        <w:pStyle w:val="SingleTxt"/>
        <w:tabs>
          <w:tab w:val="right" w:pos="1685"/>
        </w:tabs>
        <w:ind w:left="1742" w:hanging="475"/>
      </w:pPr>
      <w:r>
        <w:tab/>
        <w:t>•</w:t>
      </w:r>
      <w:r w:rsidR="00770B6C">
        <w:tab/>
        <w:t>A planning and follow-up/evaluation unit was created and staffed at the national and regional levels; certain decentralized management activities were transferred;</w:t>
      </w:r>
    </w:p>
    <w:p w:rsidR="00770B6C" w:rsidRDefault="00807762" w:rsidP="00807762">
      <w:pPr>
        <w:pStyle w:val="SingleTxt"/>
        <w:tabs>
          <w:tab w:val="right" w:pos="1685"/>
        </w:tabs>
        <w:ind w:left="1742" w:hanging="475"/>
      </w:pPr>
      <w:r>
        <w:tab/>
        <w:t>•</w:t>
      </w:r>
      <w:r w:rsidR="00770B6C">
        <w:tab/>
        <w:t>Focal points were designated for the sectoral departments.</w:t>
      </w:r>
      <w:r w:rsidR="005E03D8">
        <w:t xml:space="preserve"> </w:t>
      </w:r>
      <w:r w:rsidR="00770B6C">
        <w:t>At the subregional level, a local service for the advancement of women, children and the family was established;</w:t>
      </w:r>
    </w:p>
    <w:p w:rsidR="00770B6C" w:rsidRDefault="00807762" w:rsidP="00807762">
      <w:pPr>
        <w:pStyle w:val="SingleTxt"/>
        <w:tabs>
          <w:tab w:val="right" w:pos="1685"/>
        </w:tabs>
        <w:ind w:left="1742" w:hanging="475"/>
      </w:pPr>
      <w:r>
        <w:tab/>
        <w:t>•</w:t>
      </w:r>
      <w:r w:rsidR="00770B6C">
        <w:tab/>
        <w:t>This reform aims to equip the Ministry with competent structures for efficient implementation of its national women</w:t>
      </w:r>
      <w:r w:rsidR="00DD173B">
        <w:t>’</w:t>
      </w:r>
      <w:r w:rsidR="00770B6C">
        <w:t>s advancement policy. It reinforces the existing system of related services, namely:</w:t>
      </w:r>
    </w:p>
    <w:p w:rsidR="00770B6C" w:rsidRDefault="00807762" w:rsidP="00807762">
      <w:pPr>
        <w:pStyle w:val="SingleTxt"/>
        <w:tabs>
          <w:tab w:val="right" w:pos="1685"/>
        </w:tabs>
        <w:ind w:left="1742" w:hanging="475"/>
      </w:pPr>
      <w:r>
        <w:tab/>
        <w:t>•</w:t>
      </w:r>
      <w:r w:rsidR="00770B6C">
        <w:tab/>
        <w:t>The National Women</w:t>
      </w:r>
      <w:r w:rsidR="00DD173B">
        <w:t>’</w:t>
      </w:r>
      <w:r w:rsidR="00770B6C">
        <w:t>s Documentation and Information Centre, which became the National Information Centre on Women and Children in 2004;</w:t>
      </w:r>
    </w:p>
    <w:p w:rsidR="005E1F07" w:rsidRDefault="00807762" w:rsidP="00807762">
      <w:pPr>
        <w:pStyle w:val="SingleTxt"/>
        <w:tabs>
          <w:tab w:val="right" w:pos="1685"/>
        </w:tabs>
        <w:ind w:left="1742" w:hanging="475"/>
      </w:pPr>
      <w:r>
        <w:tab/>
        <w:t>•</w:t>
      </w:r>
      <w:r w:rsidR="00770B6C">
        <w:tab/>
        <w:t>The National Programme to Combat Excision.</w:t>
      </w:r>
    </w:p>
    <w:p w:rsidR="00770B6C" w:rsidRDefault="00770B6C" w:rsidP="00770B6C">
      <w:pPr>
        <w:pStyle w:val="SingleTxt"/>
      </w:pPr>
      <w:r>
        <w:t>11.</w:t>
      </w:r>
      <w:r w:rsidR="008854F9">
        <w:tab/>
      </w:r>
      <w:r>
        <w:t>New support projects have emerged, replacing projects mentioned in previous reports whose terms have come to an end.</w:t>
      </w:r>
      <w:r w:rsidR="005E03D8">
        <w:t xml:space="preserve"> </w:t>
      </w:r>
      <w:r>
        <w:t>These are:</w:t>
      </w:r>
    </w:p>
    <w:p w:rsidR="00770B6C" w:rsidRDefault="00807762" w:rsidP="00807762">
      <w:pPr>
        <w:pStyle w:val="SingleTxt"/>
        <w:tabs>
          <w:tab w:val="right" w:pos="1685"/>
        </w:tabs>
        <w:ind w:left="1742" w:hanging="475"/>
      </w:pPr>
      <w:r>
        <w:tab/>
        <w:t>•</w:t>
      </w:r>
      <w:r w:rsidR="00770B6C">
        <w:tab/>
        <w:t xml:space="preserve">The </w:t>
      </w:r>
      <w:r w:rsidR="00DD173B">
        <w:t>“</w:t>
      </w:r>
      <w:r w:rsidR="00770B6C">
        <w:t>Project on Equality between the Sexes</w:t>
      </w:r>
      <w:r w:rsidR="00DD173B">
        <w:t>”</w:t>
      </w:r>
      <w:r w:rsidR="00770B6C">
        <w:t xml:space="preserve"> (PROJES), funded by Canada; </w:t>
      </w:r>
    </w:p>
    <w:p w:rsidR="00770B6C" w:rsidRDefault="00807762" w:rsidP="00807762">
      <w:pPr>
        <w:pStyle w:val="SingleTxt"/>
        <w:tabs>
          <w:tab w:val="right" w:pos="1685"/>
        </w:tabs>
        <w:ind w:left="1742" w:hanging="475"/>
      </w:pPr>
      <w:r>
        <w:tab/>
        <w:t>•</w:t>
      </w:r>
      <w:r w:rsidR="00770B6C">
        <w:tab/>
        <w:t>The Capacity-Building Programme for Women</w:t>
      </w:r>
      <w:r w:rsidR="00DD173B">
        <w:t>’</w:t>
      </w:r>
      <w:r w:rsidR="00770B6C">
        <w:t xml:space="preserve">s Organizations (RECOFEM) funded by ACBF and the national budget; </w:t>
      </w:r>
    </w:p>
    <w:p w:rsidR="00770B6C" w:rsidRDefault="00807762" w:rsidP="00807762">
      <w:pPr>
        <w:pStyle w:val="SingleTxt"/>
        <w:tabs>
          <w:tab w:val="right" w:pos="1685"/>
        </w:tabs>
        <w:ind w:left="1742" w:hanging="475"/>
      </w:pPr>
      <w:r>
        <w:tab/>
        <w:t>•</w:t>
      </w:r>
      <w:r w:rsidR="00770B6C">
        <w:tab/>
        <w:t xml:space="preserve">The project </w:t>
      </w:r>
      <w:r w:rsidR="00DD173B">
        <w:t>“</w:t>
      </w:r>
      <w:r w:rsidR="00770B6C">
        <w:t>Promoting Human Rights, Equity and Gender Equality</w:t>
      </w:r>
      <w:r w:rsidR="00DD173B">
        <w:t>”</w:t>
      </w:r>
      <w:r w:rsidR="00770B6C">
        <w:t xml:space="preserve"> (PDHEG) funded by the United Nations Fund for Population Activities (UNFPA).</w:t>
      </w:r>
    </w:p>
    <w:p w:rsidR="00770B6C" w:rsidRDefault="00770B6C" w:rsidP="00770B6C">
      <w:pPr>
        <w:pStyle w:val="SingleTxt"/>
      </w:pPr>
      <w:r>
        <w:t>12.</w:t>
      </w:r>
      <w:r w:rsidR="008854F9">
        <w:tab/>
      </w:r>
      <w:r>
        <w:t xml:space="preserve">Finally, new programmes have arisen, funded or co-funded by the national budget and development partners in the context of bilateral or multilateral cooperation: </w:t>
      </w:r>
    </w:p>
    <w:p w:rsidR="00770B6C" w:rsidRDefault="00807762" w:rsidP="00807762">
      <w:pPr>
        <w:pStyle w:val="SingleTxt"/>
        <w:tabs>
          <w:tab w:val="right" w:pos="1685"/>
        </w:tabs>
        <w:ind w:left="1742" w:hanging="475"/>
      </w:pPr>
      <w:r>
        <w:tab/>
        <w:t>•</w:t>
      </w:r>
      <w:r w:rsidR="00770B6C">
        <w:tab/>
        <w:t>The National Programme to Develop Multifunctional Platforms;</w:t>
      </w:r>
    </w:p>
    <w:p w:rsidR="00770B6C" w:rsidRDefault="00807762" w:rsidP="00807762">
      <w:pPr>
        <w:pStyle w:val="SingleTxt"/>
        <w:tabs>
          <w:tab w:val="right" w:pos="1685"/>
        </w:tabs>
        <w:ind w:left="1742" w:hanging="475"/>
      </w:pPr>
      <w:r>
        <w:tab/>
        <w:t>•</w:t>
      </w:r>
      <w:r w:rsidR="00770B6C">
        <w:tab/>
        <w:t>The National Programme to Support Women Economic Actors;</w:t>
      </w:r>
    </w:p>
    <w:p w:rsidR="005E1F07" w:rsidRDefault="00807762" w:rsidP="00807762">
      <w:pPr>
        <w:pStyle w:val="SingleTxt"/>
        <w:tabs>
          <w:tab w:val="right" w:pos="1685"/>
        </w:tabs>
        <w:ind w:left="1742" w:hanging="475"/>
      </w:pPr>
      <w:r>
        <w:tab/>
        <w:t>•</w:t>
      </w:r>
      <w:r w:rsidR="00770B6C">
        <w:tab/>
        <w:t>The Programme to Support Women in Shea Production.</w:t>
      </w:r>
    </w:p>
    <w:p w:rsidR="005E1F07" w:rsidRDefault="00770B6C" w:rsidP="00770B6C">
      <w:pPr>
        <w:pStyle w:val="SingleTxt"/>
      </w:pPr>
      <w:r>
        <w:lastRenderedPageBreak/>
        <w:t>13.</w:t>
      </w:r>
      <w:r w:rsidR="008854F9">
        <w:tab/>
      </w:r>
      <w:r>
        <w:t>With regard to the tasks assigned to Gender and Development Advisers and focal points designated by ministerial departments</w:t>
      </w:r>
      <w:r w:rsidR="00DD173B">
        <w:t>,</w:t>
      </w:r>
      <w:r w:rsidR="004746C4">
        <w:rPr>
          <w:rStyle w:val="FootnoteReference"/>
        </w:rPr>
        <w:footnoteReference w:id="1"/>
      </w:r>
      <w:r>
        <w:t xml:space="preserve"> they have not achieved results.</w:t>
      </w:r>
    </w:p>
    <w:p w:rsidR="005E1F07" w:rsidRDefault="00770B6C" w:rsidP="00770B6C">
      <w:pPr>
        <w:pStyle w:val="SingleTxt"/>
      </w:pPr>
      <w:r>
        <w:t>14.</w:t>
      </w:r>
      <w:r w:rsidR="008854F9">
        <w:tab/>
      </w:r>
      <w:r>
        <w:t>This failure is due in particular to staff movements, failure to grasp the task assigned, and lack of influence over sectoral policies.</w:t>
      </w:r>
    </w:p>
    <w:p w:rsidR="005E1F07" w:rsidRDefault="00770B6C" w:rsidP="00770B6C">
      <w:pPr>
        <w:pStyle w:val="SingleTxt"/>
      </w:pPr>
      <w:r>
        <w:t>15.</w:t>
      </w:r>
      <w:r w:rsidR="008854F9">
        <w:tab/>
      </w:r>
      <w:r>
        <w:t xml:space="preserve">There is an overall review under way to re-define the status of these focal points and their missions in order to make them effective. </w:t>
      </w:r>
    </w:p>
    <w:p w:rsidR="005E1F07" w:rsidRDefault="00770B6C" w:rsidP="00770B6C">
      <w:pPr>
        <w:pStyle w:val="SingleTxt"/>
      </w:pPr>
      <w:r>
        <w:t>16.</w:t>
      </w:r>
      <w:r w:rsidR="008854F9">
        <w:tab/>
      </w:r>
      <w:r>
        <w:t>The role of civil society in the institutional landscape is being bolstered by the birth of new networks/coordination entities in order to increase synergy amongst the activities being carried out.</w:t>
      </w:r>
      <w:r w:rsidR="005E03D8">
        <w:t xml:space="preserve"> </w:t>
      </w:r>
      <w:r>
        <w:t xml:space="preserve">A coordinating body for women economic actors (Coordination des Femmes Opératrices Economiques) has been created which includes within it several networks or groupings; creation of the National Federation of Rural Women; the </w:t>
      </w:r>
      <w:r w:rsidR="00DD173B">
        <w:t>“</w:t>
      </w:r>
      <w:r>
        <w:t>Women</w:t>
      </w:r>
      <w:r w:rsidR="00DD173B">
        <w:t>’</w:t>
      </w:r>
      <w:r>
        <w:t>s ICT Network</w:t>
      </w:r>
      <w:r w:rsidR="00DD173B">
        <w:t>”</w:t>
      </w:r>
      <w:r>
        <w:t>; the Small Industries Development Organization Network (women involved in shea production), etc.</w:t>
      </w:r>
    </w:p>
    <w:p w:rsidR="005E1F07" w:rsidRPr="004746C4" w:rsidRDefault="00770B6C" w:rsidP="00770B6C">
      <w:pPr>
        <w:pStyle w:val="SingleTxt"/>
        <w:rPr>
          <w:spacing w:val="2"/>
        </w:rPr>
      </w:pPr>
      <w:r w:rsidRPr="004746C4">
        <w:rPr>
          <w:spacing w:val="2"/>
        </w:rPr>
        <w:t>17.</w:t>
      </w:r>
      <w:r w:rsidR="008854F9">
        <w:rPr>
          <w:spacing w:val="2"/>
        </w:rPr>
        <w:tab/>
      </w:r>
      <w:r w:rsidRPr="004746C4">
        <w:rPr>
          <w:spacing w:val="2"/>
        </w:rPr>
        <w:t>In this new institutional scenario, fora are being created for exchanges, for training and information for women, notably ten (10) shelters for women and children, including two (2) in Bamako and one (1) in each region, and twenty-three (23) women</w:t>
      </w:r>
      <w:r w:rsidR="00DD173B" w:rsidRPr="004746C4">
        <w:rPr>
          <w:spacing w:val="2"/>
        </w:rPr>
        <w:t>’</w:t>
      </w:r>
      <w:r w:rsidRPr="004746C4">
        <w:rPr>
          <w:spacing w:val="2"/>
        </w:rPr>
        <w:t xml:space="preserve">s self-help centres in certain municipalities and communes of Mali. </w:t>
      </w:r>
    </w:p>
    <w:p w:rsidR="00770B6C" w:rsidRDefault="00770B6C" w:rsidP="00770B6C">
      <w:pPr>
        <w:pStyle w:val="SingleTxt"/>
      </w:pPr>
      <w:r>
        <w:t>18.</w:t>
      </w:r>
      <w:r w:rsidR="008854F9">
        <w:tab/>
      </w:r>
      <w:r>
        <w:t>Finally, the Strategic Framework for Growth and Poverty Reduction, a unified frame of reference for national development policies and programmes (2012-2017), provides for institutional measures to foster the narrowing of inequalities between the sexes, in particular:</w:t>
      </w:r>
    </w:p>
    <w:p w:rsidR="00770B6C" w:rsidRDefault="004746C4" w:rsidP="004746C4">
      <w:pPr>
        <w:pStyle w:val="SingleTxt"/>
        <w:tabs>
          <w:tab w:val="right" w:pos="1685"/>
        </w:tabs>
        <w:ind w:left="1742" w:hanging="475"/>
      </w:pPr>
      <w:r>
        <w:tab/>
        <w:t>•</w:t>
      </w:r>
      <w:r w:rsidR="00770B6C">
        <w:tab/>
        <w:t>The adoption of the gender approach as a strategic element in each development sector and at all levels;</w:t>
      </w:r>
    </w:p>
    <w:p w:rsidR="00770B6C" w:rsidRDefault="004746C4" w:rsidP="004746C4">
      <w:pPr>
        <w:pStyle w:val="SingleTxt"/>
        <w:tabs>
          <w:tab w:val="right" w:pos="1685"/>
        </w:tabs>
        <w:ind w:left="1742" w:hanging="475"/>
      </w:pPr>
      <w:r>
        <w:tab/>
        <w:t>•</w:t>
      </w:r>
      <w:r>
        <w:tab/>
      </w:r>
      <w:r w:rsidR="00770B6C">
        <w:t>The establishment of a disaggregated information system in the various structures responsible for collecting and processing economic and social data;</w:t>
      </w:r>
    </w:p>
    <w:p w:rsidR="005E1F07" w:rsidRDefault="004746C4" w:rsidP="004746C4">
      <w:pPr>
        <w:pStyle w:val="SingleTxt"/>
        <w:tabs>
          <w:tab w:val="right" w:pos="1685"/>
        </w:tabs>
        <w:ind w:left="1742" w:hanging="475"/>
      </w:pPr>
      <w:r>
        <w:tab/>
        <w:t>•</w:t>
      </w:r>
      <w:r w:rsidR="00770B6C">
        <w:tab/>
        <w:t>The establishment of institutionalization committees in the institutional mechanism of ministerial departments.</w:t>
      </w:r>
    </w:p>
    <w:p w:rsidR="005E1F07" w:rsidRDefault="00770B6C" w:rsidP="00770B6C">
      <w:pPr>
        <w:pStyle w:val="SingleTxt"/>
      </w:pPr>
      <w:r>
        <w:t>19.</w:t>
      </w:r>
      <w:r w:rsidR="008854F9">
        <w:tab/>
      </w:r>
      <w:r>
        <w:t>Significant challenges remain, however, for the proper operation of the structures and mechanisms that have been set up.</w:t>
      </w:r>
      <w:r w:rsidR="005E03D8">
        <w:t xml:space="preserve"> </w:t>
      </w:r>
      <w:r>
        <w:t>These are related to persistent social pressures and insufficient qualified human resources, financial resources and mechanisms for follow-up and evaluation of projects and programmes.</w:t>
      </w:r>
    </w:p>
    <w:p w:rsidR="004746C4" w:rsidRPr="004746C4" w:rsidRDefault="004746C4" w:rsidP="004746C4">
      <w:pPr>
        <w:pStyle w:val="SingleTxt"/>
        <w:spacing w:after="0" w:line="120" w:lineRule="exact"/>
        <w:rPr>
          <w:sz w:val="10"/>
        </w:rPr>
      </w:pPr>
    </w:p>
    <w:p w:rsidR="00770B6C" w:rsidRDefault="004746C4" w:rsidP="004746C4">
      <w:pPr>
        <w:pStyle w:val="H23"/>
        <w:ind w:right="1260"/>
      </w:pPr>
      <w:r>
        <w:tab/>
      </w:r>
      <w:r w:rsidR="00770B6C">
        <w:t>II.</w:t>
      </w:r>
      <w:r w:rsidR="008854F9">
        <w:tab/>
      </w:r>
      <w:r w:rsidR="00770B6C">
        <w:t>INSTITUTIONAL MECHANISMS FOR PROMOTION OF EQUALITY BETWEEN MEN AND WOMEN</w:t>
      </w:r>
    </w:p>
    <w:p w:rsidR="004746C4" w:rsidRPr="004746C4" w:rsidRDefault="004746C4" w:rsidP="004746C4">
      <w:pPr>
        <w:pStyle w:val="SingleTxt"/>
        <w:spacing w:after="0" w:line="120" w:lineRule="exact"/>
        <w:rPr>
          <w:sz w:val="10"/>
        </w:rPr>
      </w:pPr>
    </w:p>
    <w:p w:rsidR="00770B6C" w:rsidRDefault="004746C4" w:rsidP="00770B6C">
      <w:pPr>
        <w:pStyle w:val="SingleTxt"/>
      </w:pPr>
      <w:r>
        <w:tab/>
      </w:r>
      <w:r w:rsidR="00770B6C">
        <w:t>(a)</w:t>
      </w:r>
      <w:r w:rsidR="008854F9">
        <w:tab/>
      </w:r>
      <w:r w:rsidR="00770B6C">
        <w:t xml:space="preserve">Commission on Employment, Youth and Advancement of Women of the National Assembly; </w:t>
      </w:r>
    </w:p>
    <w:p w:rsidR="00770B6C" w:rsidRDefault="004746C4" w:rsidP="00770B6C">
      <w:pPr>
        <w:pStyle w:val="SingleTxt"/>
      </w:pPr>
      <w:r>
        <w:tab/>
      </w:r>
      <w:r w:rsidR="00770B6C">
        <w:t>(b)</w:t>
      </w:r>
      <w:r w:rsidR="008854F9">
        <w:tab/>
      </w:r>
      <w:r w:rsidR="00770B6C">
        <w:t>Ad-hoc Committee and Advisory Committee in the framework of the process of developing the National Gender Policy; Co-ordination structures for male/female equality in sectoral departments, including the Advisory Committee of the Ministry of Justice and the Committee on Institutionalization of Male/female Equality of the Ministry of Labour and Civil Service;</w:t>
      </w:r>
    </w:p>
    <w:p w:rsidR="00770B6C" w:rsidRDefault="004746C4" w:rsidP="00770B6C">
      <w:pPr>
        <w:pStyle w:val="SingleTxt"/>
      </w:pPr>
      <w:r>
        <w:lastRenderedPageBreak/>
        <w:tab/>
      </w:r>
      <w:r w:rsidR="00770B6C">
        <w:t>(c)</w:t>
      </w:r>
      <w:r w:rsidR="008854F9">
        <w:tab/>
      </w:r>
      <w:r w:rsidR="00770B6C">
        <w:t xml:space="preserve">Mechanisms to follow up on addressing male/female equality (comparative analysis of situation between sexes, gender-sensitive budgeting, evaluation, supervision, reports). Among these mechanisms, mention may be made of the database </w:t>
      </w:r>
      <w:r w:rsidR="00DD173B">
        <w:t>“</w:t>
      </w:r>
      <w:r w:rsidR="00770B6C">
        <w:t>Women and Children</w:t>
      </w:r>
      <w:r w:rsidR="00DD173B">
        <w:t>”</w:t>
      </w:r>
      <w:r w:rsidR="00770B6C">
        <w:t xml:space="preserve"> piloted by the National Centre for Documentation and Information on Women and the Child (CNDIFE) covering all twelve priority areas of the Beijing Platform for Action.</w:t>
      </w:r>
    </w:p>
    <w:p w:rsidR="005E1F07" w:rsidRDefault="004746C4" w:rsidP="00770B6C">
      <w:pPr>
        <w:pStyle w:val="SingleTxt"/>
      </w:pPr>
      <w:r>
        <w:tab/>
      </w:r>
      <w:r w:rsidR="00770B6C">
        <w:t>(d)</w:t>
      </w:r>
      <w:r w:rsidR="008854F9">
        <w:tab/>
      </w:r>
      <w:r w:rsidR="00770B6C">
        <w:t>Building capacities to ensure coverage of male/female equality, particularly through the design and execution of training activities by the technical structures of the ministry, the projects and programmes (RECOFEM, PAREHF, PROJES) and the development of an annual programme for training gender instructors.</w:t>
      </w:r>
    </w:p>
    <w:p w:rsidR="005E1F07" w:rsidRDefault="00770B6C" w:rsidP="00770B6C">
      <w:pPr>
        <w:pStyle w:val="SingleTxt"/>
      </w:pPr>
      <w:r>
        <w:t>20.</w:t>
      </w:r>
      <w:r w:rsidR="008854F9">
        <w:tab/>
      </w:r>
      <w:r>
        <w:t>In addition, the National Assembly, NGOs and associations participate in male/female equality endeavours in the areas that are of concern to them.</w:t>
      </w:r>
    </w:p>
    <w:p w:rsidR="004746C4" w:rsidRPr="004746C4" w:rsidRDefault="004746C4" w:rsidP="004746C4">
      <w:pPr>
        <w:pStyle w:val="SingleTxt"/>
        <w:spacing w:after="0" w:line="120" w:lineRule="exact"/>
        <w:rPr>
          <w:sz w:val="10"/>
        </w:rPr>
      </w:pPr>
    </w:p>
    <w:p w:rsidR="00770B6C" w:rsidRDefault="004746C4" w:rsidP="004746C4">
      <w:pPr>
        <w:pStyle w:val="H23"/>
        <w:ind w:right="1260"/>
      </w:pPr>
      <w:r>
        <w:tab/>
      </w:r>
      <w:r w:rsidR="00770B6C">
        <w:t>III</w:t>
      </w:r>
      <w:r>
        <w:t>.</w:t>
      </w:r>
      <w:r>
        <w:tab/>
      </w:r>
      <w:r w:rsidR="00770B6C">
        <w:t>POLICIES AND PROGRAMMES</w:t>
      </w:r>
    </w:p>
    <w:p w:rsidR="004746C4" w:rsidRPr="004746C4" w:rsidRDefault="004746C4" w:rsidP="004746C4">
      <w:pPr>
        <w:pStyle w:val="SingleTxt"/>
        <w:spacing w:after="0" w:line="120" w:lineRule="exact"/>
        <w:rPr>
          <w:sz w:val="10"/>
        </w:rPr>
      </w:pPr>
    </w:p>
    <w:p w:rsidR="00770B6C" w:rsidRDefault="00770B6C" w:rsidP="00770B6C">
      <w:pPr>
        <w:pStyle w:val="SingleTxt"/>
      </w:pPr>
      <w:r>
        <w:t>21.</w:t>
      </w:r>
      <w:r w:rsidR="008854F9">
        <w:tab/>
      </w:r>
      <w:r>
        <w:t>For the period 2008-2012 the Ministry has developed a framework document.</w:t>
      </w:r>
      <w:r w:rsidR="005E03D8">
        <w:t xml:space="preserve"> </w:t>
      </w:r>
      <w:r>
        <w:t xml:space="preserve">This document, adopted by the Council of Ministers, is built around three strategic orientations geared to the advancement of women, as follows: </w:t>
      </w:r>
    </w:p>
    <w:p w:rsidR="00770B6C" w:rsidRDefault="004746C4" w:rsidP="00770B6C">
      <w:pPr>
        <w:pStyle w:val="SingleTxt"/>
      </w:pPr>
      <w:r>
        <w:tab/>
      </w:r>
      <w:r w:rsidR="008854F9">
        <w:t>(</w:t>
      </w:r>
      <w:r w:rsidR="00770B6C">
        <w:t>1)</w:t>
      </w:r>
      <w:r w:rsidR="00770B6C">
        <w:tab/>
        <w:t>Strengthening women</w:t>
      </w:r>
      <w:r w:rsidR="00DD173B">
        <w:t>’</w:t>
      </w:r>
      <w:r w:rsidR="00770B6C">
        <w:t>s economic capacities;</w:t>
      </w:r>
    </w:p>
    <w:p w:rsidR="00770B6C" w:rsidRDefault="004746C4" w:rsidP="00770B6C">
      <w:pPr>
        <w:pStyle w:val="SingleTxt"/>
      </w:pPr>
      <w:r>
        <w:tab/>
      </w:r>
      <w:r w:rsidR="008854F9">
        <w:t>(</w:t>
      </w:r>
      <w:r w:rsidR="00770B6C">
        <w:t>2)</w:t>
      </w:r>
      <w:r w:rsidR="00770B6C">
        <w:tab/>
        <w:t>Developing women</w:t>
      </w:r>
      <w:r w:rsidR="00DD173B">
        <w:t>’</w:t>
      </w:r>
      <w:r w:rsidR="00770B6C">
        <w:t>s leadership;</w:t>
      </w:r>
    </w:p>
    <w:p w:rsidR="005E1F07" w:rsidRDefault="004746C4" w:rsidP="00770B6C">
      <w:pPr>
        <w:pStyle w:val="SingleTxt"/>
      </w:pPr>
      <w:r>
        <w:tab/>
      </w:r>
      <w:r w:rsidR="008854F9">
        <w:t>(</w:t>
      </w:r>
      <w:r w:rsidR="00770B6C">
        <w:t>3)</w:t>
      </w:r>
      <w:r w:rsidR="00770B6C">
        <w:tab/>
        <w:t>Promoting the gender approach in projects and programmes.</w:t>
      </w:r>
    </w:p>
    <w:p w:rsidR="004746C4" w:rsidRPr="004746C4" w:rsidRDefault="004746C4" w:rsidP="004746C4">
      <w:pPr>
        <w:pStyle w:val="SingleTxt"/>
        <w:spacing w:after="0" w:line="120" w:lineRule="exact"/>
        <w:rPr>
          <w:sz w:val="10"/>
        </w:rPr>
      </w:pPr>
    </w:p>
    <w:p w:rsidR="00770B6C" w:rsidRDefault="004746C4" w:rsidP="004746C4">
      <w:pPr>
        <w:pStyle w:val="H23"/>
        <w:ind w:right="1260"/>
      </w:pPr>
      <w:r>
        <w:tab/>
      </w:r>
      <w:r>
        <w:tab/>
      </w:r>
      <w:r w:rsidR="00770B6C">
        <w:t>National Gender Policy and the supporting Action Plan for 2011</w:t>
      </w:r>
      <w:r w:rsidR="008854F9">
        <w:t>-</w:t>
      </w:r>
      <w:r w:rsidR="00770B6C">
        <w:t>2013</w:t>
      </w:r>
    </w:p>
    <w:p w:rsidR="004746C4" w:rsidRPr="004746C4" w:rsidRDefault="004746C4" w:rsidP="004746C4">
      <w:pPr>
        <w:pStyle w:val="SingleTxt"/>
        <w:spacing w:after="0" w:line="120" w:lineRule="exact"/>
        <w:rPr>
          <w:sz w:val="10"/>
        </w:rPr>
      </w:pPr>
    </w:p>
    <w:p w:rsidR="00770B6C" w:rsidRDefault="00770B6C" w:rsidP="00770B6C">
      <w:pPr>
        <w:pStyle w:val="SingleTxt"/>
      </w:pPr>
      <w:r>
        <w:t>22.</w:t>
      </w:r>
      <w:r w:rsidR="008854F9">
        <w:tab/>
      </w:r>
      <w:r>
        <w:t>The Government of Mali has adopted a National Gender Policy aimed at:</w:t>
      </w:r>
    </w:p>
    <w:p w:rsidR="00770B6C" w:rsidRDefault="004746C4" w:rsidP="004746C4">
      <w:pPr>
        <w:pStyle w:val="SingleTxt"/>
        <w:tabs>
          <w:tab w:val="right" w:pos="1685"/>
        </w:tabs>
        <w:ind w:left="1742" w:hanging="475"/>
      </w:pPr>
      <w:r>
        <w:tab/>
      </w:r>
      <w:r w:rsidR="00770B6C">
        <w:t>•</w:t>
      </w:r>
      <w:r w:rsidR="00770B6C">
        <w:tab/>
        <w:t>Gender mainstreaming in national development policies and programmes;</w:t>
      </w:r>
    </w:p>
    <w:p w:rsidR="00770B6C" w:rsidRDefault="004746C4" w:rsidP="004746C4">
      <w:pPr>
        <w:pStyle w:val="SingleTxt"/>
        <w:tabs>
          <w:tab w:val="right" w:pos="1685"/>
        </w:tabs>
        <w:ind w:left="1742" w:hanging="475"/>
      </w:pPr>
      <w:r>
        <w:tab/>
      </w:r>
      <w:r w:rsidR="00770B6C">
        <w:t>•</w:t>
      </w:r>
      <w:r w:rsidR="00770B6C">
        <w:tab/>
        <w:t>Consolidating democracy and the rule of law through equal access to and full enjoyment of fundamental rights;</w:t>
      </w:r>
    </w:p>
    <w:p w:rsidR="00770B6C" w:rsidRDefault="004746C4" w:rsidP="004746C4">
      <w:pPr>
        <w:pStyle w:val="SingleTxt"/>
        <w:tabs>
          <w:tab w:val="right" w:pos="1685"/>
        </w:tabs>
        <w:ind w:left="1742" w:hanging="475"/>
      </w:pPr>
      <w:r>
        <w:tab/>
      </w:r>
      <w:r w:rsidR="00770B6C">
        <w:t>•</w:t>
      </w:r>
      <w:r w:rsidR="00770B6C">
        <w:tab/>
        <w:t>Involvement of women in production processes, equal access to employment and factors of production;</w:t>
      </w:r>
    </w:p>
    <w:p w:rsidR="00770B6C" w:rsidRDefault="004746C4" w:rsidP="004746C4">
      <w:pPr>
        <w:pStyle w:val="SingleTxt"/>
        <w:tabs>
          <w:tab w:val="right" w:pos="1685"/>
        </w:tabs>
        <w:ind w:left="1742" w:hanging="475"/>
      </w:pPr>
      <w:r>
        <w:tab/>
      </w:r>
      <w:r w:rsidR="00770B6C">
        <w:t>•</w:t>
      </w:r>
      <w:r w:rsidR="00770B6C">
        <w:tab/>
        <w:t>Equal participation in decision-making fora; promoting equality in social values and behaviours;</w:t>
      </w:r>
    </w:p>
    <w:p w:rsidR="005E1F07" w:rsidRDefault="004746C4" w:rsidP="004746C4">
      <w:pPr>
        <w:pStyle w:val="SingleTxt"/>
        <w:tabs>
          <w:tab w:val="right" w:pos="1685"/>
        </w:tabs>
        <w:ind w:left="1742" w:hanging="475"/>
      </w:pPr>
      <w:r>
        <w:tab/>
      </w:r>
      <w:r w:rsidR="00770B6C">
        <w:t>•</w:t>
      </w:r>
      <w:r w:rsidR="00770B6C">
        <w:tab/>
        <w:t>Institutionalizing gender in programmes, projects, policies and public reforms, and translating it into budgets.</w:t>
      </w:r>
    </w:p>
    <w:p w:rsidR="005E1F07" w:rsidRDefault="00770B6C" w:rsidP="00770B6C">
      <w:pPr>
        <w:pStyle w:val="SingleTxt"/>
      </w:pPr>
      <w:r>
        <w:t>23.</w:t>
      </w:r>
      <w:r w:rsidR="008854F9">
        <w:tab/>
      </w:r>
      <w:r>
        <w:t xml:space="preserve">The major obstacle remains </w:t>
      </w:r>
      <w:r w:rsidR="00224C39" w:rsidRPr="00224C39">
        <w:t>socio</w:t>
      </w:r>
      <w:r>
        <w:t>cultural pressures which continue to maintain discrimination against women despite the existence of policies and laws aimed at improving the status of women and protecting them against discrimination.</w:t>
      </w:r>
    </w:p>
    <w:p w:rsidR="004746C4" w:rsidRPr="004746C4" w:rsidRDefault="004746C4" w:rsidP="004746C4">
      <w:pPr>
        <w:pStyle w:val="SingleTxt"/>
        <w:spacing w:after="0" w:line="120" w:lineRule="exact"/>
        <w:rPr>
          <w:sz w:val="10"/>
        </w:rPr>
      </w:pPr>
    </w:p>
    <w:p w:rsidR="005E1F07" w:rsidRDefault="004746C4" w:rsidP="004746C4">
      <w:pPr>
        <w:pStyle w:val="H1"/>
        <w:ind w:right="1260"/>
      </w:pPr>
      <w:r>
        <w:tab/>
      </w:r>
      <w:r>
        <w:tab/>
      </w:r>
      <w:r w:rsidR="00770B6C">
        <w:t>Article 4: Affirmative-action measures and special measures that favour women</w:t>
      </w:r>
    </w:p>
    <w:p w:rsidR="004746C4" w:rsidRPr="004746C4" w:rsidRDefault="004746C4" w:rsidP="004746C4">
      <w:pPr>
        <w:pStyle w:val="SingleTxt"/>
        <w:spacing w:after="0" w:line="120" w:lineRule="exact"/>
        <w:rPr>
          <w:sz w:val="10"/>
        </w:rPr>
      </w:pPr>
    </w:p>
    <w:p w:rsidR="004746C4" w:rsidRPr="004746C4" w:rsidRDefault="004746C4" w:rsidP="004746C4">
      <w:pPr>
        <w:pStyle w:val="SingleTxt"/>
        <w:spacing w:after="0" w:line="120" w:lineRule="exact"/>
        <w:rPr>
          <w:sz w:val="10"/>
        </w:rPr>
      </w:pPr>
    </w:p>
    <w:p w:rsidR="005E1F07" w:rsidRDefault="00770B6C" w:rsidP="004746C4">
      <w:pPr>
        <w:pStyle w:val="H23"/>
        <w:ind w:right="1260"/>
      </w:pPr>
      <w:r>
        <w:tab/>
        <w:t>I.</w:t>
      </w:r>
      <w:r w:rsidR="008854F9">
        <w:tab/>
      </w:r>
      <w:r>
        <w:t>IN THE FIELD OF EDUCATION</w:t>
      </w:r>
    </w:p>
    <w:p w:rsidR="004746C4" w:rsidRPr="004746C4" w:rsidRDefault="004746C4" w:rsidP="004746C4">
      <w:pPr>
        <w:pStyle w:val="SingleTxt"/>
        <w:spacing w:after="0" w:line="120" w:lineRule="exact"/>
        <w:rPr>
          <w:sz w:val="10"/>
        </w:rPr>
      </w:pPr>
    </w:p>
    <w:p w:rsidR="00770B6C" w:rsidRDefault="00770B6C" w:rsidP="00770B6C">
      <w:pPr>
        <w:pStyle w:val="SingleTxt"/>
      </w:pPr>
      <w:r>
        <w:t>24.</w:t>
      </w:r>
      <w:r w:rsidR="008854F9">
        <w:tab/>
      </w:r>
      <w:r>
        <w:t>The government</w:t>
      </w:r>
      <w:r w:rsidR="00DD173B">
        <w:t>’</w:t>
      </w:r>
      <w:r>
        <w:t>s special commitment to girls and women has led to the adoption of affirmative-action measures that favour girls, particularly:</w:t>
      </w:r>
    </w:p>
    <w:p w:rsidR="00770B6C" w:rsidRDefault="004746C4" w:rsidP="004746C4">
      <w:pPr>
        <w:pStyle w:val="SingleTxt"/>
        <w:tabs>
          <w:tab w:val="right" w:pos="1685"/>
        </w:tabs>
        <w:ind w:left="1742" w:hanging="475"/>
      </w:pPr>
      <w:r>
        <w:lastRenderedPageBreak/>
        <w:tab/>
        <w:t>•</w:t>
      </w:r>
      <w:r w:rsidR="00770B6C">
        <w:tab/>
        <w:t>The giving of bonus points to girls to promote access to different levels of education, namely: credit of one year under the age criterion during secondary education orientations and enrolment in higher education;</w:t>
      </w:r>
    </w:p>
    <w:p w:rsidR="00770B6C" w:rsidRPr="004746C4" w:rsidRDefault="004746C4" w:rsidP="004746C4">
      <w:pPr>
        <w:pStyle w:val="SingleTxt"/>
        <w:tabs>
          <w:tab w:val="right" w:pos="1685"/>
        </w:tabs>
        <w:ind w:left="1742" w:hanging="475"/>
        <w:rPr>
          <w:spacing w:val="2"/>
        </w:rPr>
      </w:pPr>
      <w:r w:rsidRPr="004746C4">
        <w:rPr>
          <w:spacing w:val="2"/>
        </w:rPr>
        <w:tab/>
        <w:t>•</w:t>
      </w:r>
      <w:r w:rsidR="00770B6C" w:rsidRPr="004746C4">
        <w:rPr>
          <w:spacing w:val="2"/>
        </w:rPr>
        <w:tab/>
        <w:t>Elimination of certain stereotypes in the development of level 3 curricula (year 5 of basic schooling). Teaching materials will no longer contain pictures of women busy performing traditionally female tasks or activities.</w:t>
      </w:r>
      <w:r w:rsidR="005E03D8" w:rsidRPr="004746C4">
        <w:rPr>
          <w:spacing w:val="2"/>
        </w:rPr>
        <w:t xml:space="preserve"> </w:t>
      </w:r>
      <w:r w:rsidR="00770B6C" w:rsidRPr="004746C4">
        <w:rPr>
          <w:spacing w:val="2"/>
        </w:rPr>
        <w:t>Similarly, boys and girls in school will be assigned the same tasks</w:t>
      </w:r>
      <w:r w:rsidR="00773C9B">
        <w:rPr>
          <w:spacing w:val="2"/>
        </w:rPr>
        <w:t>;</w:t>
      </w:r>
    </w:p>
    <w:p w:rsidR="00770B6C" w:rsidRDefault="004746C4" w:rsidP="004746C4">
      <w:pPr>
        <w:pStyle w:val="SingleTxt"/>
        <w:tabs>
          <w:tab w:val="right" w:pos="1685"/>
        </w:tabs>
        <w:ind w:left="1742" w:hanging="475"/>
      </w:pPr>
      <w:r>
        <w:tab/>
        <w:t>•</w:t>
      </w:r>
      <w:r w:rsidR="00770B6C">
        <w:tab/>
        <w:t xml:space="preserve">Establishment of a </w:t>
      </w:r>
      <w:r w:rsidR="00DD173B">
        <w:t>“</w:t>
      </w:r>
      <w:r w:rsidR="00770B6C">
        <w:t>Mentoring</w:t>
      </w:r>
      <w:r w:rsidR="00DD173B">
        <w:t>”</w:t>
      </w:r>
      <w:r w:rsidR="00770B6C">
        <w:t xml:space="preserve"> programme for female students in the sciences, providing them with monitoring and guidance from older students throughout their time in school</w:t>
      </w:r>
      <w:r w:rsidR="00773C9B">
        <w:t>;</w:t>
      </w:r>
      <w:r w:rsidR="00770B6C">
        <w:t xml:space="preserve"> </w:t>
      </w:r>
    </w:p>
    <w:p w:rsidR="00770B6C" w:rsidRDefault="004746C4" w:rsidP="004746C4">
      <w:pPr>
        <w:pStyle w:val="SingleTxt"/>
        <w:tabs>
          <w:tab w:val="right" w:pos="1685"/>
        </w:tabs>
        <w:ind w:left="1742" w:hanging="475"/>
      </w:pPr>
      <w:r>
        <w:tab/>
        <w:t>•</w:t>
      </w:r>
      <w:r w:rsidR="00770B6C">
        <w:tab/>
        <w:t>Adoption in January 2007 of a policy on non-formal education which gives an important part to girls who have never attended school or have dropped out</w:t>
      </w:r>
      <w:r w:rsidR="00773C9B">
        <w:t>;</w:t>
      </w:r>
    </w:p>
    <w:p w:rsidR="00770B6C" w:rsidRDefault="004746C4" w:rsidP="004746C4">
      <w:pPr>
        <w:pStyle w:val="SingleTxt"/>
        <w:tabs>
          <w:tab w:val="right" w:pos="1685"/>
        </w:tabs>
        <w:ind w:left="1742" w:hanging="475"/>
      </w:pPr>
      <w:r>
        <w:tab/>
        <w:t>•</w:t>
      </w:r>
      <w:r w:rsidR="00770B6C">
        <w:tab/>
        <w:t xml:space="preserve">Revising the course curriculum and textbooks used in primary school education in order to take the specific needs of girls better into account. Modules devoted to </w:t>
      </w:r>
      <w:r w:rsidR="00DD173B">
        <w:t>“</w:t>
      </w:r>
      <w:r w:rsidR="00770B6C">
        <w:t>Gender</w:t>
      </w:r>
      <w:r w:rsidR="00DD173B">
        <w:t>”</w:t>
      </w:r>
      <w:r w:rsidR="00770B6C">
        <w:t xml:space="preserve"> have been included in the training programmes of primary school teachers;</w:t>
      </w:r>
    </w:p>
    <w:p w:rsidR="00770B6C" w:rsidRDefault="004746C4" w:rsidP="004746C4">
      <w:pPr>
        <w:pStyle w:val="SingleTxt"/>
        <w:tabs>
          <w:tab w:val="right" w:pos="1685"/>
        </w:tabs>
        <w:ind w:left="1742" w:hanging="475"/>
      </w:pPr>
      <w:r>
        <w:tab/>
        <w:t>•</w:t>
      </w:r>
      <w:r w:rsidR="00770B6C">
        <w:tab/>
        <w:t>The establishment of programmes for youth that permit the granting of study grants for 1 year primarily to girls;</w:t>
      </w:r>
    </w:p>
    <w:p w:rsidR="00770B6C" w:rsidRDefault="004746C4" w:rsidP="004746C4">
      <w:pPr>
        <w:pStyle w:val="SingleTxt"/>
        <w:tabs>
          <w:tab w:val="right" w:pos="1685"/>
        </w:tabs>
        <w:ind w:left="1742" w:hanging="475"/>
      </w:pPr>
      <w:r>
        <w:tab/>
        <w:t>•</w:t>
      </w:r>
      <w:r w:rsidR="00770B6C">
        <w:tab/>
        <w:t>The establishment of literacy centres and the setting up of literacy programmes for women in all regions of Mali and in Bamako District;</w:t>
      </w:r>
    </w:p>
    <w:p w:rsidR="00770B6C" w:rsidRDefault="004746C4" w:rsidP="004746C4">
      <w:pPr>
        <w:pStyle w:val="SingleTxt"/>
        <w:tabs>
          <w:tab w:val="right" w:pos="1685"/>
        </w:tabs>
        <w:ind w:left="1742" w:hanging="475"/>
      </w:pPr>
      <w:r>
        <w:tab/>
        <w:t>•</w:t>
      </w:r>
      <w:r w:rsidR="00770B6C">
        <w:tab/>
        <w:t>The creation of four Women</w:t>
      </w:r>
      <w:r w:rsidR="00DD173B">
        <w:t>’</w:t>
      </w:r>
      <w:r w:rsidR="00770B6C">
        <w:t>s Learning Centres (Centres d</w:t>
      </w:r>
      <w:r w:rsidR="00DD173B">
        <w:t>’</w:t>
      </w:r>
      <w:r w:rsidR="00770B6C">
        <w:t>Apprentissage Féminin</w:t>
      </w:r>
      <w:r w:rsidR="00A275F0">
        <w:t xml:space="preserve"> — </w:t>
      </w:r>
      <w:r w:rsidR="00770B6C">
        <w:t>CAFE) throughout the country, with more than 200 learners.</w:t>
      </w:r>
      <w:r w:rsidR="005E03D8">
        <w:t xml:space="preserve"> </w:t>
      </w:r>
      <w:r w:rsidR="00770B6C">
        <w:t>The number of centres reached 38 in 2011-2012, with 1,419 learners/auditors</w:t>
      </w:r>
      <w:r w:rsidR="00773C9B">
        <w:t>;</w:t>
      </w:r>
    </w:p>
    <w:p w:rsidR="005E1F07" w:rsidRDefault="004746C4" w:rsidP="004746C4">
      <w:pPr>
        <w:pStyle w:val="SingleTxt"/>
        <w:tabs>
          <w:tab w:val="right" w:pos="1685"/>
        </w:tabs>
        <w:ind w:left="1742" w:hanging="475"/>
      </w:pPr>
      <w:r>
        <w:tab/>
        <w:t>•</w:t>
      </w:r>
      <w:r w:rsidR="00770B6C">
        <w:tab/>
        <w:t>Support for women</w:t>
      </w:r>
      <w:r w:rsidR="00DD173B">
        <w:t>’</w:t>
      </w:r>
      <w:r w:rsidR="00770B6C">
        <w:t>s micro-projects by alpha-management programmes.</w:t>
      </w:r>
    </w:p>
    <w:p w:rsidR="004746C4" w:rsidRPr="004746C4" w:rsidRDefault="004746C4" w:rsidP="004746C4">
      <w:pPr>
        <w:pStyle w:val="SingleTxt"/>
        <w:spacing w:after="0" w:line="120" w:lineRule="exact"/>
        <w:rPr>
          <w:sz w:val="10"/>
        </w:rPr>
      </w:pPr>
    </w:p>
    <w:p w:rsidR="00770B6C" w:rsidRDefault="00770B6C" w:rsidP="004746C4">
      <w:pPr>
        <w:pStyle w:val="H23"/>
        <w:ind w:right="1260"/>
      </w:pPr>
      <w:r>
        <w:tab/>
        <w:t>II.</w:t>
      </w:r>
      <w:r>
        <w:tab/>
        <w:t>IN THE AREA OF HEALTH</w:t>
      </w:r>
    </w:p>
    <w:p w:rsidR="004746C4" w:rsidRPr="004746C4" w:rsidRDefault="004746C4" w:rsidP="004746C4">
      <w:pPr>
        <w:pStyle w:val="SingleTxt"/>
        <w:spacing w:after="0" w:line="120" w:lineRule="exact"/>
        <w:rPr>
          <w:sz w:val="10"/>
        </w:rPr>
      </w:pPr>
    </w:p>
    <w:p w:rsidR="005E1F07" w:rsidRDefault="00770B6C" w:rsidP="00770B6C">
      <w:pPr>
        <w:pStyle w:val="SingleTxt"/>
      </w:pPr>
      <w:r>
        <w:t>25.</w:t>
      </w:r>
      <w:r w:rsidR="008854F9">
        <w:tab/>
      </w:r>
      <w:r>
        <w:t>According to the provisions of Law 02-044 of 24 June 2002 concerning reproductive health, men and women enjoy equal rights and dignity in regard to reproductive health. The law establishes the principle that every individual may lead a sex life that is responsible, satisfying and risk-free.</w:t>
      </w:r>
    </w:p>
    <w:p w:rsidR="005E1F07" w:rsidRDefault="00770B6C" w:rsidP="00770B6C">
      <w:pPr>
        <w:pStyle w:val="SingleTxt"/>
      </w:pPr>
      <w:r>
        <w:t>26.</w:t>
      </w:r>
      <w:r w:rsidR="008854F9">
        <w:tab/>
      </w:r>
      <w:r>
        <w:t>Partners in a conjugal relationship and individuals have the right to decide freely how many children they will have and the spacing between them according to their own best judgement, and to have access to the information necessary for that purpose.</w:t>
      </w:r>
    </w:p>
    <w:p w:rsidR="005E1F07" w:rsidRDefault="00770B6C" w:rsidP="00770B6C">
      <w:pPr>
        <w:pStyle w:val="SingleTxt"/>
      </w:pPr>
      <w:r>
        <w:t>27.</w:t>
      </w:r>
      <w:r w:rsidR="008854F9">
        <w:tab/>
      </w:r>
      <w:r>
        <w:t>Under the new law, abortion is permitted to protect the life of the mother. Also, if pregnancy could put the life of a married woman at risk, she is entitled to have access to an irreversible method of contraception by giving her own written consent to the procedure. Measures include the following:</w:t>
      </w:r>
    </w:p>
    <w:p w:rsidR="00770B6C" w:rsidRDefault="004746C4" w:rsidP="003E5662">
      <w:pPr>
        <w:pStyle w:val="SingleTxt"/>
        <w:tabs>
          <w:tab w:val="right" w:pos="1685"/>
        </w:tabs>
        <w:ind w:left="1742" w:hanging="475"/>
      </w:pPr>
      <w:r>
        <w:tab/>
        <w:t>•</w:t>
      </w:r>
      <w:r w:rsidR="00770B6C">
        <w:tab/>
        <w:t>Providing for the feeding of the baby of an HIV-positive mother by breast-milk substitutes</w:t>
      </w:r>
      <w:r w:rsidR="00773C9B">
        <w:t>;</w:t>
      </w:r>
    </w:p>
    <w:p w:rsidR="00770B6C" w:rsidRDefault="004746C4" w:rsidP="003E5662">
      <w:pPr>
        <w:pStyle w:val="SingleTxt"/>
        <w:tabs>
          <w:tab w:val="right" w:pos="1685"/>
        </w:tabs>
        <w:ind w:left="1742" w:hanging="475"/>
      </w:pPr>
      <w:r>
        <w:tab/>
        <w:t>•</w:t>
      </w:r>
      <w:r w:rsidR="00770B6C">
        <w:tab/>
        <w:t>Subsidizing family planning services;</w:t>
      </w:r>
    </w:p>
    <w:p w:rsidR="00770B6C" w:rsidRDefault="004746C4" w:rsidP="003E5662">
      <w:pPr>
        <w:pStyle w:val="SingleTxt"/>
        <w:tabs>
          <w:tab w:val="right" w:pos="1685"/>
        </w:tabs>
        <w:ind w:left="1742" w:hanging="475"/>
      </w:pPr>
      <w:r>
        <w:tab/>
        <w:t>•</w:t>
      </w:r>
      <w:r w:rsidR="00770B6C">
        <w:tab/>
        <w:t xml:space="preserve">Renewal of the project on reproductive health for young people and adoption of a national strategic plan of reproductive health for adolescents and young </w:t>
      </w:r>
      <w:r w:rsidR="00770B6C">
        <w:lastRenderedPageBreak/>
        <w:t>people (SRAJ) one of whose goals is to combat early and unwanted pregnancy among adolescents, sexually transmitted disease, and HIV/AIDS;</w:t>
      </w:r>
    </w:p>
    <w:p w:rsidR="00770B6C" w:rsidRDefault="005521F6" w:rsidP="003E5662">
      <w:pPr>
        <w:pStyle w:val="SingleTxt"/>
        <w:tabs>
          <w:tab w:val="right" w:pos="1685"/>
        </w:tabs>
        <w:ind w:left="1742" w:hanging="475"/>
      </w:pPr>
      <w:r>
        <w:tab/>
        <w:t>•</w:t>
      </w:r>
      <w:r w:rsidR="00770B6C">
        <w:tab/>
        <w:t>Free malaria treatment for expectant women and for children under the age of five;</w:t>
      </w:r>
    </w:p>
    <w:p w:rsidR="00770B6C" w:rsidRDefault="005521F6" w:rsidP="003E5662">
      <w:pPr>
        <w:pStyle w:val="SingleTxt"/>
        <w:tabs>
          <w:tab w:val="right" w:pos="1685"/>
        </w:tabs>
        <w:ind w:left="1742" w:hanging="475"/>
      </w:pPr>
      <w:r>
        <w:tab/>
        <w:t>•</w:t>
      </w:r>
      <w:r w:rsidR="00770B6C">
        <w:tab/>
        <w:t>Free distribution of insecticide-treated mosquito nets to expectant women and to children under the age of five;</w:t>
      </w:r>
    </w:p>
    <w:p w:rsidR="00770B6C" w:rsidRDefault="003E5662" w:rsidP="003E5662">
      <w:pPr>
        <w:pStyle w:val="SingleTxt"/>
        <w:tabs>
          <w:tab w:val="right" w:pos="1685"/>
        </w:tabs>
        <w:ind w:left="1742" w:hanging="475"/>
      </w:pPr>
      <w:r>
        <w:tab/>
        <w:t>•</w:t>
      </w:r>
      <w:r w:rsidR="00770B6C">
        <w:tab/>
        <w:t>Treatment of cancers among women, particularly breast cancer and cervical cancer;</w:t>
      </w:r>
    </w:p>
    <w:p w:rsidR="005E1F07" w:rsidRDefault="003E5662" w:rsidP="003E5662">
      <w:pPr>
        <w:pStyle w:val="SingleTxt"/>
        <w:tabs>
          <w:tab w:val="right" w:pos="1685"/>
        </w:tabs>
        <w:ind w:left="1742" w:hanging="475"/>
      </w:pPr>
      <w:r>
        <w:tab/>
        <w:t>•</w:t>
      </w:r>
      <w:r w:rsidR="00770B6C">
        <w:tab/>
        <w:t>Free Caesarean section and antiretroviral drugs;</w:t>
      </w:r>
    </w:p>
    <w:p w:rsidR="00770B6C" w:rsidRDefault="003E5662" w:rsidP="003E5662">
      <w:pPr>
        <w:pStyle w:val="SingleTxt"/>
        <w:tabs>
          <w:tab w:val="right" w:pos="1685"/>
        </w:tabs>
        <w:ind w:left="1742" w:hanging="475"/>
      </w:pPr>
      <w:r>
        <w:tab/>
        <w:t>•</w:t>
      </w:r>
      <w:r w:rsidR="00770B6C">
        <w:tab/>
        <w:t>Implementation of the roadmap for accelerating the reduction of maternal and neonatal mortality and neonatal morbidity in Mali;</w:t>
      </w:r>
    </w:p>
    <w:p w:rsidR="00770B6C" w:rsidRDefault="003E5662" w:rsidP="003E5662">
      <w:pPr>
        <w:pStyle w:val="SingleTxt"/>
        <w:tabs>
          <w:tab w:val="right" w:pos="1685"/>
        </w:tabs>
        <w:ind w:left="1742" w:hanging="475"/>
      </w:pPr>
      <w:r>
        <w:tab/>
        <w:t>•</w:t>
      </w:r>
      <w:r w:rsidR="00770B6C">
        <w:tab/>
        <w:t>Implementation of the Human Rights Gender Equity Programme designed to combat the practice of excision;</w:t>
      </w:r>
    </w:p>
    <w:p w:rsidR="005E1F07" w:rsidRDefault="003E5662" w:rsidP="003E5662">
      <w:pPr>
        <w:pStyle w:val="SingleTxt"/>
        <w:tabs>
          <w:tab w:val="right" w:pos="1685"/>
        </w:tabs>
        <w:ind w:left="1742" w:hanging="475"/>
      </w:pPr>
      <w:r>
        <w:tab/>
        <w:t>•</w:t>
      </w:r>
      <w:r w:rsidR="00770B6C">
        <w:tab/>
        <w:t>Creation of mother-child pools, introduction of medical assistance schemes, social security and mandatory health insurance.</w:t>
      </w:r>
    </w:p>
    <w:p w:rsidR="00770B6C" w:rsidRDefault="00770B6C" w:rsidP="00770B6C">
      <w:pPr>
        <w:pStyle w:val="SingleTxt"/>
      </w:pPr>
      <w:r>
        <w:t>28.</w:t>
      </w:r>
      <w:r w:rsidR="008854F9">
        <w:tab/>
      </w:r>
      <w:r>
        <w:t>The implementation of these measures has led, inter alia, to the following results</w:t>
      </w:r>
      <w:r w:rsidR="00DD173B">
        <w:t>:</w:t>
      </w:r>
      <w:r w:rsidR="00735662">
        <w:rPr>
          <w:rStyle w:val="FootnoteReference"/>
        </w:rPr>
        <w:footnoteReference w:id="2"/>
      </w:r>
    </w:p>
    <w:p w:rsidR="00770B6C" w:rsidRDefault="00735662" w:rsidP="00735662">
      <w:pPr>
        <w:pStyle w:val="SingleTxt"/>
        <w:tabs>
          <w:tab w:val="right" w:pos="1685"/>
        </w:tabs>
        <w:ind w:left="1742" w:hanging="475"/>
      </w:pPr>
      <w:r>
        <w:tab/>
        <w:t>•</w:t>
      </w:r>
      <w:r w:rsidR="00770B6C">
        <w:tab/>
        <w:t>A significant increase in the rate of antenatal consultations was noted for the country as a whole between 2002 and 2006, rising from 54 per cent to 76 per cent. The rate stands at 82 per cent in 2008 and is estimated at 90 per cent for 2009;</w:t>
      </w:r>
    </w:p>
    <w:p w:rsidR="00770B6C" w:rsidRDefault="00735662" w:rsidP="00735662">
      <w:pPr>
        <w:pStyle w:val="SingleTxt"/>
        <w:tabs>
          <w:tab w:val="right" w:pos="1685"/>
        </w:tabs>
        <w:ind w:left="1742" w:hanging="475"/>
      </w:pPr>
      <w:r>
        <w:tab/>
        <w:t>•</w:t>
      </w:r>
      <w:r w:rsidR="00770B6C">
        <w:tab/>
        <w:t>Improvement in the rate of attended births for the country as a whole, rising from 40 per cent in 2002 to 53 per cent in 2006.</w:t>
      </w:r>
      <w:r w:rsidR="005E03D8">
        <w:t xml:space="preserve"> </w:t>
      </w:r>
      <w:r w:rsidR="00770B6C">
        <w:t>The rate stood at 61 per cent in 2008 and 64 per cent in 2009;</w:t>
      </w:r>
    </w:p>
    <w:p w:rsidR="00770B6C" w:rsidRDefault="00735662" w:rsidP="00735662">
      <w:pPr>
        <w:pStyle w:val="SingleTxt"/>
        <w:tabs>
          <w:tab w:val="right" w:pos="1685"/>
        </w:tabs>
        <w:ind w:left="1742" w:hanging="475"/>
      </w:pPr>
      <w:r>
        <w:tab/>
        <w:t>•</w:t>
      </w:r>
      <w:r w:rsidR="00770B6C">
        <w:tab/>
        <w:t>The maternal mortality rate declined from 582 per 100,000 live births in 2001 to 464 in 2006;</w:t>
      </w:r>
    </w:p>
    <w:p w:rsidR="005E1F07" w:rsidRDefault="00735662" w:rsidP="00735662">
      <w:pPr>
        <w:pStyle w:val="SingleTxt"/>
        <w:tabs>
          <w:tab w:val="right" w:pos="1685"/>
        </w:tabs>
        <w:ind w:left="1742" w:hanging="475"/>
      </w:pPr>
      <w:r>
        <w:tab/>
        <w:t>•</w:t>
      </w:r>
      <w:r w:rsidR="00770B6C">
        <w:tab/>
        <w:t xml:space="preserve">The coverage rate of VAT 2 vaccination for women rose from 44 per cent in 2005 to 64 per cent in 2008. </w:t>
      </w:r>
    </w:p>
    <w:p w:rsidR="005E1F07" w:rsidRDefault="00770B6C" w:rsidP="00770B6C">
      <w:pPr>
        <w:pStyle w:val="SingleTxt"/>
      </w:pPr>
      <w:r>
        <w:t>29.</w:t>
      </w:r>
      <w:r w:rsidR="008854F9">
        <w:tab/>
      </w:r>
      <w:r>
        <w:t>The rate of assisted births remained at 57 per cent in 2010</w:t>
      </w:r>
      <w:r w:rsidR="00735662">
        <w:t>-</w:t>
      </w:r>
      <w:r>
        <w:t>2011, whereas it had reached 69 per cent in 2009.</w:t>
      </w:r>
      <w:r w:rsidR="005E03D8">
        <w:t xml:space="preserve"> </w:t>
      </w:r>
      <w:r>
        <w:t>A reduction was observed in the number of women reporting that they had undergone excision from 92 per cent in 2001</w:t>
      </w:r>
      <w:r w:rsidR="00773C9B">
        <w:t xml:space="preserve"> </w:t>
      </w:r>
      <w:r>
        <w:t>(EDSM</w:t>
      </w:r>
      <w:r w:rsidR="00735662">
        <w:t>-</w:t>
      </w:r>
      <w:r>
        <w:t>III) to 85 per cent in 2006, then to 83 per cent in 2010 (MICS</w:t>
      </w:r>
      <w:r w:rsidR="00735662">
        <w:t>-</w:t>
      </w:r>
      <w:r>
        <w:t>2010).</w:t>
      </w:r>
    </w:p>
    <w:p w:rsidR="005E1F07" w:rsidRDefault="00770B6C" w:rsidP="00770B6C">
      <w:pPr>
        <w:pStyle w:val="SingleTxt"/>
      </w:pPr>
      <w:r>
        <w:t>30.</w:t>
      </w:r>
      <w:r w:rsidR="008854F9">
        <w:tab/>
      </w:r>
      <w:r>
        <w:t>The take-up rate for antenatal consultations went from 90 per cent in 2009 to 79 per cent in 2010, then to 76 per cent in 2011.</w:t>
      </w:r>
      <w:r w:rsidR="005E03D8">
        <w:t xml:space="preserve"> </w:t>
      </w:r>
      <w:r>
        <w:t>On the other hand, the average number of antenatal consultations per pregnant woman went from 2.08 in 2009 to 2.09 in 2010 and to 2.16 in 2011.</w:t>
      </w:r>
      <w:r w:rsidR="005E03D8">
        <w:t xml:space="preserve"> </w:t>
      </w:r>
      <w:r>
        <w:t>In other words, the share of pregnant women who make use of antenatal consultations is declining but those who make use of them are doing so more frequently.</w:t>
      </w:r>
    </w:p>
    <w:p w:rsidR="005E1F07" w:rsidRDefault="00770B6C" w:rsidP="00770B6C">
      <w:pPr>
        <w:pStyle w:val="SingleTxt"/>
      </w:pPr>
      <w:r>
        <w:t>31.</w:t>
      </w:r>
      <w:r w:rsidR="008854F9">
        <w:tab/>
      </w:r>
      <w:r>
        <w:t>The use of family planning services has increased from 4.86 per cent in 2010 to 6.12 per cent in 2011.</w:t>
      </w:r>
      <w:r w:rsidR="005E03D8">
        <w:t xml:space="preserve"> </w:t>
      </w:r>
      <w:r>
        <w:t xml:space="preserve">This improvement may be explained by better availability of contraceptives at all levels and the promotion of long-term methods in several </w:t>
      </w:r>
      <w:r>
        <w:lastRenderedPageBreak/>
        <w:t>regions, but also by better data collection on family planning by NGOs and private organizations.</w:t>
      </w:r>
    </w:p>
    <w:p w:rsidR="00735662" w:rsidRPr="00735662" w:rsidRDefault="00735662" w:rsidP="00735662">
      <w:pPr>
        <w:pStyle w:val="SingleTxt"/>
        <w:spacing w:after="0" w:line="120" w:lineRule="exact"/>
        <w:rPr>
          <w:sz w:val="10"/>
        </w:rPr>
      </w:pPr>
    </w:p>
    <w:p w:rsidR="00770B6C" w:rsidRDefault="00770B6C" w:rsidP="00735662">
      <w:pPr>
        <w:pStyle w:val="H23"/>
        <w:ind w:right="1260"/>
      </w:pPr>
      <w:r>
        <w:tab/>
        <w:t>III.</w:t>
      </w:r>
      <w:r w:rsidR="008854F9">
        <w:tab/>
      </w:r>
      <w:r>
        <w:t>IN THE AREA OF EMPLOYMENT</w:t>
      </w:r>
    </w:p>
    <w:p w:rsidR="00735662" w:rsidRPr="00735662" w:rsidRDefault="00735662" w:rsidP="00735662">
      <w:pPr>
        <w:pStyle w:val="SingleTxt"/>
        <w:spacing w:after="0" w:line="120" w:lineRule="exact"/>
        <w:rPr>
          <w:sz w:val="10"/>
        </w:rPr>
      </w:pPr>
    </w:p>
    <w:p w:rsidR="00770B6C" w:rsidRDefault="00770B6C" w:rsidP="00770B6C">
      <w:pPr>
        <w:pStyle w:val="SingleTxt"/>
      </w:pPr>
      <w:r>
        <w:t>32.</w:t>
      </w:r>
      <w:r w:rsidR="008854F9">
        <w:tab/>
      </w:r>
      <w:r>
        <w:t>In the area of employment, the following may be noted:</w:t>
      </w:r>
    </w:p>
    <w:p w:rsidR="005E1F07" w:rsidRDefault="00735662" w:rsidP="00735662">
      <w:pPr>
        <w:pStyle w:val="SingleTxt"/>
        <w:tabs>
          <w:tab w:val="right" w:pos="1685"/>
        </w:tabs>
        <w:ind w:left="1742" w:hanging="475"/>
      </w:pPr>
      <w:r>
        <w:tab/>
        <w:t>•</w:t>
      </w:r>
      <w:r w:rsidR="00770B6C">
        <w:tab/>
        <w:t>Order 92-024/CTSP of 12 May 1992 concerning the taxation of female employees</w:t>
      </w:r>
      <w:r w:rsidR="00DD173B">
        <w:t>’</w:t>
      </w:r>
      <w:r w:rsidR="00770B6C">
        <w:t xml:space="preserve"> earnings, with a view to reducing the amount of tax a woman owes depending on how many children she has;</w:t>
      </w:r>
    </w:p>
    <w:p w:rsidR="005E1F07" w:rsidRDefault="00735662" w:rsidP="00735662">
      <w:pPr>
        <w:pStyle w:val="SingleTxt"/>
        <w:tabs>
          <w:tab w:val="right" w:pos="1685"/>
        </w:tabs>
        <w:ind w:left="1742" w:hanging="475"/>
      </w:pPr>
      <w:r>
        <w:tab/>
        <w:t>•</w:t>
      </w:r>
      <w:r w:rsidR="00770B6C">
        <w:tab/>
        <w:t>A woman</w:t>
      </w:r>
      <w:r w:rsidR="00DD173B">
        <w:t>’</w:t>
      </w:r>
      <w:r w:rsidR="00770B6C">
        <w:t>s employment contract cannot be terminated by reason of absence when she is on maternity leave, and her pay cannot be reduced;</w:t>
      </w:r>
    </w:p>
    <w:p w:rsidR="005E1F07" w:rsidRDefault="00735662" w:rsidP="00735662">
      <w:pPr>
        <w:pStyle w:val="SingleTxt"/>
        <w:tabs>
          <w:tab w:val="right" w:pos="1685"/>
        </w:tabs>
        <w:ind w:left="1742" w:hanging="475"/>
      </w:pPr>
      <w:r>
        <w:tab/>
        <w:t>•</w:t>
      </w:r>
      <w:r w:rsidR="00770B6C">
        <w:tab/>
        <w:t>For each living dependent child she has, a woman is credited with one additional year</w:t>
      </w:r>
      <w:r w:rsidR="00DD173B">
        <w:t>’</w:t>
      </w:r>
      <w:r w:rsidR="00770B6C">
        <w:t>s service;</w:t>
      </w:r>
    </w:p>
    <w:p w:rsidR="005E1F07" w:rsidRDefault="00735662" w:rsidP="00735662">
      <w:pPr>
        <w:pStyle w:val="SingleTxt"/>
        <w:tabs>
          <w:tab w:val="right" w:pos="1685"/>
        </w:tabs>
        <w:ind w:left="1742" w:hanging="475"/>
      </w:pPr>
      <w:r>
        <w:tab/>
        <w:t>•</w:t>
      </w:r>
      <w:r w:rsidR="00770B6C">
        <w:tab/>
        <w:t>If a woman with three living children resigns from her employment without being entitled to a pension, she is paid a 10 per cent bonus;</w:t>
      </w:r>
    </w:p>
    <w:p w:rsidR="005E1F07" w:rsidRDefault="00735662" w:rsidP="00735662">
      <w:pPr>
        <w:pStyle w:val="SingleTxt"/>
        <w:tabs>
          <w:tab w:val="right" w:pos="1685"/>
        </w:tabs>
        <w:ind w:left="1742" w:hanging="475"/>
      </w:pPr>
      <w:r>
        <w:tab/>
        <w:t>•</w:t>
      </w:r>
      <w:r w:rsidR="00770B6C">
        <w:tab/>
        <w:t>Women have the right to specific safeguards in connection with certain kinds of work (night work, work in underground mines);</w:t>
      </w:r>
    </w:p>
    <w:p w:rsidR="005E1F07" w:rsidRDefault="00735662" w:rsidP="00735662">
      <w:pPr>
        <w:pStyle w:val="SingleTxt"/>
        <w:tabs>
          <w:tab w:val="right" w:pos="1685"/>
        </w:tabs>
        <w:ind w:left="1742" w:hanging="475"/>
      </w:pPr>
      <w:r>
        <w:tab/>
        <w:t>•</w:t>
      </w:r>
      <w:r w:rsidR="00770B6C">
        <w:tab/>
        <w:t>For each child that is born to her, a woman</w:t>
      </w:r>
      <w:r w:rsidR="00DD173B">
        <w:t>’</w:t>
      </w:r>
      <w:r w:rsidR="00770B6C">
        <w:t>s retirement age is reduced by one year.</w:t>
      </w:r>
    </w:p>
    <w:p w:rsidR="005E1F07" w:rsidRDefault="00770B6C" w:rsidP="00770B6C">
      <w:pPr>
        <w:pStyle w:val="SingleTxt"/>
      </w:pPr>
      <w:r>
        <w:t>33.</w:t>
      </w:r>
      <w:r w:rsidR="008854F9">
        <w:tab/>
      </w:r>
      <w:r>
        <w:t>A national employment policy was adopted by the Government in 1999.</w:t>
      </w:r>
      <w:r w:rsidR="005E03D8">
        <w:t xml:space="preserve"> </w:t>
      </w:r>
      <w:r>
        <w:t>In the implementation of this policy numerous programmes have emerged.</w:t>
      </w:r>
    </w:p>
    <w:p w:rsidR="005E1F07" w:rsidRDefault="00770B6C" w:rsidP="00770B6C">
      <w:pPr>
        <w:pStyle w:val="SingleTxt"/>
      </w:pPr>
      <w:r>
        <w:t>34.</w:t>
      </w:r>
      <w:r w:rsidR="008854F9">
        <w:tab/>
      </w:r>
      <w:r>
        <w:t>In implementing these projects and programmes, a two-pronged approach has been adopted so that the sex-specific dimension of job creation will be reflected in all aspects of the programme and so that priority attention will be given to employment of women.</w:t>
      </w:r>
      <w:r w:rsidR="005E03D8">
        <w:t xml:space="preserve"> </w:t>
      </w:r>
      <w:r>
        <w:t xml:space="preserve">This approach includes integrating criteria of gender equity in the programme as a whole and execution of specific projects for promoting employment that have strong job-creation potential for women. </w:t>
      </w:r>
    </w:p>
    <w:p w:rsidR="00770B6C" w:rsidRDefault="00770B6C" w:rsidP="00770B6C">
      <w:pPr>
        <w:pStyle w:val="SingleTxt"/>
      </w:pPr>
      <w:r>
        <w:t>35.</w:t>
      </w:r>
      <w:r w:rsidR="008854F9">
        <w:tab/>
      </w:r>
      <w:r>
        <w:t>The monthly income of nearly 53 per cent of actively employed persons is below the general minimum wage (currently set at 28,460 CFA francs).</w:t>
      </w:r>
    </w:p>
    <w:p w:rsidR="00770B6C" w:rsidRDefault="00735662" w:rsidP="00735662">
      <w:pPr>
        <w:pStyle w:val="SingleTxt"/>
        <w:tabs>
          <w:tab w:val="right" w:pos="1685"/>
        </w:tabs>
        <w:ind w:left="1742" w:hanging="475"/>
      </w:pPr>
      <w:r>
        <w:tab/>
      </w:r>
      <w:r w:rsidR="00770B6C">
        <w:t>•</w:t>
      </w:r>
      <w:r w:rsidR="00770B6C">
        <w:tab/>
        <w:t>The monthly wage of men is 53,000 CFA francs and that of women is 22,000 CFA francs;</w:t>
      </w:r>
    </w:p>
    <w:p w:rsidR="005E1F07" w:rsidRDefault="00735662" w:rsidP="00735662">
      <w:pPr>
        <w:pStyle w:val="SingleTxt"/>
        <w:tabs>
          <w:tab w:val="right" w:pos="1685"/>
        </w:tabs>
        <w:ind w:left="1742" w:hanging="475"/>
      </w:pPr>
      <w:r>
        <w:tab/>
      </w:r>
      <w:r w:rsidR="00770B6C">
        <w:t>•</w:t>
      </w:r>
      <w:r w:rsidR="00770B6C">
        <w:tab/>
        <w:t>Seven women out of ten earn less than the general minimum wage, compared to three men out of ten.</w:t>
      </w:r>
    </w:p>
    <w:p w:rsidR="005E1F07" w:rsidRDefault="00770B6C" w:rsidP="00770B6C">
      <w:pPr>
        <w:pStyle w:val="SingleTxt"/>
      </w:pPr>
      <w:r>
        <w:t>36.</w:t>
      </w:r>
      <w:r w:rsidR="008854F9">
        <w:tab/>
      </w:r>
      <w:r>
        <w:t>The proportion of women working in the civil service has increased: 19.4 per cent in 2006, 26.5 per cent in 2007 and 26.7 per cent in 2008.</w:t>
      </w:r>
    </w:p>
    <w:p w:rsidR="005E1F07" w:rsidRDefault="00770B6C" w:rsidP="00770B6C">
      <w:pPr>
        <w:pStyle w:val="SingleTxt"/>
      </w:pPr>
      <w:r>
        <w:t>37.</w:t>
      </w:r>
      <w:r w:rsidR="008854F9">
        <w:tab/>
      </w:r>
      <w:r>
        <w:t>In the area of economic affairs and finance, women face difficulties in gaining access to the means and factors of production: land, credit, equipment, inputs, training, information, accommodations.</w:t>
      </w:r>
    </w:p>
    <w:p w:rsidR="005E1F07" w:rsidRDefault="00770B6C" w:rsidP="00770B6C">
      <w:pPr>
        <w:pStyle w:val="SingleTxt"/>
      </w:pPr>
      <w:r>
        <w:t>38.</w:t>
      </w:r>
      <w:r w:rsidR="008854F9">
        <w:tab/>
      </w:r>
      <w:r>
        <w:t>Analysis shows that from 2004 to 2007 the employment trend shifted in favour of women (58.6 per cent for men and 41.4 per cent for women in 2004, compared to 49 per cent for men and 51 per cent for women in 2007). Despite this gain, women</w:t>
      </w:r>
      <w:r w:rsidR="00DD173B">
        <w:t>’</w:t>
      </w:r>
      <w:r>
        <w:t>s earnings from employment remained weak and the great majority of them continued to work in the informal sector.</w:t>
      </w:r>
    </w:p>
    <w:p w:rsidR="00735662" w:rsidRPr="00735662" w:rsidRDefault="00735662" w:rsidP="00735662">
      <w:pPr>
        <w:pStyle w:val="SingleTxt"/>
        <w:spacing w:after="0" w:line="120" w:lineRule="exact"/>
        <w:rPr>
          <w:sz w:val="10"/>
        </w:rPr>
      </w:pPr>
    </w:p>
    <w:p w:rsidR="00770B6C" w:rsidRDefault="00735662" w:rsidP="00735662">
      <w:pPr>
        <w:pStyle w:val="H23"/>
        <w:ind w:right="1260"/>
      </w:pPr>
      <w:r>
        <w:lastRenderedPageBreak/>
        <w:tab/>
      </w:r>
      <w:r w:rsidR="00770B6C">
        <w:t>IV.</w:t>
      </w:r>
      <w:r w:rsidR="008854F9">
        <w:tab/>
      </w:r>
      <w:r w:rsidR="00770B6C">
        <w:t>THE SOCIAL AREA</w:t>
      </w:r>
    </w:p>
    <w:p w:rsidR="00735662" w:rsidRPr="00735662" w:rsidRDefault="00735662" w:rsidP="00735662">
      <w:pPr>
        <w:pStyle w:val="SingleTxt"/>
        <w:spacing w:after="0" w:line="120" w:lineRule="exact"/>
        <w:rPr>
          <w:sz w:val="10"/>
        </w:rPr>
      </w:pPr>
    </w:p>
    <w:p w:rsidR="00735662" w:rsidRPr="00735662" w:rsidRDefault="00735662" w:rsidP="00735662">
      <w:pPr>
        <w:pStyle w:val="SingleTxt"/>
        <w:spacing w:after="0" w:line="120" w:lineRule="exact"/>
        <w:rPr>
          <w:sz w:val="10"/>
        </w:rPr>
      </w:pPr>
    </w:p>
    <w:p w:rsidR="005E1F07" w:rsidRDefault="00735662" w:rsidP="00735662">
      <w:pPr>
        <w:pStyle w:val="H1"/>
        <w:ind w:right="1260"/>
      </w:pPr>
      <w:r>
        <w:tab/>
      </w:r>
      <w:r>
        <w:tab/>
      </w:r>
      <w:r w:rsidR="00770B6C">
        <w:t>Article 5: Role differentiation and stereotyping</w:t>
      </w:r>
    </w:p>
    <w:p w:rsidR="00735662" w:rsidRPr="00735662" w:rsidRDefault="00735662" w:rsidP="00735662">
      <w:pPr>
        <w:pStyle w:val="SingleTxt"/>
        <w:spacing w:after="0" w:line="120" w:lineRule="exact"/>
        <w:rPr>
          <w:sz w:val="10"/>
        </w:rPr>
      </w:pPr>
    </w:p>
    <w:p w:rsidR="00735662" w:rsidRPr="00735662" w:rsidRDefault="00735662" w:rsidP="00735662">
      <w:pPr>
        <w:pStyle w:val="SingleTxt"/>
        <w:spacing w:after="0" w:line="120" w:lineRule="exact"/>
        <w:rPr>
          <w:sz w:val="10"/>
        </w:rPr>
      </w:pPr>
    </w:p>
    <w:p w:rsidR="005E1F07" w:rsidRDefault="00770B6C" w:rsidP="00770B6C">
      <w:pPr>
        <w:pStyle w:val="SingleTxt"/>
      </w:pPr>
      <w:r>
        <w:t>39.</w:t>
      </w:r>
      <w:r w:rsidR="008854F9">
        <w:tab/>
      </w:r>
      <w:r>
        <w:t>In Mali, as part of the promotion and protection of human rights of women and girls, the legal environment has made significant headway. Besides the Constitution, which guarantees the same rights to citizens of both sexes without discrimination, different legal texts incorporate the gender dimension by taking into account the situation of men and women.</w:t>
      </w:r>
    </w:p>
    <w:p w:rsidR="005E1F07" w:rsidRDefault="00770B6C" w:rsidP="00770B6C">
      <w:pPr>
        <w:pStyle w:val="SingleTxt"/>
      </w:pPr>
      <w:r>
        <w:t>40.</w:t>
      </w:r>
      <w:r w:rsidR="008854F9">
        <w:tab/>
      </w:r>
      <w:r>
        <w:t>As part of the effective realization of women</w:t>
      </w:r>
      <w:r w:rsidR="00DD173B">
        <w:t>’</w:t>
      </w:r>
      <w:r>
        <w:t>s rights, many programmes and projects have been initiated and implemented by the Government and its partners, e.g. by the Programme to Strengthen Equity between Men and Women (PAREFH) and the Ministry for the Advancement of Women, Children and Families (MPFEF).</w:t>
      </w:r>
    </w:p>
    <w:p w:rsidR="005E1F07" w:rsidRDefault="00770B6C" w:rsidP="00770B6C">
      <w:pPr>
        <w:pStyle w:val="SingleTxt"/>
      </w:pPr>
      <w:r>
        <w:t>41.</w:t>
      </w:r>
      <w:r w:rsidR="008854F9">
        <w:tab/>
      </w:r>
      <w:r>
        <w:t>The programmes and projects of a para-legal nature have helped greatly to make women and girls aware of their fundamental human rights and to better apply the law.</w:t>
      </w:r>
      <w:r w:rsidR="005E03D8">
        <w:t xml:space="preserve"> </w:t>
      </w:r>
      <w:r>
        <w:t>In short, the implementation of these programmes and projects has greatly helped to curb negative practices and lead to better enjoyment of human rights by women and girls in the different areas of engagement of the Declaration.</w:t>
      </w:r>
    </w:p>
    <w:p w:rsidR="005E1F07" w:rsidRDefault="00770B6C" w:rsidP="00770B6C">
      <w:pPr>
        <w:pStyle w:val="SingleTxt"/>
      </w:pPr>
      <w:r>
        <w:t>42.</w:t>
      </w:r>
      <w:r w:rsidR="008854F9">
        <w:tab/>
      </w:r>
      <w:r>
        <w:t>In addition, the implementation of the National Gender Policy and the related plan of action adopted by the Government marks a significant step forward for women.</w:t>
      </w:r>
    </w:p>
    <w:p w:rsidR="005E1F07" w:rsidRDefault="00770B6C" w:rsidP="00770B6C">
      <w:pPr>
        <w:pStyle w:val="SingleTxt"/>
      </w:pPr>
      <w:r>
        <w:t>43.</w:t>
      </w:r>
      <w:r w:rsidR="008854F9">
        <w:tab/>
      </w:r>
      <w:r>
        <w:t xml:space="preserve">This policy, an outcome of the results of the prospective study </w:t>
      </w:r>
      <w:r w:rsidR="00DD173B">
        <w:t>“</w:t>
      </w:r>
      <w:r>
        <w:t>Mali 2015</w:t>
      </w:r>
      <w:r w:rsidR="00DD173B">
        <w:t>”</w:t>
      </w:r>
      <w:r>
        <w:t xml:space="preserve">, envisages </w:t>
      </w:r>
      <w:r w:rsidR="00DD173B">
        <w:t>“</w:t>
      </w:r>
      <w:r>
        <w:t>a nation united on a diversified and renewed social base, a democratic political and institutional organization, securing development and social peace, a strong and diversified open economy, a reduction of poverty and social progress extending to all regions and all categories of the population</w:t>
      </w:r>
      <w:r w:rsidR="00DD173B">
        <w:t>”</w:t>
      </w:r>
      <w:r w:rsidR="00773C9B">
        <w:t>.</w:t>
      </w:r>
    </w:p>
    <w:p w:rsidR="005E1F07" w:rsidRDefault="00770B6C" w:rsidP="00770B6C">
      <w:pPr>
        <w:pStyle w:val="SingleTxt"/>
      </w:pPr>
      <w:r>
        <w:t>44. The National Gender Policy is structured around six strategic orientations:</w:t>
      </w:r>
    </w:p>
    <w:p w:rsidR="005E1F07" w:rsidRDefault="00813FC3" w:rsidP="00813FC3">
      <w:pPr>
        <w:pStyle w:val="SingleTxt"/>
        <w:tabs>
          <w:tab w:val="right" w:pos="1685"/>
        </w:tabs>
        <w:ind w:left="1742" w:hanging="475"/>
      </w:pPr>
      <w:r>
        <w:tab/>
      </w:r>
      <w:r w:rsidR="00770B6C">
        <w:t>•</w:t>
      </w:r>
      <w:r w:rsidR="00770B6C">
        <w:tab/>
        <w:t>Consolidation of Malian democracy and the rule of law through equal access to and full enjoyment of fundamental rights for women and men;</w:t>
      </w:r>
    </w:p>
    <w:p w:rsidR="005E1F07" w:rsidRDefault="00813FC3" w:rsidP="00813FC3">
      <w:pPr>
        <w:pStyle w:val="SingleTxt"/>
        <w:tabs>
          <w:tab w:val="right" w:pos="1685"/>
        </w:tabs>
        <w:ind w:left="1742" w:hanging="475"/>
      </w:pPr>
      <w:r>
        <w:tab/>
      </w:r>
      <w:r w:rsidR="00770B6C">
        <w:t>•</w:t>
      </w:r>
      <w:r w:rsidR="00770B6C">
        <w:tab/>
        <w:t xml:space="preserve">Development of human capital (Female and Male) able to face the challenges of </w:t>
      </w:r>
      <w:r w:rsidR="00224C39" w:rsidRPr="00224C39">
        <w:t>socio</w:t>
      </w:r>
      <w:r w:rsidR="00770B6C">
        <w:t>economic development, poverty reduction, African integration and globalization;</w:t>
      </w:r>
    </w:p>
    <w:p w:rsidR="005E1F07" w:rsidRDefault="00813FC3" w:rsidP="00813FC3">
      <w:pPr>
        <w:pStyle w:val="SingleTxt"/>
        <w:tabs>
          <w:tab w:val="right" w:pos="1685"/>
        </w:tabs>
        <w:ind w:left="1742" w:hanging="475"/>
      </w:pPr>
      <w:r>
        <w:tab/>
      </w:r>
      <w:r w:rsidR="00770B6C">
        <w:t>•</w:t>
      </w:r>
      <w:r w:rsidR="00770B6C">
        <w:tab/>
        <w:t>Recognition of women</w:t>
      </w:r>
      <w:r w:rsidR="00DD173B">
        <w:t>’</w:t>
      </w:r>
      <w:r w:rsidR="00770B6C">
        <w:t>s contribution to economic development by their involvement in the productive system and equal access to employment opportunities and production factors;</w:t>
      </w:r>
    </w:p>
    <w:p w:rsidR="005E1F07" w:rsidRDefault="00813FC3" w:rsidP="00813FC3">
      <w:pPr>
        <w:pStyle w:val="SingleTxt"/>
        <w:tabs>
          <w:tab w:val="right" w:pos="1685"/>
        </w:tabs>
        <w:ind w:left="1742" w:hanging="475"/>
      </w:pPr>
      <w:r>
        <w:tab/>
      </w:r>
      <w:r w:rsidR="00770B6C">
        <w:t>•</w:t>
      </w:r>
      <w:r w:rsidR="00770B6C">
        <w:tab/>
        <w:t>Putting to use the potential of women and men in the country</w:t>
      </w:r>
      <w:r w:rsidR="00DD173B">
        <w:t>’</w:t>
      </w:r>
      <w:r w:rsidR="00770B6C">
        <w:t>s development through their equal participation in decision-making spheres;</w:t>
      </w:r>
    </w:p>
    <w:p w:rsidR="005E1F07" w:rsidRDefault="00813FC3" w:rsidP="00813FC3">
      <w:pPr>
        <w:pStyle w:val="SingleTxt"/>
        <w:tabs>
          <w:tab w:val="right" w:pos="1685"/>
        </w:tabs>
        <w:ind w:left="1742" w:hanging="475"/>
      </w:pPr>
      <w:r>
        <w:tab/>
      </w:r>
      <w:r w:rsidR="00770B6C">
        <w:t>•</w:t>
      </w:r>
      <w:r w:rsidR="00770B6C">
        <w:tab/>
        <w:t>Promotion, advocacy and communication to help egalitarian values and behaviour within Malian society to take root, while supporting traditions that help to meet the demands of modernity and openness to the world (meal preparation, housework, wood and water chores etc.);</w:t>
      </w:r>
    </w:p>
    <w:p w:rsidR="005E1F07" w:rsidRDefault="00813FC3" w:rsidP="00813FC3">
      <w:pPr>
        <w:pStyle w:val="SingleTxt"/>
        <w:tabs>
          <w:tab w:val="right" w:pos="1685"/>
        </w:tabs>
        <w:ind w:left="1742" w:hanging="475"/>
      </w:pPr>
      <w:r>
        <w:tab/>
      </w:r>
      <w:r w:rsidR="00770B6C">
        <w:t>•</w:t>
      </w:r>
      <w:r w:rsidR="00770B6C">
        <w:tab/>
        <w:t>Taking gender into account as a guiding principle of good governance in the public policies and reforms that are most conducive to change as well as in budgets, taking into account the context of decentralization.</w:t>
      </w:r>
    </w:p>
    <w:p w:rsidR="005E1F07" w:rsidRDefault="00770B6C" w:rsidP="00770B6C">
      <w:pPr>
        <w:pStyle w:val="SingleTxt"/>
      </w:pPr>
      <w:r>
        <w:lastRenderedPageBreak/>
        <w:t>45.</w:t>
      </w:r>
      <w:r w:rsidR="008854F9">
        <w:tab/>
      </w:r>
      <w:r>
        <w:t>However, the considerable efforts exerted by the Government need to be supported, increased and improved in order to remove residual obstacles linked to ignorance of the law and to certain anachronistic traditional practices.</w:t>
      </w:r>
      <w:r w:rsidR="005E03D8">
        <w:t xml:space="preserve"> </w:t>
      </w:r>
      <w:r>
        <w:t>Thus, the Government must further intensify efforts and take other steps of a political, legislative, and regulatory nature in order to give greater effectiveness to the rights of women and girls.</w:t>
      </w:r>
    </w:p>
    <w:p w:rsidR="00813FC3" w:rsidRPr="00813FC3" w:rsidRDefault="00813FC3" w:rsidP="00813FC3">
      <w:pPr>
        <w:pStyle w:val="SingleTxt"/>
        <w:spacing w:after="0" w:line="120" w:lineRule="exact"/>
        <w:rPr>
          <w:sz w:val="10"/>
        </w:rPr>
      </w:pPr>
    </w:p>
    <w:p w:rsidR="00813FC3" w:rsidRPr="00813FC3" w:rsidRDefault="00813FC3" w:rsidP="00813FC3">
      <w:pPr>
        <w:pStyle w:val="SingleTxt"/>
        <w:spacing w:after="0" w:line="120" w:lineRule="exact"/>
        <w:rPr>
          <w:sz w:val="10"/>
        </w:rPr>
      </w:pPr>
    </w:p>
    <w:p w:rsidR="005E1F07" w:rsidRDefault="00813FC3" w:rsidP="00813FC3">
      <w:pPr>
        <w:pStyle w:val="H1"/>
        <w:ind w:right="1260"/>
      </w:pPr>
      <w:r>
        <w:tab/>
      </w:r>
      <w:r>
        <w:tab/>
      </w:r>
      <w:r w:rsidR="00770B6C">
        <w:t>Article 6: Trafficking in women and exploitation of prostitution</w:t>
      </w:r>
    </w:p>
    <w:p w:rsidR="00813FC3" w:rsidRPr="00813FC3" w:rsidRDefault="00813FC3" w:rsidP="00813FC3">
      <w:pPr>
        <w:pStyle w:val="SingleTxt"/>
        <w:spacing w:after="0" w:line="120" w:lineRule="exact"/>
        <w:rPr>
          <w:sz w:val="10"/>
        </w:rPr>
      </w:pPr>
    </w:p>
    <w:p w:rsidR="00813FC3" w:rsidRPr="00813FC3" w:rsidRDefault="00813FC3" w:rsidP="00813FC3">
      <w:pPr>
        <w:pStyle w:val="SingleTxt"/>
        <w:spacing w:after="0" w:line="120" w:lineRule="exact"/>
        <w:rPr>
          <w:sz w:val="10"/>
        </w:rPr>
      </w:pPr>
    </w:p>
    <w:p w:rsidR="005E1F07" w:rsidRDefault="00770B6C" w:rsidP="00770B6C">
      <w:pPr>
        <w:pStyle w:val="SingleTxt"/>
      </w:pPr>
      <w:r>
        <w:t>46.</w:t>
      </w:r>
      <w:r w:rsidR="00773C9B">
        <w:tab/>
      </w:r>
      <w:r>
        <w:t>Mali has developed a national report on human trafficking.</w:t>
      </w:r>
      <w:r w:rsidR="005E03D8">
        <w:t xml:space="preserve"> </w:t>
      </w:r>
      <w:r>
        <w:t>That report provides a survey of the situation, measures and actions undertaken at the national and subregional level and proposes an emergency plan of action for 2010-2012.</w:t>
      </w:r>
      <w:r w:rsidR="005E03D8">
        <w:t xml:space="preserve"> </w:t>
      </w:r>
      <w:r>
        <w:t>That action plan, adopted in 2010, demonstrates political resolve to combat trafficking in women and exploitation of prostitution. It includes a number of measures aimed at better defining the phenomenon and its aspects, and undertaking coordinated action for prevention, prosecution, law enforcement and integration of victims.</w:t>
      </w:r>
      <w:r w:rsidR="005E03D8">
        <w:t xml:space="preserve"> </w:t>
      </w:r>
      <w:r>
        <w:t>During 2012 the priority actions to be pursued are development and adoption of a specific law on human trafficking (a draft is before the National Assembly) and a national survey on internal and external forms of trafficking.</w:t>
      </w:r>
    </w:p>
    <w:p w:rsidR="00770B6C" w:rsidRDefault="00770B6C" w:rsidP="00770B6C">
      <w:pPr>
        <w:pStyle w:val="SingleTxt"/>
      </w:pPr>
      <w:r>
        <w:t>47.</w:t>
      </w:r>
      <w:r w:rsidR="008854F9">
        <w:tab/>
      </w:r>
      <w:r>
        <w:t>At the national level, certain provisions of the Penal Code need to be recalled:</w:t>
      </w:r>
    </w:p>
    <w:p w:rsidR="005E1F07" w:rsidRDefault="00813FC3" w:rsidP="00813FC3">
      <w:pPr>
        <w:pStyle w:val="SingleTxt"/>
        <w:tabs>
          <w:tab w:val="right" w:pos="1685"/>
        </w:tabs>
        <w:ind w:left="1742" w:hanging="475"/>
      </w:pPr>
      <w:r>
        <w:tab/>
        <w:t>•</w:t>
      </w:r>
      <w:r w:rsidR="00770B6C">
        <w:tab/>
        <w:t>Article 244 defines and punishes trafficking in children (including girls). Any person convicted of trafficking is punished by imprisonment for five to twenty years;</w:t>
      </w:r>
    </w:p>
    <w:p w:rsidR="005E1F07" w:rsidRPr="00813FC3" w:rsidRDefault="00813FC3" w:rsidP="00813FC3">
      <w:pPr>
        <w:pStyle w:val="SingleTxt"/>
        <w:tabs>
          <w:tab w:val="right" w:pos="1685"/>
        </w:tabs>
        <w:ind w:left="1742" w:hanging="475"/>
        <w:rPr>
          <w:spacing w:val="2"/>
        </w:rPr>
      </w:pPr>
      <w:r w:rsidRPr="00813FC3">
        <w:rPr>
          <w:spacing w:val="2"/>
        </w:rPr>
        <w:tab/>
        <w:t>•</w:t>
      </w:r>
      <w:r w:rsidR="00770B6C" w:rsidRPr="00813FC3">
        <w:rPr>
          <w:spacing w:val="2"/>
        </w:rPr>
        <w:tab/>
        <w:t>Article 228 treats paedophilia as a crime and punishes by five to twenty years</w:t>
      </w:r>
      <w:r w:rsidR="00DD173B" w:rsidRPr="00813FC3">
        <w:rPr>
          <w:spacing w:val="2"/>
        </w:rPr>
        <w:t>’</w:t>
      </w:r>
      <w:r w:rsidR="00770B6C" w:rsidRPr="00813FC3">
        <w:rPr>
          <w:spacing w:val="2"/>
        </w:rPr>
        <w:t xml:space="preserve"> imprisonment and a fine of 20,000 to 1 million francs any act of sexual penetration or sexual touching of any kind on the person of a minor under 13</w:t>
      </w:r>
      <w:r w:rsidRPr="00813FC3">
        <w:rPr>
          <w:spacing w:val="2"/>
        </w:rPr>
        <w:t> </w:t>
      </w:r>
      <w:r w:rsidR="00770B6C" w:rsidRPr="00813FC3">
        <w:rPr>
          <w:spacing w:val="2"/>
        </w:rPr>
        <w:t>years of age, or any display for commercial or tourism purposes of photographs, films or drawings of a pornographic character portraying one or several persons under age 13;</w:t>
      </w:r>
    </w:p>
    <w:p w:rsidR="005E1F07" w:rsidRDefault="00813FC3" w:rsidP="00813FC3">
      <w:pPr>
        <w:pStyle w:val="SingleTxt"/>
        <w:tabs>
          <w:tab w:val="right" w:pos="1685"/>
        </w:tabs>
        <w:ind w:left="1742" w:hanging="475"/>
      </w:pPr>
      <w:r>
        <w:tab/>
        <w:t>•</w:t>
      </w:r>
      <w:r w:rsidR="00770B6C">
        <w:tab/>
        <w:t>Article 229 of the Penal Code establishes penalties of six months</w:t>
      </w:r>
      <w:r w:rsidR="00DD173B">
        <w:t>’</w:t>
      </w:r>
      <w:r w:rsidR="00770B6C">
        <w:t xml:space="preserve"> to three years</w:t>
      </w:r>
      <w:r w:rsidR="00DD173B">
        <w:t>’</w:t>
      </w:r>
      <w:r w:rsidR="00770B6C">
        <w:t xml:space="preserve"> imprisonment and a fine of from 20,000 to 1,000,000 francs, with the additional option of one to ten years</w:t>
      </w:r>
      <w:r w:rsidR="00DD173B">
        <w:t>’</w:t>
      </w:r>
      <w:r w:rsidR="00770B6C">
        <w:t xml:space="preserve"> banishment, for anyone who has habitually encouraged, promoted or facilitated debauchery or corrupted young people of either sex, or has led or induced a girl or woman into debauchery, even with her consent, for the purpose of satisfying other people</w:t>
      </w:r>
      <w:r w:rsidR="00DD173B">
        <w:t>’</w:t>
      </w:r>
      <w:r w:rsidR="00770B6C">
        <w:t xml:space="preserve">s pleasures, or has held a person in a house of debauchery against his or her will or has compelled a person to engage in prostitution. </w:t>
      </w:r>
    </w:p>
    <w:p w:rsidR="005E1F07" w:rsidRDefault="00770B6C" w:rsidP="00770B6C">
      <w:pPr>
        <w:pStyle w:val="SingleTxt"/>
      </w:pPr>
      <w:r>
        <w:t>48.</w:t>
      </w:r>
      <w:r w:rsidR="008854F9">
        <w:tab/>
      </w:r>
      <w:r>
        <w:t>Anyone convicted of living in whole or in part off the avails of prostitution is subject to six months</w:t>
      </w:r>
      <w:r w:rsidR="00DD173B">
        <w:t>’</w:t>
      </w:r>
      <w:r>
        <w:t xml:space="preserve"> to three years</w:t>
      </w:r>
      <w:r w:rsidR="00DD173B">
        <w:t>’</w:t>
      </w:r>
      <w:r>
        <w:t xml:space="preserve"> imprisonment and a fine of from 20,000 to 1,000,000 francs.</w:t>
      </w:r>
      <w:r w:rsidR="005E03D8">
        <w:t xml:space="preserve"> </w:t>
      </w:r>
      <w:r>
        <w:t>A further penalty of 5 to 10 years</w:t>
      </w:r>
      <w:r w:rsidR="00DD173B">
        <w:t>’</w:t>
      </w:r>
      <w:r>
        <w:t xml:space="preserve"> banishment may be applied.</w:t>
      </w:r>
    </w:p>
    <w:p w:rsidR="00813FC3" w:rsidRPr="00813FC3" w:rsidRDefault="00813FC3" w:rsidP="00813FC3">
      <w:pPr>
        <w:pStyle w:val="SingleTxt"/>
        <w:spacing w:after="0" w:line="120" w:lineRule="exact"/>
        <w:rPr>
          <w:sz w:val="10"/>
        </w:rPr>
      </w:pPr>
    </w:p>
    <w:p w:rsidR="00813FC3" w:rsidRPr="00813FC3" w:rsidRDefault="00813FC3" w:rsidP="00813FC3">
      <w:pPr>
        <w:pStyle w:val="SingleTxt"/>
        <w:spacing w:after="0" w:line="120" w:lineRule="exact"/>
        <w:rPr>
          <w:sz w:val="10"/>
        </w:rPr>
      </w:pPr>
    </w:p>
    <w:p w:rsidR="005E1F07" w:rsidRDefault="00770B6C" w:rsidP="00813FC3">
      <w:pPr>
        <w:pStyle w:val="H1"/>
        <w:ind w:right="1260"/>
      </w:pPr>
      <w:r>
        <w:tab/>
      </w:r>
      <w:r>
        <w:tab/>
        <w:t>Article 7: Women in political and public life</w:t>
      </w:r>
    </w:p>
    <w:p w:rsidR="00813FC3" w:rsidRPr="00813FC3" w:rsidRDefault="00813FC3" w:rsidP="00813FC3">
      <w:pPr>
        <w:pStyle w:val="SingleTxt"/>
        <w:spacing w:after="0" w:line="120" w:lineRule="exact"/>
        <w:rPr>
          <w:sz w:val="10"/>
        </w:rPr>
      </w:pPr>
    </w:p>
    <w:p w:rsidR="00813FC3" w:rsidRPr="00813FC3" w:rsidRDefault="00813FC3" w:rsidP="00813FC3">
      <w:pPr>
        <w:pStyle w:val="SingleTxt"/>
        <w:spacing w:after="0" w:line="120" w:lineRule="exact"/>
        <w:rPr>
          <w:sz w:val="10"/>
        </w:rPr>
      </w:pPr>
    </w:p>
    <w:p w:rsidR="005E1F07" w:rsidRDefault="00770B6C" w:rsidP="00770B6C">
      <w:pPr>
        <w:pStyle w:val="SingleTxt"/>
      </w:pPr>
      <w:r>
        <w:t>49.</w:t>
      </w:r>
      <w:r w:rsidR="008854F9">
        <w:tab/>
      </w:r>
      <w:r>
        <w:t>Mali</w:t>
      </w:r>
      <w:r w:rsidR="00DD173B">
        <w:t>’</w:t>
      </w:r>
      <w:r>
        <w:t>s Constitution makes no distinction between men and women so far as their participation in political and public life is concerned.</w:t>
      </w:r>
    </w:p>
    <w:p w:rsidR="00813FC3" w:rsidRPr="00813FC3" w:rsidRDefault="00813FC3" w:rsidP="00813FC3">
      <w:pPr>
        <w:pStyle w:val="SingleTxt"/>
        <w:spacing w:after="0" w:line="120" w:lineRule="exact"/>
        <w:rPr>
          <w:sz w:val="10"/>
        </w:rPr>
      </w:pPr>
    </w:p>
    <w:p w:rsidR="00770B6C" w:rsidRDefault="00813FC3" w:rsidP="00813FC3">
      <w:pPr>
        <w:pStyle w:val="H23"/>
        <w:ind w:right="1260"/>
      </w:pPr>
      <w:r>
        <w:lastRenderedPageBreak/>
        <w:tab/>
      </w:r>
      <w:r>
        <w:tab/>
      </w:r>
      <w:r w:rsidR="00770B6C" w:rsidRPr="00813FC3">
        <w:t>Actions taken have included:</w:t>
      </w:r>
    </w:p>
    <w:p w:rsidR="00813FC3" w:rsidRPr="00813FC3" w:rsidRDefault="00813FC3" w:rsidP="00813FC3">
      <w:pPr>
        <w:pStyle w:val="SingleTxt"/>
        <w:spacing w:after="0" w:line="120" w:lineRule="exact"/>
        <w:rPr>
          <w:sz w:val="10"/>
        </w:rPr>
      </w:pPr>
    </w:p>
    <w:p w:rsidR="00770B6C" w:rsidRDefault="00813FC3" w:rsidP="00813FC3">
      <w:pPr>
        <w:pStyle w:val="SingleTxt"/>
        <w:tabs>
          <w:tab w:val="right" w:pos="1685"/>
        </w:tabs>
        <w:ind w:left="1742" w:hanging="475"/>
      </w:pPr>
      <w:r>
        <w:tab/>
      </w:r>
      <w:r w:rsidR="00770B6C">
        <w:t>•</w:t>
      </w:r>
      <w:r w:rsidR="00770B6C">
        <w:tab/>
        <w:t>Review in 2006 of the Electoral Code, retaining among its criteria for the public funding of political parties the number of women elected within the party;</w:t>
      </w:r>
    </w:p>
    <w:p w:rsidR="00770B6C" w:rsidRDefault="00813FC3" w:rsidP="00813FC3">
      <w:pPr>
        <w:pStyle w:val="SingleTxt"/>
        <w:tabs>
          <w:tab w:val="right" w:pos="1685"/>
        </w:tabs>
        <w:ind w:left="1742" w:hanging="475"/>
      </w:pPr>
      <w:r>
        <w:tab/>
      </w:r>
      <w:r w:rsidR="00770B6C">
        <w:t>•</w:t>
      </w:r>
      <w:r w:rsidR="00770B6C">
        <w:tab/>
        <w:t>Support for training of women candidates for various elections;</w:t>
      </w:r>
    </w:p>
    <w:p w:rsidR="00770B6C" w:rsidRPr="00813FC3" w:rsidRDefault="00813FC3" w:rsidP="00813FC3">
      <w:pPr>
        <w:pStyle w:val="SingleTxt"/>
        <w:tabs>
          <w:tab w:val="right" w:pos="1685"/>
        </w:tabs>
        <w:ind w:left="1742" w:hanging="475"/>
        <w:rPr>
          <w:spacing w:val="2"/>
        </w:rPr>
      </w:pPr>
      <w:r w:rsidRPr="00813FC3">
        <w:rPr>
          <w:spacing w:val="2"/>
        </w:rPr>
        <w:tab/>
      </w:r>
      <w:r w:rsidR="00770B6C" w:rsidRPr="00813FC3">
        <w:rPr>
          <w:spacing w:val="2"/>
        </w:rPr>
        <w:t>•</w:t>
      </w:r>
      <w:r w:rsidR="00770B6C" w:rsidRPr="00813FC3">
        <w:rPr>
          <w:spacing w:val="2"/>
        </w:rPr>
        <w:tab/>
        <w:t>Implementation of projects and programmes (United Nations support programme for the promotion of human and gender rights (PCDHG, PAREFH2, PAREFH3, PROJES and RECOFEM) which contribute to improving the status of women and women</w:t>
      </w:r>
      <w:r w:rsidR="00DD173B" w:rsidRPr="00813FC3">
        <w:rPr>
          <w:spacing w:val="2"/>
        </w:rPr>
        <w:t>’</w:t>
      </w:r>
      <w:r w:rsidR="00770B6C" w:rsidRPr="00813FC3">
        <w:rPr>
          <w:spacing w:val="2"/>
        </w:rPr>
        <w:t>s participation in decision-making fora;</w:t>
      </w:r>
    </w:p>
    <w:p w:rsidR="00770B6C" w:rsidRDefault="00813FC3" w:rsidP="00813FC3">
      <w:pPr>
        <w:pStyle w:val="SingleTxt"/>
        <w:tabs>
          <w:tab w:val="right" w:pos="1685"/>
        </w:tabs>
        <w:ind w:left="1742" w:hanging="475"/>
      </w:pPr>
      <w:r>
        <w:tab/>
      </w:r>
      <w:r w:rsidR="00770B6C">
        <w:t>•</w:t>
      </w:r>
      <w:r w:rsidR="00770B6C">
        <w:tab/>
        <w:t>Drafting and implementation of a national strategy in support of women candidates;</w:t>
      </w:r>
    </w:p>
    <w:p w:rsidR="00770B6C" w:rsidRDefault="00813FC3" w:rsidP="00813FC3">
      <w:pPr>
        <w:pStyle w:val="SingleTxt"/>
        <w:tabs>
          <w:tab w:val="right" w:pos="1685"/>
        </w:tabs>
        <w:ind w:left="1742" w:hanging="475"/>
      </w:pPr>
      <w:r>
        <w:tab/>
      </w:r>
      <w:r w:rsidR="00770B6C">
        <w:t>•</w:t>
      </w:r>
      <w:r w:rsidR="00770B6C">
        <w:tab/>
        <w:t>Creating a project to support participation in good governance and women</w:t>
      </w:r>
      <w:r w:rsidR="00DD173B">
        <w:t>’</w:t>
      </w:r>
      <w:r w:rsidR="00770B6C">
        <w:t>s rights;</w:t>
      </w:r>
    </w:p>
    <w:p w:rsidR="005E1F07" w:rsidRDefault="00813FC3" w:rsidP="00813FC3">
      <w:pPr>
        <w:pStyle w:val="SingleTxt"/>
        <w:tabs>
          <w:tab w:val="right" w:pos="1685"/>
        </w:tabs>
        <w:ind w:left="1742" w:hanging="475"/>
      </w:pPr>
      <w:r>
        <w:tab/>
      </w:r>
      <w:r w:rsidR="00770B6C">
        <w:t>•</w:t>
      </w:r>
      <w:r w:rsidR="00770B6C">
        <w:tab/>
        <w:t>A National Strategy and 2012-2015 action plan for participation and greater representation of women in forthcoming general elections.</w:t>
      </w:r>
    </w:p>
    <w:p w:rsidR="00813FC3" w:rsidRPr="00813FC3" w:rsidRDefault="00813FC3" w:rsidP="00813FC3">
      <w:pPr>
        <w:pStyle w:val="SingleTxt"/>
        <w:spacing w:after="0" w:line="120" w:lineRule="exact"/>
        <w:rPr>
          <w:sz w:val="10"/>
        </w:rPr>
      </w:pPr>
    </w:p>
    <w:p w:rsidR="00770B6C" w:rsidRDefault="00813FC3" w:rsidP="00813FC3">
      <w:pPr>
        <w:pStyle w:val="H23"/>
        <w:ind w:right="1260"/>
      </w:pPr>
      <w:r>
        <w:tab/>
      </w:r>
      <w:r>
        <w:tab/>
      </w:r>
      <w:r w:rsidR="00770B6C">
        <w:t>Results achieved</w:t>
      </w:r>
    </w:p>
    <w:p w:rsidR="00813FC3" w:rsidRPr="00813FC3" w:rsidRDefault="00813FC3" w:rsidP="00813FC3">
      <w:pPr>
        <w:pStyle w:val="SingleTxt"/>
        <w:spacing w:after="0" w:line="120" w:lineRule="exact"/>
        <w:rPr>
          <w:sz w:val="10"/>
        </w:rPr>
      </w:pPr>
    </w:p>
    <w:p w:rsidR="00813FC3" w:rsidRPr="00813FC3" w:rsidRDefault="00813FC3" w:rsidP="00813FC3">
      <w:pPr>
        <w:pStyle w:val="H23"/>
        <w:ind w:right="1260"/>
        <w:rPr>
          <w:b w:val="0"/>
        </w:rPr>
      </w:pPr>
      <w:r w:rsidRPr="00813FC3">
        <w:rPr>
          <w:b w:val="0"/>
        </w:rPr>
        <w:tab/>
      </w:r>
      <w:r w:rsidRPr="00813FC3">
        <w:rPr>
          <w:b w:val="0"/>
        </w:rPr>
        <w:tab/>
      </w:r>
      <w:r w:rsidR="00770B6C" w:rsidRPr="00813FC3">
        <w:rPr>
          <w:b w:val="0"/>
        </w:rPr>
        <w:t>Table 1</w:t>
      </w:r>
    </w:p>
    <w:p w:rsidR="00770B6C" w:rsidRDefault="00813FC3" w:rsidP="00813FC3">
      <w:pPr>
        <w:pStyle w:val="H23"/>
        <w:ind w:right="1260"/>
      </w:pPr>
      <w:r>
        <w:tab/>
      </w:r>
      <w:r>
        <w:tab/>
      </w:r>
      <w:r w:rsidR="00770B6C">
        <w:t>Elected and appointed positions of responsibility by sex</w:t>
      </w:r>
    </w:p>
    <w:p w:rsidR="00813FC3" w:rsidRPr="00813FC3" w:rsidRDefault="00813FC3" w:rsidP="00813FC3">
      <w:pPr>
        <w:pStyle w:val="SingleTxt"/>
        <w:spacing w:after="0" w:line="120" w:lineRule="exact"/>
        <w:rPr>
          <w:sz w:val="10"/>
        </w:rPr>
      </w:pPr>
    </w:p>
    <w:tbl>
      <w:tblPr>
        <w:tblW w:w="8612" w:type="dxa"/>
        <w:tblInd w:w="1267" w:type="dxa"/>
        <w:tblCellMar>
          <w:left w:w="0" w:type="dxa"/>
          <w:right w:w="0" w:type="dxa"/>
        </w:tblCellMar>
        <w:tblLook w:val="01E0" w:firstRow="1" w:lastRow="1" w:firstColumn="1" w:lastColumn="1" w:noHBand="0" w:noVBand="0"/>
      </w:tblPr>
      <w:tblGrid>
        <w:gridCol w:w="3710"/>
        <w:gridCol w:w="817"/>
        <w:gridCol w:w="817"/>
        <w:gridCol w:w="817"/>
        <w:gridCol w:w="114"/>
        <w:gridCol w:w="703"/>
        <w:gridCol w:w="817"/>
        <w:gridCol w:w="817"/>
      </w:tblGrid>
      <w:tr w:rsidR="00072859" w:rsidRPr="002E0A02" w:rsidTr="00072859">
        <w:trPr>
          <w:trHeight w:val="240"/>
          <w:tblHeader/>
        </w:trPr>
        <w:tc>
          <w:tcPr>
            <w:tcW w:w="3710" w:type="dxa"/>
            <w:tcBorders>
              <w:top w:val="single" w:sz="4" w:space="0" w:color="auto"/>
            </w:tcBorders>
            <w:shd w:val="clear" w:color="auto" w:fill="auto"/>
            <w:vAlign w:val="bottom"/>
          </w:tcPr>
          <w:p w:rsidR="00072859" w:rsidRPr="002E0A02" w:rsidRDefault="00072859" w:rsidP="002E0A02">
            <w:pPr>
              <w:pStyle w:val="SingleTxtG"/>
              <w:spacing w:before="81" w:after="81" w:line="160" w:lineRule="exact"/>
              <w:ind w:left="0" w:right="40"/>
              <w:jc w:val="left"/>
              <w:rPr>
                <w:i/>
                <w:sz w:val="14"/>
              </w:rPr>
            </w:pPr>
          </w:p>
        </w:tc>
        <w:tc>
          <w:tcPr>
            <w:tcW w:w="2451" w:type="dxa"/>
            <w:gridSpan w:val="3"/>
            <w:tcBorders>
              <w:top w:val="single" w:sz="4" w:space="0" w:color="auto"/>
              <w:bottom w:val="single" w:sz="4" w:space="0" w:color="auto"/>
            </w:tcBorders>
            <w:shd w:val="clear" w:color="auto" w:fill="auto"/>
            <w:vAlign w:val="bottom"/>
          </w:tcPr>
          <w:p w:rsidR="00072859" w:rsidRPr="002E0A02" w:rsidRDefault="00072859" w:rsidP="00072859">
            <w:pPr>
              <w:pStyle w:val="SingleTxtG"/>
              <w:spacing w:before="81" w:after="81" w:line="160" w:lineRule="exact"/>
              <w:ind w:left="0" w:right="43"/>
              <w:jc w:val="center"/>
              <w:rPr>
                <w:i/>
                <w:sz w:val="14"/>
              </w:rPr>
            </w:pPr>
            <w:r w:rsidRPr="002E0A02">
              <w:rPr>
                <w:i/>
                <w:sz w:val="14"/>
              </w:rPr>
              <w:t>2008</w:t>
            </w:r>
          </w:p>
        </w:tc>
        <w:tc>
          <w:tcPr>
            <w:tcW w:w="114" w:type="dxa"/>
            <w:tcBorders>
              <w:top w:val="single" w:sz="4" w:space="0" w:color="auto"/>
            </w:tcBorders>
            <w:shd w:val="clear" w:color="auto" w:fill="auto"/>
            <w:vAlign w:val="bottom"/>
          </w:tcPr>
          <w:p w:rsidR="00072859" w:rsidRPr="002E0A02" w:rsidRDefault="00072859" w:rsidP="002E0A02">
            <w:pPr>
              <w:pStyle w:val="SingleTxtG"/>
              <w:spacing w:before="81" w:after="81" w:line="160" w:lineRule="exact"/>
              <w:ind w:left="0" w:right="43"/>
              <w:jc w:val="right"/>
              <w:rPr>
                <w:i/>
                <w:sz w:val="14"/>
              </w:rPr>
            </w:pPr>
          </w:p>
        </w:tc>
        <w:tc>
          <w:tcPr>
            <w:tcW w:w="2337" w:type="dxa"/>
            <w:gridSpan w:val="3"/>
            <w:tcBorders>
              <w:top w:val="single" w:sz="4" w:space="0" w:color="auto"/>
              <w:bottom w:val="single" w:sz="4" w:space="0" w:color="auto"/>
            </w:tcBorders>
            <w:shd w:val="clear" w:color="auto" w:fill="auto"/>
            <w:vAlign w:val="bottom"/>
          </w:tcPr>
          <w:p w:rsidR="00072859" w:rsidRPr="002E0A02" w:rsidRDefault="00072859" w:rsidP="00072859">
            <w:pPr>
              <w:pStyle w:val="SingleTxtG"/>
              <w:spacing w:before="81" w:after="81" w:line="160" w:lineRule="exact"/>
              <w:ind w:left="0" w:right="43"/>
              <w:jc w:val="center"/>
              <w:rPr>
                <w:i/>
                <w:sz w:val="14"/>
              </w:rPr>
            </w:pPr>
            <w:r w:rsidRPr="002E0A02">
              <w:rPr>
                <w:i/>
                <w:sz w:val="14"/>
              </w:rPr>
              <w:t>2009</w:t>
            </w:r>
          </w:p>
        </w:tc>
      </w:tr>
      <w:tr w:rsidR="00001BC9" w:rsidRPr="002E0A02" w:rsidTr="00072859">
        <w:trPr>
          <w:trHeight w:val="240"/>
          <w:tblHeader/>
        </w:trPr>
        <w:tc>
          <w:tcPr>
            <w:tcW w:w="3710" w:type="dxa"/>
            <w:tcBorders>
              <w:bottom w:val="single" w:sz="12" w:space="0" w:color="auto"/>
            </w:tcBorders>
            <w:shd w:val="clear" w:color="auto" w:fill="auto"/>
            <w:vAlign w:val="bottom"/>
          </w:tcPr>
          <w:p w:rsidR="00001BC9" w:rsidRPr="002E0A02" w:rsidRDefault="00001BC9" w:rsidP="002E0A02">
            <w:pPr>
              <w:pStyle w:val="SingleTxtG"/>
              <w:spacing w:before="81" w:after="81" w:line="160" w:lineRule="exact"/>
              <w:ind w:left="0" w:right="40"/>
              <w:jc w:val="left"/>
              <w:rPr>
                <w:i/>
                <w:sz w:val="14"/>
              </w:rPr>
            </w:pPr>
            <w:r w:rsidRPr="002E0A02">
              <w:rPr>
                <w:i/>
                <w:sz w:val="14"/>
              </w:rPr>
              <w:t>Positions of responsibility</w:t>
            </w:r>
          </w:p>
        </w:tc>
        <w:tc>
          <w:tcPr>
            <w:tcW w:w="817" w:type="dxa"/>
            <w:tcBorders>
              <w:top w:val="single" w:sz="4" w:space="0" w:color="auto"/>
              <w:bottom w:val="single" w:sz="12" w:space="0" w:color="auto"/>
            </w:tcBorders>
            <w:shd w:val="clear" w:color="auto" w:fill="auto"/>
            <w:vAlign w:val="bottom"/>
          </w:tcPr>
          <w:p w:rsidR="00001BC9" w:rsidRPr="002E0A02" w:rsidRDefault="00001BC9" w:rsidP="002E0A02">
            <w:pPr>
              <w:spacing w:before="81" w:after="81" w:line="160" w:lineRule="exact"/>
              <w:ind w:right="43"/>
              <w:jc w:val="right"/>
              <w:rPr>
                <w:i/>
                <w:sz w:val="14"/>
              </w:rPr>
            </w:pPr>
            <w:r w:rsidRPr="002E0A02">
              <w:rPr>
                <w:i/>
                <w:sz w:val="14"/>
              </w:rPr>
              <w:t xml:space="preserve">Men </w:t>
            </w:r>
          </w:p>
        </w:tc>
        <w:tc>
          <w:tcPr>
            <w:tcW w:w="817" w:type="dxa"/>
            <w:tcBorders>
              <w:top w:val="single" w:sz="4" w:space="0" w:color="auto"/>
              <w:bottom w:val="single" w:sz="12" w:space="0" w:color="auto"/>
            </w:tcBorders>
            <w:shd w:val="clear" w:color="auto" w:fill="auto"/>
            <w:vAlign w:val="bottom"/>
          </w:tcPr>
          <w:p w:rsidR="00001BC9" w:rsidRPr="002E0A02" w:rsidRDefault="00001BC9" w:rsidP="002E0A02">
            <w:pPr>
              <w:spacing w:before="81" w:after="81" w:line="160" w:lineRule="exact"/>
              <w:ind w:right="43"/>
              <w:jc w:val="right"/>
              <w:rPr>
                <w:i/>
                <w:sz w:val="14"/>
              </w:rPr>
            </w:pPr>
            <w:r w:rsidRPr="002E0A02">
              <w:rPr>
                <w:i/>
                <w:sz w:val="14"/>
              </w:rPr>
              <w:t xml:space="preserve">Women </w:t>
            </w:r>
          </w:p>
        </w:tc>
        <w:tc>
          <w:tcPr>
            <w:tcW w:w="817" w:type="dxa"/>
            <w:tcBorders>
              <w:top w:val="single" w:sz="4" w:space="0" w:color="auto"/>
              <w:bottom w:val="single" w:sz="12" w:space="0" w:color="auto"/>
            </w:tcBorders>
            <w:shd w:val="clear" w:color="auto" w:fill="auto"/>
            <w:vAlign w:val="bottom"/>
          </w:tcPr>
          <w:p w:rsidR="00001BC9" w:rsidRPr="002E0A02" w:rsidRDefault="00001BC9" w:rsidP="002E0A02">
            <w:pPr>
              <w:spacing w:before="81" w:after="81" w:line="160" w:lineRule="exact"/>
              <w:ind w:right="43"/>
              <w:jc w:val="right"/>
              <w:rPr>
                <w:i/>
                <w:sz w:val="14"/>
              </w:rPr>
            </w:pPr>
            <w:r w:rsidRPr="002E0A02">
              <w:rPr>
                <w:i/>
                <w:sz w:val="14"/>
              </w:rPr>
              <w:t>% Women</w:t>
            </w:r>
          </w:p>
        </w:tc>
        <w:tc>
          <w:tcPr>
            <w:tcW w:w="817" w:type="dxa"/>
            <w:gridSpan w:val="2"/>
            <w:tcBorders>
              <w:bottom w:val="single" w:sz="12" w:space="0" w:color="auto"/>
            </w:tcBorders>
            <w:shd w:val="clear" w:color="auto" w:fill="auto"/>
            <w:vAlign w:val="bottom"/>
          </w:tcPr>
          <w:p w:rsidR="00001BC9" w:rsidRPr="002E0A02" w:rsidRDefault="00001BC9" w:rsidP="002E0A02">
            <w:pPr>
              <w:spacing w:before="81" w:after="81" w:line="160" w:lineRule="exact"/>
              <w:ind w:right="43"/>
              <w:jc w:val="right"/>
              <w:rPr>
                <w:i/>
                <w:sz w:val="14"/>
              </w:rPr>
            </w:pPr>
            <w:r w:rsidRPr="002E0A02">
              <w:rPr>
                <w:i/>
                <w:sz w:val="14"/>
              </w:rPr>
              <w:t xml:space="preserve">Men </w:t>
            </w:r>
          </w:p>
        </w:tc>
        <w:tc>
          <w:tcPr>
            <w:tcW w:w="817" w:type="dxa"/>
            <w:tcBorders>
              <w:bottom w:val="single" w:sz="12" w:space="0" w:color="auto"/>
            </w:tcBorders>
            <w:shd w:val="clear" w:color="auto" w:fill="auto"/>
            <w:vAlign w:val="bottom"/>
          </w:tcPr>
          <w:p w:rsidR="00001BC9" w:rsidRPr="002E0A02" w:rsidRDefault="00001BC9" w:rsidP="002E0A02">
            <w:pPr>
              <w:spacing w:before="81" w:after="81" w:line="160" w:lineRule="exact"/>
              <w:ind w:right="43"/>
              <w:jc w:val="right"/>
              <w:rPr>
                <w:i/>
                <w:sz w:val="14"/>
              </w:rPr>
            </w:pPr>
            <w:r w:rsidRPr="002E0A02">
              <w:rPr>
                <w:i/>
                <w:sz w:val="14"/>
              </w:rPr>
              <w:t xml:space="preserve">Women </w:t>
            </w:r>
          </w:p>
        </w:tc>
        <w:tc>
          <w:tcPr>
            <w:tcW w:w="817" w:type="dxa"/>
            <w:tcBorders>
              <w:bottom w:val="single" w:sz="12" w:space="0" w:color="auto"/>
            </w:tcBorders>
            <w:shd w:val="clear" w:color="auto" w:fill="auto"/>
            <w:vAlign w:val="bottom"/>
          </w:tcPr>
          <w:p w:rsidR="00001BC9" w:rsidRPr="002E0A02" w:rsidRDefault="00001BC9" w:rsidP="002E0A02">
            <w:pPr>
              <w:spacing w:before="81" w:after="81" w:line="160" w:lineRule="exact"/>
              <w:ind w:right="43"/>
              <w:jc w:val="right"/>
              <w:rPr>
                <w:i/>
                <w:sz w:val="14"/>
              </w:rPr>
            </w:pPr>
            <w:r w:rsidRPr="002E0A02">
              <w:rPr>
                <w:i/>
                <w:sz w:val="14"/>
              </w:rPr>
              <w:t>% Women</w:t>
            </w:r>
          </w:p>
        </w:tc>
      </w:tr>
      <w:tr w:rsidR="002E0A02" w:rsidRPr="002E0A02" w:rsidTr="00072859">
        <w:trPr>
          <w:trHeight w:hRule="exact" w:val="115"/>
          <w:tblHeader/>
        </w:trPr>
        <w:tc>
          <w:tcPr>
            <w:tcW w:w="3710" w:type="dxa"/>
            <w:tcBorders>
              <w:top w:val="single" w:sz="12" w:space="0" w:color="auto"/>
            </w:tcBorders>
            <w:shd w:val="clear" w:color="auto" w:fill="auto"/>
            <w:vAlign w:val="bottom"/>
          </w:tcPr>
          <w:p w:rsidR="002E0A02" w:rsidRPr="002E0A02" w:rsidRDefault="002E0A02" w:rsidP="002E0A02">
            <w:pPr>
              <w:pStyle w:val="SingleTxtG"/>
              <w:spacing w:before="40" w:after="40" w:line="210" w:lineRule="exact"/>
              <w:ind w:left="0" w:right="40"/>
              <w:jc w:val="left"/>
              <w:rPr>
                <w:sz w:val="17"/>
              </w:rPr>
            </w:pPr>
          </w:p>
        </w:tc>
        <w:tc>
          <w:tcPr>
            <w:tcW w:w="817" w:type="dxa"/>
            <w:tcBorders>
              <w:top w:val="single" w:sz="12" w:space="0" w:color="auto"/>
            </w:tcBorders>
            <w:shd w:val="clear" w:color="auto" w:fill="auto"/>
            <w:vAlign w:val="bottom"/>
          </w:tcPr>
          <w:p w:rsidR="002E0A02" w:rsidRPr="002E0A02" w:rsidRDefault="002E0A02" w:rsidP="002E0A02">
            <w:pPr>
              <w:pStyle w:val="SingleTxtG"/>
              <w:spacing w:before="40" w:after="40" w:line="210" w:lineRule="exact"/>
              <w:ind w:left="0" w:right="43"/>
              <w:jc w:val="right"/>
              <w:rPr>
                <w:sz w:val="17"/>
              </w:rPr>
            </w:pPr>
          </w:p>
        </w:tc>
        <w:tc>
          <w:tcPr>
            <w:tcW w:w="817" w:type="dxa"/>
            <w:tcBorders>
              <w:top w:val="single" w:sz="12" w:space="0" w:color="auto"/>
            </w:tcBorders>
            <w:shd w:val="clear" w:color="auto" w:fill="auto"/>
            <w:vAlign w:val="bottom"/>
          </w:tcPr>
          <w:p w:rsidR="002E0A02" w:rsidRPr="002E0A02" w:rsidRDefault="002E0A02" w:rsidP="002E0A02">
            <w:pPr>
              <w:pStyle w:val="SingleTxtG"/>
              <w:spacing w:before="40" w:after="40" w:line="210" w:lineRule="exact"/>
              <w:ind w:left="0" w:right="43"/>
              <w:jc w:val="right"/>
              <w:rPr>
                <w:sz w:val="17"/>
              </w:rPr>
            </w:pPr>
          </w:p>
        </w:tc>
        <w:tc>
          <w:tcPr>
            <w:tcW w:w="817" w:type="dxa"/>
            <w:tcBorders>
              <w:top w:val="single" w:sz="12" w:space="0" w:color="auto"/>
            </w:tcBorders>
            <w:shd w:val="clear" w:color="auto" w:fill="auto"/>
            <w:vAlign w:val="bottom"/>
          </w:tcPr>
          <w:p w:rsidR="002E0A02" w:rsidRPr="002E0A02" w:rsidRDefault="002E0A02" w:rsidP="002E0A02">
            <w:pPr>
              <w:pStyle w:val="SingleTxtG"/>
              <w:spacing w:before="40" w:after="40" w:line="210" w:lineRule="exact"/>
              <w:ind w:left="0" w:right="43"/>
              <w:jc w:val="right"/>
              <w:rPr>
                <w:sz w:val="17"/>
              </w:rPr>
            </w:pPr>
          </w:p>
        </w:tc>
        <w:tc>
          <w:tcPr>
            <w:tcW w:w="817" w:type="dxa"/>
            <w:gridSpan w:val="2"/>
            <w:tcBorders>
              <w:top w:val="single" w:sz="12" w:space="0" w:color="auto"/>
            </w:tcBorders>
            <w:shd w:val="clear" w:color="auto" w:fill="auto"/>
            <w:vAlign w:val="bottom"/>
          </w:tcPr>
          <w:p w:rsidR="002E0A02" w:rsidRPr="002E0A02" w:rsidRDefault="002E0A02" w:rsidP="002E0A02">
            <w:pPr>
              <w:pStyle w:val="SingleTxtG"/>
              <w:spacing w:before="40" w:after="40" w:line="210" w:lineRule="exact"/>
              <w:ind w:left="0" w:right="43"/>
              <w:jc w:val="right"/>
              <w:rPr>
                <w:sz w:val="17"/>
              </w:rPr>
            </w:pPr>
          </w:p>
        </w:tc>
        <w:tc>
          <w:tcPr>
            <w:tcW w:w="817" w:type="dxa"/>
            <w:tcBorders>
              <w:top w:val="single" w:sz="12" w:space="0" w:color="auto"/>
            </w:tcBorders>
            <w:shd w:val="clear" w:color="auto" w:fill="auto"/>
            <w:vAlign w:val="bottom"/>
          </w:tcPr>
          <w:p w:rsidR="002E0A02" w:rsidRPr="002E0A02" w:rsidRDefault="002E0A02" w:rsidP="002E0A02">
            <w:pPr>
              <w:pStyle w:val="SingleTxtG"/>
              <w:spacing w:before="40" w:after="40" w:line="210" w:lineRule="exact"/>
              <w:ind w:left="0" w:right="43"/>
              <w:jc w:val="right"/>
              <w:rPr>
                <w:sz w:val="17"/>
              </w:rPr>
            </w:pPr>
          </w:p>
        </w:tc>
        <w:tc>
          <w:tcPr>
            <w:tcW w:w="817" w:type="dxa"/>
            <w:tcBorders>
              <w:top w:val="single" w:sz="12" w:space="0" w:color="auto"/>
            </w:tcBorders>
            <w:shd w:val="clear" w:color="auto" w:fill="auto"/>
            <w:vAlign w:val="bottom"/>
          </w:tcPr>
          <w:p w:rsidR="002E0A02" w:rsidRPr="002E0A02" w:rsidRDefault="002E0A02" w:rsidP="002E0A02">
            <w:pPr>
              <w:pStyle w:val="SingleTxtG"/>
              <w:spacing w:before="40" w:after="40" w:line="210" w:lineRule="exact"/>
              <w:ind w:left="0" w:right="43"/>
              <w:jc w:val="right"/>
              <w:rPr>
                <w:sz w:val="17"/>
              </w:rPr>
            </w:pPr>
          </w:p>
        </w:tc>
      </w:tr>
      <w:tr w:rsidR="00001BC9" w:rsidRPr="002E0A02" w:rsidTr="00072859">
        <w:trPr>
          <w:trHeight w:val="240"/>
        </w:trPr>
        <w:tc>
          <w:tcPr>
            <w:tcW w:w="3710" w:type="dxa"/>
            <w:shd w:val="clear" w:color="auto" w:fill="auto"/>
            <w:vAlign w:val="bottom"/>
          </w:tcPr>
          <w:p w:rsidR="00001BC9" w:rsidRPr="00123D34" w:rsidRDefault="00001BC9" w:rsidP="002E0A02">
            <w:pPr>
              <w:pStyle w:val="SingleTxtG"/>
              <w:tabs>
                <w:tab w:val="left" w:pos="288"/>
                <w:tab w:val="left" w:pos="576"/>
                <w:tab w:val="left" w:pos="864"/>
                <w:tab w:val="left" w:pos="1152"/>
              </w:tabs>
              <w:spacing w:before="40" w:after="40" w:line="210" w:lineRule="exact"/>
              <w:ind w:left="0" w:right="40"/>
              <w:jc w:val="left"/>
              <w:rPr>
                <w:b/>
                <w:sz w:val="17"/>
              </w:rPr>
            </w:pPr>
            <w:r w:rsidRPr="00123D34">
              <w:rPr>
                <w:b/>
                <w:sz w:val="17"/>
              </w:rPr>
              <w:t>Elected</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Political party presidents</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110</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3</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3%</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121</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3</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 xml:space="preserve">Member of parliament </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132</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15</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10%</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132</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15</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10%</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 xml:space="preserve">National Councillor </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69</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8%</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69</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8%</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Mayors</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696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7</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695</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8</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Councillors of a commune</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10</w:t>
            </w:r>
            <w:r w:rsidR="00A36C8C">
              <w:rPr>
                <w:sz w:val="17"/>
              </w:rPr>
              <w:t xml:space="preserve"> </w:t>
            </w:r>
            <w:r w:rsidRPr="002E0A02">
              <w:rPr>
                <w:sz w:val="17"/>
              </w:rPr>
              <w:t>054</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720</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6.7%</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9</w:t>
            </w:r>
            <w:r w:rsidR="005F0C52">
              <w:rPr>
                <w:sz w:val="17"/>
              </w:rPr>
              <w:t xml:space="preserve"> </w:t>
            </w:r>
            <w:r w:rsidRPr="002E0A02">
              <w:rPr>
                <w:sz w:val="17"/>
              </w:rPr>
              <w:t>847</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927</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8.6%</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 xml:space="preserve">Malian Chamber of Commerce and Industry bureau </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13</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0</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0%</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12</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14.3%</w:t>
            </w:r>
          </w:p>
        </w:tc>
      </w:tr>
      <w:tr w:rsidR="00001BC9" w:rsidRPr="002E0A02" w:rsidTr="00072859">
        <w:trPr>
          <w:trHeight w:val="240"/>
        </w:trPr>
        <w:tc>
          <w:tcPr>
            <w:tcW w:w="3710" w:type="dxa"/>
            <w:shd w:val="clear" w:color="auto" w:fill="auto"/>
            <w:vAlign w:val="bottom"/>
          </w:tcPr>
          <w:p w:rsidR="00001BC9" w:rsidRPr="002E0A02" w:rsidRDefault="00001BC9" w:rsidP="00072859">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Members of Association for the Promotion of Family</w:t>
            </w:r>
            <w:r w:rsidR="00072859">
              <w:rPr>
                <w:sz w:val="17"/>
              </w:rPr>
              <w:t> </w:t>
            </w:r>
            <w:r w:rsidRPr="002E0A02">
              <w:rPr>
                <w:sz w:val="17"/>
              </w:rPr>
              <w:t>Assistance</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35</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5.4%</w:t>
            </w:r>
          </w:p>
        </w:tc>
        <w:tc>
          <w:tcPr>
            <w:tcW w:w="817" w:type="dxa"/>
            <w:gridSpan w:val="2"/>
            <w:shd w:val="clear" w:color="auto" w:fill="auto"/>
            <w:vAlign w:val="bottom"/>
          </w:tcPr>
          <w:p w:rsidR="00001BC9" w:rsidRPr="002E0A02" w:rsidRDefault="00072859" w:rsidP="002E0A02">
            <w:pPr>
              <w:pStyle w:val="SingleTxtG"/>
              <w:tabs>
                <w:tab w:val="left" w:pos="288"/>
                <w:tab w:val="left" w:pos="576"/>
                <w:tab w:val="left" w:pos="864"/>
                <w:tab w:val="left" w:pos="1152"/>
              </w:tabs>
              <w:spacing w:before="40" w:after="40" w:line="210" w:lineRule="exact"/>
              <w:ind w:left="0" w:right="43"/>
              <w:jc w:val="right"/>
              <w:rPr>
                <w:sz w:val="17"/>
              </w:rPr>
            </w:pPr>
            <w:r>
              <w:rPr>
                <w:sz w:val="17"/>
              </w:rPr>
              <w:t>–</w:t>
            </w:r>
          </w:p>
        </w:tc>
        <w:tc>
          <w:tcPr>
            <w:tcW w:w="817" w:type="dxa"/>
            <w:shd w:val="clear" w:color="auto" w:fill="auto"/>
            <w:vAlign w:val="bottom"/>
          </w:tcPr>
          <w:p w:rsidR="00001BC9" w:rsidRPr="002E0A02" w:rsidRDefault="00072859" w:rsidP="002E0A02">
            <w:pPr>
              <w:pStyle w:val="SingleTxtG"/>
              <w:tabs>
                <w:tab w:val="left" w:pos="288"/>
                <w:tab w:val="left" w:pos="576"/>
                <w:tab w:val="left" w:pos="864"/>
                <w:tab w:val="left" w:pos="1152"/>
              </w:tabs>
              <w:spacing w:before="40" w:after="40" w:line="210" w:lineRule="exact"/>
              <w:ind w:left="0" w:right="43"/>
              <w:jc w:val="right"/>
              <w:rPr>
                <w:sz w:val="17"/>
              </w:rPr>
            </w:pPr>
            <w:r>
              <w:rPr>
                <w:sz w:val="17"/>
              </w:rPr>
              <w:t>–</w:t>
            </w:r>
          </w:p>
        </w:tc>
        <w:tc>
          <w:tcPr>
            <w:tcW w:w="817" w:type="dxa"/>
            <w:shd w:val="clear" w:color="auto" w:fill="auto"/>
            <w:vAlign w:val="bottom"/>
          </w:tcPr>
          <w:p w:rsidR="00001BC9" w:rsidRPr="002E0A02" w:rsidRDefault="00072859" w:rsidP="002E0A02">
            <w:pPr>
              <w:pStyle w:val="SingleTxtG"/>
              <w:tabs>
                <w:tab w:val="left" w:pos="288"/>
                <w:tab w:val="left" w:pos="576"/>
                <w:tab w:val="left" w:pos="864"/>
                <w:tab w:val="left" w:pos="1152"/>
              </w:tabs>
              <w:spacing w:before="40" w:after="40" w:line="210" w:lineRule="exact"/>
              <w:ind w:left="0" w:right="43"/>
              <w:jc w:val="right"/>
              <w:rPr>
                <w:sz w:val="17"/>
              </w:rPr>
            </w:pPr>
            <w:r>
              <w:rPr>
                <w:sz w:val="17"/>
              </w:rPr>
              <w:t>–</w:t>
            </w:r>
          </w:p>
        </w:tc>
      </w:tr>
      <w:tr w:rsidR="00001BC9" w:rsidRPr="002E0A02" w:rsidTr="00072859">
        <w:trPr>
          <w:trHeight w:val="240"/>
        </w:trPr>
        <w:tc>
          <w:tcPr>
            <w:tcW w:w="3710" w:type="dxa"/>
            <w:shd w:val="clear" w:color="auto" w:fill="auto"/>
            <w:vAlign w:val="bottom"/>
          </w:tcPr>
          <w:p w:rsidR="00001BC9" w:rsidRPr="002E0A02" w:rsidRDefault="00001BC9" w:rsidP="00072859">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Members of Women</w:t>
            </w:r>
            <w:r w:rsidR="00A36C8C">
              <w:rPr>
                <w:sz w:val="17"/>
              </w:rPr>
              <w:t>’</w:t>
            </w:r>
            <w:r w:rsidRPr="002E0A02">
              <w:rPr>
                <w:sz w:val="17"/>
              </w:rPr>
              <w:t>s Activities Support Fund</w:t>
            </w:r>
          </w:p>
        </w:tc>
        <w:tc>
          <w:tcPr>
            <w:tcW w:w="817" w:type="dxa"/>
            <w:shd w:val="clear" w:color="auto" w:fill="auto"/>
            <w:vAlign w:val="bottom"/>
          </w:tcPr>
          <w:p w:rsidR="00001BC9" w:rsidRPr="002E0A02" w:rsidRDefault="00072859" w:rsidP="002E0A02">
            <w:pPr>
              <w:pStyle w:val="SingleTxtG"/>
              <w:tabs>
                <w:tab w:val="left" w:pos="288"/>
                <w:tab w:val="left" w:pos="576"/>
                <w:tab w:val="left" w:pos="864"/>
                <w:tab w:val="left" w:pos="1152"/>
              </w:tabs>
              <w:spacing w:before="40" w:after="40" w:line="210" w:lineRule="exact"/>
              <w:ind w:left="0" w:right="43"/>
              <w:jc w:val="right"/>
              <w:rPr>
                <w:sz w:val="17"/>
              </w:rPr>
            </w:pPr>
            <w:r>
              <w:rPr>
                <w:sz w:val="17"/>
              </w:rPr>
              <w:t>–</w:t>
            </w:r>
          </w:p>
        </w:tc>
        <w:tc>
          <w:tcPr>
            <w:tcW w:w="817" w:type="dxa"/>
            <w:shd w:val="clear" w:color="auto" w:fill="auto"/>
            <w:vAlign w:val="bottom"/>
          </w:tcPr>
          <w:p w:rsidR="00001BC9" w:rsidRPr="002E0A02" w:rsidRDefault="00072859" w:rsidP="002E0A02">
            <w:pPr>
              <w:pStyle w:val="SingleTxtG"/>
              <w:tabs>
                <w:tab w:val="left" w:pos="288"/>
                <w:tab w:val="left" w:pos="576"/>
                <w:tab w:val="left" w:pos="864"/>
                <w:tab w:val="left" w:pos="1152"/>
              </w:tabs>
              <w:spacing w:before="40" w:after="40" w:line="210" w:lineRule="exact"/>
              <w:ind w:left="0" w:right="43"/>
              <w:jc w:val="right"/>
              <w:rPr>
                <w:sz w:val="17"/>
              </w:rPr>
            </w:pPr>
            <w:r>
              <w:rPr>
                <w:sz w:val="17"/>
              </w:rPr>
              <w:t>–</w:t>
            </w:r>
          </w:p>
        </w:tc>
        <w:tc>
          <w:tcPr>
            <w:tcW w:w="817" w:type="dxa"/>
            <w:shd w:val="clear" w:color="auto" w:fill="auto"/>
            <w:vAlign w:val="bottom"/>
          </w:tcPr>
          <w:p w:rsidR="00001BC9" w:rsidRPr="002E0A02" w:rsidRDefault="00072859" w:rsidP="002E0A02">
            <w:pPr>
              <w:pStyle w:val="SingleTxtG"/>
              <w:tabs>
                <w:tab w:val="left" w:pos="288"/>
                <w:tab w:val="left" w:pos="576"/>
                <w:tab w:val="left" w:pos="864"/>
                <w:tab w:val="left" w:pos="1152"/>
              </w:tabs>
              <w:spacing w:before="40" w:after="40" w:line="210" w:lineRule="exact"/>
              <w:ind w:left="0" w:right="43"/>
              <w:jc w:val="right"/>
              <w:rPr>
                <w:sz w:val="17"/>
              </w:rPr>
            </w:pPr>
            <w:r>
              <w:rPr>
                <w:sz w:val="17"/>
              </w:rPr>
              <w:t>–</w:t>
            </w:r>
          </w:p>
        </w:tc>
        <w:tc>
          <w:tcPr>
            <w:tcW w:w="817" w:type="dxa"/>
            <w:gridSpan w:val="2"/>
            <w:shd w:val="clear" w:color="auto" w:fill="auto"/>
            <w:vAlign w:val="bottom"/>
          </w:tcPr>
          <w:p w:rsidR="00001BC9" w:rsidRPr="002E0A02" w:rsidRDefault="00072859" w:rsidP="002E0A02">
            <w:pPr>
              <w:pStyle w:val="SingleTxtG"/>
              <w:tabs>
                <w:tab w:val="left" w:pos="288"/>
                <w:tab w:val="left" w:pos="576"/>
                <w:tab w:val="left" w:pos="864"/>
                <w:tab w:val="left" w:pos="1152"/>
              </w:tabs>
              <w:spacing w:before="40" w:after="40" w:line="210" w:lineRule="exact"/>
              <w:ind w:left="0" w:right="43"/>
              <w:jc w:val="right"/>
              <w:rPr>
                <w:sz w:val="17"/>
              </w:rPr>
            </w:pPr>
            <w:r>
              <w:rPr>
                <w:sz w:val="17"/>
              </w:rPr>
              <w:t>–</w:t>
            </w:r>
          </w:p>
        </w:tc>
        <w:tc>
          <w:tcPr>
            <w:tcW w:w="817" w:type="dxa"/>
            <w:shd w:val="clear" w:color="auto" w:fill="auto"/>
            <w:vAlign w:val="bottom"/>
          </w:tcPr>
          <w:p w:rsidR="00001BC9" w:rsidRPr="002E0A02" w:rsidRDefault="00072859" w:rsidP="002E0A02">
            <w:pPr>
              <w:pStyle w:val="SingleTxtG"/>
              <w:tabs>
                <w:tab w:val="left" w:pos="288"/>
                <w:tab w:val="left" w:pos="576"/>
                <w:tab w:val="left" w:pos="864"/>
                <w:tab w:val="left" w:pos="1152"/>
              </w:tabs>
              <w:spacing w:before="40" w:after="40" w:line="210" w:lineRule="exact"/>
              <w:ind w:left="0" w:right="43"/>
              <w:jc w:val="right"/>
              <w:rPr>
                <w:sz w:val="17"/>
              </w:rPr>
            </w:pPr>
            <w:r>
              <w:rPr>
                <w:sz w:val="17"/>
              </w:rPr>
              <w:t>–</w:t>
            </w:r>
          </w:p>
        </w:tc>
        <w:tc>
          <w:tcPr>
            <w:tcW w:w="817" w:type="dxa"/>
            <w:shd w:val="clear" w:color="auto" w:fill="auto"/>
            <w:vAlign w:val="bottom"/>
          </w:tcPr>
          <w:p w:rsidR="00001BC9" w:rsidRPr="002E0A02" w:rsidRDefault="00072859" w:rsidP="002E0A02">
            <w:pPr>
              <w:pStyle w:val="SingleTxtG"/>
              <w:tabs>
                <w:tab w:val="left" w:pos="288"/>
                <w:tab w:val="left" w:pos="576"/>
                <w:tab w:val="left" w:pos="864"/>
                <w:tab w:val="left" w:pos="1152"/>
              </w:tabs>
              <w:spacing w:before="40" w:after="40" w:line="210" w:lineRule="exact"/>
              <w:ind w:left="0" w:right="43"/>
              <w:jc w:val="right"/>
              <w:rPr>
                <w:sz w:val="17"/>
              </w:rPr>
            </w:pPr>
            <w:r>
              <w:rPr>
                <w:sz w:val="17"/>
              </w:rPr>
              <w:t>–</w:t>
            </w:r>
          </w:p>
        </w:tc>
      </w:tr>
      <w:tr w:rsidR="00001BC9" w:rsidRPr="002E0A02" w:rsidTr="00072859">
        <w:trPr>
          <w:trHeight w:val="240"/>
        </w:trPr>
        <w:tc>
          <w:tcPr>
            <w:tcW w:w="3710" w:type="dxa"/>
            <w:shd w:val="clear" w:color="auto" w:fill="auto"/>
            <w:vAlign w:val="bottom"/>
          </w:tcPr>
          <w:p w:rsidR="00001BC9" w:rsidRPr="00123D34" w:rsidRDefault="00001BC9" w:rsidP="002E0A02">
            <w:pPr>
              <w:pStyle w:val="SingleTxtG"/>
              <w:tabs>
                <w:tab w:val="left" w:pos="288"/>
                <w:tab w:val="left" w:pos="576"/>
                <w:tab w:val="left" w:pos="864"/>
                <w:tab w:val="left" w:pos="1152"/>
              </w:tabs>
              <w:spacing w:before="40" w:after="40" w:line="210" w:lineRule="exact"/>
              <w:ind w:left="0" w:right="40"/>
              <w:jc w:val="left"/>
              <w:rPr>
                <w:b/>
                <w:sz w:val="17"/>
              </w:rPr>
            </w:pPr>
            <w:r w:rsidRPr="00123D34">
              <w:rPr>
                <w:b/>
                <w:sz w:val="17"/>
              </w:rPr>
              <w:t>Appointed positions</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Ministers</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20</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7*</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25.9%</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23</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8**</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25.8%</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Members of the Constitutional Court</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3</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33%</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3</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33%</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Members of the Supreme Court</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14%</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14%</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 xml:space="preserve">Members of Social, Economic &amp; Cultural Council </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51</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7</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12%</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52</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10%</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Ambassadors</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19</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3</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13.6%</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4</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13.3%</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Secretaries General</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26</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0</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0.0%</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24</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2</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7.7%</w:t>
            </w:r>
          </w:p>
        </w:tc>
      </w:tr>
      <w:tr w:rsidR="00001BC9" w:rsidRPr="002E0A02" w:rsidTr="00072859">
        <w:trPr>
          <w:trHeight w:val="240"/>
        </w:trPr>
        <w:tc>
          <w:tcPr>
            <w:tcW w:w="3710"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0"/>
              <w:jc w:val="left"/>
              <w:rPr>
                <w:sz w:val="17"/>
              </w:rPr>
            </w:pPr>
            <w:r w:rsidRPr="002E0A02">
              <w:rPr>
                <w:sz w:val="17"/>
              </w:rPr>
              <w:t>Mediator of the Republic</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0</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100%</w:t>
            </w:r>
          </w:p>
        </w:tc>
        <w:tc>
          <w:tcPr>
            <w:tcW w:w="817" w:type="dxa"/>
            <w:gridSpan w:val="2"/>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0</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w:t>
            </w:r>
          </w:p>
        </w:tc>
        <w:tc>
          <w:tcPr>
            <w:tcW w:w="817" w:type="dxa"/>
            <w:shd w:val="clear" w:color="auto" w:fill="auto"/>
            <w:vAlign w:val="bottom"/>
          </w:tcPr>
          <w:p w:rsidR="00001BC9" w:rsidRPr="002E0A02" w:rsidRDefault="00001BC9" w:rsidP="002E0A02">
            <w:pPr>
              <w:pStyle w:val="SingleTxtG"/>
              <w:tabs>
                <w:tab w:val="left" w:pos="288"/>
                <w:tab w:val="left" w:pos="576"/>
                <w:tab w:val="left" w:pos="864"/>
                <w:tab w:val="left" w:pos="1152"/>
              </w:tabs>
              <w:spacing w:before="40" w:after="40" w:line="210" w:lineRule="exact"/>
              <w:ind w:left="0" w:right="43"/>
              <w:jc w:val="right"/>
              <w:rPr>
                <w:sz w:val="17"/>
              </w:rPr>
            </w:pPr>
            <w:r w:rsidRPr="002E0A02">
              <w:rPr>
                <w:sz w:val="17"/>
              </w:rPr>
              <w:t>100%</w:t>
            </w:r>
          </w:p>
        </w:tc>
      </w:tr>
      <w:tr w:rsidR="00001BC9" w:rsidRPr="002E0A02" w:rsidTr="00072859">
        <w:trPr>
          <w:trHeight w:val="240"/>
        </w:trPr>
        <w:tc>
          <w:tcPr>
            <w:tcW w:w="3710" w:type="dxa"/>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0"/>
              <w:jc w:val="left"/>
              <w:rPr>
                <w:bCs/>
                <w:sz w:val="17"/>
              </w:rPr>
            </w:pPr>
            <w:r w:rsidRPr="002E0A02">
              <w:rPr>
                <w:bCs/>
                <w:sz w:val="17"/>
              </w:rPr>
              <w:lastRenderedPageBreak/>
              <w:t xml:space="preserve">Directors of services (DN, DG, Administrative &amp; Financial Services) </w:t>
            </w:r>
          </w:p>
        </w:tc>
        <w:tc>
          <w:tcPr>
            <w:tcW w:w="817" w:type="dxa"/>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sz w:val="17"/>
              </w:rPr>
            </w:pPr>
            <w:r w:rsidRPr="002E0A02">
              <w:rPr>
                <w:sz w:val="17"/>
              </w:rPr>
              <w:t>95+</w:t>
            </w:r>
          </w:p>
        </w:tc>
        <w:tc>
          <w:tcPr>
            <w:tcW w:w="817" w:type="dxa"/>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sz w:val="17"/>
              </w:rPr>
            </w:pPr>
            <w:r w:rsidRPr="002E0A02">
              <w:rPr>
                <w:sz w:val="17"/>
              </w:rPr>
              <w:t>6+</w:t>
            </w:r>
          </w:p>
        </w:tc>
        <w:tc>
          <w:tcPr>
            <w:tcW w:w="817" w:type="dxa"/>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sz w:val="17"/>
              </w:rPr>
            </w:pPr>
            <w:r w:rsidRPr="002E0A02">
              <w:rPr>
                <w:sz w:val="17"/>
              </w:rPr>
              <w:t>5.9%</w:t>
            </w:r>
          </w:p>
        </w:tc>
        <w:tc>
          <w:tcPr>
            <w:tcW w:w="817" w:type="dxa"/>
            <w:gridSpan w:val="2"/>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bCs/>
                <w:sz w:val="17"/>
              </w:rPr>
            </w:pPr>
            <w:r w:rsidRPr="002E0A02">
              <w:rPr>
                <w:bCs/>
                <w:sz w:val="17"/>
              </w:rPr>
              <w:t>262</w:t>
            </w:r>
          </w:p>
        </w:tc>
        <w:tc>
          <w:tcPr>
            <w:tcW w:w="817" w:type="dxa"/>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bCs/>
                <w:sz w:val="17"/>
              </w:rPr>
            </w:pPr>
            <w:r w:rsidRPr="002E0A02">
              <w:rPr>
                <w:bCs/>
                <w:sz w:val="17"/>
              </w:rPr>
              <w:t>29</w:t>
            </w:r>
          </w:p>
        </w:tc>
        <w:tc>
          <w:tcPr>
            <w:tcW w:w="817" w:type="dxa"/>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bCs/>
                <w:sz w:val="17"/>
              </w:rPr>
            </w:pPr>
            <w:r w:rsidRPr="002E0A02">
              <w:rPr>
                <w:bCs/>
                <w:sz w:val="17"/>
              </w:rPr>
              <w:t>10%</w:t>
            </w:r>
          </w:p>
        </w:tc>
      </w:tr>
      <w:tr w:rsidR="00001BC9" w:rsidRPr="002E0A02" w:rsidTr="00072859">
        <w:trPr>
          <w:trHeight w:val="240"/>
        </w:trPr>
        <w:tc>
          <w:tcPr>
            <w:tcW w:w="3710" w:type="dxa"/>
            <w:tcBorders>
              <w:bottom w:val="single" w:sz="12" w:space="0" w:color="auto"/>
            </w:tcBorders>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0"/>
              <w:jc w:val="left"/>
              <w:rPr>
                <w:bCs/>
                <w:sz w:val="17"/>
              </w:rPr>
            </w:pPr>
            <w:r w:rsidRPr="002E0A02">
              <w:rPr>
                <w:bCs/>
                <w:sz w:val="17"/>
              </w:rPr>
              <w:t>Directors of youth camps, youth advancement centres, stadiums</w:t>
            </w:r>
            <w:r w:rsidR="00123D34">
              <w:rPr>
                <w:bCs/>
                <w:sz w:val="17"/>
              </w:rPr>
              <w:t xml:space="preserve"> </w:t>
            </w:r>
          </w:p>
        </w:tc>
        <w:tc>
          <w:tcPr>
            <w:tcW w:w="817" w:type="dxa"/>
            <w:tcBorders>
              <w:bottom w:val="single" w:sz="12" w:space="0" w:color="auto"/>
            </w:tcBorders>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bCs/>
                <w:sz w:val="17"/>
              </w:rPr>
            </w:pPr>
            <w:r w:rsidRPr="002E0A02">
              <w:rPr>
                <w:bCs/>
                <w:sz w:val="17"/>
              </w:rPr>
              <w:t>ND</w:t>
            </w:r>
          </w:p>
        </w:tc>
        <w:tc>
          <w:tcPr>
            <w:tcW w:w="817" w:type="dxa"/>
            <w:tcBorders>
              <w:bottom w:val="single" w:sz="12" w:space="0" w:color="auto"/>
            </w:tcBorders>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bCs/>
                <w:sz w:val="17"/>
              </w:rPr>
            </w:pPr>
            <w:r w:rsidRPr="002E0A02">
              <w:rPr>
                <w:bCs/>
                <w:sz w:val="17"/>
              </w:rPr>
              <w:t>ND</w:t>
            </w:r>
          </w:p>
        </w:tc>
        <w:tc>
          <w:tcPr>
            <w:tcW w:w="817" w:type="dxa"/>
            <w:tcBorders>
              <w:bottom w:val="single" w:sz="12" w:space="0" w:color="auto"/>
            </w:tcBorders>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bCs/>
                <w:sz w:val="17"/>
              </w:rPr>
            </w:pPr>
            <w:r w:rsidRPr="002E0A02">
              <w:rPr>
                <w:bCs/>
                <w:sz w:val="17"/>
              </w:rPr>
              <w:t>ND</w:t>
            </w:r>
          </w:p>
        </w:tc>
        <w:tc>
          <w:tcPr>
            <w:tcW w:w="817" w:type="dxa"/>
            <w:gridSpan w:val="2"/>
            <w:tcBorders>
              <w:bottom w:val="single" w:sz="12" w:space="0" w:color="auto"/>
            </w:tcBorders>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bCs/>
                <w:sz w:val="17"/>
              </w:rPr>
            </w:pPr>
            <w:r w:rsidRPr="002E0A02">
              <w:rPr>
                <w:bCs/>
                <w:sz w:val="17"/>
              </w:rPr>
              <w:t>18</w:t>
            </w:r>
          </w:p>
        </w:tc>
        <w:tc>
          <w:tcPr>
            <w:tcW w:w="817" w:type="dxa"/>
            <w:tcBorders>
              <w:bottom w:val="single" w:sz="12" w:space="0" w:color="auto"/>
            </w:tcBorders>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bCs/>
                <w:sz w:val="17"/>
              </w:rPr>
            </w:pPr>
            <w:r w:rsidRPr="002E0A02">
              <w:rPr>
                <w:bCs/>
                <w:sz w:val="17"/>
              </w:rPr>
              <w:t>2</w:t>
            </w:r>
          </w:p>
        </w:tc>
        <w:tc>
          <w:tcPr>
            <w:tcW w:w="817" w:type="dxa"/>
            <w:tcBorders>
              <w:bottom w:val="single" w:sz="12" w:space="0" w:color="auto"/>
            </w:tcBorders>
            <w:shd w:val="clear" w:color="auto" w:fill="auto"/>
            <w:vAlign w:val="bottom"/>
          </w:tcPr>
          <w:p w:rsidR="00001BC9" w:rsidRPr="002E0A02" w:rsidRDefault="00001BC9" w:rsidP="00072859">
            <w:pPr>
              <w:pStyle w:val="SingleTxtG"/>
              <w:keepNext/>
              <w:keepLines/>
              <w:tabs>
                <w:tab w:val="left" w:pos="288"/>
                <w:tab w:val="left" w:pos="576"/>
                <w:tab w:val="left" w:pos="864"/>
                <w:tab w:val="left" w:pos="1152"/>
              </w:tabs>
              <w:spacing w:before="40" w:after="40" w:line="210" w:lineRule="exact"/>
              <w:ind w:left="0" w:right="43"/>
              <w:jc w:val="right"/>
              <w:rPr>
                <w:bCs/>
                <w:sz w:val="17"/>
              </w:rPr>
            </w:pPr>
            <w:r w:rsidRPr="002E0A02">
              <w:rPr>
                <w:bCs/>
                <w:sz w:val="17"/>
              </w:rPr>
              <w:t>10%</w:t>
            </w:r>
          </w:p>
        </w:tc>
      </w:tr>
    </w:tbl>
    <w:p w:rsidR="00001BC9" w:rsidRPr="00072859" w:rsidRDefault="00001BC9" w:rsidP="00072859">
      <w:pPr>
        <w:pStyle w:val="SingleTxt"/>
        <w:spacing w:after="0" w:line="120" w:lineRule="exact"/>
        <w:rPr>
          <w:sz w:val="10"/>
        </w:rPr>
      </w:pPr>
    </w:p>
    <w:p w:rsidR="005E1F07" w:rsidRDefault="00770B6C" w:rsidP="00072859">
      <w:pPr>
        <w:pStyle w:val="FootnoteText"/>
        <w:tabs>
          <w:tab w:val="clear" w:pos="418"/>
          <w:tab w:val="right" w:pos="1476"/>
          <w:tab w:val="left" w:pos="1548"/>
          <w:tab w:val="right" w:pos="1836"/>
          <w:tab w:val="left" w:pos="1908"/>
        </w:tabs>
        <w:ind w:left="1548" w:hanging="288"/>
      </w:pPr>
      <w:r w:rsidRPr="00072859">
        <w:rPr>
          <w:i/>
        </w:rPr>
        <w:t>Source</w:t>
      </w:r>
      <w:r>
        <w:t xml:space="preserve">: National Centre for Documentation and Information </w:t>
      </w:r>
      <w:r w:rsidR="00072859">
        <w:t>on Women and the Child (CNDIFE).</w:t>
      </w:r>
    </w:p>
    <w:p w:rsidR="00072859" w:rsidRPr="00072859" w:rsidRDefault="00072859" w:rsidP="00072859">
      <w:pPr>
        <w:pStyle w:val="SingleTxt"/>
        <w:spacing w:after="0" w:line="120" w:lineRule="exact"/>
        <w:rPr>
          <w:sz w:val="10"/>
        </w:rPr>
      </w:pPr>
    </w:p>
    <w:p w:rsidR="00072859" w:rsidRPr="00072859" w:rsidRDefault="00072859" w:rsidP="00072859">
      <w:pPr>
        <w:pStyle w:val="SingleTxt"/>
        <w:spacing w:after="0" w:line="120" w:lineRule="exact"/>
        <w:rPr>
          <w:sz w:val="10"/>
        </w:rPr>
      </w:pPr>
    </w:p>
    <w:p w:rsidR="00770B6C" w:rsidRDefault="00770B6C" w:rsidP="00770B6C">
      <w:pPr>
        <w:pStyle w:val="SingleTxt"/>
      </w:pPr>
      <w:r>
        <w:t>50.</w:t>
      </w:r>
      <w:r w:rsidR="008854F9">
        <w:tab/>
      </w:r>
      <w:r>
        <w:t>Although there have been positive initiatives in support of women and strides have been noted in administrative, political and legal processes, the representation of women in decision-making fora remains insufficient.</w:t>
      </w:r>
      <w:r w:rsidR="005E03D8">
        <w:t xml:space="preserve"> </w:t>
      </w:r>
      <w:r>
        <w:t>Mali falls well short of the norm of parity to which it has subscribed.</w:t>
      </w:r>
    </w:p>
    <w:p w:rsidR="00072859" w:rsidRPr="00072859" w:rsidRDefault="00072859" w:rsidP="00072859">
      <w:pPr>
        <w:pStyle w:val="SingleTxt"/>
        <w:spacing w:after="0" w:line="120" w:lineRule="exact"/>
        <w:rPr>
          <w:sz w:val="10"/>
        </w:rPr>
      </w:pPr>
    </w:p>
    <w:p w:rsidR="00770B6C" w:rsidRPr="00072859" w:rsidRDefault="00072859" w:rsidP="00072859">
      <w:pPr>
        <w:pStyle w:val="H23"/>
        <w:ind w:right="1260"/>
        <w:rPr>
          <w:b w:val="0"/>
        </w:rPr>
      </w:pPr>
      <w:r w:rsidRPr="00072859">
        <w:rPr>
          <w:b w:val="0"/>
        </w:rPr>
        <w:tab/>
      </w:r>
      <w:r w:rsidRPr="00072859">
        <w:rPr>
          <w:b w:val="0"/>
        </w:rPr>
        <w:tab/>
      </w:r>
      <w:r w:rsidR="00770B6C" w:rsidRPr="00072859">
        <w:rPr>
          <w:b w:val="0"/>
        </w:rPr>
        <w:t>Table 2</w:t>
      </w:r>
    </w:p>
    <w:p w:rsidR="005E1F07" w:rsidRDefault="00072859" w:rsidP="00072859">
      <w:pPr>
        <w:pStyle w:val="H23"/>
        <w:ind w:right="1260"/>
      </w:pPr>
      <w:r>
        <w:tab/>
      </w:r>
      <w:r>
        <w:tab/>
      </w:r>
      <w:r w:rsidR="00770B6C">
        <w:t>Representation of women in elected and appointed governmental positions</w:t>
      </w:r>
    </w:p>
    <w:p w:rsidR="00072859" w:rsidRPr="00072859" w:rsidRDefault="00072859" w:rsidP="00072859">
      <w:pPr>
        <w:pStyle w:val="SingleTxt"/>
        <w:spacing w:after="0" w:line="120" w:lineRule="exact"/>
        <w:rPr>
          <w:sz w:val="10"/>
        </w:rPr>
      </w:pPr>
    </w:p>
    <w:tbl>
      <w:tblPr>
        <w:tblW w:w="7370" w:type="dxa"/>
        <w:tblInd w:w="1267" w:type="dxa"/>
        <w:tblCellMar>
          <w:left w:w="0" w:type="dxa"/>
          <w:right w:w="0" w:type="dxa"/>
        </w:tblCellMar>
        <w:tblLook w:val="04A0" w:firstRow="1" w:lastRow="0" w:firstColumn="1" w:lastColumn="0" w:noHBand="0" w:noVBand="1"/>
      </w:tblPr>
      <w:tblGrid>
        <w:gridCol w:w="3557"/>
        <w:gridCol w:w="762"/>
        <w:gridCol w:w="763"/>
        <w:gridCol w:w="762"/>
        <w:gridCol w:w="763"/>
        <w:gridCol w:w="763"/>
      </w:tblGrid>
      <w:tr w:rsidR="00123D34" w:rsidRPr="00D52E77" w:rsidTr="00123D34">
        <w:trPr>
          <w:trHeight w:val="240"/>
          <w:tblHeader/>
        </w:trPr>
        <w:tc>
          <w:tcPr>
            <w:tcW w:w="3557" w:type="dxa"/>
            <w:tcBorders>
              <w:top w:val="single" w:sz="4" w:space="0" w:color="auto"/>
            </w:tcBorders>
            <w:shd w:val="clear" w:color="auto" w:fill="auto"/>
            <w:vAlign w:val="bottom"/>
          </w:tcPr>
          <w:p w:rsidR="00123D34" w:rsidRPr="00D52E77" w:rsidRDefault="00123D34" w:rsidP="00D52E77">
            <w:pPr>
              <w:pStyle w:val="SingleTxtG"/>
              <w:spacing w:before="81" w:after="81" w:line="160" w:lineRule="exact"/>
              <w:ind w:left="0" w:right="40"/>
              <w:jc w:val="left"/>
              <w:rPr>
                <w:i/>
                <w:sz w:val="14"/>
                <w:szCs w:val="24"/>
              </w:rPr>
            </w:pPr>
          </w:p>
        </w:tc>
        <w:tc>
          <w:tcPr>
            <w:tcW w:w="3050" w:type="dxa"/>
            <w:gridSpan w:val="4"/>
            <w:tcBorders>
              <w:top w:val="single" w:sz="4" w:space="0" w:color="auto"/>
              <w:bottom w:val="single" w:sz="4" w:space="0" w:color="auto"/>
            </w:tcBorders>
            <w:shd w:val="clear" w:color="auto" w:fill="auto"/>
            <w:vAlign w:val="bottom"/>
          </w:tcPr>
          <w:p w:rsidR="00123D34" w:rsidRPr="00D52E77" w:rsidRDefault="00123D34" w:rsidP="00123D34">
            <w:pPr>
              <w:pStyle w:val="SingleTxtG"/>
              <w:spacing w:before="81" w:after="81" w:line="160" w:lineRule="exact"/>
              <w:ind w:left="0" w:right="43"/>
              <w:jc w:val="center"/>
              <w:rPr>
                <w:i/>
                <w:sz w:val="14"/>
                <w:szCs w:val="24"/>
              </w:rPr>
            </w:pPr>
            <w:r w:rsidRPr="00D52E77">
              <w:rPr>
                <w:i/>
                <w:sz w:val="14"/>
                <w:szCs w:val="24"/>
              </w:rPr>
              <w:t>Sex</w:t>
            </w:r>
          </w:p>
        </w:tc>
        <w:tc>
          <w:tcPr>
            <w:tcW w:w="763" w:type="dxa"/>
            <w:tcBorders>
              <w:top w:val="single" w:sz="4" w:space="0" w:color="auto"/>
            </w:tcBorders>
            <w:shd w:val="clear" w:color="auto" w:fill="auto"/>
            <w:vAlign w:val="bottom"/>
          </w:tcPr>
          <w:p w:rsidR="00123D34" w:rsidRPr="00D52E77" w:rsidRDefault="00123D34" w:rsidP="00D52E77">
            <w:pPr>
              <w:pStyle w:val="SingleTxtG"/>
              <w:spacing w:before="81" w:after="81" w:line="160" w:lineRule="exact"/>
              <w:ind w:left="0" w:right="43"/>
              <w:jc w:val="right"/>
              <w:rPr>
                <w:i/>
                <w:sz w:val="14"/>
                <w:szCs w:val="24"/>
              </w:rPr>
            </w:pPr>
          </w:p>
        </w:tc>
      </w:tr>
      <w:tr w:rsidR="00412FDF" w:rsidRPr="00D52E77" w:rsidTr="00123D34">
        <w:trPr>
          <w:trHeight w:val="240"/>
          <w:tblHeader/>
        </w:trPr>
        <w:tc>
          <w:tcPr>
            <w:tcW w:w="3557" w:type="dxa"/>
            <w:tcBorders>
              <w:bottom w:val="single" w:sz="12" w:space="0" w:color="auto"/>
            </w:tcBorders>
            <w:shd w:val="clear" w:color="auto" w:fill="auto"/>
            <w:vAlign w:val="bottom"/>
          </w:tcPr>
          <w:p w:rsidR="00412FDF" w:rsidRPr="00D52E77" w:rsidRDefault="00412FDF" w:rsidP="008854F9">
            <w:pPr>
              <w:pStyle w:val="SingleTxtG"/>
              <w:spacing w:before="81" w:after="81" w:line="160" w:lineRule="exact"/>
              <w:ind w:left="0" w:right="40"/>
              <w:jc w:val="left"/>
              <w:rPr>
                <w:i/>
                <w:sz w:val="14"/>
                <w:szCs w:val="24"/>
              </w:rPr>
            </w:pPr>
            <w:r w:rsidRPr="00D52E77">
              <w:rPr>
                <w:i/>
                <w:sz w:val="14"/>
                <w:szCs w:val="24"/>
              </w:rPr>
              <w:t>Structures/Posts/Sectors</w:t>
            </w:r>
          </w:p>
        </w:tc>
        <w:tc>
          <w:tcPr>
            <w:tcW w:w="762" w:type="dxa"/>
            <w:tcBorders>
              <w:top w:val="single" w:sz="4" w:space="0" w:color="auto"/>
              <w:bottom w:val="single" w:sz="12" w:space="0" w:color="auto"/>
            </w:tcBorders>
            <w:shd w:val="clear" w:color="auto" w:fill="auto"/>
            <w:vAlign w:val="bottom"/>
          </w:tcPr>
          <w:p w:rsidR="00412FDF" w:rsidRPr="00D52E77" w:rsidRDefault="00412FDF" w:rsidP="00D52E77">
            <w:pPr>
              <w:pStyle w:val="SingleTxtG"/>
              <w:spacing w:before="81" w:after="81" w:line="160" w:lineRule="exact"/>
              <w:ind w:left="0" w:right="43"/>
              <w:jc w:val="right"/>
              <w:rPr>
                <w:i/>
                <w:sz w:val="14"/>
                <w:szCs w:val="24"/>
              </w:rPr>
            </w:pPr>
            <w:r w:rsidRPr="00D52E77">
              <w:rPr>
                <w:i/>
                <w:sz w:val="14"/>
                <w:szCs w:val="24"/>
              </w:rPr>
              <w:t>Men</w:t>
            </w:r>
          </w:p>
        </w:tc>
        <w:tc>
          <w:tcPr>
            <w:tcW w:w="763" w:type="dxa"/>
            <w:tcBorders>
              <w:top w:val="single" w:sz="4" w:space="0" w:color="auto"/>
              <w:bottom w:val="single" w:sz="12" w:space="0" w:color="auto"/>
            </w:tcBorders>
            <w:shd w:val="clear" w:color="auto" w:fill="auto"/>
            <w:vAlign w:val="bottom"/>
          </w:tcPr>
          <w:p w:rsidR="00412FDF" w:rsidRPr="00D52E77" w:rsidRDefault="00412FDF" w:rsidP="00D52E77">
            <w:pPr>
              <w:pStyle w:val="SingleTxtG"/>
              <w:spacing w:before="81" w:after="81" w:line="160" w:lineRule="exact"/>
              <w:ind w:left="0" w:right="43"/>
              <w:jc w:val="right"/>
              <w:rPr>
                <w:i/>
                <w:sz w:val="14"/>
                <w:szCs w:val="24"/>
              </w:rPr>
            </w:pPr>
            <w:r w:rsidRPr="00D52E77">
              <w:rPr>
                <w:i/>
                <w:sz w:val="14"/>
                <w:szCs w:val="24"/>
              </w:rPr>
              <w:t>%</w:t>
            </w:r>
          </w:p>
        </w:tc>
        <w:tc>
          <w:tcPr>
            <w:tcW w:w="762" w:type="dxa"/>
            <w:tcBorders>
              <w:top w:val="single" w:sz="4" w:space="0" w:color="auto"/>
              <w:bottom w:val="single" w:sz="12" w:space="0" w:color="auto"/>
            </w:tcBorders>
            <w:shd w:val="clear" w:color="auto" w:fill="auto"/>
            <w:vAlign w:val="bottom"/>
          </w:tcPr>
          <w:p w:rsidR="00412FDF" w:rsidRPr="00D52E77" w:rsidRDefault="00412FDF" w:rsidP="00D52E77">
            <w:pPr>
              <w:pStyle w:val="SingleTxtG"/>
              <w:spacing w:before="81" w:after="81" w:line="160" w:lineRule="exact"/>
              <w:ind w:left="0" w:right="43"/>
              <w:jc w:val="right"/>
              <w:rPr>
                <w:i/>
                <w:sz w:val="14"/>
                <w:szCs w:val="24"/>
              </w:rPr>
            </w:pPr>
            <w:r w:rsidRPr="00D52E77">
              <w:rPr>
                <w:i/>
                <w:sz w:val="14"/>
                <w:szCs w:val="24"/>
              </w:rPr>
              <w:t>Women</w:t>
            </w:r>
          </w:p>
        </w:tc>
        <w:tc>
          <w:tcPr>
            <w:tcW w:w="763" w:type="dxa"/>
            <w:tcBorders>
              <w:top w:val="single" w:sz="4" w:space="0" w:color="auto"/>
              <w:bottom w:val="single" w:sz="12" w:space="0" w:color="auto"/>
            </w:tcBorders>
            <w:shd w:val="clear" w:color="auto" w:fill="auto"/>
            <w:vAlign w:val="bottom"/>
          </w:tcPr>
          <w:p w:rsidR="00412FDF" w:rsidRPr="00D52E77" w:rsidRDefault="00412FDF" w:rsidP="00D52E77">
            <w:pPr>
              <w:pStyle w:val="SingleTxtG"/>
              <w:spacing w:before="81" w:after="81" w:line="160" w:lineRule="exact"/>
              <w:ind w:left="0" w:right="43"/>
              <w:jc w:val="right"/>
              <w:rPr>
                <w:i/>
                <w:sz w:val="14"/>
                <w:szCs w:val="24"/>
              </w:rPr>
            </w:pPr>
            <w:r w:rsidRPr="00D52E77">
              <w:rPr>
                <w:i/>
                <w:sz w:val="14"/>
                <w:szCs w:val="24"/>
              </w:rPr>
              <w:t>%</w:t>
            </w:r>
          </w:p>
        </w:tc>
        <w:tc>
          <w:tcPr>
            <w:tcW w:w="763" w:type="dxa"/>
            <w:tcBorders>
              <w:bottom w:val="single" w:sz="12" w:space="0" w:color="auto"/>
            </w:tcBorders>
            <w:shd w:val="clear" w:color="auto" w:fill="auto"/>
            <w:vAlign w:val="bottom"/>
          </w:tcPr>
          <w:p w:rsidR="00412FDF" w:rsidRPr="00D52E77" w:rsidRDefault="00412FDF" w:rsidP="00D52E77">
            <w:pPr>
              <w:pStyle w:val="SingleTxtG"/>
              <w:spacing w:before="81" w:after="81" w:line="160" w:lineRule="exact"/>
              <w:ind w:left="0" w:right="43"/>
              <w:jc w:val="right"/>
              <w:rPr>
                <w:i/>
                <w:sz w:val="14"/>
                <w:szCs w:val="24"/>
              </w:rPr>
            </w:pPr>
            <w:r w:rsidRPr="00D52E77">
              <w:rPr>
                <w:i/>
                <w:sz w:val="14"/>
                <w:szCs w:val="24"/>
              </w:rPr>
              <w:t>Total</w:t>
            </w:r>
          </w:p>
        </w:tc>
      </w:tr>
      <w:tr w:rsidR="00D52E77" w:rsidRPr="00D52E77" w:rsidTr="00123D34">
        <w:trPr>
          <w:trHeight w:hRule="exact" w:val="115"/>
          <w:tblHeader/>
        </w:trPr>
        <w:tc>
          <w:tcPr>
            <w:tcW w:w="3557" w:type="dxa"/>
            <w:tcBorders>
              <w:top w:val="single" w:sz="12" w:space="0" w:color="auto"/>
            </w:tcBorders>
            <w:shd w:val="clear" w:color="auto" w:fill="auto"/>
            <w:vAlign w:val="bottom"/>
          </w:tcPr>
          <w:p w:rsidR="00D52E77" w:rsidRPr="00D52E77" w:rsidRDefault="00D52E77" w:rsidP="00D52E77">
            <w:pPr>
              <w:pStyle w:val="SingleTxtG"/>
              <w:spacing w:before="40" w:after="40" w:line="210" w:lineRule="exact"/>
              <w:ind w:left="0" w:right="40"/>
              <w:jc w:val="left"/>
              <w:rPr>
                <w:sz w:val="17"/>
                <w:szCs w:val="24"/>
              </w:rPr>
            </w:pPr>
          </w:p>
        </w:tc>
        <w:tc>
          <w:tcPr>
            <w:tcW w:w="762" w:type="dxa"/>
            <w:tcBorders>
              <w:top w:val="single" w:sz="12" w:space="0" w:color="auto"/>
            </w:tcBorders>
            <w:shd w:val="clear" w:color="auto" w:fill="auto"/>
            <w:vAlign w:val="bottom"/>
          </w:tcPr>
          <w:p w:rsidR="00D52E77" w:rsidRPr="00D52E77" w:rsidRDefault="00D52E77" w:rsidP="00D52E77">
            <w:pPr>
              <w:pStyle w:val="SingleTxtG"/>
              <w:spacing w:before="40" w:after="40" w:line="210" w:lineRule="exact"/>
              <w:ind w:left="0" w:right="43"/>
              <w:jc w:val="right"/>
              <w:rPr>
                <w:sz w:val="17"/>
                <w:szCs w:val="24"/>
              </w:rPr>
            </w:pPr>
          </w:p>
        </w:tc>
        <w:tc>
          <w:tcPr>
            <w:tcW w:w="763" w:type="dxa"/>
            <w:tcBorders>
              <w:top w:val="single" w:sz="12" w:space="0" w:color="auto"/>
            </w:tcBorders>
            <w:shd w:val="clear" w:color="auto" w:fill="auto"/>
            <w:vAlign w:val="bottom"/>
          </w:tcPr>
          <w:p w:rsidR="00D52E77" w:rsidRPr="00D52E77" w:rsidRDefault="00D52E77" w:rsidP="00D52E77">
            <w:pPr>
              <w:pStyle w:val="SingleTxtG"/>
              <w:spacing w:before="40" w:after="40" w:line="210" w:lineRule="exact"/>
              <w:ind w:left="0" w:right="43"/>
              <w:jc w:val="right"/>
              <w:rPr>
                <w:sz w:val="17"/>
                <w:szCs w:val="24"/>
              </w:rPr>
            </w:pPr>
          </w:p>
        </w:tc>
        <w:tc>
          <w:tcPr>
            <w:tcW w:w="762" w:type="dxa"/>
            <w:tcBorders>
              <w:top w:val="single" w:sz="12" w:space="0" w:color="auto"/>
            </w:tcBorders>
            <w:shd w:val="clear" w:color="auto" w:fill="auto"/>
            <w:vAlign w:val="bottom"/>
          </w:tcPr>
          <w:p w:rsidR="00D52E77" w:rsidRPr="00D52E77" w:rsidRDefault="00D52E77" w:rsidP="00D52E77">
            <w:pPr>
              <w:pStyle w:val="SingleTxtG"/>
              <w:spacing w:before="40" w:after="40" w:line="210" w:lineRule="exact"/>
              <w:ind w:left="0" w:right="43"/>
              <w:jc w:val="right"/>
              <w:rPr>
                <w:sz w:val="17"/>
                <w:szCs w:val="24"/>
              </w:rPr>
            </w:pPr>
          </w:p>
        </w:tc>
        <w:tc>
          <w:tcPr>
            <w:tcW w:w="763" w:type="dxa"/>
            <w:tcBorders>
              <w:top w:val="single" w:sz="12" w:space="0" w:color="auto"/>
            </w:tcBorders>
            <w:shd w:val="clear" w:color="auto" w:fill="auto"/>
            <w:vAlign w:val="bottom"/>
          </w:tcPr>
          <w:p w:rsidR="00D52E77" w:rsidRPr="00D52E77" w:rsidRDefault="00D52E77" w:rsidP="00D52E77">
            <w:pPr>
              <w:pStyle w:val="SingleTxtG"/>
              <w:spacing w:before="40" w:after="40" w:line="210" w:lineRule="exact"/>
              <w:ind w:left="0" w:right="43"/>
              <w:jc w:val="right"/>
              <w:rPr>
                <w:sz w:val="17"/>
                <w:szCs w:val="24"/>
              </w:rPr>
            </w:pPr>
          </w:p>
        </w:tc>
        <w:tc>
          <w:tcPr>
            <w:tcW w:w="763" w:type="dxa"/>
            <w:tcBorders>
              <w:top w:val="single" w:sz="12" w:space="0" w:color="auto"/>
            </w:tcBorders>
            <w:shd w:val="clear" w:color="auto" w:fill="auto"/>
            <w:vAlign w:val="bottom"/>
          </w:tcPr>
          <w:p w:rsidR="00D52E77" w:rsidRPr="00D52E77" w:rsidRDefault="00D52E77" w:rsidP="00D52E77">
            <w:pPr>
              <w:pStyle w:val="SingleTxtG"/>
              <w:spacing w:before="40" w:after="40" w:line="210" w:lineRule="exact"/>
              <w:ind w:left="0" w:right="43"/>
              <w:jc w:val="right"/>
              <w:rPr>
                <w:sz w:val="17"/>
                <w:szCs w:val="24"/>
              </w:rPr>
            </w:pP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Minister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26</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83.87</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5</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16.12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31</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Governor of region</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100</w:t>
            </w:r>
          </w:p>
        </w:tc>
        <w:tc>
          <w:tcPr>
            <w:tcW w:w="762" w:type="dxa"/>
            <w:shd w:val="clear" w:color="auto" w:fill="auto"/>
            <w:vAlign w:val="bottom"/>
          </w:tcPr>
          <w:p w:rsidR="00072859" w:rsidRPr="00D52E77" w:rsidRDefault="00123D34" w:rsidP="00D52E77">
            <w:pPr>
              <w:pStyle w:val="SingleTxtG"/>
              <w:tabs>
                <w:tab w:val="left" w:pos="288"/>
                <w:tab w:val="left" w:pos="576"/>
                <w:tab w:val="left" w:pos="864"/>
                <w:tab w:val="left" w:pos="1152"/>
              </w:tabs>
              <w:spacing w:before="40" w:after="40" w:line="210" w:lineRule="exact"/>
              <w:ind w:left="0" w:right="43"/>
              <w:jc w:val="right"/>
              <w:rPr>
                <w:sz w:val="17"/>
                <w:szCs w:val="24"/>
              </w:rPr>
            </w:pPr>
            <w:r>
              <w:rPr>
                <w:sz w:val="17"/>
                <w:szCs w:val="24"/>
              </w:rPr>
              <w:t xml:space="preserve"> </w:t>
            </w:r>
            <w:r w:rsidR="00072859"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Ambassador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91.66</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8.33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36</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Consul general</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100</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Embassy counsellor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107</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89.16</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10.83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120</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National director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226</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84.4</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43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15.98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269</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Secretary general</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27</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87.09</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4</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12.90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31</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Chef de cabinet</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27</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87.09</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4</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12.90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31</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Technical advisor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99</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80.84</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24</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19.51</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123</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Head of Mission</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73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81.11</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17</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18.88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90</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National Assembly</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123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83.6</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14</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9.5</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147</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Supreme Court</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 xml:space="preserve">84.44 </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 xml:space="preserve">7 </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 xml:space="preserve"> 15.55</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45</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Constitutional Court</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5</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 xml:space="preserve">55.55 </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4</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 xml:space="preserve">44.44 </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Economic, Social and Cultural Council</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67</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90.5</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7</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9.4</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74</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Supreme Council of the Communities</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91</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91</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100</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National Councillor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67</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91.7</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6</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8.21</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73</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Communal Councillor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w:t>
            </w:r>
            <w:r w:rsidR="00123D34">
              <w:rPr>
                <w:sz w:val="17"/>
                <w:szCs w:val="24"/>
              </w:rPr>
              <w:t xml:space="preserve"> </w:t>
            </w:r>
            <w:r w:rsidRPr="00D52E77">
              <w:rPr>
                <w:sz w:val="17"/>
                <w:szCs w:val="24"/>
              </w:rPr>
              <w:t>844</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928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8.66%</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w:t>
            </w:r>
            <w:r w:rsidR="00123D34">
              <w:rPr>
                <w:sz w:val="17"/>
                <w:szCs w:val="24"/>
              </w:rPr>
              <w:t xml:space="preserve"> </w:t>
            </w:r>
            <w:r w:rsidRPr="00D52E77">
              <w:rPr>
                <w:sz w:val="17"/>
                <w:szCs w:val="24"/>
              </w:rPr>
              <w:t>772</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Mayor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695</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National Independent Electoral Commission</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86.6</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13.33</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15</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Regional Councillor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100</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08</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High Court of Justice</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09</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81.81</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18.18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11</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Federation of Malian Farmers</w:t>
            </w:r>
            <w:r w:rsidR="00123D34">
              <w:rPr>
                <w:sz w:val="17"/>
                <w:szCs w:val="24"/>
              </w:rPr>
              <w:t>’</w:t>
            </w:r>
            <w:r w:rsidRPr="00D52E77">
              <w:rPr>
                <w:sz w:val="17"/>
                <w:szCs w:val="24"/>
              </w:rPr>
              <w:t xml:space="preserve"> Associations</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bCs/>
                <w:sz w:val="17"/>
                <w:szCs w:val="24"/>
              </w:rPr>
              <w:t>42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bCs/>
                <w:sz w:val="17"/>
                <w:szCs w:val="24"/>
              </w:rPr>
              <w:t>91.3</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bCs/>
                <w:sz w:val="17"/>
                <w:szCs w:val="24"/>
              </w:rPr>
              <w:t>4</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bCs/>
                <w:sz w:val="17"/>
                <w:szCs w:val="24"/>
              </w:rPr>
              <w:t>8.7</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bCs/>
                <w:sz w:val="17"/>
                <w:szCs w:val="24"/>
              </w:rPr>
              <w:t>46</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Federation of Malian professional associations</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bCs/>
                <w:sz w:val="17"/>
                <w:szCs w:val="24"/>
              </w:rPr>
            </w:pPr>
            <w:r w:rsidRPr="00D52E77">
              <w:rPr>
                <w:bCs/>
                <w:sz w:val="17"/>
                <w:szCs w:val="24"/>
              </w:rPr>
              <w:t>16</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bCs/>
                <w:sz w:val="17"/>
                <w:szCs w:val="24"/>
              </w:rPr>
            </w:pPr>
            <w:r w:rsidRPr="00D52E77">
              <w:rPr>
                <w:bCs/>
                <w:sz w:val="17"/>
                <w:szCs w:val="24"/>
              </w:rPr>
              <w:t>88.9</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bCs/>
                <w:sz w:val="17"/>
                <w:szCs w:val="24"/>
              </w:rPr>
            </w:pPr>
            <w:r w:rsidRPr="00D52E77">
              <w:rPr>
                <w:bCs/>
                <w:sz w:val="17"/>
                <w:szCs w:val="24"/>
              </w:rPr>
              <w:t>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bCs/>
                <w:sz w:val="17"/>
                <w:szCs w:val="24"/>
              </w:rPr>
            </w:pPr>
            <w:r w:rsidRPr="00D52E77">
              <w:rPr>
                <w:bCs/>
                <w:sz w:val="17"/>
                <w:szCs w:val="24"/>
              </w:rPr>
              <w:t>11.1</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bCs/>
                <w:sz w:val="17"/>
                <w:szCs w:val="24"/>
              </w:rPr>
              <w:t>18</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Malian Chamber of Commerce and Industry</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bCs/>
                <w:sz w:val="17"/>
                <w:szCs w:val="24"/>
              </w:rPr>
            </w:pPr>
            <w:r w:rsidRPr="00D52E77">
              <w:rPr>
                <w:bCs/>
                <w:sz w:val="17"/>
                <w:szCs w:val="24"/>
              </w:rPr>
              <w:t>11</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bCs/>
                <w:sz w:val="17"/>
                <w:szCs w:val="24"/>
              </w:rPr>
            </w:pPr>
            <w:r w:rsidRPr="00D52E77">
              <w:rPr>
                <w:bCs/>
                <w:sz w:val="17"/>
                <w:szCs w:val="24"/>
              </w:rPr>
              <w:t>84.6</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bCs/>
                <w:sz w:val="17"/>
                <w:szCs w:val="24"/>
              </w:rPr>
            </w:pPr>
            <w:r w:rsidRPr="00D52E77">
              <w:rPr>
                <w:bCs/>
                <w:sz w:val="17"/>
                <w:szCs w:val="24"/>
              </w:rPr>
              <w:t>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bCs/>
                <w:sz w:val="17"/>
                <w:szCs w:val="24"/>
              </w:rPr>
            </w:pPr>
            <w:r w:rsidRPr="00D52E77">
              <w:rPr>
                <w:bCs/>
                <w:sz w:val="17"/>
                <w:szCs w:val="24"/>
              </w:rPr>
              <w:t>15.4</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bCs/>
                <w:sz w:val="17"/>
                <w:szCs w:val="24"/>
              </w:rPr>
              <w:t>13</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lastRenderedPageBreak/>
              <w:t xml:space="preserve">National Council of Malian Employers </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90</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20</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National Council of Rural Workers Organizations</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08</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80</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Courts of first instance</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100</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Justice of the peace with expanded jurisdiction</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42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100</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42</w:t>
            </w:r>
          </w:p>
        </w:tc>
      </w:tr>
      <w:tr w:rsidR="00072859" w:rsidRPr="00D52E77" w:rsidTr="00123D34">
        <w:trPr>
          <w:trHeight w:val="240"/>
        </w:trPr>
        <w:tc>
          <w:tcPr>
            <w:tcW w:w="3557"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Police officer</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300</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99.99</w:t>
            </w:r>
          </w:p>
        </w:tc>
        <w:tc>
          <w:tcPr>
            <w:tcW w:w="762"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02</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0.7</w:t>
            </w:r>
          </w:p>
        </w:tc>
        <w:tc>
          <w:tcPr>
            <w:tcW w:w="763" w:type="dxa"/>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302</w:t>
            </w:r>
          </w:p>
        </w:tc>
      </w:tr>
      <w:tr w:rsidR="00072859" w:rsidRPr="00D52E77" w:rsidTr="00123D34">
        <w:trPr>
          <w:trHeight w:val="240"/>
        </w:trPr>
        <w:tc>
          <w:tcPr>
            <w:tcW w:w="3557" w:type="dxa"/>
            <w:tcBorders>
              <w:bottom w:val="single" w:sz="12" w:space="0" w:color="auto"/>
            </w:tcBorders>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0"/>
              <w:jc w:val="left"/>
              <w:rPr>
                <w:sz w:val="17"/>
                <w:szCs w:val="24"/>
              </w:rPr>
            </w:pPr>
            <w:r w:rsidRPr="00D52E77">
              <w:rPr>
                <w:sz w:val="17"/>
                <w:szCs w:val="24"/>
              </w:rPr>
              <w:t>Customs officer</w:t>
            </w:r>
          </w:p>
        </w:tc>
        <w:tc>
          <w:tcPr>
            <w:tcW w:w="762" w:type="dxa"/>
            <w:tcBorders>
              <w:bottom w:val="single" w:sz="12" w:space="0" w:color="auto"/>
            </w:tcBorders>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337</w:t>
            </w:r>
          </w:p>
        </w:tc>
        <w:tc>
          <w:tcPr>
            <w:tcW w:w="763" w:type="dxa"/>
            <w:tcBorders>
              <w:bottom w:val="single" w:sz="12" w:space="0" w:color="auto"/>
            </w:tcBorders>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80</w:t>
            </w:r>
          </w:p>
        </w:tc>
        <w:tc>
          <w:tcPr>
            <w:tcW w:w="762" w:type="dxa"/>
            <w:tcBorders>
              <w:bottom w:val="single" w:sz="12" w:space="0" w:color="auto"/>
            </w:tcBorders>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84</w:t>
            </w:r>
          </w:p>
        </w:tc>
        <w:tc>
          <w:tcPr>
            <w:tcW w:w="763" w:type="dxa"/>
            <w:tcBorders>
              <w:bottom w:val="single" w:sz="12" w:space="0" w:color="auto"/>
            </w:tcBorders>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20</w:t>
            </w:r>
          </w:p>
        </w:tc>
        <w:tc>
          <w:tcPr>
            <w:tcW w:w="763" w:type="dxa"/>
            <w:tcBorders>
              <w:bottom w:val="single" w:sz="12" w:space="0" w:color="auto"/>
            </w:tcBorders>
            <w:shd w:val="clear" w:color="auto" w:fill="auto"/>
            <w:vAlign w:val="bottom"/>
          </w:tcPr>
          <w:p w:rsidR="00072859" w:rsidRPr="00D52E77" w:rsidRDefault="00072859" w:rsidP="00D52E77">
            <w:pPr>
              <w:pStyle w:val="SingleTxtG"/>
              <w:tabs>
                <w:tab w:val="left" w:pos="288"/>
                <w:tab w:val="left" w:pos="576"/>
                <w:tab w:val="left" w:pos="864"/>
                <w:tab w:val="left" w:pos="1152"/>
              </w:tabs>
              <w:spacing w:before="40" w:after="40" w:line="210" w:lineRule="exact"/>
              <w:ind w:left="0" w:right="43"/>
              <w:jc w:val="right"/>
              <w:rPr>
                <w:sz w:val="17"/>
                <w:szCs w:val="24"/>
              </w:rPr>
            </w:pPr>
            <w:r w:rsidRPr="00D52E77">
              <w:rPr>
                <w:sz w:val="17"/>
                <w:szCs w:val="24"/>
              </w:rPr>
              <w:t>421</w:t>
            </w:r>
          </w:p>
        </w:tc>
      </w:tr>
    </w:tbl>
    <w:p w:rsidR="00072859" w:rsidRPr="00072859" w:rsidRDefault="00072859" w:rsidP="00072859">
      <w:pPr>
        <w:pStyle w:val="SingleTxt"/>
        <w:spacing w:after="0" w:line="120" w:lineRule="exact"/>
        <w:rPr>
          <w:sz w:val="10"/>
        </w:rPr>
      </w:pPr>
    </w:p>
    <w:p w:rsidR="005E1F07" w:rsidRDefault="00770B6C" w:rsidP="001B07C5">
      <w:pPr>
        <w:pStyle w:val="FootnoteText"/>
        <w:tabs>
          <w:tab w:val="clear" w:pos="418"/>
          <w:tab w:val="right" w:pos="1476"/>
          <w:tab w:val="left" w:pos="1548"/>
          <w:tab w:val="right" w:pos="1836"/>
          <w:tab w:val="left" w:pos="1908"/>
        </w:tabs>
        <w:ind w:left="1548" w:right="1267" w:hanging="288"/>
      </w:pPr>
      <w:r w:rsidRPr="00072859">
        <w:rPr>
          <w:i/>
        </w:rPr>
        <w:t>Source</w:t>
      </w:r>
      <w:r>
        <w:t>:</w:t>
      </w:r>
      <w:r w:rsidR="005E03D8">
        <w:t xml:space="preserve"> </w:t>
      </w:r>
      <w:r>
        <w:t xml:space="preserve">Statistical Bulletin, National Centre for Documentation and Information on Women and the Child </w:t>
      </w:r>
      <w:r w:rsidRPr="001B07C5">
        <w:rPr>
          <w:i/>
        </w:rPr>
        <w:t>(2009-2010-2012)/Beijing +10 &amp; +20 and documentary research</w:t>
      </w:r>
      <w:r w:rsidR="00072859">
        <w:t>.</w:t>
      </w:r>
    </w:p>
    <w:p w:rsidR="00072859" w:rsidRPr="00072859" w:rsidRDefault="00072859" w:rsidP="00072859">
      <w:pPr>
        <w:pStyle w:val="FootnoteText"/>
        <w:tabs>
          <w:tab w:val="clear" w:pos="418"/>
          <w:tab w:val="right" w:pos="1476"/>
          <w:tab w:val="left" w:pos="1548"/>
          <w:tab w:val="right" w:pos="1836"/>
          <w:tab w:val="left" w:pos="1908"/>
        </w:tabs>
        <w:spacing w:line="120" w:lineRule="exact"/>
        <w:ind w:left="1548" w:hanging="288"/>
        <w:rPr>
          <w:sz w:val="10"/>
        </w:rPr>
      </w:pPr>
    </w:p>
    <w:p w:rsidR="00072859" w:rsidRDefault="00072859" w:rsidP="00072859">
      <w:pPr>
        <w:pStyle w:val="FootnoteText"/>
        <w:tabs>
          <w:tab w:val="clear" w:pos="418"/>
          <w:tab w:val="right" w:pos="1476"/>
          <w:tab w:val="left" w:pos="1548"/>
          <w:tab w:val="right" w:pos="1836"/>
          <w:tab w:val="left" w:pos="1908"/>
        </w:tabs>
        <w:spacing w:line="120" w:lineRule="exact"/>
        <w:ind w:left="1548" w:hanging="288"/>
        <w:rPr>
          <w:sz w:val="10"/>
        </w:rPr>
      </w:pPr>
    </w:p>
    <w:p w:rsidR="00773C9B" w:rsidRPr="00072859" w:rsidRDefault="00773C9B" w:rsidP="00072859">
      <w:pPr>
        <w:pStyle w:val="FootnoteText"/>
        <w:tabs>
          <w:tab w:val="clear" w:pos="418"/>
          <w:tab w:val="right" w:pos="1476"/>
          <w:tab w:val="left" w:pos="1548"/>
          <w:tab w:val="right" w:pos="1836"/>
          <w:tab w:val="left" w:pos="1908"/>
        </w:tabs>
        <w:spacing w:line="120" w:lineRule="exact"/>
        <w:ind w:left="1548" w:hanging="288"/>
        <w:rPr>
          <w:sz w:val="10"/>
        </w:rPr>
      </w:pPr>
    </w:p>
    <w:p w:rsidR="005E1F07" w:rsidRDefault="00770B6C" w:rsidP="00072859">
      <w:pPr>
        <w:pStyle w:val="H1"/>
        <w:ind w:right="1260"/>
      </w:pPr>
      <w:r>
        <w:tab/>
      </w:r>
      <w:r>
        <w:tab/>
        <w:t>Article 8: International representation and participation</w:t>
      </w:r>
    </w:p>
    <w:p w:rsidR="00072859" w:rsidRPr="00072859" w:rsidRDefault="00072859" w:rsidP="00072859">
      <w:pPr>
        <w:pStyle w:val="SingleTxt"/>
        <w:spacing w:after="0" w:line="120" w:lineRule="exact"/>
        <w:rPr>
          <w:sz w:val="10"/>
        </w:rPr>
      </w:pPr>
    </w:p>
    <w:p w:rsidR="00072859" w:rsidRPr="00072859" w:rsidRDefault="00072859" w:rsidP="00072859">
      <w:pPr>
        <w:pStyle w:val="SingleTxt"/>
        <w:spacing w:after="0" w:line="120" w:lineRule="exact"/>
        <w:rPr>
          <w:sz w:val="10"/>
        </w:rPr>
      </w:pPr>
    </w:p>
    <w:p w:rsidR="005E1F07" w:rsidRDefault="00770B6C" w:rsidP="00770B6C">
      <w:pPr>
        <w:pStyle w:val="SingleTxt"/>
      </w:pPr>
      <w:r>
        <w:t>51.</w:t>
      </w:r>
      <w:r w:rsidR="008854F9">
        <w:tab/>
      </w:r>
      <w:r>
        <w:t>There is no specific policy in place aimed at helping women obtain posts in international organizations.</w:t>
      </w:r>
    </w:p>
    <w:p w:rsidR="00770B6C" w:rsidRDefault="00770B6C" w:rsidP="00770B6C">
      <w:pPr>
        <w:pStyle w:val="SingleTxt"/>
      </w:pPr>
      <w:r>
        <w:t>52.</w:t>
      </w:r>
      <w:r w:rsidR="008854F9">
        <w:tab/>
      </w:r>
      <w:r>
        <w:t>Nevertheless, there are a few posts in international organizations that are held by Malian women:</w:t>
      </w:r>
    </w:p>
    <w:p w:rsidR="00770B6C" w:rsidRDefault="001B07C5" w:rsidP="001B07C5">
      <w:pPr>
        <w:pStyle w:val="SingleTxt"/>
        <w:tabs>
          <w:tab w:val="right" w:pos="1685"/>
        </w:tabs>
        <w:ind w:left="1742" w:hanging="475"/>
      </w:pPr>
      <w:r>
        <w:tab/>
      </w:r>
      <w:r w:rsidR="00770B6C">
        <w:t>•</w:t>
      </w:r>
      <w:r w:rsidR="00770B6C">
        <w:tab/>
        <w:t>UNFPA in Côte d</w:t>
      </w:r>
      <w:r w:rsidR="00DD173B">
        <w:t>’</w:t>
      </w:r>
      <w:r w:rsidR="00770B6C">
        <w:t>Ivoire, African Economic Conference in Addis Ababa, International Criminal Court, The Hague, Netherlands</w:t>
      </w:r>
    </w:p>
    <w:p w:rsidR="005E1F07" w:rsidRDefault="001B07C5" w:rsidP="001B07C5">
      <w:pPr>
        <w:pStyle w:val="SingleTxt"/>
        <w:tabs>
          <w:tab w:val="right" w:pos="1685"/>
        </w:tabs>
        <w:ind w:left="1742" w:hanging="475"/>
      </w:pPr>
      <w:r>
        <w:tab/>
      </w:r>
      <w:r w:rsidR="00770B6C">
        <w:t>•</w:t>
      </w:r>
      <w:r w:rsidR="00770B6C">
        <w:tab/>
        <w:t>WHO in Geneva; African Union (Special Rapporteur, Committee on Women</w:t>
      </w:r>
      <w:r w:rsidR="00DD173B">
        <w:t>’</w:t>
      </w:r>
      <w:r w:rsidR="00770B6C">
        <w:t>s Rights), Court of Justice of ECOWAS, UNDP in Burkina Faso,</w:t>
      </w:r>
      <w:r w:rsidR="005E03D8">
        <w:t xml:space="preserve"> </w:t>
      </w:r>
      <w:r w:rsidR="00770B6C">
        <w:t>West African Economic and Monetary Union in Burkina Faso, UNIDO, and four woman ambassadors: Gabon, Senegal, Japan and Germany.</w:t>
      </w:r>
    </w:p>
    <w:p w:rsidR="005E1F07" w:rsidRDefault="00770B6C" w:rsidP="00770B6C">
      <w:pPr>
        <w:pStyle w:val="SingleTxt"/>
      </w:pPr>
      <w:r>
        <w:t>53.</w:t>
      </w:r>
      <w:r w:rsidR="008854F9">
        <w:tab/>
      </w:r>
      <w:r>
        <w:t>Discussions have taken place on the drafting of a quota law. The draft allocates 30 per cent of appointed and elected positions to the less represented sex.</w:t>
      </w:r>
    </w:p>
    <w:p w:rsidR="004246C9" w:rsidRPr="004246C9" w:rsidRDefault="004246C9" w:rsidP="004246C9">
      <w:pPr>
        <w:pStyle w:val="SingleTxt"/>
        <w:spacing w:after="0" w:line="120" w:lineRule="exact"/>
        <w:rPr>
          <w:sz w:val="10"/>
        </w:rPr>
      </w:pPr>
    </w:p>
    <w:p w:rsidR="004246C9" w:rsidRPr="004246C9" w:rsidRDefault="004246C9" w:rsidP="004246C9">
      <w:pPr>
        <w:pStyle w:val="SingleTxt"/>
        <w:spacing w:after="0" w:line="120" w:lineRule="exact"/>
        <w:rPr>
          <w:sz w:val="10"/>
        </w:rPr>
      </w:pPr>
    </w:p>
    <w:p w:rsidR="005E1F07" w:rsidRDefault="00770B6C" w:rsidP="004246C9">
      <w:pPr>
        <w:pStyle w:val="H1"/>
        <w:ind w:right="1260"/>
      </w:pPr>
      <w:r>
        <w:tab/>
      </w:r>
      <w:r>
        <w:tab/>
        <w:t>Article 9: Women</w:t>
      </w:r>
      <w:r w:rsidR="00DD173B">
        <w:t>’</w:t>
      </w:r>
      <w:r>
        <w:t>s rights in regard to nationality</w:t>
      </w:r>
    </w:p>
    <w:p w:rsidR="004246C9" w:rsidRPr="004246C9" w:rsidRDefault="004246C9" w:rsidP="004246C9">
      <w:pPr>
        <w:pStyle w:val="SingleTxt"/>
        <w:spacing w:after="0" w:line="120" w:lineRule="exact"/>
        <w:rPr>
          <w:sz w:val="10"/>
        </w:rPr>
      </w:pPr>
    </w:p>
    <w:p w:rsidR="004246C9" w:rsidRPr="004246C9" w:rsidRDefault="004246C9" w:rsidP="004246C9">
      <w:pPr>
        <w:pStyle w:val="SingleTxt"/>
        <w:spacing w:after="0" w:line="120" w:lineRule="exact"/>
        <w:rPr>
          <w:sz w:val="10"/>
        </w:rPr>
      </w:pPr>
    </w:p>
    <w:p w:rsidR="00770B6C" w:rsidRDefault="00770B6C" w:rsidP="00770B6C">
      <w:pPr>
        <w:pStyle w:val="SingleTxt"/>
      </w:pPr>
      <w:r>
        <w:t>54.</w:t>
      </w:r>
      <w:r w:rsidR="008854F9">
        <w:tab/>
      </w:r>
      <w:r>
        <w:t>Act No. 2011-087/ of 30 December 2011 enacting the Personal and Family Code establishes equality between men and women with regard to nationality by providing in article 224 that the following are Malian whether born in Mali or abroad:</w:t>
      </w:r>
    </w:p>
    <w:p w:rsidR="00770B6C" w:rsidRDefault="004246C9" w:rsidP="004246C9">
      <w:pPr>
        <w:pStyle w:val="SingleTxt"/>
        <w:tabs>
          <w:tab w:val="right" w:pos="1685"/>
        </w:tabs>
        <w:ind w:left="1742" w:hanging="475"/>
      </w:pPr>
      <w:r>
        <w:tab/>
      </w:r>
      <w:r w:rsidR="00770B6C">
        <w:t>•</w:t>
      </w:r>
      <w:r w:rsidR="00770B6C">
        <w:tab/>
        <w:t>A legitimate child born of a Malian father and mother;</w:t>
      </w:r>
    </w:p>
    <w:p w:rsidR="00770B6C" w:rsidRDefault="004246C9" w:rsidP="004246C9">
      <w:pPr>
        <w:pStyle w:val="SingleTxt"/>
        <w:tabs>
          <w:tab w:val="right" w:pos="1685"/>
        </w:tabs>
        <w:ind w:left="1742" w:hanging="475"/>
      </w:pPr>
      <w:r>
        <w:tab/>
      </w:r>
      <w:r w:rsidR="00770B6C">
        <w:t>•</w:t>
      </w:r>
      <w:r w:rsidR="00770B6C">
        <w:tab/>
        <w:t>A legitimate child born of a Malian father or mother whose other parent is stateless or of unknown nationality;</w:t>
      </w:r>
    </w:p>
    <w:p w:rsidR="00770B6C" w:rsidRDefault="004246C9" w:rsidP="004246C9">
      <w:pPr>
        <w:pStyle w:val="SingleTxt"/>
        <w:tabs>
          <w:tab w:val="right" w:pos="1685"/>
        </w:tabs>
        <w:ind w:left="1742" w:hanging="475"/>
      </w:pPr>
      <w:r>
        <w:tab/>
      </w:r>
      <w:r w:rsidR="00770B6C">
        <w:t>•</w:t>
      </w:r>
      <w:r w:rsidR="00770B6C">
        <w:tab/>
        <w:t>Illegitimate children, when the parent to whom filiation is established first is Malian;</w:t>
      </w:r>
    </w:p>
    <w:p w:rsidR="00770B6C" w:rsidRDefault="004246C9" w:rsidP="004246C9">
      <w:pPr>
        <w:pStyle w:val="SingleTxt"/>
        <w:tabs>
          <w:tab w:val="right" w:pos="1685"/>
        </w:tabs>
        <w:ind w:left="1742" w:hanging="475"/>
      </w:pPr>
      <w:r>
        <w:tab/>
      </w:r>
      <w:r w:rsidR="00770B6C">
        <w:t>•</w:t>
      </w:r>
      <w:r w:rsidR="00770B6C">
        <w:tab/>
        <w:t>Illegitimate children, when the parent to whom filiation is established second is Malian, if the other parent is stateless or of unknown nationality;</w:t>
      </w:r>
    </w:p>
    <w:p w:rsidR="005E1F07" w:rsidRDefault="004246C9" w:rsidP="004246C9">
      <w:pPr>
        <w:pStyle w:val="SingleTxt"/>
        <w:tabs>
          <w:tab w:val="right" w:pos="1685"/>
        </w:tabs>
        <w:ind w:left="1742" w:hanging="475"/>
      </w:pPr>
      <w:r>
        <w:tab/>
      </w:r>
      <w:r w:rsidR="00770B6C">
        <w:t>•</w:t>
      </w:r>
      <w:r w:rsidR="00770B6C">
        <w:tab/>
        <w:t>A child born of a Malian father or mother and a parent who is foreign, unless the child repudiates Malian nationality within six months after reaching adulthood in accordance with articles 255 and 256 of this Code.</w:t>
      </w:r>
    </w:p>
    <w:p w:rsidR="005E1F07" w:rsidRDefault="00770B6C" w:rsidP="00770B6C">
      <w:pPr>
        <w:pStyle w:val="SingleTxt"/>
      </w:pPr>
      <w:r>
        <w:lastRenderedPageBreak/>
        <w:t>55.</w:t>
      </w:r>
      <w:r w:rsidR="001E33E4">
        <w:tab/>
      </w:r>
      <w:r>
        <w:t>A married woman has the option of acquiring her husband</w:t>
      </w:r>
      <w:r w:rsidR="001E33E4">
        <w:t>’</w:t>
      </w:r>
      <w:r>
        <w:t>s nationality, but is not compelled to do so, according to article 232 of the Personal and Family Code, which reads as follows: a foreign father or mother of any Malian child may acquire Malian nationality if he or she resides in Mali for at least one year, in accordance with art</w:t>
      </w:r>
      <w:r w:rsidR="001E33E4">
        <w:t>icles 255 and 256 of this Code.</w:t>
      </w:r>
    </w:p>
    <w:p w:rsidR="001E33E4" w:rsidRPr="001E33E4" w:rsidRDefault="001E33E4" w:rsidP="001E33E4">
      <w:pPr>
        <w:pStyle w:val="SingleTxt"/>
        <w:spacing w:after="0" w:line="120" w:lineRule="exact"/>
        <w:rPr>
          <w:sz w:val="10"/>
        </w:rPr>
      </w:pPr>
    </w:p>
    <w:p w:rsidR="001E33E4" w:rsidRPr="001E33E4" w:rsidRDefault="001E33E4" w:rsidP="001E33E4">
      <w:pPr>
        <w:pStyle w:val="SingleTxt"/>
        <w:spacing w:after="0" w:line="120" w:lineRule="exact"/>
        <w:rPr>
          <w:sz w:val="10"/>
        </w:rPr>
      </w:pPr>
    </w:p>
    <w:p w:rsidR="005E1F07" w:rsidRDefault="001E33E4" w:rsidP="001E33E4">
      <w:pPr>
        <w:pStyle w:val="H1"/>
        <w:ind w:right="1260"/>
      </w:pPr>
      <w:r>
        <w:tab/>
      </w:r>
      <w:r>
        <w:tab/>
      </w:r>
      <w:r w:rsidR="00770B6C">
        <w:t>Article 10: Education</w:t>
      </w:r>
    </w:p>
    <w:p w:rsidR="001E33E4" w:rsidRPr="001E33E4" w:rsidRDefault="001E33E4" w:rsidP="001E33E4">
      <w:pPr>
        <w:pStyle w:val="SingleTxt"/>
        <w:spacing w:after="0" w:line="120" w:lineRule="exact"/>
        <w:rPr>
          <w:sz w:val="10"/>
        </w:rPr>
      </w:pPr>
    </w:p>
    <w:p w:rsidR="001E33E4" w:rsidRPr="001E33E4" w:rsidRDefault="001E33E4" w:rsidP="001E33E4">
      <w:pPr>
        <w:pStyle w:val="SingleTxt"/>
        <w:spacing w:after="0" w:line="120" w:lineRule="exact"/>
        <w:rPr>
          <w:sz w:val="10"/>
        </w:rPr>
      </w:pPr>
    </w:p>
    <w:p w:rsidR="00770B6C" w:rsidRDefault="001E33E4" w:rsidP="001E33E4">
      <w:pPr>
        <w:pStyle w:val="H23"/>
        <w:ind w:right="1260"/>
      </w:pPr>
      <w:r>
        <w:tab/>
      </w:r>
      <w:r w:rsidR="00770B6C">
        <w:t>1.</w:t>
      </w:r>
      <w:r w:rsidR="00770B6C">
        <w:tab/>
        <w:t>Measures in favour of girls</w:t>
      </w:r>
    </w:p>
    <w:p w:rsidR="001E33E4" w:rsidRPr="001E33E4" w:rsidRDefault="001E33E4" w:rsidP="001E33E4">
      <w:pPr>
        <w:pStyle w:val="SingleTxt"/>
        <w:spacing w:after="0" w:line="120" w:lineRule="exact"/>
        <w:rPr>
          <w:sz w:val="10"/>
        </w:rPr>
      </w:pPr>
    </w:p>
    <w:p w:rsidR="005E1F07" w:rsidRDefault="00770B6C" w:rsidP="00770B6C">
      <w:pPr>
        <w:pStyle w:val="SingleTxt"/>
      </w:pPr>
      <w:r>
        <w:t>56.</w:t>
      </w:r>
      <w:r w:rsidR="001E33E4">
        <w:tab/>
      </w:r>
      <w:r>
        <w:t>To help improve the situation of girls the Government of Mali has taken several measures.</w:t>
      </w:r>
    </w:p>
    <w:p w:rsidR="00770B6C" w:rsidRDefault="00770B6C" w:rsidP="00770B6C">
      <w:pPr>
        <w:pStyle w:val="SingleTxt"/>
      </w:pPr>
      <w:r>
        <w:t>57.</w:t>
      </w:r>
      <w:r w:rsidR="001E33E4">
        <w:tab/>
      </w:r>
      <w:r>
        <w:t>Those measures include, in particular:</w:t>
      </w:r>
    </w:p>
    <w:p w:rsidR="00770B6C" w:rsidRDefault="001E33E4" w:rsidP="00770B6C">
      <w:pPr>
        <w:pStyle w:val="SingleTxt"/>
      </w:pPr>
      <w:r>
        <w:tab/>
      </w:r>
      <w:r w:rsidR="00770B6C">
        <w:t>(a)</w:t>
      </w:r>
      <w:r>
        <w:tab/>
      </w:r>
      <w:r w:rsidR="00770B6C">
        <w:t>Adoption by the Malian Government of a National Policy on schooling for girls in August 2007 together with an action plan for the period 2007-2009 for an amount of 16,950,000,000 CFA francs;</w:t>
      </w:r>
    </w:p>
    <w:p w:rsidR="00770B6C" w:rsidRPr="00FF1C6C" w:rsidRDefault="001E33E4" w:rsidP="00770B6C">
      <w:pPr>
        <w:pStyle w:val="SingleTxt"/>
        <w:rPr>
          <w:spacing w:val="2"/>
        </w:rPr>
      </w:pPr>
      <w:r>
        <w:tab/>
      </w:r>
      <w:r w:rsidR="00770B6C">
        <w:t>(b)</w:t>
      </w:r>
      <w:r>
        <w:tab/>
      </w:r>
      <w:r w:rsidR="00770B6C" w:rsidRPr="00FF1C6C">
        <w:rPr>
          <w:spacing w:val="2"/>
        </w:rPr>
        <w:t>Adoption of a policy on non-formal education in January 2007 which gives an important place to girls who have not been schooled or have dropped out of school;</w:t>
      </w:r>
    </w:p>
    <w:p w:rsidR="00770B6C" w:rsidRPr="00FF1C6C" w:rsidRDefault="001E33E4" w:rsidP="00770B6C">
      <w:pPr>
        <w:pStyle w:val="SingleTxt"/>
        <w:rPr>
          <w:spacing w:val="2"/>
        </w:rPr>
      </w:pPr>
      <w:r>
        <w:tab/>
      </w:r>
      <w:r w:rsidR="00770B6C">
        <w:t>(c)</w:t>
      </w:r>
      <w:r>
        <w:tab/>
      </w:r>
      <w:r w:rsidR="00770B6C" w:rsidRPr="00FF1C6C">
        <w:rPr>
          <w:spacing w:val="2"/>
        </w:rPr>
        <w:t>Review of contents of programmes and textbooks in primary education with a view to better reflecting aspects specific to girls.</w:t>
      </w:r>
      <w:r w:rsidR="005E03D8" w:rsidRPr="00FF1C6C">
        <w:rPr>
          <w:spacing w:val="2"/>
        </w:rPr>
        <w:t xml:space="preserve"> </w:t>
      </w:r>
      <w:r w:rsidR="00770B6C" w:rsidRPr="00FF1C6C">
        <w:rPr>
          <w:spacing w:val="2"/>
        </w:rPr>
        <w:t xml:space="preserve">Modules devoted to </w:t>
      </w:r>
      <w:r w:rsidRPr="00FF1C6C">
        <w:rPr>
          <w:spacing w:val="2"/>
        </w:rPr>
        <w:t>“</w:t>
      </w:r>
      <w:r w:rsidR="00770B6C" w:rsidRPr="00FF1C6C">
        <w:rPr>
          <w:spacing w:val="2"/>
        </w:rPr>
        <w:t>gender</w:t>
      </w:r>
      <w:r w:rsidRPr="00FF1C6C">
        <w:rPr>
          <w:spacing w:val="2"/>
        </w:rPr>
        <w:t>”</w:t>
      </w:r>
      <w:r w:rsidR="00770B6C" w:rsidRPr="00FF1C6C">
        <w:rPr>
          <w:spacing w:val="2"/>
        </w:rPr>
        <w:t xml:space="preserve"> have been included in the training programmes of primary education teachers;</w:t>
      </w:r>
    </w:p>
    <w:p w:rsidR="00770B6C" w:rsidRDefault="001E33E4" w:rsidP="00770B6C">
      <w:pPr>
        <w:pStyle w:val="SingleTxt"/>
      </w:pPr>
      <w:r>
        <w:tab/>
      </w:r>
      <w:r w:rsidR="00770B6C">
        <w:t>(d)</w:t>
      </w:r>
      <w:r>
        <w:tab/>
      </w:r>
      <w:r w:rsidR="00770B6C" w:rsidRPr="00FF1C6C">
        <w:rPr>
          <w:spacing w:val="2"/>
        </w:rPr>
        <w:t>The building of washrooms, playgrounds and other facilities specifically for girls.</w:t>
      </w:r>
      <w:r w:rsidR="005E03D8" w:rsidRPr="00FF1C6C">
        <w:rPr>
          <w:spacing w:val="2"/>
        </w:rPr>
        <w:t xml:space="preserve"> </w:t>
      </w:r>
      <w:r w:rsidR="00770B6C" w:rsidRPr="00FF1C6C">
        <w:rPr>
          <w:spacing w:val="2"/>
        </w:rPr>
        <w:t>As part of the Education Sector Investment Programme I and II, 6,685 infrastructure projects of this kind were completed by the National Investment Agency for the Territorial Units (ANCIT) and other participants during the 2008-2009 school year, and another 4,432 projects are planned for 2009-2010.</w:t>
      </w:r>
      <w:r w:rsidR="005E03D8" w:rsidRPr="00FF1C6C">
        <w:rPr>
          <w:spacing w:val="2"/>
        </w:rPr>
        <w:t xml:space="preserve"> </w:t>
      </w:r>
      <w:r w:rsidR="00770B6C" w:rsidRPr="00FF1C6C">
        <w:rPr>
          <w:spacing w:val="2"/>
        </w:rPr>
        <w:t>These washrooms, playgrounds and</w:t>
      </w:r>
      <w:r w:rsidR="00770B6C">
        <w:t xml:space="preserve"> other facilities specifically for girls are placed at an appropriate distance from those for boys</w:t>
      </w:r>
      <w:r>
        <w:t>;</w:t>
      </w:r>
    </w:p>
    <w:p w:rsidR="00770B6C" w:rsidRDefault="001E33E4" w:rsidP="00770B6C">
      <w:pPr>
        <w:pStyle w:val="SingleTxt"/>
      </w:pPr>
      <w:r>
        <w:tab/>
      </w:r>
      <w:r w:rsidR="00770B6C">
        <w:t>(e)</w:t>
      </w:r>
      <w:r>
        <w:tab/>
      </w:r>
      <w:r w:rsidR="00770B6C">
        <w:t>Prohibition under internal regulations of all forms of discrimination or practices based on sex, all forms of violence (insults, bullying, licentious acts, gestures or speech) and all violations of the Rights of the Child;</w:t>
      </w:r>
    </w:p>
    <w:p w:rsidR="00770B6C" w:rsidRDefault="001E33E4" w:rsidP="00770B6C">
      <w:pPr>
        <w:pStyle w:val="SingleTxt"/>
      </w:pPr>
      <w:r>
        <w:tab/>
      </w:r>
      <w:r w:rsidR="00770B6C">
        <w:t>(f)</w:t>
      </w:r>
      <w:r>
        <w:tab/>
      </w:r>
      <w:r w:rsidR="00770B6C">
        <w:t>Effective implementation of an awareness campaign to promote education of girls and to encourage girls to take up the teaching profession, through the media, opinion leaders, parent-teacher associations, women</w:t>
      </w:r>
      <w:r>
        <w:t>’</w:t>
      </w:r>
      <w:r w:rsidR="00770B6C">
        <w:t xml:space="preserve">s </w:t>
      </w:r>
      <w:r w:rsidR="009353B4">
        <w:t>associations</w:t>
      </w:r>
      <w:r w:rsidR="00770B6C">
        <w:t>, women parliamentarians, and so forth;</w:t>
      </w:r>
    </w:p>
    <w:p w:rsidR="00770B6C" w:rsidRPr="00FF1C6C" w:rsidRDefault="001E33E4" w:rsidP="00770B6C">
      <w:pPr>
        <w:pStyle w:val="SingleTxt"/>
        <w:rPr>
          <w:spacing w:val="2"/>
          <w:w w:val="100"/>
        </w:rPr>
      </w:pPr>
      <w:r>
        <w:tab/>
      </w:r>
      <w:r w:rsidR="00770B6C">
        <w:t>(g)</w:t>
      </w:r>
      <w:r>
        <w:tab/>
      </w:r>
      <w:r w:rsidR="00770B6C" w:rsidRPr="00FF1C6C">
        <w:rPr>
          <w:spacing w:val="2"/>
          <w:w w:val="100"/>
        </w:rPr>
        <w:t>Crediting girls with 2 bonus points to facilitate their obtaining study grants;</w:t>
      </w:r>
    </w:p>
    <w:p w:rsidR="00770B6C" w:rsidRDefault="001E33E4" w:rsidP="00770B6C">
      <w:pPr>
        <w:pStyle w:val="SingleTxt"/>
      </w:pPr>
      <w:r>
        <w:tab/>
      </w:r>
      <w:r w:rsidR="00770B6C">
        <w:t>(h)</w:t>
      </w:r>
      <w:r>
        <w:tab/>
      </w:r>
      <w:r w:rsidR="00770B6C">
        <w:t>The monitoring of girls in higher education provided by NGOs (Soroptimist, Malian Association of Women Engineers);</w:t>
      </w:r>
    </w:p>
    <w:p w:rsidR="00770B6C" w:rsidRDefault="001E33E4" w:rsidP="00770B6C">
      <w:pPr>
        <w:pStyle w:val="SingleTxt"/>
      </w:pPr>
      <w:r>
        <w:tab/>
      </w:r>
      <w:r w:rsidR="00770B6C">
        <w:t>(i)</w:t>
      </w:r>
      <w:r>
        <w:tab/>
      </w:r>
      <w:r w:rsidR="00770B6C">
        <w:t>The building of school canteens (658 public, 48 private, 88 community and 17 for medersas, i.e. a total of 811 in 2008 for 17,277 children);</w:t>
      </w:r>
    </w:p>
    <w:p w:rsidR="00770B6C" w:rsidRDefault="001E33E4" w:rsidP="00770B6C">
      <w:pPr>
        <w:pStyle w:val="SingleTxt"/>
      </w:pPr>
      <w:r>
        <w:tab/>
      </w:r>
      <w:r w:rsidR="00770B6C">
        <w:t>(j)</w:t>
      </w:r>
      <w:r>
        <w:tab/>
      </w:r>
      <w:r w:rsidR="00770B6C">
        <w:t>Creation of literacy centres and establishment of literacy programmes for women in all regions of the country and in Bamako District;</w:t>
      </w:r>
    </w:p>
    <w:p w:rsidR="00770B6C" w:rsidRDefault="001E33E4" w:rsidP="00770B6C">
      <w:pPr>
        <w:pStyle w:val="SingleTxt"/>
      </w:pPr>
      <w:r>
        <w:tab/>
      </w:r>
      <w:r w:rsidR="00770B6C">
        <w:t>(k)</w:t>
      </w:r>
      <w:r>
        <w:tab/>
      </w:r>
      <w:r w:rsidR="00770B6C">
        <w:t xml:space="preserve">Creation of Functional Literacy Centres (1,811 centres in 2008 serving 61,057 enrolled auditors, of whom 40 per cent are women; 3,343 instructors of </w:t>
      </w:r>
      <w:r w:rsidR="00770B6C">
        <w:lastRenderedPageBreak/>
        <w:t>whom 46 per cent are women and 24,050 newly literate, of whom 24 per cent are women);</w:t>
      </w:r>
    </w:p>
    <w:p w:rsidR="005E1F07" w:rsidRDefault="001E33E4" w:rsidP="00770B6C">
      <w:pPr>
        <w:pStyle w:val="SingleTxt"/>
      </w:pPr>
      <w:r>
        <w:tab/>
      </w:r>
      <w:r w:rsidR="00770B6C">
        <w:t>(l)</w:t>
      </w:r>
      <w:r>
        <w:tab/>
      </w:r>
      <w:r w:rsidR="00770B6C">
        <w:t>Creation of Centres of Education for Development (2,420 centres created in 2006 and 1,302 in 2008, serving 31,747 students of whom 49 per cent are girls, and 1,363 teachers of whom 24 per cent are women).</w:t>
      </w:r>
    </w:p>
    <w:p w:rsidR="001E33E4" w:rsidRPr="001E33E4" w:rsidRDefault="001E33E4" w:rsidP="001E33E4">
      <w:pPr>
        <w:pStyle w:val="SingleTxt"/>
        <w:spacing w:after="0" w:line="120" w:lineRule="exact"/>
        <w:rPr>
          <w:sz w:val="10"/>
        </w:rPr>
      </w:pPr>
    </w:p>
    <w:p w:rsidR="005E1F07" w:rsidRDefault="001E33E4" w:rsidP="001E33E4">
      <w:pPr>
        <w:pStyle w:val="H23"/>
        <w:ind w:right="1260"/>
      </w:pPr>
      <w:r>
        <w:tab/>
      </w:r>
      <w:r>
        <w:tab/>
      </w:r>
      <w:r w:rsidR="00770B6C">
        <w:t>Results and constraints:</w:t>
      </w:r>
    </w:p>
    <w:p w:rsidR="001E33E4" w:rsidRPr="001E33E4" w:rsidRDefault="001E33E4" w:rsidP="001E33E4">
      <w:pPr>
        <w:pStyle w:val="SingleTxt"/>
        <w:spacing w:after="0" w:line="120" w:lineRule="exact"/>
        <w:rPr>
          <w:sz w:val="10"/>
        </w:rPr>
      </w:pPr>
    </w:p>
    <w:p w:rsidR="005E1F07" w:rsidRDefault="00770B6C" w:rsidP="00770B6C">
      <w:pPr>
        <w:pStyle w:val="SingleTxt"/>
      </w:pPr>
      <w:r>
        <w:t>58.</w:t>
      </w:r>
      <w:r w:rsidR="001E33E4">
        <w:tab/>
      </w:r>
      <w:r>
        <w:t>All of the activities conducted have contributed to a positive trend in indicators of schooling for girls.</w:t>
      </w:r>
    </w:p>
    <w:p w:rsidR="005E1F07" w:rsidRDefault="00770B6C" w:rsidP="00770B6C">
      <w:pPr>
        <w:pStyle w:val="SingleTxt"/>
      </w:pPr>
      <w:r>
        <w:t>59.</w:t>
      </w:r>
      <w:r w:rsidR="001E33E4">
        <w:tab/>
      </w:r>
      <w:r>
        <w:t>School enrolment of girls has increased: 53.7 per cent in 2002-2003, 65.1 per cent in 2005</w:t>
      </w:r>
      <w:r w:rsidR="001E33E4">
        <w:t>-</w:t>
      </w:r>
      <w:r>
        <w:t>2006, 68.0 per cent in 2006</w:t>
      </w:r>
      <w:r w:rsidR="001E33E4">
        <w:t>-</w:t>
      </w:r>
      <w:r>
        <w:t>2007, 70.7 per cent in 2007</w:t>
      </w:r>
      <w:r w:rsidR="001E33E4">
        <w:t>-</w:t>
      </w:r>
      <w:r>
        <w:t>2008, 73 per cent in 2008-2009, 71.8 per cent in 2009-2010 and 74.0 per cent in 2010-2011.</w:t>
      </w:r>
    </w:p>
    <w:p w:rsidR="005E1F07" w:rsidRDefault="00770B6C" w:rsidP="00770B6C">
      <w:pPr>
        <w:pStyle w:val="SingleTxt"/>
      </w:pPr>
      <w:r>
        <w:t>60.</w:t>
      </w:r>
      <w:r w:rsidR="001E33E4">
        <w:tab/>
      </w:r>
      <w:r>
        <w:t>In spite of the progress that has been made, there is still a considerable gap between boys and girls.</w:t>
      </w:r>
    </w:p>
    <w:p w:rsidR="005E1F07" w:rsidRDefault="00770B6C" w:rsidP="00770B6C">
      <w:pPr>
        <w:pStyle w:val="SingleTxt"/>
      </w:pPr>
      <w:r>
        <w:t>61.</w:t>
      </w:r>
      <w:r w:rsidR="001E33E4">
        <w:tab/>
      </w:r>
      <w:r>
        <w:t>In 2007-2008, 42.9 per cent of girls finished primary school and 23.1 per cent finished secondary; in 2010-2011 the proportions were 51 per cent for primary and 29.10 per cent for secondary.</w:t>
      </w:r>
    </w:p>
    <w:p w:rsidR="005E1F07" w:rsidRDefault="00770B6C" w:rsidP="00770B6C">
      <w:pPr>
        <w:pStyle w:val="SingleTxt"/>
      </w:pPr>
      <w:r>
        <w:t>62.</w:t>
      </w:r>
      <w:r w:rsidR="00FF1C6C">
        <w:tab/>
      </w:r>
      <w:r>
        <w:t>In 2004-2005, 8.7 per cent of girls dropped out of primary school.</w:t>
      </w:r>
      <w:r w:rsidR="005E03D8">
        <w:t xml:space="preserve"> </w:t>
      </w:r>
      <w:r>
        <w:t>This rate changed to 9.8 per cent in 2005-2006 and 9.45 in 2006-2007, and 9.7 per cent in 2007-2008.</w:t>
      </w:r>
    </w:p>
    <w:p w:rsidR="005E1F07" w:rsidRDefault="00770B6C" w:rsidP="00770B6C">
      <w:pPr>
        <w:pStyle w:val="SingleTxt"/>
      </w:pPr>
      <w:r>
        <w:t>63.</w:t>
      </w:r>
      <w:r w:rsidR="001E33E4">
        <w:tab/>
      </w:r>
      <w:r>
        <w:t>With regard to female literacy, the rate increased from 15.9 per cent in 2003 to 18.2 per cent in 2006.</w:t>
      </w:r>
    </w:p>
    <w:p w:rsidR="005E1F07" w:rsidRPr="00FF1C6C" w:rsidRDefault="00770B6C" w:rsidP="00770B6C">
      <w:pPr>
        <w:pStyle w:val="SingleTxt"/>
        <w:rPr>
          <w:spacing w:val="2"/>
        </w:rPr>
      </w:pPr>
      <w:r>
        <w:t>64.</w:t>
      </w:r>
      <w:r w:rsidR="001E33E4">
        <w:tab/>
      </w:r>
      <w:r w:rsidRPr="00FF1C6C">
        <w:rPr>
          <w:spacing w:val="2"/>
        </w:rPr>
        <w:t>A major constraint remains providing outlets for girls who have finished the programme offered by the Centres for Education in Support of Development (CEDs).</w:t>
      </w:r>
      <w:r w:rsidR="005E03D8" w:rsidRPr="00FF1C6C">
        <w:rPr>
          <w:spacing w:val="2"/>
        </w:rPr>
        <w:t xml:space="preserve"> </w:t>
      </w:r>
      <w:r w:rsidRPr="00FF1C6C">
        <w:rPr>
          <w:spacing w:val="2"/>
        </w:rPr>
        <w:t>Apart from such traditional work as nurse-matrons or association administrators, the job opportunities available to women in the villages are very limited.</w:t>
      </w:r>
    </w:p>
    <w:p w:rsidR="005E1F07" w:rsidRDefault="00770B6C" w:rsidP="00770B6C">
      <w:pPr>
        <w:pStyle w:val="SingleTxt"/>
      </w:pPr>
      <w:r>
        <w:t>65.</w:t>
      </w:r>
      <w:r w:rsidR="001E33E4">
        <w:tab/>
      </w:r>
      <w:r>
        <w:t>The dropout rate due to early marriage of girls presents a major challenge for the Government.</w:t>
      </w:r>
    </w:p>
    <w:p w:rsidR="005E1F07" w:rsidRDefault="00770B6C" w:rsidP="00770B6C">
      <w:pPr>
        <w:pStyle w:val="SingleTxt"/>
      </w:pPr>
      <w:r>
        <w:t>66.</w:t>
      </w:r>
      <w:r w:rsidR="001E33E4">
        <w:tab/>
      </w:r>
      <w:r>
        <w:t>The low literacy rate is due to certain limiting factors that are often complex, in particular:</w:t>
      </w:r>
    </w:p>
    <w:p w:rsidR="00770B6C" w:rsidRDefault="001E33E4" w:rsidP="001E33E4">
      <w:pPr>
        <w:pStyle w:val="SingleTxt"/>
        <w:tabs>
          <w:tab w:val="right" w:pos="1685"/>
        </w:tabs>
        <w:ind w:left="1742" w:hanging="475"/>
      </w:pPr>
      <w:r>
        <w:tab/>
      </w:r>
      <w:r w:rsidR="00770B6C">
        <w:t>•</w:t>
      </w:r>
      <w:r w:rsidR="00770B6C">
        <w:tab/>
        <w:t>The fact that the course curriculum is not specifically tailored to women</w:t>
      </w:r>
      <w:r>
        <w:t>’</w:t>
      </w:r>
      <w:r w:rsidR="00770B6C">
        <w:t>s needs;</w:t>
      </w:r>
    </w:p>
    <w:p w:rsidR="00770B6C" w:rsidRDefault="001E33E4" w:rsidP="001E33E4">
      <w:pPr>
        <w:pStyle w:val="SingleTxt"/>
        <w:tabs>
          <w:tab w:val="right" w:pos="1685"/>
        </w:tabs>
        <w:ind w:left="1742" w:hanging="475"/>
      </w:pPr>
      <w:r>
        <w:tab/>
      </w:r>
      <w:r w:rsidR="00770B6C">
        <w:t>•</w:t>
      </w:r>
      <w:r w:rsidR="00770B6C">
        <w:tab/>
        <w:t>The excessive workload of women in rural areas;</w:t>
      </w:r>
    </w:p>
    <w:p w:rsidR="00770B6C" w:rsidRDefault="001E33E4" w:rsidP="001E33E4">
      <w:pPr>
        <w:pStyle w:val="SingleTxt"/>
        <w:tabs>
          <w:tab w:val="right" w:pos="1685"/>
        </w:tabs>
        <w:ind w:left="1742" w:hanging="475"/>
      </w:pPr>
      <w:r>
        <w:tab/>
      </w:r>
      <w:r w:rsidR="00770B6C">
        <w:t>•</w:t>
      </w:r>
      <w:r w:rsidR="00770B6C">
        <w:tab/>
        <w:t>Sociocultural constraints (husbands</w:t>
      </w:r>
      <w:r>
        <w:t>’</w:t>
      </w:r>
      <w:r w:rsidR="00770B6C">
        <w:t xml:space="preserve"> refusal to allow their wives to attend classes, social division of labour, etc.);</w:t>
      </w:r>
    </w:p>
    <w:p w:rsidR="00770B6C" w:rsidRDefault="001E33E4" w:rsidP="001E33E4">
      <w:pPr>
        <w:pStyle w:val="SingleTxt"/>
        <w:tabs>
          <w:tab w:val="right" w:pos="1685"/>
        </w:tabs>
        <w:ind w:left="1742" w:hanging="475"/>
      </w:pPr>
      <w:r>
        <w:tab/>
      </w:r>
      <w:r w:rsidR="00770B6C">
        <w:t>•</w:t>
      </w:r>
      <w:r w:rsidR="00770B6C">
        <w:tab/>
        <w:t>A lack of teaching materials and women</w:t>
      </w:r>
      <w:r>
        <w:t>’</w:t>
      </w:r>
      <w:r w:rsidR="00770B6C">
        <w:t>s inability to afford them;</w:t>
      </w:r>
    </w:p>
    <w:p w:rsidR="005E1F07" w:rsidRDefault="001E33E4" w:rsidP="001E33E4">
      <w:pPr>
        <w:pStyle w:val="SingleTxt"/>
        <w:tabs>
          <w:tab w:val="right" w:pos="1685"/>
        </w:tabs>
        <w:ind w:left="1742" w:hanging="475"/>
      </w:pPr>
      <w:r>
        <w:tab/>
      </w:r>
      <w:r w:rsidR="00770B6C">
        <w:t>•</w:t>
      </w:r>
      <w:r w:rsidR="00770B6C">
        <w:tab/>
        <w:t>The fact that women are not free to take classes as a result of having a large number of closely-spaced pregnancies.</w:t>
      </w:r>
    </w:p>
    <w:p w:rsidR="00FF1C6C" w:rsidRPr="00FF1C6C" w:rsidRDefault="00FF1C6C" w:rsidP="00FF1C6C">
      <w:pPr>
        <w:pStyle w:val="SingleTxt"/>
        <w:tabs>
          <w:tab w:val="right" w:pos="1685"/>
        </w:tabs>
        <w:spacing w:after="0" w:line="120" w:lineRule="exact"/>
        <w:ind w:left="1742" w:hanging="475"/>
        <w:rPr>
          <w:sz w:val="10"/>
        </w:rPr>
      </w:pPr>
    </w:p>
    <w:p w:rsidR="00770B6C" w:rsidRDefault="00FF1C6C" w:rsidP="008E3830">
      <w:pPr>
        <w:pStyle w:val="H23"/>
        <w:ind w:right="1260"/>
      </w:pPr>
      <w:r>
        <w:lastRenderedPageBreak/>
        <w:tab/>
      </w:r>
      <w:r w:rsidR="00770B6C">
        <w:t>1.1</w:t>
      </w:r>
      <w:r>
        <w:tab/>
      </w:r>
      <w:r w:rsidR="00770B6C">
        <w:t>Primary education</w:t>
      </w:r>
    </w:p>
    <w:p w:rsidR="00FF1C6C" w:rsidRPr="00FF1C6C" w:rsidRDefault="00FF1C6C" w:rsidP="008E3830">
      <w:pPr>
        <w:pStyle w:val="SingleTxt"/>
        <w:keepNext/>
        <w:keepLines/>
        <w:spacing w:after="0" w:line="120" w:lineRule="exact"/>
        <w:rPr>
          <w:sz w:val="10"/>
        </w:rPr>
      </w:pPr>
    </w:p>
    <w:p w:rsidR="00770B6C" w:rsidRPr="00FF1C6C" w:rsidRDefault="00770B6C" w:rsidP="008E3830">
      <w:pPr>
        <w:pStyle w:val="H23"/>
        <w:ind w:right="1260"/>
        <w:rPr>
          <w:b w:val="0"/>
        </w:rPr>
      </w:pPr>
      <w:r w:rsidRPr="00FF1C6C">
        <w:rPr>
          <w:b w:val="0"/>
        </w:rPr>
        <w:t>Table 3</w:t>
      </w:r>
    </w:p>
    <w:p w:rsidR="00770B6C" w:rsidRDefault="00770B6C" w:rsidP="008E3830">
      <w:pPr>
        <w:pStyle w:val="H23"/>
        <w:ind w:right="1260"/>
      </w:pPr>
      <w:r>
        <w:t>Evolution of the gross school enrolment ratio by gender and by level of education</w:t>
      </w:r>
    </w:p>
    <w:p w:rsidR="00FF1C6C" w:rsidRPr="00FF1C6C" w:rsidRDefault="00FF1C6C" w:rsidP="008E3830">
      <w:pPr>
        <w:pStyle w:val="SingleTxt"/>
        <w:keepNext/>
        <w:keepLines/>
        <w:spacing w:after="0" w:line="120" w:lineRule="exact"/>
        <w:rPr>
          <w:sz w:val="10"/>
        </w:rPr>
      </w:pPr>
    </w:p>
    <w:tbl>
      <w:tblPr>
        <w:tblStyle w:val="TableGrid"/>
        <w:tblW w:w="9855"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1"/>
        <w:gridCol w:w="720"/>
        <w:gridCol w:w="756"/>
        <w:gridCol w:w="756"/>
        <w:gridCol w:w="756"/>
        <w:gridCol w:w="756"/>
        <w:gridCol w:w="756"/>
        <w:gridCol w:w="756"/>
        <w:gridCol w:w="756"/>
        <w:gridCol w:w="756"/>
        <w:gridCol w:w="756"/>
      </w:tblGrid>
      <w:tr w:rsidR="008E3830" w:rsidRPr="008E3830" w:rsidTr="008E3830">
        <w:trPr>
          <w:tblHeader/>
        </w:trPr>
        <w:tc>
          <w:tcPr>
            <w:tcW w:w="2331"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8E3830">
              <w:rPr>
                <w:i/>
                <w:sz w:val="14"/>
              </w:rPr>
              <w:t>Level of education</w:t>
            </w:r>
          </w:p>
        </w:tc>
        <w:tc>
          <w:tcPr>
            <w:tcW w:w="720"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r w:rsidRPr="008E3830">
              <w:rPr>
                <w:i/>
                <w:sz w:val="14"/>
              </w:rPr>
              <w:t>Sex</w:t>
            </w:r>
          </w:p>
        </w:tc>
        <w:tc>
          <w:tcPr>
            <w:tcW w:w="756"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E3830">
              <w:rPr>
                <w:i/>
                <w:sz w:val="14"/>
              </w:rPr>
              <w:t>2002/2003</w:t>
            </w:r>
          </w:p>
        </w:tc>
        <w:tc>
          <w:tcPr>
            <w:tcW w:w="756"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E3830">
              <w:rPr>
                <w:i/>
                <w:sz w:val="14"/>
              </w:rPr>
              <w:t>2003/2004</w:t>
            </w:r>
          </w:p>
        </w:tc>
        <w:tc>
          <w:tcPr>
            <w:tcW w:w="756"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E3830">
              <w:rPr>
                <w:i/>
                <w:sz w:val="14"/>
              </w:rPr>
              <w:t>2004/2005</w:t>
            </w:r>
          </w:p>
        </w:tc>
        <w:tc>
          <w:tcPr>
            <w:tcW w:w="756"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E3830">
              <w:rPr>
                <w:i/>
                <w:sz w:val="14"/>
              </w:rPr>
              <w:t>2005/2006</w:t>
            </w:r>
          </w:p>
        </w:tc>
        <w:tc>
          <w:tcPr>
            <w:tcW w:w="756"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E3830">
              <w:rPr>
                <w:i/>
                <w:sz w:val="14"/>
              </w:rPr>
              <w:t>2006/2007</w:t>
            </w:r>
          </w:p>
        </w:tc>
        <w:tc>
          <w:tcPr>
            <w:tcW w:w="756"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E3830">
              <w:rPr>
                <w:i/>
                <w:sz w:val="14"/>
              </w:rPr>
              <w:t>2007/2008</w:t>
            </w:r>
          </w:p>
        </w:tc>
        <w:tc>
          <w:tcPr>
            <w:tcW w:w="756"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E3830">
              <w:rPr>
                <w:i/>
                <w:sz w:val="14"/>
              </w:rPr>
              <w:t>2008/2009</w:t>
            </w:r>
          </w:p>
        </w:tc>
        <w:tc>
          <w:tcPr>
            <w:tcW w:w="756"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E3830">
              <w:rPr>
                <w:i/>
                <w:sz w:val="14"/>
              </w:rPr>
              <w:t>2009/2010</w:t>
            </w:r>
          </w:p>
        </w:tc>
        <w:tc>
          <w:tcPr>
            <w:tcW w:w="756" w:type="dxa"/>
            <w:tcBorders>
              <w:top w:val="single" w:sz="4" w:space="0" w:color="auto"/>
              <w:bottom w:val="single" w:sz="12" w:space="0" w:color="auto"/>
            </w:tcBorders>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E3830">
              <w:rPr>
                <w:i/>
                <w:sz w:val="14"/>
              </w:rPr>
              <w:t>2010/2011</w:t>
            </w:r>
          </w:p>
        </w:tc>
      </w:tr>
      <w:tr w:rsidR="008E3830" w:rsidRPr="008E3830" w:rsidTr="008E3830">
        <w:trPr>
          <w:trHeight w:hRule="exact" w:val="115"/>
          <w:tblHeader/>
        </w:trPr>
        <w:tc>
          <w:tcPr>
            <w:tcW w:w="2331"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20"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rPr>
            </w:pPr>
          </w:p>
        </w:tc>
        <w:tc>
          <w:tcPr>
            <w:tcW w:w="756"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6"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6"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6"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6"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6"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6"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6"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6" w:type="dxa"/>
            <w:tcBorders>
              <w:top w:val="single" w:sz="12" w:space="0" w:color="auto"/>
            </w:tcBorders>
            <w:shd w:val="clear" w:color="auto" w:fill="auto"/>
            <w:vAlign w:val="bottom"/>
          </w:tcPr>
          <w:p w:rsidR="008E3830" w:rsidRPr="008E3830" w:rsidRDefault="008E3830"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8E3830" w:rsidRPr="008E3830" w:rsidTr="008E3830">
        <w:tc>
          <w:tcPr>
            <w:tcW w:w="2331"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E3830">
              <w:rPr>
                <w:sz w:val="17"/>
              </w:rPr>
              <w:t>Preschool</w:t>
            </w:r>
          </w:p>
        </w:tc>
        <w:tc>
          <w:tcPr>
            <w:tcW w:w="720"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Girl</w:t>
            </w: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8E3830" w:rsidRPr="008E3830" w:rsidTr="008E3830">
        <w:tc>
          <w:tcPr>
            <w:tcW w:w="2331"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Boy</w:t>
            </w: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8E3830" w:rsidRPr="008E3830" w:rsidTr="008E3830">
        <w:tc>
          <w:tcPr>
            <w:tcW w:w="2331"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E3830">
              <w:rPr>
                <w:sz w:val="17"/>
              </w:rPr>
              <w:t>Primary</w:t>
            </w:r>
          </w:p>
        </w:tc>
        <w:tc>
          <w:tcPr>
            <w:tcW w:w="720"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Girls</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56.4%</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59.9%</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63.4%</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65.1%</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68.0%</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70.7%</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73.0%</w:t>
            </w:r>
          </w:p>
        </w:tc>
        <w:tc>
          <w:tcPr>
            <w:tcW w:w="756" w:type="dxa"/>
            <w:shd w:val="clear" w:color="auto" w:fill="auto"/>
            <w:vAlign w:val="bottom"/>
          </w:tcPr>
          <w:p w:rsidR="009121CF" w:rsidRPr="008E3830" w:rsidRDefault="008E3830"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71.8%</w:t>
            </w:r>
          </w:p>
        </w:tc>
        <w:tc>
          <w:tcPr>
            <w:tcW w:w="756" w:type="dxa"/>
            <w:shd w:val="clear" w:color="auto" w:fill="auto"/>
            <w:vAlign w:val="bottom"/>
          </w:tcPr>
          <w:p w:rsidR="009121CF" w:rsidRPr="008E3830" w:rsidRDefault="008E3830"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74.0%</w:t>
            </w:r>
          </w:p>
        </w:tc>
      </w:tr>
      <w:tr w:rsidR="008E3830" w:rsidRPr="008E3830" w:rsidTr="008E3830">
        <w:tc>
          <w:tcPr>
            <w:tcW w:w="2331"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Boys</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77.6%</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81.3%</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85%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85.1%</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87.5%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89.5%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91.2%</w:t>
            </w:r>
          </w:p>
        </w:tc>
        <w:tc>
          <w:tcPr>
            <w:tcW w:w="756" w:type="dxa"/>
            <w:shd w:val="clear" w:color="auto" w:fill="auto"/>
            <w:vAlign w:val="bottom"/>
          </w:tcPr>
          <w:p w:rsidR="009121CF" w:rsidRPr="008E3830" w:rsidRDefault="008E3830"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87.4%</w:t>
            </w:r>
          </w:p>
        </w:tc>
        <w:tc>
          <w:tcPr>
            <w:tcW w:w="756" w:type="dxa"/>
            <w:shd w:val="clear" w:color="auto" w:fill="auto"/>
            <w:vAlign w:val="bottom"/>
          </w:tcPr>
          <w:p w:rsidR="009121CF" w:rsidRPr="008E3830" w:rsidRDefault="008E3830"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89.1%</w:t>
            </w:r>
          </w:p>
        </w:tc>
      </w:tr>
      <w:tr w:rsidR="008E3830" w:rsidRPr="008E3830" w:rsidTr="008E3830">
        <w:tc>
          <w:tcPr>
            <w:tcW w:w="2331"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E3830">
              <w:rPr>
                <w:sz w:val="17"/>
              </w:rPr>
              <w:t>Middle</w:t>
            </w:r>
          </w:p>
        </w:tc>
        <w:tc>
          <w:tcPr>
            <w:tcW w:w="720"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Girls</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21.7%</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25.4%</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28.5%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31.1%</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34.1%</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36.6%</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39.6%</w:t>
            </w:r>
          </w:p>
        </w:tc>
        <w:tc>
          <w:tcPr>
            <w:tcW w:w="756" w:type="dxa"/>
            <w:shd w:val="clear" w:color="auto" w:fill="auto"/>
            <w:vAlign w:val="bottom"/>
          </w:tcPr>
          <w:p w:rsidR="009121CF" w:rsidRPr="008E3830" w:rsidRDefault="008E3830"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41.8%</w:t>
            </w:r>
          </w:p>
        </w:tc>
        <w:tc>
          <w:tcPr>
            <w:tcW w:w="756" w:type="dxa"/>
            <w:shd w:val="clear" w:color="auto" w:fill="auto"/>
            <w:vAlign w:val="bottom"/>
          </w:tcPr>
          <w:p w:rsidR="009121CF" w:rsidRPr="008E3830" w:rsidRDefault="008E3830"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46.0%</w:t>
            </w:r>
          </w:p>
        </w:tc>
      </w:tr>
      <w:tr w:rsidR="008E3830" w:rsidRPr="008E3830" w:rsidTr="008E3830">
        <w:tc>
          <w:tcPr>
            <w:tcW w:w="2331"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Boys</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38.5%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43.7%</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47.7%</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52.21%</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54.9%</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55.3%</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59.9%</w:t>
            </w:r>
          </w:p>
        </w:tc>
        <w:tc>
          <w:tcPr>
            <w:tcW w:w="756" w:type="dxa"/>
            <w:shd w:val="clear" w:color="auto" w:fill="auto"/>
            <w:vAlign w:val="bottom"/>
          </w:tcPr>
          <w:p w:rsidR="009121CF" w:rsidRPr="008E3830" w:rsidRDefault="008E3830"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60.0%</w:t>
            </w:r>
          </w:p>
        </w:tc>
        <w:tc>
          <w:tcPr>
            <w:tcW w:w="756" w:type="dxa"/>
            <w:shd w:val="clear" w:color="auto" w:fill="auto"/>
            <w:vAlign w:val="bottom"/>
          </w:tcPr>
          <w:p w:rsidR="009121CF" w:rsidRPr="008E3830" w:rsidRDefault="008E3830"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63.9%</w:t>
            </w:r>
          </w:p>
        </w:tc>
      </w:tr>
      <w:tr w:rsidR="008E3830" w:rsidRPr="008E3830" w:rsidTr="008E3830">
        <w:tc>
          <w:tcPr>
            <w:tcW w:w="2331"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E3830">
              <w:rPr>
                <w:sz w:val="17"/>
              </w:rPr>
              <w:t>General Secondary</w:t>
            </w:r>
          </w:p>
        </w:tc>
        <w:tc>
          <w:tcPr>
            <w:tcW w:w="720"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Girls</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25.45%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31.27%</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32.37%</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32.63%</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32.6%</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32.5%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8E3830" w:rsidRPr="008E3830" w:rsidTr="008E3830">
        <w:tc>
          <w:tcPr>
            <w:tcW w:w="2331"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Boys</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74.55%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68.73%</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67.63%</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67.37%</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67.4%</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67.5%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8E3830" w:rsidRPr="008E3830" w:rsidTr="008E3830">
        <w:tc>
          <w:tcPr>
            <w:tcW w:w="2331"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r w:rsidRPr="008E3830">
              <w:rPr>
                <w:sz w:val="17"/>
              </w:rPr>
              <w:t>Technical &amp; vocational secondary</w:t>
            </w:r>
          </w:p>
        </w:tc>
        <w:tc>
          <w:tcPr>
            <w:tcW w:w="720"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Girls</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44.99%</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40.52%</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40.47%</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40.94%</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39.5%</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39.9%</w:t>
            </w: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8E3830" w:rsidRPr="008E3830" w:rsidTr="008E3830">
        <w:tc>
          <w:tcPr>
            <w:tcW w:w="2331"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E3830">
              <w:rPr>
                <w:sz w:val="17"/>
              </w:rPr>
              <w:t>Boys</w:t>
            </w:r>
          </w:p>
        </w:tc>
        <w:tc>
          <w:tcPr>
            <w:tcW w:w="756"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55.01%</w:t>
            </w:r>
          </w:p>
        </w:tc>
        <w:tc>
          <w:tcPr>
            <w:tcW w:w="756"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59.48%</w:t>
            </w:r>
          </w:p>
        </w:tc>
        <w:tc>
          <w:tcPr>
            <w:tcW w:w="756"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59.53%</w:t>
            </w:r>
          </w:p>
        </w:tc>
        <w:tc>
          <w:tcPr>
            <w:tcW w:w="756"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59.06%</w:t>
            </w:r>
          </w:p>
        </w:tc>
        <w:tc>
          <w:tcPr>
            <w:tcW w:w="756"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60.5%</w:t>
            </w:r>
          </w:p>
        </w:tc>
        <w:tc>
          <w:tcPr>
            <w:tcW w:w="756"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E3830">
              <w:rPr>
                <w:sz w:val="17"/>
              </w:rPr>
              <w:t>60.1%</w:t>
            </w:r>
          </w:p>
        </w:tc>
        <w:tc>
          <w:tcPr>
            <w:tcW w:w="756"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56" w:type="dxa"/>
            <w:tcBorders>
              <w:bottom w:val="single" w:sz="12" w:space="0" w:color="auto"/>
            </w:tcBorders>
            <w:shd w:val="clear" w:color="auto" w:fill="auto"/>
            <w:vAlign w:val="bottom"/>
          </w:tcPr>
          <w:p w:rsidR="009121CF" w:rsidRPr="008E3830" w:rsidRDefault="009121CF" w:rsidP="008E38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bl>
    <w:p w:rsidR="00E37E3D" w:rsidRPr="008E3830" w:rsidRDefault="00E37E3D" w:rsidP="008E3830">
      <w:pPr>
        <w:pStyle w:val="SingleTxt"/>
        <w:spacing w:after="0" w:line="120" w:lineRule="exact"/>
        <w:rPr>
          <w:sz w:val="10"/>
        </w:rPr>
      </w:pPr>
    </w:p>
    <w:p w:rsidR="005E1F07" w:rsidRDefault="00FF1C6C" w:rsidP="008E3830">
      <w:pPr>
        <w:pStyle w:val="FootnoteText"/>
        <w:tabs>
          <w:tab w:val="clear" w:pos="418"/>
          <w:tab w:val="right" w:pos="216"/>
          <w:tab w:val="left" w:pos="288"/>
          <w:tab w:val="right" w:pos="576"/>
          <w:tab w:val="left" w:pos="648"/>
        </w:tabs>
        <w:ind w:left="288" w:hanging="288"/>
      </w:pPr>
      <w:r>
        <w:tab/>
      </w:r>
      <w:r w:rsidR="00770B6C" w:rsidRPr="00773C9B">
        <w:rPr>
          <w:i/>
        </w:rPr>
        <w:t>Source</w:t>
      </w:r>
      <w:r w:rsidR="00770B6C" w:rsidRPr="00773C9B">
        <w:t>:</w:t>
      </w:r>
      <w:r w:rsidR="00770B6C" w:rsidRPr="00905C5F">
        <w:rPr>
          <w:i/>
        </w:rPr>
        <w:t xml:space="preserve"> EDUCATION_MEN-CPS_Report: Assessment</w:t>
      </w:r>
      <w:r w:rsidR="008E3830" w:rsidRPr="00905C5F">
        <w:rPr>
          <w:i/>
        </w:rPr>
        <w:t xml:space="preserve"> of National Educational System</w:t>
      </w:r>
      <w:r w:rsidR="008E3830">
        <w:t>.</w:t>
      </w:r>
    </w:p>
    <w:p w:rsidR="008E3830" w:rsidRPr="008E3830" w:rsidRDefault="008E3830" w:rsidP="008E3830">
      <w:pPr>
        <w:pStyle w:val="FootnoteText"/>
        <w:tabs>
          <w:tab w:val="clear" w:pos="418"/>
          <w:tab w:val="right" w:pos="216"/>
          <w:tab w:val="left" w:pos="288"/>
          <w:tab w:val="right" w:pos="576"/>
          <w:tab w:val="left" w:pos="648"/>
        </w:tabs>
        <w:spacing w:line="120" w:lineRule="exact"/>
        <w:ind w:left="288" w:hanging="288"/>
        <w:rPr>
          <w:sz w:val="10"/>
        </w:rPr>
      </w:pPr>
    </w:p>
    <w:p w:rsidR="008E3830" w:rsidRPr="008E3830" w:rsidRDefault="008E3830" w:rsidP="008E3830">
      <w:pPr>
        <w:pStyle w:val="FootnoteText"/>
        <w:tabs>
          <w:tab w:val="clear" w:pos="418"/>
          <w:tab w:val="right" w:pos="216"/>
          <w:tab w:val="left" w:pos="288"/>
          <w:tab w:val="right" w:pos="576"/>
          <w:tab w:val="left" w:pos="648"/>
        </w:tabs>
        <w:spacing w:line="120" w:lineRule="exact"/>
        <w:ind w:left="288" w:hanging="288"/>
        <w:rPr>
          <w:sz w:val="10"/>
        </w:rPr>
      </w:pPr>
    </w:p>
    <w:p w:rsidR="008E3830" w:rsidRPr="008E3830" w:rsidRDefault="008E3830" w:rsidP="008E3830">
      <w:pPr>
        <w:pStyle w:val="FootnoteText"/>
        <w:tabs>
          <w:tab w:val="clear" w:pos="418"/>
          <w:tab w:val="right" w:pos="216"/>
          <w:tab w:val="left" w:pos="288"/>
          <w:tab w:val="right" w:pos="576"/>
          <w:tab w:val="left" w:pos="648"/>
        </w:tabs>
        <w:spacing w:line="120" w:lineRule="exact"/>
        <w:ind w:left="288" w:hanging="288"/>
        <w:rPr>
          <w:sz w:val="10"/>
        </w:rPr>
      </w:pPr>
    </w:p>
    <w:p w:rsidR="005E1F07" w:rsidRDefault="008E3830" w:rsidP="008E3830">
      <w:pPr>
        <w:pStyle w:val="H1"/>
        <w:ind w:right="1260"/>
      </w:pPr>
      <w:r>
        <w:tab/>
      </w:r>
      <w:r w:rsidR="00770B6C">
        <w:tab/>
      </w:r>
      <w:r>
        <w:t xml:space="preserve">Article </w:t>
      </w:r>
      <w:r w:rsidR="00770B6C">
        <w:t xml:space="preserve">11: Employment, right to work, social security, choice </w:t>
      </w:r>
      <w:r w:rsidR="00773C9B">
        <w:br/>
      </w:r>
      <w:r w:rsidR="00770B6C">
        <w:t>of occupation</w:t>
      </w:r>
    </w:p>
    <w:p w:rsidR="008E3830" w:rsidRPr="008E3830" w:rsidRDefault="008E3830" w:rsidP="008E3830">
      <w:pPr>
        <w:pStyle w:val="SingleTxt"/>
        <w:spacing w:after="0" w:line="120" w:lineRule="exact"/>
        <w:rPr>
          <w:sz w:val="10"/>
        </w:rPr>
      </w:pPr>
    </w:p>
    <w:p w:rsidR="008E3830" w:rsidRPr="008E3830" w:rsidRDefault="008E3830" w:rsidP="008E3830">
      <w:pPr>
        <w:pStyle w:val="SingleTxt"/>
        <w:spacing w:after="0" w:line="120" w:lineRule="exact"/>
        <w:rPr>
          <w:sz w:val="10"/>
        </w:rPr>
      </w:pPr>
    </w:p>
    <w:p w:rsidR="005E1F07" w:rsidRDefault="008E3830" w:rsidP="008E3830">
      <w:pPr>
        <w:pStyle w:val="H23"/>
        <w:ind w:right="1260"/>
      </w:pPr>
      <w:r>
        <w:tab/>
      </w:r>
      <w:r w:rsidR="00770B6C">
        <w:t>1.</w:t>
      </w:r>
      <w:r w:rsidR="00770B6C">
        <w:tab/>
        <w:t>Elimination of discrimination in general</w:t>
      </w:r>
    </w:p>
    <w:p w:rsidR="008E3830" w:rsidRPr="008E3830" w:rsidRDefault="008E3830" w:rsidP="008E3830">
      <w:pPr>
        <w:pStyle w:val="SingleTxt"/>
        <w:spacing w:after="0" w:line="120" w:lineRule="exact"/>
        <w:rPr>
          <w:sz w:val="10"/>
        </w:rPr>
      </w:pPr>
    </w:p>
    <w:p w:rsidR="005E1F07" w:rsidRDefault="00770B6C" w:rsidP="008E3830">
      <w:pPr>
        <w:pStyle w:val="H23"/>
        <w:ind w:right="1260"/>
      </w:pPr>
      <w:r>
        <w:tab/>
        <w:t>(a)</w:t>
      </w:r>
      <w:r>
        <w:tab/>
        <w:t>The right to work as an inalienable right of all human beings</w:t>
      </w:r>
    </w:p>
    <w:p w:rsidR="008E3830" w:rsidRPr="008E3830" w:rsidRDefault="008E3830" w:rsidP="008E3830">
      <w:pPr>
        <w:pStyle w:val="SingleTxt"/>
        <w:spacing w:after="0" w:line="120" w:lineRule="exact"/>
        <w:rPr>
          <w:sz w:val="10"/>
        </w:rPr>
      </w:pPr>
    </w:p>
    <w:p w:rsidR="005E1F07" w:rsidRDefault="00770B6C" w:rsidP="00770B6C">
      <w:pPr>
        <w:pStyle w:val="SingleTxt"/>
      </w:pPr>
      <w:r>
        <w:t>67.</w:t>
      </w:r>
      <w:r w:rsidR="008E3830">
        <w:tab/>
      </w:r>
      <w:r>
        <w:t>The laws of the Republic of Mali do not contain any provision that discriminates between men and women in regard to their inalienable right to work.</w:t>
      </w:r>
    </w:p>
    <w:p w:rsidR="00770B6C" w:rsidRDefault="00770B6C" w:rsidP="00770B6C">
      <w:pPr>
        <w:pStyle w:val="SingleTxt"/>
      </w:pPr>
      <w:r>
        <w:t>68.</w:t>
      </w:r>
      <w:r w:rsidR="008E3830">
        <w:tab/>
      </w:r>
      <w:r>
        <w:t>Article 19 of Mali</w:t>
      </w:r>
      <w:r w:rsidR="001E33E4">
        <w:t>’</w:t>
      </w:r>
      <w:r>
        <w:t>s 1992 constitution provides that everyone has an equal right to work and to rest.</w:t>
      </w:r>
    </w:p>
    <w:p w:rsidR="005E1F07" w:rsidRDefault="00770B6C" w:rsidP="00770B6C">
      <w:pPr>
        <w:pStyle w:val="SingleTxt"/>
      </w:pPr>
      <w:r>
        <w:tab/>
        <w:t>Law 92-020 of 23 September 1992, establishing the Labour Code, defines a worker and in so doing makes no distinction between men and women.</w:t>
      </w:r>
    </w:p>
    <w:p w:rsidR="008E3830" w:rsidRPr="008E3830" w:rsidRDefault="008E3830" w:rsidP="008E3830">
      <w:pPr>
        <w:pStyle w:val="SingleTxt"/>
        <w:spacing w:after="0" w:line="120" w:lineRule="exact"/>
        <w:rPr>
          <w:sz w:val="10"/>
        </w:rPr>
      </w:pPr>
    </w:p>
    <w:p w:rsidR="005E1F07" w:rsidRDefault="008E3830" w:rsidP="008E3830">
      <w:pPr>
        <w:pStyle w:val="H23"/>
        <w:ind w:right="1260"/>
      </w:pPr>
      <w:r>
        <w:tab/>
      </w:r>
      <w:r w:rsidR="00770B6C">
        <w:t>(b)</w:t>
      </w:r>
      <w:r w:rsidR="00770B6C">
        <w:tab/>
        <w:t>Application of the same criteria for selection in matters of employment</w:t>
      </w:r>
    </w:p>
    <w:p w:rsidR="008E3830" w:rsidRPr="008E3830" w:rsidRDefault="008E3830" w:rsidP="008E3830">
      <w:pPr>
        <w:pStyle w:val="SingleTxt"/>
        <w:spacing w:after="0" w:line="120" w:lineRule="exact"/>
        <w:rPr>
          <w:sz w:val="10"/>
        </w:rPr>
      </w:pPr>
    </w:p>
    <w:p w:rsidR="005E1F07" w:rsidRDefault="00770B6C" w:rsidP="00770B6C">
      <w:pPr>
        <w:pStyle w:val="SingleTxt"/>
        <w:rPr>
          <w:spacing w:val="2"/>
        </w:rPr>
      </w:pPr>
      <w:r>
        <w:t>69.</w:t>
      </w:r>
      <w:r w:rsidR="008E3830">
        <w:tab/>
      </w:r>
      <w:r w:rsidRPr="008E3830">
        <w:rPr>
          <w:spacing w:val="2"/>
        </w:rPr>
        <w:t xml:space="preserve">The composition of the civil service changed from 78.8 per cent men and </w:t>
      </w:r>
      <w:r w:rsidR="008E3830">
        <w:rPr>
          <w:spacing w:val="2"/>
        </w:rPr>
        <w:br/>
      </w:r>
      <w:r w:rsidRPr="008E3830">
        <w:rPr>
          <w:spacing w:val="2"/>
        </w:rPr>
        <w:t>21.2 per cent women in 2002 to 73.3 per cent men and 26.7 per cent women in 2008.</w:t>
      </w:r>
    </w:p>
    <w:p w:rsidR="008E3830" w:rsidRPr="008E3830" w:rsidRDefault="008E3830" w:rsidP="008E3830">
      <w:pPr>
        <w:pStyle w:val="SingleTxt"/>
        <w:spacing w:after="0" w:line="120" w:lineRule="exact"/>
        <w:rPr>
          <w:spacing w:val="2"/>
          <w:sz w:val="10"/>
        </w:rPr>
      </w:pPr>
    </w:p>
    <w:p w:rsidR="00770B6C" w:rsidRPr="008E3830" w:rsidRDefault="008E3830" w:rsidP="00905C5F">
      <w:pPr>
        <w:pStyle w:val="H23"/>
        <w:ind w:right="1260"/>
        <w:rPr>
          <w:b w:val="0"/>
        </w:rPr>
      </w:pPr>
      <w:r>
        <w:lastRenderedPageBreak/>
        <w:tab/>
      </w:r>
      <w:r w:rsidRPr="008E3830">
        <w:rPr>
          <w:b w:val="0"/>
        </w:rPr>
        <w:tab/>
      </w:r>
      <w:r w:rsidR="00770B6C" w:rsidRPr="008E3830">
        <w:rPr>
          <w:b w:val="0"/>
        </w:rPr>
        <w:t>Table 4</w:t>
      </w:r>
    </w:p>
    <w:p w:rsidR="00770B6C" w:rsidRDefault="008E3830" w:rsidP="00905C5F">
      <w:pPr>
        <w:pStyle w:val="H23"/>
        <w:ind w:right="1260"/>
      </w:pPr>
      <w:r>
        <w:tab/>
      </w:r>
      <w:r>
        <w:tab/>
      </w:r>
      <w:r w:rsidR="00770B6C">
        <w:t>Make-up of the civil service by category and sex, 2008</w:t>
      </w:r>
    </w:p>
    <w:p w:rsidR="00B0033C" w:rsidRPr="00B0033C" w:rsidRDefault="00B0033C" w:rsidP="00905C5F">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3"/>
        <w:gridCol w:w="1126"/>
        <w:gridCol w:w="1127"/>
        <w:gridCol w:w="69"/>
        <w:gridCol w:w="1058"/>
        <w:gridCol w:w="1127"/>
        <w:gridCol w:w="1127"/>
      </w:tblGrid>
      <w:tr w:rsidR="00905C5F" w:rsidRPr="00905C5F" w:rsidTr="00905C5F">
        <w:trPr>
          <w:tblHeader/>
        </w:trPr>
        <w:tc>
          <w:tcPr>
            <w:tcW w:w="1703" w:type="dxa"/>
            <w:vMerge w:val="restart"/>
            <w:tcBorders>
              <w:top w:val="single" w:sz="4"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05C5F">
              <w:rPr>
                <w:i/>
                <w:sz w:val="14"/>
              </w:rPr>
              <w:t>Category</w:t>
            </w:r>
          </w:p>
        </w:tc>
        <w:tc>
          <w:tcPr>
            <w:tcW w:w="2253" w:type="dxa"/>
            <w:gridSpan w:val="2"/>
            <w:tcBorders>
              <w:top w:val="single" w:sz="4" w:space="0" w:color="auto"/>
              <w:bottom w:val="single" w:sz="4"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05C5F">
              <w:rPr>
                <w:i/>
                <w:sz w:val="14"/>
              </w:rPr>
              <w:t>Men</w:t>
            </w:r>
          </w:p>
        </w:tc>
        <w:tc>
          <w:tcPr>
            <w:tcW w:w="69" w:type="dxa"/>
            <w:tcBorders>
              <w:top w:val="single" w:sz="4"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2185" w:type="dxa"/>
            <w:gridSpan w:val="2"/>
            <w:tcBorders>
              <w:top w:val="single" w:sz="4" w:space="0" w:color="auto"/>
              <w:bottom w:val="single" w:sz="4"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05C5F">
              <w:rPr>
                <w:i/>
                <w:sz w:val="14"/>
              </w:rPr>
              <w:t>Women</w:t>
            </w:r>
          </w:p>
        </w:tc>
        <w:tc>
          <w:tcPr>
            <w:tcW w:w="1127" w:type="dxa"/>
            <w:vMerge w:val="restart"/>
            <w:tcBorders>
              <w:top w:val="single" w:sz="4" w:space="0" w:color="auto"/>
            </w:tcBorders>
            <w:shd w:val="clear" w:color="auto" w:fill="auto"/>
            <w:vAlign w:val="bottom"/>
          </w:tcPr>
          <w:p w:rsidR="00905C5F" w:rsidRPr="00905C5F" w:rsidRDefault="00905C5F" w:rsidP="00360288">
            <w:pPr>
              <w:pStyle w:val="SingleTxt"/>
              <w:keepNext/>
              <w:keepLines/>
              <w:spacing w:before="81" w:after="81" w:line="160" w:lineRule="exact"/>
              <w:ind w:left="0" w:right="43"/>
              <w:jc w:val="right"/>
              <w:rPr>
                <w:i/>
                <w:sz w:val="14"/>
              </w:rPr>
            </w:pPr>
            <w:r w:rsidRPr="00905C5F">
              <w:rPr>
                <w:i/>
                <w:sz w:val="14"/>
              </w:rPr>
              <w:t>Total</w:t>
            </w:r>
          </w:p>
        </w:tc>
      </w:tr>
      <w:tr w:rsidR="00905C5F" w:rsidRPr="00905C5F" w:rsidTr="00905C5F">
        <w:trPr>
          <w:tblHeader/>
        </w:trPr>
        <w:tc>
          <w:tcPr>
            <w:tcW w:w="1703" w:type="dxa"/>
            <w:vMerge/>
            <w:tcBorders>
              <w:bottom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126" w:type="dxa"/>
            <w:tcBorders>
              <w:top w:val="single" w:sz="4" w:space="0" w:color="auto"/>
              <w:bottom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05C5F">
              <w:rPr>
                <w:i/>
                <w:sz w:val="14"/>
              </w:rPr>
              <w:t>Number</w:t>
            </w:r>
          </w:p>
        </w:tc>
        <w:tc>
          <w:tcPr>
            <w:tcW w:w="1127" w:type="dxa"/>
            <w:tcBorders>
              <w:top w:val="single" w:sz="4" w:space="0" w:color="auto"/>
              <w:bottom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05C5F">
              <w:rPr>
                <w:i/>
                <w:sz w:val="14"/>
              </w:rPr>
              <w:t>%</w:t>
            </w:r>
          </w:p>
        </w:tc>
        <w:tc>
          <w:tcPr>
            <w:tcW w:w="1127" w:type="dxa"/>
            <w:gridSpan w:val="2"/>
            <w:tcBorders>
              <w:bottom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05C5F">
              <w:rPr>
                <w:i/>
                <w:sz w:val="14"/>
              </w:rPr>
              <w:t>Number</w:t>
            </w:r>
          </w:p>
        </w:tc>
        <w:tc>
          <w:tcPr>
            <w:tcW w:w="1127" w:type="dxa"/>
            <w:tcBorders>
              <w:bottom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05C5F">
              <w:rPr>
                <w:i/>
                <w:sz w:val="14"/>
              </w:rPr>
              <w:t>%</w:t>
            </w:r>
          </w:p>
        </w:tc>
        <w:tc>
          <w:tcPr>
            <w:tcW w:w="1127" w:type="dxa"/>
            <w:vMerge/>
            <w:tcBorders>
              <w:bottom w:val="single" w:sz="12" w:space="0" w:color="auto"/>
            </w:tcBorders>
            <w:shd w:val="clear" w:color="auto" w:fill="auto"/>
            <w:vAlign w:val="bottom"/>
          </w:tcPr>
          <w:p w:rsidR="00905C5F" w:rsidRPr="00905C5F" w:rsidRDefault="00905C5F" w:rsidP="0036028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r>
      <w:tr w:rsidR="00905C5F" w:rsidRPr="00905C5F" w:rsidTr="00905C5F">
        <w:trPr>
          <w:trHeight w:hRule="exact" w:val="115"/>
          <w:tblHeader/>
        </w:trPr>
        <w:tc>
          <w:tcPr>
            <w:tcW w:w="1703" w:type="dxa"/>
            <w:tcBorders>
              <w:top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126" w:type="dxa"/>
            <w:tcBorders>
              <w:top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27" w:type="dxa"/>
            <w:tcBorders>
              <w:top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27" w:type="dxa"/>
            <w:gridSpan w:val="2"/>
            <w:tcBorders>
              <w:top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27" w:type="dxa"/>
            <w:tcBorders>
              <w:top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27" w:type="dxa"/>
            <w:tcBorders>
              <w:top w:val="single" w:sz="12" w:space="0" w:color="auto"/>
            </w:tcBorders>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905C5F" w:rsidRPr="00905C5F" w:rsidTr="00905C5F">
        <w:tc>
          <w:tcPr>
            <w:tcW w:w="1703"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05C5F">
              <w:rPr>
                <w:sz w:val="17"/>
              </w:rPr>
              <w:t>A</w:t>
            </w:r>
          </w:p>
        </w:tc>
        <w:tc>
          <w:tcPr>
            <w:tcW w:w="1126"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8</w:t>
            </w:r>
            <w:r>
              <w:rPr>
                <w:sz w:val="17"/>
              </w:rPr>
              <w:t xml:space="preserve"> </w:t>
            </w:r>
            <w:r w:rsidRPr="00905C5F">
              <w:rPr>
                <w:sz w:val="17"/>
              </w:rPr>
              <w:t>666</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85.5</w:t>
            </w:r>
          </w:p>
        </w:tc>
        <w:tc>
          <w:tcPr>
            <w:tcW w:w="1127" w:type="dxa"/>
            <w:gridSpan w:val="2"/>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1</w:t>
            </w:r>
            <w:r>
              <w:rPr>
                <w:sz w:val="17"/>
              </w:rPr>
              <w:t xml:space="preserve"> </w:t>
            </w:r>
            <w:r w:rsidRPr="00905C5F">
              <w:rPr>
                <w:sz w:val="17"/>
              </w:rPr>
              <w:t>466</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14.5</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10</w:t>
            </w:r>
            <w:r>
              <w:rPr>
                <w:sz w:val="17"/>
              </w:rPr>
              <w:t xml:space="preserve"> </w:t>
            </w:r>
            <w:r w:rsidRPr="00905C5F">
              <w:rPr>
                <w:sz w:val="17"/>
              </w:rPr>
              <w:t>132</w:t>
            </w:r>
          </w:p>
        </w:tc>
      </w:tr>
      <w:tr w:rsidR="00905C5F" w:rsidRPr="00905C5F" w:rsidTr="00905C5F">
        <w:tc>
          <w:tcPr>
            <w:tcW w:w="1703"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05C5F">
              <w:rPr>
                <w:sz w:val="17"/>
              </w:rPr>
              <w:t>B2</w:t>
            </w:r>
          </w:p>
        </w:tc>
        <w:tc>
          <w:tcPr>
            <w:tcW w:w="1126"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11</w:t>
            </w:r>
            <w:r>
              <w:rPr>
                <w:sz w:val="17"/>
              </w:rPr>
              <w:t xml:space="preserve"> </w:t>
            </w:r>
            <w:r w:rsidRPr="00905C5F">
              <w:rPr>
                <w:sz w:val="17"/>
              </w:rPr>
              <w:t>009</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74.5</w:t>
            </w:r>
          </w:p>
        </w:tc>
        <w:tc>
          <w:tcPr>
            <w:tcW w:w="1127" w:type="dxa"/>
            <w:gridSpan w:val="2"/>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3</w:t>
            </w:r>
            <w:r>
              <w:rPr>
                <w:sz w:val="17"/>
              </w:rPr>
              <w:t xml:space="preserve"> </w:t>
            </w:r>
            <w:r w:rsidRPr="00905C5F">
              <w:rPr>
                <w:sz w:val="17"/>
              </w:rPr>
              <w:t>763</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25.5</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14</w:t>
            </w:r>
            <w:r>
              <w:rPr>
                <w:sz w:val="17"/>
              </w:rPr>
              <w:t xml:space="preserve"> </w:t>
            </w:r>
            <w:r w:rsidRPr="00905C5F">
              <w:rPr>
                <w:sz w:val="17"/>
              </w:rPr>
              <w:t>772</w:t>
            </w:r>
          </w:p>
        </w:tc>
      </w:tr>
      <w:tr w:rsidR="00905C5F" w:rsidRPr="00905C5F" w:rsidTr="00905C5F">
        <w:tc>
          <w:tcPr>
            <w:tcW w:w="1703"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05C5F">
              <w:rPr>
                <w:sz w:val="17"/>
              </w:rPr>
              <w:t>B1</w:t>
            </w:r>
          </w:p>
        </w:tc>
        <w:tc>
          <w:tcPr>
            <w:tcW w:w="1126"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2</w:t>
            </w:r>
            <w:r>
              <w:rPr>
                <w:sz w:val="17"/>
              </w:rPr>
              <w:t xml:space="preserve"> </w:t>
            </w:r>
            <w:r w:rsidRPr="00905C5F">
              <w:rPr>
                <w:sz w:val="17"/>
              </w:rPr>
              <w:t>924</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60.4</w:t>
            </w:r>
          </w:p>
        </w:tc>
        <w:tc>
          <w:tcPr>
            <w:tcW w:w="1127" w:type="dxa"/>
            <w:gridSpan w:val="2"/>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1</w:t>
            </w:r>
            <w:r>
              <w:rPr>
                <w:sz w:val="17"/>
              </w:rPr>
              <w:t xml:space="preserve"> </w:t>
            </w:r>
            <w:r w:rsidRPr="00905C5F">
              <w:rPr>
                <w:sz w:val="17"/>
              </w:rPr>
              <w:t>918</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39.6</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4</w:t>
            </w:r>
            <w:r>
              <w:rPr>
                <w:sz w:val="17"/>
              </w:rPr>
              <w:t xml:space="preserve"> </w:t>
            </w:r>
            <w:r w:rsidRPr="00905C5F">
              <w:rPr>
                <w:sz w:val="17"/>
              </w:rPr>
              <w:t>842</w:t>
            </w:r>
          </w:p>
        </w:tc>
      </w:tr>
      <w:tr w:rsidR="00905C5F" w:rsidRPr="00905C5F" w:rsidTr="00905C5F">
        <w:tc>
          <w:tcPr>
            <w:tcW w:w="1703"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05C5F">
              <w:rPr>
                <w:sz w:val="17"/>
              </w:rPr>
              <w:t>C</w:t>
            </w:r>
          </w:p>
        </w:tc>
        <w:tc>
          <w:tcPr>
            <w:tcW w:w="1126"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2</w:t>
            </w:r>
            <w:r>
              <w:rPr>
                <w:sz w:val="17"/>
              </w:rPr>
              <w:t xml:space="preserve"> </w:t>
            </w:r>
            <w:r w:rsidRPr="00905C5F">
              <w:rPr>
                <w:sz w:val="17"/>
              </w:rPr>
              <w:t>742</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64.8</w:t>
            </w:r>
          </w:p>
        </w:tc>
        <w:tc>
          <w:tcPr>
            <w:tcW w:w="1127" w:type="dxa"/>
            <w:gridSpan w:val="2"/>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1</w:t>
            </w:r>
            <w:r>
              <w:rPr>
                <w:sz w:val="17"/>
              </w:rPr>
              <w:t xml:space="preserve"> </w:t>
            </w:r>
            <w:r w:rsidRPr="00905C5F">
              <w:rPr>
                <w:sz w:val="17"/>
              </w:rPr>
              <w:t>488</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35.2</w:t>
            </w:r>
          </w:p>
        </w:tc>
        <w:tc>
          <w:tcPr>
            <w:tcW w:w="1127" w:type="dxa"/>
            <w:shd w:val="clear" w:color="auto" w:fill="auto"/>
            <w:vAlign w:val="bottom"/>
          </w:tcPr>
          <w:p w:rsidR="00905C5F" w:rsidRPr="00905C5F" w:rsidRDefault="00905C5F" w:rsidP="00905C5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05C5F">
              <w:rPr>
                <w:sz w:val="17"/>
              </w:rPr>
              <w:t>4</w:t>
            </w:r>
            <w:r>
              <w:rPr>
                <w:sz w:val="17"/>
              </w:rPr>
              <w:t xml:space="preserve"> </w:t>
            </w:r>
            <w:r w:rsidRPr="00905C5F">
              <w:rPr>
                <w:sz w:val="17"/>
              </w:rPr>
              <w:t>230</w:t>
            </w:r>
          </w:p>
        </w:tc>
      </w:tr>
      <w:tr w:rsidR="00905C5F" w:rsidRPr="00905C5F" w:rsidTr="00905C5F">
        <w:tc>
          <w:tcPr>
            <w:tcW w:w="1703" w:type="dxa"/>
            <w:tcBorders>
              <w:bottom w:val="single" w:sz="4"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905C5F">
              <w:rPr>
                <w:sz w:val="17"/>
              </w:rPr>
              <w:t>Contractual</w:t>
            </w:r>
          </w:p>
        </w:tc>
        <w:tc>
          <w:tcPr>
            <w:tcW w:w="1126" w:type="dxa"/>
            <w:tcBorders>
              <w:bottom w:val="single" w:sz="4"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905C5F">
              <w:rPr>
                <w:sz w:val="17"/>
              </w:rPr>
              <w:t>11</w:t>
            </w:r>
            <w:r>
              <w:rPr>
                <w:sz w:val="17"/>
              </w:rPr>
              <w:t xml:space="preserve"> </w:t>
            </w:r>
            <w:r w:rsidRPr="00905C5F">
              <w:rPr>
                <w:sz w:val="17"/>
              </w:rPr>
              <w:t>051</w:t>
            </w:r>
          </w:p>
        </w:tc>
        <w:tc>
          <w:tcPr>
            <w:tcW w:w="1127" w:type="dxa"/>
            <w:tcBorders>
              <w:bottom w:val="single" w:sz="4"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905C5F">
              <w:rPr>
                <w:sz w:val="17"/>
              </w:rPr>
              <w:t>70.5</w:t>
            </w:r>
          </w:p>
        </w:tc>
        <w:tc>
          <w:tcPr>
            <w:tcW w:w="1127" w:type="dxa"/>
            <w:gridSpan w:val="2"/>
            <w:tcBorders>
              <w:bottom w:val="single" w:sz="4"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905C5F">
              <w:rPr>
                <w:sz w:val="17"/>
              </w:rPr>
              <w:t>4</w:t>
            </w:r>
            <w:r>
              <w:rPr>
                <w:sz w:val="17"/>
              </w:rPr>
              <w:t xml:space="preserve"> </w:t>
            </w:r>
            <w:r w:rsidRPr="00905C5F">
              <w:rPr>
                <w:sz w:val="17"/>
              </w:rPr>
              <w:t>635</w:t>
            </w:r>
          </w:p>
        </w:tc>
        <w:tc>
          <w:tcPr>
            <w:tcW w:w="1127" w:type="dxa"/>
            <w:tcBorders>
              <w:bottom w:val="single" w:sz="4"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905C5F">
              <w:rPr>
                <w:sz w:val="17"/>
              </w:rPr>
              <w:t>29.5</w:t>
            </w:r>
          </w:p>
        </w:tc>
        <w:tc>
          <w:tcPr>
            <w:tcW w:w="1127" w:type="dxa"/>
            <w:tcBorders>
              <w:bottom w:val="single" w:sz="4"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905C5F">
              <w:rPr>
                <w:sz w:val="17"/>
              </w:rPr>
              <w:t>15</w:t>
            </w:r>
            <w:r>
              <w:rPr>
                <w:sz w:val="17"/>
              </w:rPr>
              <w:t xml:space="preserve"> </w:t>
            </w:r>
            <w:r w:rsidRPr="00905C5F">
              <w:rPr>
                <w:sz w:val="17"/>
              </w:rPr>
              <w:t>686</w:t>
            </w:r>
          </w:p>
        </w:tc>
      </w:tr>
      <w:tr w:rsidR="00905C5F" w:rsidRPr="00905C5F" w:rsidTr="00905C5F">
        <w:tc>
          <w:tcPr>
            <w:tcW w:w="1703" w:type="dxa"/>
            <w:tcBorders>
              <w:top w:val="single" w:sz="4" w:space="0" w:color="auto"/>
              <w:bottom w:val="single" w:sz="12"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905C5F">
              <w:rPr>
                <w:b/>
                <w:sz w:val="17"/>
              </w:rPr>
              <w:tab/>
              <w:t>Total</w:t>
            </w:r>
          </w:p>
        </w:tc>
        <w:tc>
          <w:tcPr>
            <w:tcW w:w="1126" w:type="dxa"/>
            <w:tcBorders>
              <w:top w:val="single" w:sz="4" w:space="0" w:color="auto"/>
              <w:bottom w:val="single" w:sz="12"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905C5F">
              <w:rPr>
                <w:b/>
                <w:sz w:val="17"/>
              </w:rPr>
              <w:t>36 392</w:t>
            </w:r>
          </w:p>
        </w:tc>
        <w:tc>
          <w:tcPr>
            <w:tcW w:w="1127" w:type="dxa"/>
            <w:tcBorders>
              <w:top w:val="single" w:sz="4" w:space="0" w:color="auto"/>
              <w:bottom w:val="single" w:sz="12"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905C5F">
              <w:rPr>
                <w:b/>
                <w:sz w:val="17"/>
              </w:rPr>
              <w:t>73.3</w:t>
            </w:r>
          </w:p>
        </w:tc>
        <w:tc>
          <w:tcPr>
            <w:tcW w:w="1127" w:type="dxa"/>
            <w:gridSpan w:val="2"/>
            <w:tcBorders>
              <w:top w:val="single" w:sz="4" w:space="0" w:color="auto"/>
              <w:bottom w:val="single" w:sz="12"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905C5F">
              <w:rPr>
                <w:b/>
                <w:sz w:val="17"/>
              </w:rPr>
              <w:t>13 270</w:t>
            </w:r>
          </w:p>
        </w:tc>
        <w:tc>
          <w:tcPr>
            <w:tcW w:w="1127" w:type="dxa"/>
            <w:tcBorders>
              <w:top w:val="single" w:sz="4" w:space="0" w:color="auto"/>
              <w:bottom w:val="single" w:sz="12"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905C5F">
              <w:rPr>
                <w:b/>
                <w:sz w:val="17"/>
              </w:rPr>
              <w:t>26.7</w:t>
            </w:r>
          </w:p>
        </w:tc>
        <w:tc>
          <w:tcPr>
            <w:tcW w:w="1127" w:type="dxa"/>
            <w:tcBorders>
              <w:top w:val="single" w:sz="4" w:space="0" w:color="auto"/>
              <w:bottom w:val="single" w:sz="12" w:space="0" w:color="auto"/>
            </w:tcBorders>
            <w:shd w:val="clear" w:color="auto" w:fill="auto"/>
            <w:vAlign w:val="bottom"/>
          </w:tcPr>
          <w:p w:rsidR="00905C5F" w:rsidRPr="00905C5F" w:rsidRDefault="00905C5F" w:rsidP="00905C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905C5F">
              <w:rPr>
                <w:b/>
                <w:sz w:val="17"/>
              </w:rPr>
              <w:t>49 662</w:t>
            </w:r>
          </w:p>
        </w:tc>
      </w:tr>
    </w:tbl>
    <w:p w:rsidR="00905C5F" w:rsidRPr="00905C5F" w:rsidRDefault="00905C5F" w:rsidP="00905C5F">
      <w:pPr>
        <w:pStyle w:val="SingleTxt"/>
        <w:spacing w:after="0" w:line="120" w:lineRule="exact"/>
        <w:rPr>
          <w:sz w:val="10"/>
        </w:rPr>
      </w:pPr>
    </w:p>
    <w:p w:rsidR="005E1F07" w:rsidRPr="00905C5F" w:rsidRDefault="00905C5F" w:rsidP="00905C5F">
      <w:pPr>
        <w:pStyle w:val="FootnoteText"/>
        <w:tabs>
          <w:tab w:val="clear" w:pos="418"/>
          <w:tab w:val="right" w:pos="1476"/>
          <w:tab w:val="left" w:pos="1548"/>
          <w:tab w:val="right" w:pos="1836"/>
          <w:tab w:val="left" w:pos="1908"/>
        </w:tabs>
        <w:ind w:left="1548" w:right="1267" w:hanging="288"/>
        <w:rPr>
          <w:i/>
        </w:rPr>
      </w:pPr>
      <w:r>
        <w:tab/>
      </w:r>
      <w:r w:rsidR="00770B6C" w:rsidRPr="00773C9B">
        <w:rPr>
          <w:i/>
        </w:rPr>
        <w:t>Source</w:t>
      </w:r>
      <w:r w:rsidR="00770B6C" w:rsidRPr="00773C9B">
        <w:t>:</w:t>
      </w:r>
      <w:r w:rsidR="00770B6C" w:rsidRPr="00905C5F">
        <w:rPr>
          <w:i/>
        </w:rPr>
        <w:t xml:space="preserve"> Statistical Bulletin, National Centre for Documentation and Information on Women and the Child, 2008</w:t>
      </w:r>
      <w:r w:rsidRPr="00905C5F">
        <w:rPr>
          <w:i/>
        </w:rPr>
        <w:t>.</w:t>
      </w:r>
    </w:p>
    <w:p w:rsidR="00905C5F" w:rsidRPr="00905C5F" w:rsidRDefault="00905C5F" w:rsidP="00905C5F">
      <w:pPr>
        <w:pStyle w:val="SingleTxt"/>
        <w:spacing w:after="0" w:line="120" w:lineRule="exact"/>
        <w:rPr>
          <w:sz w:val="10"/>
        </w:rPr>
      </w:pPr>
    </w:p>
    <w:p w:rsidR="00905C5F" w:rsidRPr="00905C5F" w:rsidRDefault="00905C5F" w:rsidP="00905C5F">
      <w:pPr>
        <w:pStyle w:val="SingleTxt"/>
        <w:spacing w:after="0" w:line="120" w:lineRule="exact"/>
        <w:rPr>
          <w:sz w:val="10"/>
        </w:rPr>
      </w:pPr>
    </w:p>
    <w:p w:rsidR="005E1F07" w:rsidRDefault="00770B6C" w:rsidP="00770B6C">
      <w:pPr>
        <w:pStyle w:val="SingleTxt"/>
      </w:pPr>
      <w:r>
        <w:t>70.</w:t>
      </w:r>
      <w:r w:rsidR="00905C5F">
        <w:tab/>
      </w:r>
      <w:r>
        <w:t>There are more women at the lower levels of the civil service. The number of women in higher-ranking jobs is barely one fourth the number of men.</w:t>
      </w:r>
      <w:r w:rsidR="005E03D8">
        <w:t xml:space="preserve"> </w:t>
      </w:r>
      <w:r>
        <w:t>This can be explained by several factors, particularly the fact that girls receive less schooling than boys, women</w:t>
      </w:r>
      <w:r w:rsidR="001E33E4">
        <w:t>’</w:t>
      </w:r>
      <w:r>
        <w:t>s lack of qualifications and prejudices against women holding certain jobs.</w:t>
      </w:r>
    </w:p>
    <w:p w:rsidR="005E1F07" w:rsidRDefault="00770B6C" w:rsidP="00770B6C">
      <w:pPr>
        <w:pStyle w:val="SingleTxt"/>
      </w:pPr>
      <w:r>
        <w:t>71.</w:t>
      </w:r>
      <w:r w:rsidR="00905C5F">
        <w:tab/>
      </w:r>
      <w:r>
        <w:t>Nevertheless, it should be noted that the number of women in category A nearly doubled between 2002 and 2008 (806 in 2002 and 1466 in 2008).</w:t>
      </w:r>
    </w:p>
    <w:p w:rsidR="005E1F07" w:rsidRDefault="00770B6C" w:rsidP="00770B6C">
      <w:pPr>
        <w:pStyle w:val="SingleTxt"/>
      </w:pPr>
      <w:r>
        <w:t>72.</w:t>
      </w:r>
      <w:r w:rsidR="00905C5F">
        <w:tab/>
      </w:r>
      <w:r>
        <w:t>Moreover, the National Gendarmerie and the National Guard, which were reserved solely to men, have been opened up to women since 2006.</w:t>
      </w:r>
      <w:r w:rsidR="005E03D8">
        <w:t xml:space="preserve"> </w:t>
      </w:r>
      <w:r>
        <w:t>The same is true of Civil Defence in 2008.</w:t>
      </w:r>
    </w:p>
    <w:p w:rsidR="00905C5F" w:rsidRPr="00905C5F" w:rsidRDefault="00905C5F" w:rsidP="00905C5F">
      <w:pPr>
        <w:pStyle w:val="SingleTxt"/>
        <w:spacing w:after="0" w:line="120" w:lineRule="exact"/>
        <w:rPr>
          <w:sz w:val="10"/>
        </w:rPr>
      </w:pPr>
    </w:p>
    <w:p w:rsidR="005E1F07" w:rsidRDefault="00905C5F" w:rsidP="00905C5F">
      <w:pPr>
        <w:pStyle w:val="H23"/>
        <w:ind w:right="1260"/>
      </w:pPr>
      <w:r>
        <w:tab/>
      </w:r>
      <w:r w:rsidR="00770B6C">
        <w:t>(c)</w:t>
      </w:r>
      <w:r>
        <w:tab/>
      </w:r>
      <w:r w:rsidR="00770B6C">
        <w:t>Right to receive vocational training and retraining</w:t>
      </w:r>
    </w:p>
    <w:p w:rsidR="00905C5F" w:rsidRPr="00905C5F" w:rsidRDefault="00905C5F" w:rsidP="00905C5F">
      <w:pPr>
        <w:pStyle w:val="SingleTxt"/>
        <w:spacing w:after="0" w:line="120" w:lineRule="exact"/>
        <w:rPr>
          <w:sz w:val="10"/>
        </w:rPr>
      </w:pPr>
    </w:p>
    <w:p w:rsidR="005E1F07" w:rsidRDefault="00770B6C" w:rsidP="00770B6C">
      <w:pPr>
        <w:pStyle w:val="SingleTxt"/>
      </w:pPr>
      <w:r>
        <w:t>73.</w:t>
      </w:r>
      <w:r w:rsidR="00905C5F">
        <w:tab/>
      </w:r>
      <w:r>
        <w:t>Occupational training is a right for all public servants without discrimination.</w:t>
      </w:r>
      <w:r w:rsidR="005E03D8">
        <w:t xml:space="preserve"> </w:t>
      </w:r>
      <w:r>
        <w:t>In the private sector, it is conducted haphazardly, which makes it difficult to gather overall statistics and to disaggregate them by sex.</w:t>
      </w:r>
    </w:p>
    <w:p w:rsidR="00905C5F" w:rsidRPr="00905C5F" w:rsidRDefault="00905C5F" w:rsidP="00905C5F">
      <w:pPr>
        <w:pStyle w:val="SingleTxt"/>
        <w:spacing w:after="0" w:line="120" w:lineRule="exact"/>
        <w:rPr>
          <w:sz w:val="10"/>
        </w:rPr>
      </w:pPr>
    </w:p>
    <w:p w:rsidR="00770B6C" w:rsidRPr="005151E1" w:rsidRDefault="00905C5F" w:rsidP="00905C5F">
      <w:pPr>
        <w:pStyle w:val="H23"/>
        <w:ind w:right="1260"/>
        <w:rPr>
          <w:b w:val="0"/>
        </w:rPr>
      </w:pPr>
      <w:r w:rsidRPr="005151E1">
        <w:rPr>
          <w:b w:val="0"/>
        </w:rPr>
        <w:tab/>
      </w:r>
      <w:r w:rsidRPr="005151E1">
        <w:rPr>
          <w:b w:val="0"/>
        </w:rPr>
        <w:tab/>
      </w:r>
      <w:r w:rsidR="00770B6C" w:rsidRPr="005151E1">
        <w:rPr>
          <w:b w:val="0"/>
        </w:rPr>
        <w:t>Table 5</w:t>
      </w:r>
    </w:p>
    <w:p w:rsidR="005E1F07" w:rsidRDefault="00905C5F" w:rsidP="00905C5F">
      <w:pPr>
        <w:pStyle w:val="H23"/>
        <w:ind w:right="1260"/>
      </w:pPr>
      <w:r>
        <w:tab/>
      </w:r>
      <w:r>
        <w:tab/>
      </w:r>
      <w:r w:rsidR="00770B6C">
        <w:t>Civil servants receiving training, by category and by sex, 2008</w:t>
      </w:r>
    </w:p>
    <w:p w:rsidR="00905C5F" w:rsidRPr="00905C5F" w:rsidRDefault="00905C5F" w:rsidP="00905C5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3"/>
        <w:gridCol w:w="1134"/>
        <w:gridCol w:w="1116"/>
        <w:gridCol w:w="72"/>
        <w:gridCol w:w="1053"/>
        <w:gridCol w:w="1134"/>
        <w:gridCol w:w="1125"/>
      </w:tblGrid>
      <w:tr w:rsidR="005151E1" w:rsidRPr="005151E1" w:rsidTr="005151E1">
        <w:trPr>
          <w:tblHeader/>
        </w:trPr>
        <w:tc>
          <w:tcPr>
            <w:tcW w:w="1703" w:type="dxa"/>
            <w:vMerge w:val="restart"/>
            <w:tcBorders>
              <w:top w:val="single" w:sz="4"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151E1">
              <w:rPr>
                <w:i/>
                <w:sz w:val="14"/>
              </w:rPr>
              <w:t>Category</w:t>
            </w:r>
          </w:p>
        </w:tc>
        <w:tc>
          <w:tcPr>
            <w:tcW w:w="2250" w:type="dxa"/>
            <w:gridSpan w:val="2"/>
            <w:tcBorders>
              <w:top w:val="single" w:sz="4" w:space="0" w:color="auto"/>
              <w:bottom w:val="single" w:sz="4"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151E1">
              <w:rPr>
                <w:i/>
                <w:sz w:val="14"/>
              </w:rPr>
              <w:t>Men</w:t>
            </w:r>
          </w:p>
        </w:tc>
        <w:tc>
          <w:tcPr>
            <w:tcW w:w="72" w:type="dxa"/>
            <w:tcBorders>
              <w:top w:val="single" w:sz="4"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2187" w:type="dxa"/>
            <w:gridSpan w:val="2"/>
            <w:tcBorders>
              <w:top w:val="single" w:sz="4" w:space="0" w:color="auto"/>
              <w:bottom w:val="single" w:sz="4"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151E1">
              <w:rPr>
                <w:i/>
                <w:sz w:val="14"/>
              </w:rPr>
              <w:t>Women</w:t>
            </w:r>
          </w:p>
        </w:tc>
        <w:tc>
          <w:tcPr>
            <w:tcW w:w="1125" w:type="dxa"/>
            <w:vMerge w:val="restart"/>
            <w:tcBorders>
              <w:top w:val="single" w:sz="4" w:space="0" w:color="auto"/>
            </w:tcBorders>
            <w:shd w:val="clear" w:color="auto" w:fill="auto"/>
            <w:vAlign w:val="bottom"/>
          </w:tcPr>
          <w:p w:rsidR="005151E1" w:rsidRPr="005151E1" w:rsidRDefault="005151E1" w:rsidP="005151E1">
            <w:pPr>
              <w:pStyle w:val="SingleTxt"/>
              <w:spacing w:before="81" w:after="81" w:line="160" w:lineRule="exact"/>
              <w:ind w:left="0" w:right="43"/>
              <w:jc w:val="right"/>
              <w:rPr>
                <w:i/>
                <w:sz w:val="14"/>
              </w:rPr>
            </w:pPr>
            <w:r w:rsidRPr="005151E1">
              <w:rPr>
                <w:i/>
                <w:sz w:val="14"/>
              </w:rPr>
              <w:t>Total</w:t>
            </w:r>
          </w:p>
        </w:tc>
      </w:tr>
      <w:tr w:rsidR="005151E1" w:rsidRPr="005151E1" w:rsidTr="005151E1">
        <w:trPr>
          <w:tblHeader/>
        </w:trPr>
        <w:tc>
          <w:tcPr>
            <w:tcW w:w="1703" w:type="dxa"/>
            <w:vMerge/>
            <w:tcBorders>
              <w:bottom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134" w:type="dxa"/>
            <w:tcBorders>
              <w:top w:val="single" w:sz="4" w:space="0" w:color="auto"/>
              <w:bottom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151E1">
              <w:rPr>
                <w:i/>
                <w:sz w:val="14"/>
              </w:rPr>
              <w:t>Number</w:t>
            </w:r>
          </w:p>
        </w:tc>
        <w:tc>
          <w:tcPr>
            <w:tcW w:w="1116" w:type="dxa"/>
            <w:tcBorders>
              <w:top w:val="single" w:sz="4" w:space="0" w:color="auto"/>
              <w:bottom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151E1">
              <w:rPr>
                <w:i/>
                <w:sz w:val="14"/>
              </w:rPr>
              <w:t>%</w:t>
            </w:r>
          </w:p>
        </w:tc>
        <w:tc>
          <w:tcPr>
            <w:tcW w:w="1125" w:type="dxa"/>
            <w:gridSpan w:val="2"/>
            <w:tcBorders>
              <w:bottom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151E1">
              <w:rPr>
                <w:i/>
                <w:sz w:val="14"/>
              </w:rPr>
              <w:t>Number</w:t>
            </w:r>
          </w:p>
        </w:tc>
        <w:tc>
          <w:tcPr>
            <w:tcW w:w="1134" w:type="dxa"/>
            <w:tcBorders>
              <w:bottom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151E1">
              <w:rPr>
                <w:i/>
                <w:sz w:val="14"/>
              </w:rPr>
              <w:t>%</w:t>
            </w:r>
          </w:p>
        </w:tc>
        <w:tc>
          <w:tcPr>
            <w:tcW w:w="1125" w:type="dxa"/>
            <w:vMerge/>
            <w:tcBorders>
              <w:bottom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r>
      <w:tr w:rsidR="005151E1" w:rsidRPr="005151E1" w:rsidTr="005151E1">
        <w:trPr>
          <w:trHeight w:hRule="exact" w:val="115"/>
          <w:tblHeader/>
        </w:trPr>
        <w:tc>
          <w:tcPr>
            <w:tcW w:w="1703" w:type="dxa"/>
            <w:tcBorders>
              <w:top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134" w:type="dxa"/>
            <w:tcBorders>
              <w:top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16" w:type="dxa"/>
            <w:tcBorders>
              <w:top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25" w:type="dxa"/>
            <w:gridSpan w:val="2"/>
            <w:tcBorders>
              <w:top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34" w:type="dxa"/>
            <w:tcBorders>
              <w:top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25" w:type="dxa"/>
            <w:tcBorders>
              <w:top w:val="single" w:sz="12" w:space="0" w:color="auto"/>
            </w:tcBorders>
            <w:shd w:val="clear" w:color="auto" w:fill="auto"/>
            <w:vAlign w:val="bottom"/>
          </w:tcPr>
          <w:p w:rsidR="005151E1"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5151E1" w:rsidRPr="005151E1" w:rsidTr="005151E1">
        <w:tc>
          <w:tcPr>
            <w:tcW w:w="1703"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151E1">
              <w:rPr>
                <w:sz w:val="17"/>
              </w:rPr>
              <w:t>A</w:t>
            </w:r>
          </w:p>
        </w:tc>
        <w:tc>
          <w:tcPr>
            <w:tcW w:w="1134"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294</w:t>
            </w:r>
          </w:p>
        </w:tc>
        <w:tc>
          <w:tcPr>
            <w:tcW w:w="1116"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01"/>
              <w:jc w:val="right"/>
              <w:rPr>
                <w:sz w:val="17"/>
              </w:rPr>
            </w:pPr>
            <w:r w:rsidRPr="005151E1">
              <w:rPr>
                <w:sz w:val="17"/>
              </w:rPr>
              <w:t>88.3</w:t>
            </w:r>
          </w:p>
        </w:tc>
        <w:tc>
          <w:tcPr>
            <w:tcW w:w="1125" w:type="dxa"/>
            <w:gridSpan w:val="2"/>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39</w:t>
            </w:r>
          </w:p>
        </w:tc>
        <w:tc>
          <w:tcPr>
            <w:tcW w:w="1134"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11.7</w:t>
            </w:r>
          </w:p>
        </w:tc>
        <w:tc>
          <w:tcPr>
            <w:tcW w:w="1125"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333</w:t>
            </w:r>
          </w:p>
        </w:tc>
      </w:tr>
      <w:tr w:rsidR="005151E1" w:rsidRPr="005151E1" w:rsidTr="005151E1">
        <w:tc>
          <w:tcPr>
            <w:tcW w:w="1703"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151E1">
              <w:rPr>
                <w:sz w:val="17"/>
              </w:rPr>
              <w:t>B2</w:t>
            </w:r>
          </w:p>
        </w:tc>
        <w:tc>
          <w:tcPr>
            <w:tcW w:w="1134"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800</w:t>
            </w:r>
          </w:p>
        </w:tc>
        <w:tc>
          <w:tcPr>
            <w:tcW w:w="1116"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01"/>
              <w:jc w:val="right"/>
              <w:rPr>
                <w:sz w:val="17"/>
              </w:rPr>
            </w:pPr>
            <w:r w:rsidRPr="005151E1">
              <w:rPr>
                <w:sz w:val="17"/>
              </w:rPr>
              <w:t>82.3</w:t>
            </w:r>
          </w:p>
        </w:tc>
        <w:tc>
          <w:tcPr>
            <w:tcW w:w="1125" w:type="dxa"/>
            <w:gridSpan w:val="2"/>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172</w:t>
            </w:r>
          </w:p>
        </w:tc>
        <w:tc>
          <w:tcPr>
            <w:tcW w:w="1134"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17.7</w:t>
            </w:r>
          </w:p>
        </w:tc>
        <w:tc>
          <w:tcPr>
            <w:tcW w:w="1125"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972</w:t>
            </w:r>
          </w:p>
        </w:tc>
      </w:tr>
      <w:tr w:rsidR="005151E1" w:rsidRPr="005151E1" w:rsidTr="005151E1">
        <w:tc>
          <w:tcPr>
            <w:tcW w:w="1703"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151E1">
              <w:rPr>
                <w:sz w:val="17"/>
              </w:rPr>
              <w:t>B1</w:t>
            </w:r>
          </w:p>
        </w:tc>
        <w:tc>
          <w:tcPr>
            <w:tcW w:w="1134"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144</w:t>
            </w:r>
          </w:p>
        </w:tc>
        <w:tc>
          <w:tcPr>
            <w:tcW w:w="1116"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69.92</w:t>
            </w:r>
          </w:p>
        </w:tc>
        <w:tc>
          <w:tcPr>
            <w:tcW w:w="1125" w:type="dxa"/>
            <w:gridSpan w:val="2"/>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64</w:t>
            </w:r>
          </w:p>
        </w:tc>
        <w:tc>
          <w:tcPr>
            <w:tcW w:w="1134"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30.8</w:t>
            </w:r>
          </w:p>
        </w:tc>
        <w:tc>
          <w:tcPr>
            <w:tcW w:w="1125"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208</w:t>
            </w:r>
          </w:p>
        </w:tc>
      </w:tr>
      <w:tr w:rsidR="005151E1" w:rsidRPr="005151E1" w:rsidTr="005151E1">
        <w:tc>
          <w:tcPr>
            <w:tcW w:w="1703"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151E1">
              <w:rPr>
                <w:sz w:val="17"/>
              </w:rPr>
              <w:t>C</w:t>
            </w:r>
          </w:p>
        </w:tc>
        <w:tc>
          <w:tcPr>
            <w:tcW w:w="1134"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88</w:t>
            </w:r>
          </w:p>
        </w:tc>
        <w:tc>
          <w:tcPr>
            <w:tcW w:w="1116"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01"/>
              <w:jc w:val="right"/>
              <w:rPr>
                <w:sz w:val="17"/>
              </w:rPr>
            </w:pPr>
            <w:r w:rsidRPr="005151E1">
              <w:rPr>
                <w:sz w:val="17"/>
              </w:rPr>
              <w:t>58.3</w:t>
            </w:r>
          </w:p>
        </w:tc>
        <w:tc>
          <w:tcPr>
            <w:tcW w:w="1125" w:type="dxa"/>
            <w:gridSpan w:val="2"/>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63</w:t>
            </w:r>
          </w:p>
        </w:tc>
        <w:tc>
          <w:tcPr>
            <w:tcW w:w="1134"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41.7</w:t>
            </w:r>
          </w:p>
        </w:tc>
        <w:tc>
          <w:tcPr>
            <w:tcW w:w="1125" w:type="dxa"/>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151E1">
              <w:rPr>
                <w:sz w:val="17"/>
              </w:rPr>
              <w:t>151</w:t>
            </w:r>
          </w:p>
        </w:tc>
      </w:tr>
      <w:tr w:rsidR="005151E1" w:rsidRPr="005151E1" w:rsidTr="005151E1">
        <w:tc>
          <w:tcPr>
            <w:tcW w:w="1703" w:type="dxa"/>
            <w:tcBorders>
              <w:bottom w:val="single" w:sz="4"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5151E1">
              <w:rPr>
                <w:sz w:val="17"/>
              </w:rPr>
              <w:t>Contractual</w:t>
            </w:r>
          </w:p>
        </w:tc>
        <w:tc>
          <w:tcPr>
            <w:tcW w:w="1134" w:type="dxa"/>
            <w:tcBorders>
              <w:bottom w:val="single" w:sz="4"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151E1">
              <w:rPr>
                <w:sz w:val="17"/>
              </w:rPr>
              <w:t>13</w:t>
            </w:r>
          </w:p>
        </w:tc>
        <w:tc>
          <w:tcPr>
            <w:tcW w:w="1116" w:type="dxa"/>
            <w:tcBorders>
              <w:bottom w:val="single" w:sz="4"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101"/>
              <w:jc w:val="right"/>
              <w:rPr>
                <w:sz w:val="17"/>
              </w:rPr>
            </w:pPr>
            <w:r w:rsidRPr="005151E1">
              <w:rPr>
                <w:sz w:val="17"/>
              </w:rPr>
              <w:t>81.3</w:t>
            </w:r>
          </w:p>
        </w:tc>
        <w:tc>
          <w:tcPr>
            <w:tcW w:w="1125" w:type="dxa"/>
            <w:gridSpan w:val="2"/>
            <w:tcBorders>
              <w:bottom w:val="single" w:sz="4"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151E1">
              <w:rPr>
                <w:sz w:val="17"/>
              </w:rPr>
              <w:t>3</w:t>
            </w:r>
          </w:p>
        </w:tc>
        <w:tc>
          <w:tcPr>
            <w:tcW w:w="1134" w:type="dxa"/>
            <w:tcBorders>
              <w:bottom w:val="single" w:sz="4"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151E1">
              <w:rPr>
                <w:sz w:val="17"/>
              </w:rPr>
              <w:t>18.8</w:t>
            </w:r>
          </w:p>
        </w:tc>
        <w:tc>
          <w:tcPr>
            <w:tcW w:w="1125" w:type="dxa"/>
            <w:tcBorders>
              <w:bottom w:val="single" w:sz="4"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151E1">
              <w:rPr>
                <w:sz w:val="17"/>
              </w:rPr>
              <w:t>16</w:t>
            </w:r>
          </w:p>
        </w:tc>
      </w:tr>
      <w:tr w:rsidR="005151E1" w:rsidRPr="005151E1" w:rsidTr="005151E1">
        <w:tc>
          <w:tcPr>
            <w:tcW w:w="1703" w:type="dxa"/>
            <w:tcBorders>
              <w:top w:val="single" w:sz="4" w:space="0" w:color="auto"/>
              <w:bottom w:val="single" w:sz="12" w:space="0" w:color="auto"/>
            </w:tcBorders>
            <w:shd w:val="clear" w:color="auto" w:fill="auto"/>
            <w:vAlign w:val="bottom"/>
          </w:tcPr>
          <w:p w:rsidR="00905C5F" w:rsidRPr="005151E1" w:rsidRDefault="005151E1"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5151E1">
              <w:rPr>
                <w:b/>
                <w:sz w:val="17"/>
              </w:rPr>
              <w:tab/>
              <w:t>Total</w:t>
            </w:r>
          </w:p>
        </w:tc>
        <w:tc>
          <w:tcPr>
            <w:tcW w:w="1134" w:type="dxa"/>
            <w:tcBorders>
              <w:top w:val="single" w:sz="4" w:space="0" w:color="auto"/>
              <w:bottom w:val="single" w:sz="12"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151E1">
              <w:rPr>
                <w:b/>
                <w:sz w:val="17"/>
              </w:rPr>
              <w:t>1</w:t>
            </w:r>
            <w:r w:rsidR="005151E1">
              <w:rPr>
                <w:b/>
                <w:sz w:val="17"/>
              </w:rPr>
              <w:t xml:space="preserve"> </w:t>
            </w:r>
            <w:r w:rsidRPr="005151E1">
              <w:rPr>
                <w:b/>
                <w:sz w:val="17"/>
              </w:rPr>
              <w:t>339</w:t>
            </w:r>
          </w:p>
        </w:tc>
        <w:tc>
          <w:tcPr>
            <w:tcW w:w="1116" w:type="dxa"/>
            <w:tcBorders>
              <w:top w:val="single" w:sz="4" w:space="0" w:color="auto"/>
              <w:bottom w:val="single" w:sz="12"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101"/>
              <w:jc w:val="right"/>
              <w:rPr>
                <w:b/>
                <w:sz w:val="17"/>
              </w:rPr>
            </w:pPr>
            <w:r w:rsidRPr="005151E1">
              <w:rPr>
                <w:b/>
                <w:sz w:val="17"/>
              </w:rPr>
              <w:t>79.7</w:t>
            </w:r>
          </w:p>
        </w:tc>
        <w:tc>
          <w:tcPr>
            <w:tcW w:w="1125" w:type="dxa"/>
            <w:gridSpan w:val="2"/>
            <w:tcBorders>
              <w:top w:val="single" w:sz="4" w:space="0" w:color="auto"/>
              <w:bottom w:val="single" w:sz="12"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151E1">
              <w:rPr>
                <w:b/>
                <w:sz w:val="17"/>
              </w:rPr>
              <w:t>341</w:t>
            </w:r>
          </w:p>
        </w:tc>
        <w:tc>
          <w:tcPr>
            <w:tcW w:w="1134" w:type="dxa"/>
            <w:tcBorders>
              <w:top w:val="single" w:sz="4" w:space="0" w:color="auto"/>
              <w:bottom w:val="single" w:sz="12"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151E1">
              <w:rPr>
                <w:b/>
                <w:sz w:val="17"/>
              </w:rPr>
              <w:t>20.3</w:t>
            </w:r>
          </w:p>
        </w:tc>
        <w:tc>
          <w:tcPr>
            <w:tcW w:w="1125" w:type="dxa"/>
            <w:tcBorders>
              <w:top w:val="single" w:sz="4" w:space="0" w:color="auto"/>
              <w:bottom w:val="single" w:sz="12" w:space="0" w:color="auto"/>
            </w:tcBorders>
            <w:shd w:val="clear" w:color="auto" w:fill="auto"/>
            <w:vAlign w:val="bottom"/>
          </w:tcPr>
          <w:p w:rsidR="00905C5F" w:rsidRPr="005151E1" w:rsidRDefault="00905C5F" w:rsidP="005151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151E1">
              <w:rPr>
                <w:b/>
                <w:sz w:val="17"/>
              </w:rPr>
              <w:t>1</w:t>
            </w:r>
            <w:r w:rsidR="005151E1">
              <w:rPr>
                <w:b/>
                <w:sz w:val="17"/>
              </w:rPr>
              <w:t xml:space="preserve"> </w:t>
            </w:r>
            <w:r w:rsidRPr="005151E1">
              <w:rPr>
                <w:b/>
                <w:sz w:val="17"/>
              </w:rPr>
              <w:t>980</w:t>
            </w:r>
          </w:p>
        </w:tc>
      </w:tr>
    </w:tbl>
    <w:p w:rsidR="005151E1" w:rsidRPr="005151E1" w:rsidRDefault="005151E1" w:rsidP="005151E1">
      <w:pPr>
        <w:pStyle w:val="SingleTxt"/>
        <w:spacing w:after="0" w:line="120" w:lineRule="exact"/>
        <w:rPr>
          <w:sz w:val="10"/>
        </w:rPr>
      </w:pPr>
    </w:p>
    <w:p w:rsidR="005E1F07" w:rsidRDefault="005151E1" w:rsidP="005151E1">
      <w:pPr>
        <w:pStyle w:val="FootnoteText"/>
        <w:tabs>
          <w:tab w:val="clear" w:pos="418"/>
          <w:tab w:val="right" w:pos="1476"/>
          <w:tab w:val="left" w:pos="1548"/>
          <w:tab w:val="right" w:pos="1836"/>
          <w:tab w:val="left" w:pos="1908"/>
        </w:tabs>
        <w:ind w:left="1548" w:right="1267" w:hanging="288"/>
        <w:rPr>
          <w:i/>
        </w:rPr>
      </w:pPr>
      <w:r w:rsidRPr="005151E1">
        <w:rPr>
          <w:i/>
        </w:rPr>
        <w:tab/>
      </w:r>
      <w:r w:rsidR="00770B6C" w:rsidRPr="00773C9B">
        <w:rPr>
          <w:i/>
        </w:rPr>
        <w:t>Sources</w:t>
      </w:r>
      <w:r w:rsidR="00770B6C" w:rsidRPr="00773C9B">
        <w:t>:</w:t>
      </w:r>
      <w:r w:rsidR="00770B6C" w:rsidRPr="005151E1">
        <w:rPr>
          <w:i/>
        </w:rPr>
        <w:t xml:space="preserve"> ANPE_DOEF: National Employment Agency, Department of Employment and Training: Study of the structure of employment in the civil service, 2008</w:t>
      </w:r>
      <w:r w:rsidRPr="005151E1">
        <w:rPr>
          <w:i/>
        </w:rPr>
        <w:t>.</w:t>
      </w:r>
    </w:p>
    <w:p w:rsidR="005E1F07" w:rsidRDefault="00770B6C" w:rsidP="00770B6C">
      <w:pPr>
        <w:pStyle w:val="SingleTxt"/>
      </w:pPr>
      <w:r>
        <w:lastRenderedPageBreak/>
        <w:t>74.</w:t>
      </w:r>
      <w:r w:rsidR="005151E1">
        <w:tab/>
      </w:r>
      <w:r>
        <w:t>Among civil servants who are in training, only 20 per cent are women.</w:t>
      </w:r>
      <w:r w:rsidR="005E03D8">
        <w:t xml:space="preserve"> </w:t>
      </w:r>
      <w:r>
        <w:t>The differences in proportion are quite significant from one category to another: 42 per cent women in category C by contrast to 12 per cent in category A.</w:t>
      </w:r>
    </w:p>
    <w:p w:rsidR="005151E1" w:rsidRPr="005151E1" w:rsidRDefault="005151E1" w:rsidP="005151E1">
      <w:pPr>
        <w:pStyle w:val="SingleTxt"/>
        <w:spacing w:after="0" w:line="120" w:lineRule="exact"/>
        <w:rPr>
          <w:sz w:val="10"/>
        </w:rPr>
      </w:pPr>
    </w:p>
    <w:p w:rsidR="00770B6C" w:rsidRDefault="005151E1" w:rsidP="005151E1">
      <w:pPr>
        <w:pStyle w:val="H23"/>
        <w:ind w:right="1260"/>
      </w:pPr>
      <w:r>
        <w:tab/>
      </w:r>
      <w:r w:rsidR="00770B6C">
        <w:t>(d)</w:t>
      </w:r>
      <w:r>
        <w:tab/>
      </w:r>
      <w:r w:rsidR="00770B6C">
        <w:t>Right to equality of remuneration</w:t>
      </w:r>
    </w:p>
    <w:p w:rsidR="005151E1" w:rsidRPr="005151E1" w:rsidRDefault="005151E1" w:rsidP="005151E1">
      <w:pPr>
        <w:pStyle w:val="SingleTxt"/>
        <w:spacing w:after="0" w:line="120" w:lineRule="exact"/>
        <w:rPr>
          <w:sz w:val="10"/>
        </w:rPr>
      </w:pPr>
    </w:p>
    <w:p w:rsidR="005E1F07" w:rsidRDefault="00770B6C" w:rsidP="00770B6C">
      <w:pPr>
        <w:pStyle w:val="SingleTxt"/>
      </w:pPr>
      <w:r>
        <w:t>75.</w:t>
      </w:r>
      <w:r w:rsidR="005151E1">
        <w:tab/>
      </w:r>
      <w:r>
        <w:t xml:space="preserve">Law 92-020 of 23 September 1992, establishing the Labour Code provides in article L95 that all workers </w:t>
      </w:r>
      <w:r w:rsidR="005151E1">
        <w:t>—</w:t>
      </w:r>
      <w:r>
        <w:t xml:space="preserve"> given the same working conditions, the same occupational qualifications and the same output </w:t>
      </w:r>
      <w:r w:rsidR="005151E1">
        <w:t>—</w:t>
      </w:r>
      <w:r>
        <w:t xml:space="preserve"> will receive equal pay regardless of their origin, sex, age or status.</w:t>
      </w:r>
    </w:p>
    <w:p w:rsidR="005E1F07" w:rsidRDefault="00770B6C" w:rsidP="00770B6C">
      <w:pPr>
        <w:pStyle w:val="SingleTxt"/>
      </w:pPr>
      <w:r>
        <w:t>76.</w:t>
      </w:r>
      <w:r w:rsidR="005151E1">
        <w:tab/>
      </w:r>
      <w:r>
        <w:t>Mali ratified ILO Convention 100 on equality of remuneration in 1964. Despite legislative and regulatory provisions favourable to equality of remuneration, women are paid less than men, as the table below illustrates.</w:t>
      </w:r>
    </w:p>
    <w:p w:rsidR="005E1F07" w:rsidRDefault="00770B6C" w:rsidP="00770B6C">
      <w:pPr>
        <w:pStyle w:val="SingleTxt"/>
      </w:pPr>
      <w:r>
        <w:t>77.</w:t>
      </w:r>
      <w:r w:rsidR="005151E1">
        <w:tab/>
      </w:r>
      <w:r>
        <w:t>According to the document EPAM/2007/DOEF/ANPE, women are more numerous in the salary range between 29,000 and 50,000 CFA francs, by contrast with men, who receive higher remuneration.</w:t>
      </w:r>
      <w:r w:rsidR="005E03D8">
        <w:t xml:space="preserve"> </w:t>
      </w:r>
      <w:r>
        <w:t>This situation is even more patent in rural settings.</w:t>
      </w:r>
    </w:p>
    <w:p w:rsidR="005151E1" w:rsidRPr="005151E1" w:rsidRDefault="005151E1" w:rsidP="005151E1">
      <w:pPr>
        <w:pStyle w:val="SingleTxt"/>
        <w:spacing w:after="0" w:line="120" w:lineRule="exact"/>
        <w:rPr>
          <w:sz w:val="10"/>
        </w:rPr>
      </w:pPr>
    </w:p>
    <w:p w:rsidR="00770B6C" w:rsidRPr="005151E1" w:rsidRDefault="005151E1" w:rsidP="005151E1">
      <w:pPr>
        <w:pStyle w:val="H23"/>
        <w:ind w:right="1260"/>
        <w:rPr>
          <w:b w:val="0"/>
        </w:rPr>
      </w:pPr>
      <w:r>
        <w:tab/>
      </w:r>
      <w:r w:rsidRPr="005151E1">
        <w:rPr>
          <w:b w:val="0"/>
        </w:rPr>
        <w:tab/>
      </w:r>
      <w:r w:rsidR="00770B6C" w:rsidRPr="005151E1">
        <w:rPr>
          <w:b w:val="0"/>
        </w:rPr>
        <w:t>Table 12</w:t>
      </w:r>
    </w:p>
    <w:p w:rsidR="00770B6C" w:rsidRDefault="005151E1" w:rsidP="005151E1">
      <w:pPr>
        <w:pStyle w:val="H23"/>
        <w:ind w:right="1260"/>
      </w:pPr>
      <w:r>
        <w:tab/>
      </w:r>
      <w:r>
        <w:tab/>
      </w:r>
      <w:r w:rsidR="00770B6C">
        <w:t xml:space="preserve">Distribution of employed according to monthly remuneration and branch </w:t>
      </w:r>
      <w:r w:rsidR="003A0C58">
        <w:br/>
      </w:r>
      <w:r w:rsidR="00770B6C">
        <w:t>of activity</w:t>
      </w:r>
    </w:p>
    <w:p w:rsidR="005151E1" w:rsidRPr="005151E1" w:rsidRDefault="005151E1" w:rsidP="005151E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10"/>
        <w:gridCol w:w="805"/>
        <w:gridCol w:w="806"/>
        <w:gridCol w:w="92"/>
        <w:gridCol w:w="1026"/>
        <w:gridCol w:w="889"/>
      </w:tblGrid>
      <w:tr w:rsidR="003A0C58" w:rsidRPr="003A0C58" w:rsidTr="003A0C58">
        <w:trPr>
          <w:tblHeader/>
        </w:trPr>
        <w:tc>
          <w:tcPr>
            <w:tcW w:w="3710" w:type="dxa"/>
            <w:vMerge w:val="restart"/>
            <w:tcBorders>
              <w:top w:val="single" w:sz="4"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A0C58">
              <w:rPr>
                <w:i/>
                <w:sz w:val="14"/>
              </w:rPr>
              <w:t>Branch of activity</w:t>
            </w:r>
          </w:p>
        </w:tc>
        <w:tc>
          <w:tcPr>
            <w:tcW w:w="1611" w:type="dxa"/>
            <w:gridSpan w:val="2"/>
            <w:tcBorders>
              <w:top w:val="single" w:sz="4" w:space="0" w:color="auto"/>
              <w:bottom w:val="single" w:sz="4"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3A0C58">
              <w:rPr>
                <w:i/>
                <w:sz w:val="14"/>
              </w:rPr>
              <w:t>% employed</w:t>
            </w:r>
          </w:p>
        </w:tc>
        <w:tc>
          <w:tcPr>
            <w:tcW w:w="92" w:type="dxa"/>
            <w:tcBorders>
              <w:top w:val="single" w:sz="4"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15" w:type="dxa"/>
            <w:gridSpan w:val="2"/>
            <w:tcBorders>
              <w:top w:val="single" w:sz="4" w:space="0" w:color="auto"/>
              <w:bottom w:val="single" w:sz="4"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3A0C58">
              <w:rPr>
                <w:i/>
                <w:sz w:val="14"/>
              </w:rPr>
              <w:t>Less than 29.000 CFA Francs</w:t>
            </w:r>
          </w:p>
        </w:tc>
      </w:tr>
      <w:tr w:rsidR="003A0C58" w:rsidRPr="003A0C58" w:rsidTr="003A0C58">
        <w:trPr>
          <w:tblHeader/>
        </w:trPr>
        <w:tc>
          <w:tcPr>
            <w:tcW w:w="3710" w:type="dxa"/>
            <w:vMerge/>
            <w:tcBorders>
              <w:bottom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805" w:type="dxa"/>
            <w:tcBorders>
              <w:top w:val="single" w:sz="4" w:space="0" w:color="auto"/>
              <w:bottom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A0C58">
              <w:rPr>
                <w:i/>
                <w:sz w:val="14"/>
              </w:rPr>
              <w:t>Women</w:t>
            </w:r>
          </w:p>
        </w:tc>
        <w:tc>
          <w:tcPr>
            <w:tcW w:w="806" w:type="dxa"/>
            <w:tcBorders>
              <w:top w:val="single" w:sz="4" w:space="0" w:color="auto"/>
              <w:bottom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A0C58">
              <w:rPr>
                <w:i/>
                <w:sz w:val="14"/>
              </w:rPr>
              <w:t>Men</w:t>
            </w:r>
          </w:p>
        </w:tc>
        <w:tc>
          <w:tcPr>
            <w:tcW w:w="1118" w:type="dxa"/>
            <w:gridSpan w:val="2"/>
            <w:tcBorders>
              <w:bottom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A0C58">
              <w:rPr>
                <w:i/>
                <w:sz w:val="14"/>
              </w:rPr>
              <w:t>Women</w:t>
            </w:r>
          </w:p>
        </w:tc>
        <w:tc>
          <w:tcPr>
            <w:tcW w:w="889" w:type="dxa"/>
            <w:tcBorders>
              <w:bottom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A0C58">
              <w:rPr>
                <w:i/>
                <w:sz w:val="14"/>
              </w:rPr>
              <w:t xml:space="preserve">Men </w:t>
            </w:r>
          </w:p>
        </w:tc>
      </w:tr>
      <w:tr w:rsidR="003A0C58" w:rsidRPr="003A0C58" w:rsidTr="003A0C58">
        <w:trPr>
          <w:trHeight w:hRule="exact" w:val="115"/>
          <w:tblHeader/>
        </w:trPr>
        <w:tc>
          <w:tcPr>
            <w:tcW w:w="3710" w:type="dxa"/>
            <w:tcBorders>
              <w:top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805" w:type="dxa"/>
            <w:tcBorders>
              <w:top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06" w:type="dxa"/>
            <w:tcBorders>
              <w:top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18" w:type="dxa"/>
            <w:gridSpan w:val="2"/>
            <w:tcBorders>
              <w:top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89" w:type="dxa"/>
            <w:tcBorders>
              <w:top w:val="single" w:sz="12" w:space="0" w:color="auto"/>
            </w:tcBorders>
            <w:shd w:val="clear" w:color="auto" w:fill="auto"/>
            <w:vAlign w:val="bottom"/>
          </w:tcPr>
          <w:p w:rsidR="003A0C58"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Agriculture, livestock breeding, hunting, forestry</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56.7</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65.2</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68%</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43%</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Commerce, repair of vehicles and articles</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20.2</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10.6</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73%</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30%</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Production activities</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10.6</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6.7</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88%</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35%</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Housework, domestic service</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7.2</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0.5</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62%</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75%</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Extractive industries</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1.8</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2.0</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79%</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36%</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Hotels, restaurants</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0.6</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0.2</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78%</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36%</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Personal or collective activities</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0.6</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0.5</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77%</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19%</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Public administration</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0.5</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1.8</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8%</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Education</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0.5</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2.3</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13%</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8%</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Fishing, fish farming, aquaculture</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0.4</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2.0</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24%</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31%</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Health and social action</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0.4</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0.9</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27%</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25%</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Real estate, rentals &amp; services to enterprises</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0.2</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0.9</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55%</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27%</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Production &amp; distribution of electricity and water</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0.1</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0.1</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w:t>
            </w:r>
          </w:p>
        </w:tc>
      </w:tr>
      <w:tr w:rsidR="003A0C58" w:rsidRPr="003A0C58" w:rsidTr="003A0C58">
        <w:tc>
          <w:tcPr>
            <w:tcW w:w="3710"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Construction</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0.1</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3.0</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100%</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25%</w:t>
            </w:r>
          </w:p>
        </w:tc>
      </w:tr>
      <w:tr w:rsidR="003A0C58" w:rsidRPr="003A0C58" w:rsidTr="003A0C58">
        <w:tc>
          <w:tcPr>
            <w:tcW w:w="3710" w:type="dxa"/>
            <w:shd w:val="clear" w:color="auto" w:fill="auto"/>
            <w:vAlign w:val="bottom"/>
          </w:tcPr>
          <w:p w:rsidR="00F6038E" w:rsidRPr="003A0C58" w:rsidRDefault="009353B4"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A0C58">
              <w:rPr>
                <w:sz w:val="17"/>
              </w:rPr>
              <w:t>Transports and communications</w:t>
            </w:r>
          </w:p>
        </w:tc>
        <w:tc>
          <w:tcPr>
            <w:tcW w:w="805"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0.1</w:t>
            </w:r>
          </w:p>
        </w:tc>
        <w:tc>
          <w:tcPr>
            <w:tcW w:w="806"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2.8</w:t>
            </w:r>
          </w:p>
        </w:tc>
        <w:tc>
          <w:tcPr>
            <w:tcW w:w="1118" w:type="dxa"/>
            <w:gridSpan w:val="2"/>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0%</w:t>
            </w:r>
          </w:p>
        </w:tc>
        <w:tc>
          <w:tcPr>
            <w:tcW w:w="889" w:type="dxa"/>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A0C58">
              <w:rPr>
                <w:sz w:val="17"/>
              </w:rPr>
              <w:t>14%</w:t>
            </w:r>
          </w:p>
        </w:tc>
      </w:tr>
      <w:tr w:rsidR="003A0C58" w:rsidRPr="003A0C58" w:rsidTr="003A0C58">
        <w:tc>
          <w:tcPr>
            <w:tcW w:w="3710" w:type="dxa"/>
            <w:tcBorders>
              <w:bottom w:val="single" w:sz="4" w:space="0" w:color="auto"/>
            </w:tcBorders>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3A0C58">
              <w:rPr>
                <w:sz w:val="17"/>
              </w:rPr>
              <w:t>Finance</w:t>
            </w:r>
          </w:p>
        </w:tc>
        <w:tc>
          <w:tcPr>
            <w:tcW w:w="805" w:type="dxa"/>
            <w:tcBorders>
              <w:bottom w:val="single" w:sz="4" w:space="0" w:color="auto"/>
            </w:tcBorders>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A0C58">
              <w:rPr>
                <w:sz w:val="17"/>
              </w:rPr>
              <w:t>0.1</w:t>
            </w:r>
          </w:p>
        </w:tc>
        <w:tc>
          <w:tcPr>
            <w:tcW w:w="806" w:type="dxa"/>
            <w:tcBorders>
              <w:bottom w:val="single" w:sz="4" w:space="0" w:color="auto"/>
            </w:tcBorders>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A0C58">
              <w:rPr>
                <w:sz w:val="17"/>
              </w:rPr>
              <w:t>0.1</w:t>
            </w:r>
          </w:p>
        </w:tc>
        <w:tc>
          <w:tcPr>
            <w:tcW w:w="1118" w:type="dxa"/>
            <w:gridSpan w:val="2"/>
            <w:tcBorders>
              <w:bottom w:val="single" w:sz="4" w:space="0" w:color="auto"/>
            </w:tcBorders>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A0C58">
              <w:rPr>
                <w:sz w:val="17"/>
              </w:rPr>
              <w:t>0%</w:t>
            </w:r>
          </w:p>
        </w:tc>
        <w:tc>
          <w:tcPr>
            <w:tcW w:w="889" w:type="dxa"/>
            <w:tcBorders>
              <w:bottom w:val="single" w:sz="4" w:space="0" w:color="auto"/>
            </w:tcBorders>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A0C58">
              <w:rPr>
                <w:sz w:val="17"/>
              </w:rPr>
              <w:t>0%</w:t>
            </w:r>
          </w:p>
        </w:tc>
      </w:tr>
      <w:tr w:rsidR="003A0C58" w:rsidRPr="003A0C58" w:rsidTr="003A0C58">
        <w:tc>
          <w:tcPr>
            <w:tcW w:w="3710" w:type="dxa"/>
            <w:tcBorders>
              <w:top w:val="single" w:sz="4" w:space="0" w:color="auto"/>
              <w:bottom w:val="single" w:sz="12" w:space="0" w:color="auto"/>
            </w:tcBorders>
            <w:shd w:val="clear" w:color="auto" w:fill="auto"/>
            <w:vAlign w:val="bottom"/>
          </w:tcPr>
          <w:p w:rsidR="00F6038E" w:rsidRPr="003A0C58" w:rsidRDefault="003A0C58"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sz w:val="17"/>
              </w:rPr>
            </w:pPr>
            <w:r w:rsidRPr="003A0C58">
              <w:rPr>
                <w:b/>
                <w:sz w:val="17"/>
              </w:rPr>
              <w:tab/>
            </w:r>
            <w:r w:rsidR="00F6038E" w:rsidRPr="003A0C58">
              <w:rPr>
                <w:b/>
                <w:sz w:val="17"/>
              </w:rPr>
              <w:t>Total</w:t>
            </w:r>
          </w:p>
        </w:tc>
        <w:tc>
          <w:tcPr>
            <w:tcW w:w="805" w:type="dxa"/>
            <w:tcBorders>
              <w:top w:val="single" w:sz="4" w:space="0" w:color="auto"/>
              <w:bottom w:val="single" w:sz="12" w:space="0" w:color="auto"/>
            </w:tcBorders>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A0C58">
              <w:rPr>
                <w:b/>
                <w:sz w:val="17"/>
              </w:rPr>
              <w:t>100</w:t>
            </w:r>
          </w:p>
        </w:tc>
        <w:tc>
          <w:tcPr>
            <w:tcW w:w="806" w:type="dxa"/>
            <w:tcBorders>
              <w:top w:val="single" w:sz="4" w:space="0" w:color="auto"/>
              <w:bottom w:val="single" w:sz="12" w:space="0" w:color="auto"/>
            </w:tcBorders>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A0C58">
              <w:rPr>
                <w:b/>
                <w:sz w:val="17"/>
              </w:rPr>
              <w:t>100</w:t>
            </w:r>
          </w:p>
        </w:tc>
        <w:tc>
          <w:tcPr>
            <w:tcW w:w="1118" w:type="dxa"/>
            <w:gridSpan w:val="2"/>
            <w:tcBorders>
              <w:top w:val="single" w:sz="4" w:space="0" w:color="auto"/>
              <w:bottom w:val="single" w:sz="12" w:space="0" w:color="auto"/>
            </w:tcBorders>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A0C58">
              <w:rPr>
                <w:b/>
                <w:sz w:val="17"/>
              </w:rPr>
              <w:t>70%</w:t>
            </w:r>
          </w:p>
        </w:tc>
        <w:tc>
          <w:tcPr>
            <w:tcW w:w="889" w:type="dxa"/>
            <w:tcBorders>
              <w:top w:val="single" w:sz="4" w:space="0" w:color="auto"/>
              <w:bottom w:val="single" w:sz="12" w:space="0" w:color="auto"/>
            </w:tcBorders>
            <w:shd w:val="clear" w:color="auto" w:fill="auto"/>
            <w:vAlign w:val="bottom"/>
          </w:tcPr>
          <w:p w:rsidR="00F6038E" w:rsidRPr="003A0C58" w:rsidRDefault="00F6038E" w:rsidP="003A0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A0C58">
              <w:rPr>
                <w:b/>
                <w:sz w:val="17"/>
              </w:rPr>
              <w:t>37%</w:t>
            </w:r>
          </w:p>
        </w:tc>
      </w:tr>
    </w:tbl>
    <w:p w:rsidR="003A0C58" w:rsidRPr="003A0C58" w:rsidRDefault="003A0C58" w:rsidP="003A0C58">
      <w:pPr>
        <w:pStyle w:val="SingleTxt"/>
        <w:spacing w:after="0" w:line="120" w:lineRule="exact"/>
        <w:rPr>
          <w:sz w:val="10"/>
        </w:rPr>
      </w:pPr>
    </w:p>
    <w:p w:rsidR="003A0C58" w:rsidRDefault="00770B6C" w:rsidP="003A0C58">
      <w:pPr>
        <w:pStyle w:val="FootnoteText"/>
        <w:tabs>
          <w:tab w:val="clear" w:pos="418"/>
          <w:tab w:val="right" w:pos="1476"/>
          <w:tab w:val="left" w:pos="1548"/>
          <w:tab w:val="right" w:pos="1836"/>
          <w:tab w:val="left" w:pos="1908"/>
        </w:tabs>
        <w:ind w:left="1548" w:right="1267" w:hanging="288"/>
      </w:pPr>
      <w:r w:rsidRPr="00773C9B">
        <w:rPr>
          <w:i/>
        </w:rPr>
        <w:t>Source</w:t>
      </w:r>
      <w:r w:rsidRPr="00773C9B">
        <w:t>:</w:t>
      </w:r>
      <w:r w:rsidRPr="003A0C58">
        <w:rPr>
          <w:i/>
        </w:rPr>
        <w:t xml:space="preserve"> Continuous Survey of Households,</w:t>
      </w:r>
      <w:r w:rsidR="005E03D8" w:rsidRPr="003A0C58">
        <w:rPr>
          <w:i/>
        </w:rPr>
        <w:t xml:space="preserve"> </w:t>
      </w:r>
      <w:r w:rsidR="003A0C58" w:rsidRPr="003A0C58">
        <w:rPr>
          <w:i/>
        </w:rPr>
        <w:t>2007</w:t>
      </w:r>
      <w:r w:rsidR="003A0C58">
        <w:t>.</w:t>
      </w:r>
    </w:p>
    <w:p w:rsidR="003A0C58" w:rsidRPr="003A0C58" w:rsidRDefault="003A0C58" w:rsidP="003A0C58">
      <w:pPr>
        <w:pStyle w:val="SingleTxt"/>
        <w:spacing w:after="0" w:line="120" w:lineRule="exact"/>
        <w:rPr>
          <w:sz w:val="10"/>
        </w:rPr>
      </w:pPr>
    </w:p>
    <w:p w:rsidR="003A0C58" w:rsidRPr="003A0C58" w:rsidRDefault="003A0C58" w:rsidP="003A0C58">
      <w:pPr>
        <w:pStyle w:val="SingleTxt"/>
        <w:spacing w:after="0" w:line="120" w:lineRule="exact"/>
        <w:rPr>
          <w:sz w:val="10"/>
        </w:rPr>
      </w:pPr>
    </w:p>
    <w:p w:rsidR="00770B6C" w:rsidRDefault="003A0C58" w:rsidP="003A0C58">
      <w:pPr>
        <w:pStyle w:val="H23"/>
        <w:ind w:right="1260"/>
        <w:rPr>
          <w:w w:val="100"/>
        </w:rPr>
      </w:pPr>
      <w:r>
        <w:lastRenderedPageBreak/>
        <w:tab/>
      </w:r>
      <w:r>
        <w:tab/>
      </w:r>
      <w:r w:rsidR="00770B6C" w:rsidRPr="003A0C58">
        <w:rPr>
          <w:w w:val="100"/>
        </w:rPr>
        <w:t xml:space="preserve">Distribution of employed according to sex, place of residence and income </w:t>
      </w:r>
      <w:r>
        <w:rPr>
          <w:w w:val="100"/>
        </w:rPr>
        <w:br/>
      </w:r>
      <w:r w:rsidR="00770B6C" w:rsidRPr="003A0C58">
        <w:rPr>
          <w:w w:val="100"/>
        </w:rPr>
        <w:t>from work</w:t>
      </w:r>
    </w:p>
    <w:p w:rsidR="00360288" w:rsidRPr="00360288" w:rsidRDefault="00360288" w:rsidP="00360288">
      <w:pPr>
        <w:pStyle w:val="SingleTxt"/>
        <w:spacing w:after="0" w:line="200" w:lineRule="exact"/>
      </w:pPr>
      <w:r w:rsidRPr="00360288">
        <w:rPr>
          <w:i/>
          <w:sz w:val="14"/>
        </w:rPr>
        <w:t>Unit: CFA Franc (CFAF)</w:t>
      </w:r>
    </w:p>
    <w:p w:rsidR="003A0C58" w:rsidRPr="003A0C58" w:rsidRDefault="003A0C58" w:rsidP="003A0C5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93"/>
        <w:gridCol w:w="1183"/>
        <w:gridCol w:w="1184"/>
        <w:gridCol w:w="73"/>
        <w:gridCol w:w="1111"/>
        <w:gridCol w:w="1184"/>
      </w:tblGrid>
      <w:tr w:rsidR="00360288" w:rsidRPr="00360288" w:rsidTr="00360288">
        <w:trPr>
          <w:tblHeader/>
        </w:trPr>
        <w:tc>
          <w:tcPr>
            <w:tcW w:w="2593" w:type="dxa"/>
            <w:vMerge w:val="restart"/>
            <w:tcBorders>
              <w:top w:val="single" w:sz="4" w:space="0" w:color="auto"/>
            </w:tcBorders>
            <w:shd w:val="clear" w:color="auto" w:fill="auto"/>
            <w:vAlign w:val="bottom"/>
          </w:tcPr>
          <w:p w:rsidR="00360288" w:rsidRPr="00360288" w:rsidRDefault="00360288" w:rsidP="00360288">
            <w:pPr>
              <w:pStyle w:val="SingleTxt"/>
              <w:spacing w:before="81" w:after="81" w:line="160" w:lineRule="exact"/>
              <w:ind w:left="0" w:right="40"/>
              <w:rPr>
                <w:i/>
                <w:sz w:val="14"/>
              </w:rPr>
            </w:pPr>
            <w:r w:rsidRPr="00360288">
              <w:rPr>
                <w:i/>
                <w:sz w:val="14"/>
              </w:rPr>
              <w:t>Income</w:t>
            </w:r>
          </w:p>
        </w:tc>
        <w:tc>
          <w:tcPr>
            <w:tcW w:w="2367" w:type="dxa"/>
            <w:gridSpan w:val="2"/>
            <w:tcBorders>
              <w:top w:val="single" w:sz="4" w:space="0" w:color="auto"/>
              <w:bottom w:val="single" w:sz="4"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360288">
              <w:rPr>
                <w:i/>
                <w:sz w:val="14"/>
              </w:rPr>
              <w:t>Men</w:t>
            </w:r>
          </w:p>
        </w:tc>
        <w:tc>
          <w:tcPr>
            <w:tcW w:w="73" w:type="dxa"/>
            <w:tcBorders>
              <w:top w:val="single" w:sz="4"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b/>
                <w:i/>
                <w:sz w:val="14"/>
              </w:rPr>
            </w:pPr>
          </w:p>
        </w:tc>
        <w:tc>
          <w:tcPr>
            <w:tcW w:w="2295" w:type="dxa"/>
            <w:gridSpan w:val="2"/>
            <w:tcBorders>
              <w:top w:val="single" w:sz="4" w:space="0" w:color="auto"/>
              <w:bottom w:val="single" w:sz="4"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360288">
              <w:rPr>
                <w:i/>
                <w:sz w:val="14"/>
              </w:rPr>
              <w:t>Women</w:t>
            </w:r>
          </w:p>
        </w:tc>
      </w:tr>
      <w:tr w:rsidR="00360288" w:rsidRPr="00360288" w:rsidTr="00360288">
        <w:trPr>
          <w:tblHeader/>
        </w:trPr>
        <w:tc>
          <w:tcPr>
            <w:tcW w:w="2593" w:type="dxa"/>
            <w:vMerge/>
            <w:tcBorders>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183" w:type="dxa"/>
            <w:tcBorders>
              <w:top w:val="single" w:sz="4" w:space="0" w:color="auto"/>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60288">
              <w:rPr>
                <w:i/>
                <w:sz w:val="14"/>
              </w:rPr>
              <w:t>Urban</w:t>
            </w:r>
          </w:p>
        </w:tc>
        <w:tc>
          <w:tcPr>
            <w:tcW w:w="1184" w:type="dxa"/>
            <w:tcBorders>
              <w:top w:val="single" w:sz="4" w:space="0" w:color="auto"/>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60288">
              <w:rPr>
                <w:i/>
                <w:sz w:val="14"/>
              </w:rPr>
              <w:t>Rural</w:t>
            </w:r>
          </w:p>
        </w:tc>
        <w:tc>
          <w:tcPr>
            <w:tcW w:w="1184" w:type="dxa"/>
            <w:gridSpan w:val="2"/>
            <w:tcBorders>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60288">
              <w:rPr>
                <w:i/>
                <w:sz w:val="14"/>
              </w:rPr>
              <w:t>Urban</w:t>
            </w:r>
          </w:p>
        </w:tc>
        <w:tc>
          <w:tcPr>
            <w:tcW w:w="1184" w:type="dxa"/>
            <w:tcBorders>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60288">
              <w:rPr>
                <w:i/>
                <w:sz w:val="14"/>
              </w:rPr>
              <w:t>Rural</w:t>
            </w:r>
          </w:p>
        </w:tc>
      </w:tr>
      <w:tr w:rsidR="00360288" w:rsidRPr="00360288" w:rsidTr="00360288">
        <w:trPr>
          <w:trHeight w:hRule="exact" w:val="115"/>
          <w:tblHeader/>
        </w:trPr>
        <w:tc>
          <w:tcPr>
            <w:tcW w:w="2593" w:type="dxa"/>
            <w:tcBorders>
              <w:top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183" w:type="dxa"/>
            <w:tcBorders>
              <w:top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84" w:type="dxa"/>
            <w:tcBorders>
              <w:top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84" w:type="dxa"/>
            <w:gridSpan w:val="2"/>
            <w:tcBorders>
              <w:top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84" w:type="dxa"/>
            <w:tcBorders>
              <w:top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360288" w:rsidRPr="00360288" w:rsidTr="00360288">
        <w:tc>
          <w:tcPr>
            <w:tcW w:w="259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0288">
              <w:rPr>
                <w:sz w:val="17"/>
              </w:rPr>
              <w:t>Less than 29,000 CFAF</w:t>
            </w:r>
          </w:p>
        </w:tc>
        <w:tc>
          <w:tcPr>
            <w:tcW w:w="118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62</w:t>
            </w:r>
            <w:r>
              <w:rPr>
                <w:sz w:val="17"/>
              </w:rPr>
              <w:t xml:space="preserve"> </w:t>
            </w:r>
            <w:r w:rsidRPr="00360288">
              <w:rPr>
                <w:sz w:val="17"/>
              </w:rPr>
              <w:t>952</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483</w:t>
            </w:r>
            <w:r>
              <w:rPr>
                <w:sz w:val="17"/>
              </w:rPr>
              <w:t xml:space="preserve"> </w:t>
            </w:r>
            <w:r w:rsidRPr="00360288">
              <w:rPr>
                <w:sz w:val="17"/>
              </w:rPr>
              <w:t>486</w:t>
            </w:r>
          </w:p>
        </w:tc>
        <w:tc>
          <w:tcPr>
            <w:tcW w:w="1184" w:type="dxa"/>
            <w:gridSpan w:val="2"/>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120</w:t>
            </w:r>
            <w:r>
              <w:rPr>
                <w:sz w:val="17"/>
              </w:rPr>
              <w:t xml:space="preserve"> </w:t>
            </w:r>
            <w:r w:rsidRPr="00360288">
              <w:rPr>
                <w:sz w:val="17"/>
              </w:rPr>
              <w:t>149</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500</w:t>
            </w:r>
            <w:r>
              <w:rPr>
                <w:sz w:val="17"/>
              </w:rPr>
              <w:t xml:space="preserve"> </w:t>
            </w:r>
            <w:r w:rsidRPr="00360288">
              <w:rPr>
                <w:sz w:val="17"/>
              </w:rPr>
              <w:t>486</w:t>
            </w:r>
          </w:p>
        </w:tc>
      </w:tr>
      <w:tr w:rsidR="00360288" w:rsidRPr="00360288" w:rsidTr="00360288">
        <w:tc>
          <w:tcPr>
            <w:tcW w:w="259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0288">
              <w:rPr>
                <w:sz w:val="17"/>
              </w:rPr>
              <w:t>29,000 CFAF</w:t>
            </w:r>
          </w:p>
        </w:tc>
        <w:tc>
          <w:tcPr>
            <w:tcW w:w="118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w:t>
            </w:r>
            <w:r>
              <w:rPr>
                <w:sz w:val="17"/>
              </w:rPr>
              <w:t xml:space="preserve"> </w:t>
            </w:r>
            <w:r w:rsidRPr="00360288">
              <w:rPr>
                <w:sz w:val="17"/>
              </w:rPr>
              <w:t>936</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14</w:t>
            </w:r>
            <w:r>
              <w:rPr>
                <w:sz w:val="17"/>
              </w:rPr>
              <w:t xml:space="preserve"> </w:t>
            </w:r>
            <w:r w:rsidRPr="00360288">
              <w:rPr>
                <w:sz w:val="17"/>
              </w:rPr>
              <w:t>440</w:t>
            </w:r>
          </w:p>
        </w:tc>
        <w:tc>
          <w:tcPr>
            <w:tcW w:w="1184" w:type="dxa"/>
            <w:gridSpan w:val="2"/>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3</w:t>
            </w:r>
            <w:r>
              <w:rPr>
                <w:sz w:val="17"/>
              </w:rPr>
              <w:t xml:space="preserve"> </w:t>
            </w:r>
            <w:r w:rsidRPr="00360288">
              <w:rPr>
                <w:sz w:val="17"/>
              </w:rPr>
              <w:t>553</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12</w:t>
            </w:r>
            <w:r>
              <w:rPr>
                <w:sz w:val="17"/>
              </w:rPr>
              <w:t xml:space="preserve"> </w:t>
            </w:r>
            <w:r w:rsidRPr="00360288">
              <w:rPr>
                <w:sz w:val="17"/>
              </w:rPr>
              <w:t>375</w:t>
            </w:r>
          </w:p>
        </w:tc>
      </w:tr>
      <w:tr w:rsidR="00360288" w:rsidRPr="00360288" w:rsidTr="00360288">
        <w:tc>
          <w:tcPr>
            <w:tcW w:w="259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0288">
              <w:rPr>
                <w:sz w:val="17"/>
              </w:rPr>
              <w:t>29,000, 50,000</w:t>
            </w:r>
          </w:p>
        </w:tc>
        <w:tc>
          <w:tcPr>
            <w:tcW w:w="118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130</w:t>
            </w:r>
            <w:r>
              <w:rPr>
                <w:sz w:val="17"/>
              </w:rPr>
              <w:t xml:space="preserve"> </w:t>
            </w:r>
            <w:r w:rsidRPr="00360288">
              <w:rPr>
                <w:sz w:val="17"/>
              </w:rPr>
              <w:t>897</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331</w:t>
            </w:r>
            <w:r>
              <w:rPr>
                <w:sz w:val="17"/>
              </w:rPr>
              <w:t xml:space="preserve"> </w:t>
            </w:r>
            <w:r w:rsidRPr="00360288">
              <w:rPr>
                <w:sz w:val="17"/>
              </w:rPr>
              <w:t>179</w:t>
            </w:r>
          </w:p>
        </w:tc>
        <w:tc>
          <w:tcPr>
            <w:tcW w:w="1184" w:type="dxa"/>
            <w:gridSpan w:val="2"/>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46</w:t>
            </w:r>
            <w:r>
              <w:rPr>
                <w:sz w:val="17"/>
              </w:rPr>
              <w:t xml:space="preserve"> </w:t>
            </w:r>
            <w:r w:rsidRPr="00360288">
              <w:rPr>
                <w:sz w:val="17"/>
              </w:rPr>
              <w:t>671</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155</w:t>
            </w:r>
            <w:r>
              <w:rPr>
                <w:sz w:val="17"/>
              </w:rPr>
              <w:t xml:space="preserve"> </w:t>
            </w:r>
            <w:r w:rsidRPr="00360288">
              <w:rPr>
                <w:sz w:val="17"/>
              </w:rPr>
              <w:t>596</w:t>
            </w:r>
          </w:p>
        </w:tc>
      </w:tr>
      <w:tr w:rsidR="00360288" w:rsidRPr="00360288" w:rsidTr="00360288">
        <w:tc>
          <w:tcPr>
            <w:tcW w:w="259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0288">
              <w:rPr>
                <w:sz w:val="17"/>
              </w:rPr>
              <w:t>50,000, 75,000</w:t>
            </w:r>
          </w:p>
        </w:tc>
        <w:tc>
          <w:tcPr>
            <w:tcW w:w="118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70</w:t>
            </w:r>
            <w:r>
              <w:rPr>
                <w:sz w:val="17"/>
              </w:rPr>
              <w:t xml:space="preserve"> </w:t>
            </w:r>
            <w:r w:rsidRPr="00360288">
              <w:rPr>
                <w:sz w:val="17"/>
              </w:rPr>
              <w:t>265</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163</w:t>
            </w:r>
            <w:r>
              <w:rPr>
                <w:sz w:val="17"/>
              </w:rPr>
              <w:t xml:space="preserve"> </w:t>
            </w:r>
            <w:r w:rsidRPr="00360288">
              <w:rPr>
                <w:sz w:val="17"/>
              </w:rPr>
              <w:t>811</w:t>
            </w:r>
          </w:p>
        </w:tc>
        <w:tc>
          <w:tcPr>
            <w:tcW w:w="1184" w:type="dxa"/>
            <w:gridSpan w:val="2"/>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19</w:t>
            </w:r>
            <w:r>
              <w:rPr>
                <w:sz w:val="17"/>
              </w:rPr>
              <w:t xml:space="preserve"> </w:t>
            </w:r>
            <w:r w:rsidRPr="00360288">
              <w:rPr>
                <w:sz w:val="17"/>
              </w:rPr>
              <w:t>114</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55</w:t>
            </w:r>
            <w:r>
              <w:rPr>
                <w:sz w:val="17"/>
              </w:rPr>
              <w:t xml:space="preserve"> </w:t>
            </w:r>
            <w:r w:rsidRPr="00360288">
              <w:rPr>
                <w:sz w:val="17"/>
              </w:rPr>
              <w:t>067</w:t>
            </w:r>
          </w:p>
        </w:tc>
      </w:tr>
      <w:tr w:rsidR="00360288" w:rsidRPr="00360288" w:rsidTr="00360288">
        <w:tc>
          <w:tcPr>
            <w:tcW w:w="259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0288">
              <w:rPr>
                <w:sz w:val="17"/>
              </w:rPr>
              <w:t>75,000, 100,000</w:t>
            </w:r>
          </w:p>
        </w:tc>
        <w:tc>
          <w:tcPr>
            <w:tcW w:w="118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52</w:t>
            </w:r>
            <w:r>
              <w:rPr>
                <w:sz w:val="17"/>
              </w:rPr>
              <w:t xml:space="preserve"> </w:t>
            </w:r>
            <w:r w:rsidRPr="00360288">
              <w:rPr>
                <w:sz w:val="17"/>
              </w:rPr>
              <w:t>868</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96</w:t>
            </w:r>
            <w:r>
              <w:rPr>
                <w:sz w:val="17"/>
              </w:rPr>
              <w:t xml:space="preserve"> </w:t>
            </w:r>
            <w:r w:rsidRPr="00360288">
              <w:rPr>
                <w:sz w:val="17"/>
              </w:rPr>
              <w:t>350</w:t>
            </w:r>
          </w:p>
        </w:tc>
        <w:tc>
          <w:tcPr>
            <w:tcW w:w="1184" w:type="dxa"/>
            <w:gridSpan w:val="2"/>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17</w:t>
            </w:r>
            <w:r>
              <w:rPr>
                <w:sz w:val="17"/>
              </w:rPr>
              <w:t xml:space="preserve"> </w:t>
            </w:r>
            <w:r w:rsidRPr="00360288">
              <w:rPr>
                <w:sz w:val="17"/>
              </w:rPr>
              <w:t>660</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25</w:t>
            </w:r>
            <w:r>
              <w:rPr>
                <w:sz w:val="17"/>
              </w:rPr>
              <w:t xml:space="preserve"> </w:t>
            </w:r>
            <w:r w:rsidRPr="00360288">
              <w:rPr>
                <w:sz w:val="17"/>
              </w:rPr>
              <w:t>891</w:t>
            </w:r>
          </w:p>
        </w:tc>
      </w:tr>
      <w:tr w:rsidR="00360288" w:rsidRPr="00360288" w:rsidTr="00360288">
        <w:tc>
          <w:tcPr>
            <w:tcW w:w="259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0288">
              <w:rPr>
                <w:sz w:val="17"/>
              </w:rPr>
              <w:t>100,000, 200,000</w:t>
            </w:r>
          </w:p>
        </w:tc>
        <w:tc>
          <w:tcPr>
            <w:tcW w:w="118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78</w:t>
            </w:r>
            <w:r>
              <w:rPr>
                <w:sz w:val="17"/>
              </w:rPr>
              <w:t xml:space="preserve"> </w:t>
            </w:r>
            <w:r w:rsidRPr="00360288">
              <w:rPr>
                <w:sz w:val="17"/>
              </w:rPr>
              <w:t>753</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106</w:t>
            </w:r>
            <w:r>
              <w:rPr>
                <w:sz w:val="17"/>
              </w:rPr>
              <w:t xml:space="preserve"> </w:t>
            </w:r>
            <w:r w:rsidRPr="00360288">
              <w:rPr>
                <w:sz w:val="17"/>
              </w:rPr>
              <w:t>832</w:t>
            </w:r>
          </w:p>
        </w:tc>
        <w:tc>
          <w:tcPr>
            <w:tcW w:w="1184" w:type="dxa"/>
            <w:gridSpan w:val="2"/>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16</w:t>
            </w:r>
            <w:r>
              <w:rPr>
                <w:sz w:val="17"/>
              </w:rPr>
              <w:t xml:space="preserve"> </w:t>
            </w:r>
            <w:r w:rsidRPr="00360288">
              <w:rPr>
                <w:sz w:val="17"/>
              </w:rPr>
              <w:t>089</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20</w:t>
            </w:r>
            <w:r>
              <w:rPr>
                <w:sz w:val="17"/>
              </w:rPr>
              <w:t xml:space="preserve"> </w:t>
            </w:r>
            <w:r w:rsidRPr="00360288">
              <w:rPr>
                <w:sz w:val="17"/>
              </w:rPr>
              <w:t>589</w:t>
            </w:r>
          </w:p>
        </w:tc>
      </w:tr>
      <w:tr w:rsidR="00360288" w:rsidRPr="00360288" w:rsidTr="00360288">
        <w:tc>
          <w:tcPr>
            <w:tcW w:w="259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0288">
              <w:rPr>
                <w:sz w:val="17"/>
              </w:rPr>
              <w:t>200,000, 500,000</w:t>
            </w:r>
          </w:p>
        </w:tc>
        <w:tc>
          <w:tcPr>
            <w:tcW w:w="118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21</w:t>
            </w:r>
            <w:r>
              <w:rPr>
                <w:sz w:val="17"/>
              </w:rPr>
              <w:t xml:space="preserve"> </w:t>
            </w:r>
            <w:r w:rsidRPr="00360288">
              <w:rPr>
                <w:sz w:val="17"/>
              </w:rPr>
              <w:t>780</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35</w:t>
            </w:r>
            <w:r>
              <w:rPr>
                <w:sz w:val="17"/>
              </w:rPr>
              <w:t xml:space="preserve"> </w:t>
            </w:r>
            <w:r w:rsidRPr="00360288">
              <w:rPr>
                <w:sz w:val="17"/>
              </w:rPr>
              <w:t>341</w:t>
            </w:r>
          </w:p>
        </w:tc>
        <w:tc>
          <w:tcPr>
            <w:tcW w:w="1184" w:type="dxa"/>
            <w:gridSpan w:val="2"/>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8</w:t>
            </w:r>
            <w:r>
              <w:rPr>
                <w:sz w:val="17"/>
              </w:rPr>
              <w:t xml:space="preserve"> </w:t>
            </w:r>
            <w:r w:rsidRPr="00360288">
              <w:rPr>
                <w:sz w:val="17"/>
              </w:rPr>
              <w:t>009</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8</w:t>
            </w:r>
            <w:r>
              <w:rPr>
                <w:sz w:val="17"/>
              </w:rPr>
              <w:t xml:space="preserve"> </w:t>
            </w:r>
            <w:r w:rsidRPr="00360288">
              <w:rPr>
                <w:sz w:val="17"/>
              </w:rPr>
              <w:t>960</w:t>
            </w:r>
          </w:p>
        </w:tc>
      </w:tr>
      <w:tr w:rsidR="00360288" w:rsidRPr="00360288" w:rsidTr="00360288">
        <w:tc>
          <w:tcPr>
            <w:tcW w:w="259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0288">
              <w:rPr>
                <w:sz w:val="17"/>
              </w:rPr>
              <w:t>Over 500,000 FCFA</w:t>
            </w:r>
          </w:p>
        </w:tc>
        <w:tc>
          <w:tcPr>
            <w:tcW w:w="118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5</w:t>
            </w:r>
            <w:r>
              <w:rPr>
                <w:sz w:val="17"/>
              </w:rPr>
              <w:t xml:space="preserve"> </w:t>
            </w:r>
            <w:r w:rsidRPr="00360288">
              <w:rPr>
                <w:sz w:val="17"/>
              </w:rPr>
              <w:t>419</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22</w:t>
            </w:r>
            <w:r>
              <w:rPr>
                <w:sz w:val="17"/>
              </w:rPr>
              <w:t xml:space="preserve"> </w:t>
            </w:r>
            <w:r w:rsidRPr="00360288">
              <w:rPr>
                <w:sz w:val="17"/>
              </w:rPr>
              <w:t>275</w:t>
            </w:r>
          </w:p>
        </w:tc>
        <w:tc>
          <w:tcPr>
            <w:tcW w:w="1184" w:type="dxa"/>
            <w:gridSpan w:val="2"/>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w:t>
            </w:r>
            <w:r>
              <w:rPr>
                <w:sz w:val="17"/>
              </w:rPr>
              <w:t xml:space="preserve"> </w:t>
            </w:r>
            <w:r w:rsidRPr="00360288">
              <w:rPr>
                <w:sz w:val="17"/>
              </w:rPr>
              <w:t>714</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9</w:t>
            </w:r>
            <w:r>
              <w:rPr>
                <w:sz w:val="17"/>
              </w:rPr>
              <w:t xml:space="preserve"> </w:t>
            </w:r>
            <w:r w:rsidRPr="00360288">
              <w:rPr>
                <w:sz w:val="17"/>
              </w:rPr>
              <w:t>974</w:t>
            </w:r>
          </w:p>
        </w:tc>
      </w:tr>
      <w:tr w:rsidR="00360288" w:rsidRPr="00360288" w:rsidTr="00360288">
        <w:tc>
          <w:tcPr>
            <w:tcW w:w="259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0288">
              <w:rPr>
                <w:sz w:val="17"/>
              </w:rPr>
              <w:t>None</w:t>
            </w:r>
          </w:p>
        </w:tc>
        <w:tc>
          <w:tcPr>
            <w:tcW w:w="1183"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32</w:t>
            </w:r>
            <w:r>
              <w:rPr>
                <w:sz w:val="17"/>
              </w:rPr>
              <w:t xml:space="preserve"> </w:t>
            </w:r>
            <w:r w:rsidRPr="00360288">
              <w:rPr>
                <w:sz w:val="17"/>
              </w:rPr>
              <w:t>456</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484</w:t>
            </w:r>
            <w:r>
              <w:rPr>
                <w:sz w:val="17"/>
              </w:rPr>
              <w:t xml:space="preserve"> </w:t>
            </w:r>
            <w:r w:rsidRPr="00360288">
              <w:rPr>
                <w:sz w:val="17"/>
              </w:rPr>
              <w:t>062</w:t>
            </w:r>
          </w:p>
        </w:tc>
        <w:tc>
          <w:tcPr>
            <w:tcW w:w="1184" w:type="dxa"/>
            <w:gridSpan w:val="2"/>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15</w:t>
            </w:r>
            <w:r>
              <w:rPr>
                <w:sz w:val="17"/>
              </w:rPr>
              <w:t xml:space="preserve"> </w:t>
            </w:r>
            <w:r w:rsidRPr="00360288">
              <w:rPr>
                <w:sz w:val="17"/>
              </w:rPr>
              <w:t>311</w:t>
            </w:r>
          </w:p>
        </w:tc>
        <w:tc>
          <w:tcPr>
            <w:tcW w:w="1184" w:type="dxa"/>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60288">
              <w:rPr>
                <w:sz w:val="17"/>
              </w:rPr>
              <w:t>339</w:t>
            </w:r>
            <w:r>
              <w:rPr>
                <w:sz w:val="17"/>
              </w:rPr>
              <w:t xml:space="preserve"> </w:t>
            </w:r>
            <w:r w:rsidRPr="00360288">
              <w:rPr>
                <w:sz w:val="17"/>
              </w:rPr>
              <w:t>213</w:t>
            </w:r>
          </w:p>
        </w:tc>
      </w:tr>
      <w:tr w:rsidR="00360288" w:rsidRPr="00360288" w:rsidTr="00360288">
        <w:tc>
          <w:tcPr>
            <w:tcW w:w="2593" w:type="dxa"/>
            <w:tcBorders>
              <w:bottom w:val="single" w:sz="4"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360288">
              <w:rPr>
                <w:sz w:val="17"/>
              </w:rPr>
              <w:t>ND</w:t>
            </w:r>
          </w:p>
        </w:tc>
        <w:tc>
          <w:tcPr>
            <w:tcW w:w="1183" w:type="dxa"/>
            <w:tcBorders>
              <w:bottom w:val="single" w:sz="4"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60288">
              <w:rPr>
                <w:sz w:val="17"/>
              </w:rPr>
              <w:t>93</w:t>
            </w:r>
            <w:r>
              <w:rPr>
                <w:sz w:val="17"/>
              </w:rPr>
              <w:t xml:space="preserve"> </w:t>
            </w:r>
            <w:r w:rsidRPr="00360288">
              <w:rPr>
                <w:sz w:val="17"/>
              </w:rPr>
              <w:t>191</w:t>
            </w:r>
          </w:p>
        </w:tc>
        <w:tc>
          <w:tcPr>
            <w:tcW w:w="1184" w:type="dxa"/>
            <w:tcBorders>
              <w:bottom w:val="single" w:sz="4"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60288">
              <w:rPr>
                <w:sz w:val="17"/>
              </w:rPr>
              <w:t>329</w:t>
            </w:r>
            <w:r>
              <w:rPr>
                <w:sz w:val="17"/>
              </w:rPr>
              <w:t xml:space="preserve"> </w:t>
            </w:r>
            <w:r w:rsidRPr="00360288">
              <w:rPr>
                <w:sz w:val="17"/>
              </w:rPr>
              <w:t>646</w:t>
            </w:r>
          </w:p>
        </w:tc>
        <w:tc>
          <w:tcPr>
            <w:tcW w:w="1184" w:type="dxa"/>
            <w:gridSpan w:val="2"/>
            <w:tcBorders>
              <w:bottom w:val="single" w:sz="4"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60288">
              <w:rPr>
                <w:sz w:val="17"/>
              </w:rPr>
              <w:t>60</w:t>
            </w:r>
            <w:r>
              <w:rPr>
                <w:sz w:val="17"/>
              </w:rPr>
              <w:t xml:space="preserve"> </w:t>
            </w:r>
            <w:r w:rsidRPr="00360288">
              <w:rPr>
                <w:sz w:val="17"/>
              </w:rPr>
              <w:t>836</w:t>
            </w:r>
          </w:p>
        </w:tc>
        <w:tc>
          <w:tcPr>
            <w:tcW w:w="1184" w:type="dxa"/>
            <w:tcBorders>
              <w:bottom w:val="single" w:sz="4"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60288">
              <w:rPr>
                <w:sz w:val="17"/>
              </w:rPr>
              <w:t>253</w:t>
            </w:r>
            <w:r>
              <w:rPr>
                <w:sz w:val="17"/>
              </w:rPr>
              <w:t xml:space="preserve"> </w:t>
            </w:r>
            <w:r w:rsidRPr="00360288">
              <w:rPr>
                <w:sz w:val="17"/>
              </w:rPr>
              <w:t>099</w:t>
            </w:r>
          </w:p>
        </w:tc>
      </w:tr>
      <w:tr w:rsidR="00360288" w:rsidRPr="00360288" w:rsidTr="00360288">
        <w:tc>
          <w:tcPr>
            <w:tcW w:w="2593" w:type="dxa"/>
            <w:tcBorders>
              <w:top w:val="single" w:sz="4" w:space="0" w:color="auto"/>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360288">
              <w:rPr>
                <w:b/>
                <w:sz w:val="17"/>
              </w:rPr>
              <w:tab/>
              <w:t>Total</w:t>
            </w:r>
          </w:p>
        </w:tc>
        <w:tc>
          <w:tcPr>
            <w:tcW w:w="1183" w:type="dxa"/>
            <w:tcBorders>
              <w:top w:val="single" w:sz="4" w:space="0" w:color="auto"/>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60288">
              <w:rPr>
                <w:b/>
                <w:sz w:val="17"/>
              </w:rPr>
              <w:t>550 517</w:t>
            </w:r>
          </w:p>
        </w:tc>
        <w:tc>
          <w:tcPr>
            <w:tcW w:w="1184" w:type="dxa"/>
            <w:tcBorders>
              <w:top w:val="single" w:sz="4" w:space="0" w:color="auto"/>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60288">
              <w:rPr>
                <w:b/>
                <w:sz w:val="17"/>
              </w:rPr>
              <w:t>2 067 422</w:t>
            </w:r>
          </w:p>
        </w:tc>
        <w:tc>
          <w:tcPr>
            <w:tcW w:w="1184" w:type="dxa"/>
            <w:gridSpan w:val="2"/>
            <w:tcBorders>
              <w:top w:val="single" w:sz="4" w:space="0" w:color="auto"/>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60288">
              <w:rPr>
                <w:b/>
                <w:sz w:val="17"/>
              </w:rPr>
              <w:t>309 106</w:t>
            </w:r>
          </w:p>
        </w:tc>
        <w:tc>
          <w:tcPr>
            <w:tcW w:w="1184" w:type="dxa"/>
            <w:tcBorders>
              <w:top w:val="single" w:sz="4" w:space="0" w:color="auto"/>
              <w:bottom w:val="single" w:sz="12" w:space="0" w:color="auto"/>
            </w:tcBorders>
            <w:shd w:val="clear" w:color="auto" w:fill="auto"/>
            <w:vAlign w:val="bottom"/>
          </w:tcPr>
          <w:p w:rsidR="00360288" w:rsidRPr="00360288" w:rsidRDefault="00360288" w:rsidP="00360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60288">
              <w:rPr>
                <w:b/>
                <w:sz w:val="17"/>
              </w:rPr>
              <w:t>1 381 250</w:t>
            </w:r>
          </w:p>
        </w:tc>
      </w:tr>
    </w:tbl>
    <w:p w:rsidR="00770B6C" w:rsidRPr="00360288" w:rsidRDefault="00770B6C" w:rsidP="00360288">
      <w:pPr>
        <w:pStyle w:val="SingleTxt"/>
        <w:spacing w:after="0" w:line="120" w:lineRule="exact"/>
        <w:rPr>
          <w:sz w:val="10"/>
        </w:rPr>
      </w:pPr>
    </w:p>
    <w:p w:rsidR="005E1F07" w:rsidRDefault="00360288" w:rsidP="00360288">
      <w:pPr>
        <w:pStyle w:val="FootnoteText"/>
        <w:tabs>
          <w:tab w:val="clear" w:pos="418"/>
          <w:tab w:val="right" w:pos="1476"/>
          <w:tab w:val="left" w:pos="1548"/>
          <w:tab w:val="right" w:pos="1836"/>
          <w:tab w:val="left" w:pos="1908"/>
        </w:tabs>
        <w:ind w:left="1548" w:right="1267" w:hanging="288"/>
      </w:pPr>
      <w:r>
        <w:tab/>
      </w:r>
      <w:r w:rsidR="00770B6C" w:rsidRPr="00773C9B">
        <w:rPr>
          <w:i/>
        </w:rPr>
        <w:t>Source</w:t>
      </w:r>
      <w:r w:rsidR="00770B6C" w:rsidRPr="00773C9B">
        <w:t>:</w:t>
      </w:r>
      <w:r w:rsidR="00770B6C" w:rsidRPr="00360288">
        <w:rPr>
          <w:i/>
        </w:rPr>
        <w:t xml:space="preserve"> 2010 Continuous Survey of Households</w:t>
      </w:r>
      <w:r w:rsidR="005151E1" w:rsidRPr="00360288">
        <w:rPr>
          <w:i/>
        </w:rPr>
        <w:t>/</w:t>
      </w:r>
      <w:r w:rsidR="00770B6C" w:rsidRPr="00360288">
        <w:rPr>
          <w:i/>
        </w:rPr>
        <w:t>National Employment Agency</w:t>
      </w:r>
      <w:r>
        <w:t>.</w:t>
      </w:r>
    </w:p>
    <w:p w:rsidR="00FC2C03" w:rsidRDefault="00FC2C03" w:rsidP="00FC2C03">
      <w:pPr>
        <w:pStyle w:val="SingleTxt"/>
        <w:spacing w:after="0" w:line="120" w:lineRule="exact"/>
        <w:rPr>
          <w:sz w:val="10"/>
        </w:rPr>
      </w:pPr>
    </w:p>
    <w:p w:rsidR="00FC2C03" w:rsidRPr="00FC2C03" w:rsidRDefault="00FC2C03" w:rsidP="00FC2C03">
      <w:pPr>
        <w:pStyle w:val="SingleTxt"/>
        <w:spacing w:after="0" w:line="120" w:lineRule="exact"/>
        <w:rPr>
          <w:sz w:val="10"/>
        </w:rPr>
      </w:pPr>
    </w:p>
    <w:p w:rsidR="005E1F07" w:rsidRDefault="00FC2C03" w:rsidP="00FC2C03">
      <w:pPr>
        <w:pStyle w:val="H23"/>
        <w:ind w:right="1260"/>
      </w:pPr>
      <w:r>
        <w:tab/>
      </w:r>
      <w:r w:rsidR="00770B6C">
        <w:t>(e)</w:t>
      </w:r>
      <w:r>
        <w:tab/>
      </w:r>
      <w:r w:rsidR="00770B6C">
        <w:t>The right to social security and the right to retirement, unemployment, sickness, invalidity and old-age benefits</w:t>
      </w:r>
    </w:p>
    <w:p w:rsidR="00FC2C03" w:rsidRPr="00FC2C03" w:rsidRDefault="00FC2C03" w:rsidP="00FC2C03">
      <w:pPr>
        <w:pStyle w:val="SingleTxt"/>
        <w:spacing w:after="0" w:line="120" w:lineRule="exact"/>
        <w:rPr>
          <w:sz w:val="10"/>
        </w:rPr>
      </w:pPr>
    </w:p>
    <w:p w:rsidR="005E1F07" w:rsidRDefault="00770B6C" w:rsidP="00770B6C">
      <w:pPr>
        <w:pStyle w:val="SingleTxt"/>
      </w:pPr>
      <w:r>
        <w:t>78.</w:t>
      </w:r>
      <w:r w:rsidR="00FC2C03">
        <w:tab/>
      </w:r>
      <w:r>
        <w:t>Social protection in Mali remains insufficient in terms of coverage and benefits provided, despite the existence of traditional institutions such as the National Social Welfare Institute and the Mali Retirement Fund, and the growth of mutual savings and loan institutions.</w:t>
      </w:r>
      <w:r w:rsidR="005E03D8">
        <w:t xml:space="preserve"> </w:t>
      </w:r>
      <w:r>
        <w:t>At present, only about 10 per cent of the population enjoys formal social protection coverage and the benefits extend only to certain areas.</w:t>
      </w:r>
    </w:p>
    <w:p w:rsidR="005E1F07" w:rsidRDefault="00770B6C" w:rsidP="00770B6C">
      <w:pPr>
        <w:pStyle w:val="SingleTxt"/>
      </w:pPr>
      <w:r>
        <w:t>79.</w:t>
      </w:r>
      <w:r w:rsidR="00FC2C03">
        <w:tab/>
      </w:r>
      <w:r>
        <w:t>These laws do not discriminate in any way between men and women regarding access to social security services.</w:t>
      </w:r>
    </w:p>
    <w:p w:rsidR="005E1F07" w:rsidRDefault="00770B6C" w:rsidP="00770B6C">
      <w:pPr>
        <w:pStyle w:val="SingleTxt"/>
      </w:pPr>
      <w:r>
        <w:t>80.</w:t>
      </w:r>
      <w:r w:rsidR="00FC2C03">
        <w:tab/>
      </w:r>
      <w:r>
        <w:t>With regard to medical coverage for unemployed persons, there is still a legal vacuum.</w:t>
      </w:r>
    </w:p>
    <w:p w:rsidR="00FC2C03" w:rsidRPr="00FC2C03" w:rsidRDefault="00FC2C03" w:rsidP="00FC2C03">
      <w:pPr>
        <w:pStyle w:val="SingleTxt"/>
        <w:spacing w:after="0" w:line="120" w:lineRule="exact"/>
        <w:rPr>
          <w:sz w:val="10"/>
        </w:rPr>
      </w:pPr>
    </w:p>
    <w:p w:rsidR="005E1F07" w:rsidRDefault="00FC2C03" w:rsidP="00FC2C03">
      <w:pPr>
        <w:pStyle w:val="H23"/>
        <w:ind w:right="1260"/>
      </w:pPr>
      <w:r>
        <w:tab/>
      </w:r>
      <w:r w:rsidR="00770B6C">
        <w:t>(f)</w:t>
      </w:r>
      <w:r>
        <w:tab/>
      </w:r>
      <w:r w:rsidR="00770B6C">
        <w:t xml:space="preserve">The right to protection of health and to safety in working conditions, including the safeguarding of </w:t>
      </w:r>
      <w:r>
        <w:t>the function of reproduction</w:t>
      </w:r>
    </w:p>
    <w:p w:rsidR="00FC2C03" w:rsidRPr="00FC2C03" w:rsidRDefault="00FC2C03" w:rsidP="00FC2C03">
      <w:pPr>
        <w:pStyle w:val="SingleTxt"/>
        <w:spacing w:after="0" w:line="120" w:lineRule="exact"/>
        <w:rPr>
          <w:sz w:val="10"/>
        </w:rPr>
      </w:pPr>
    </w:p>
    <w:p w:rsidR="005E1F07" w:rsidRDefault="00770B6C" w:rsidP="00770B6C">
      <w:pPr>
        <w:pStyle w:val="SingleTxt"/>
      </w:pPr>
      <w:r>
        <w:t>81.</w:t>
      </w:r>
      <w:r w:rsidR="00FC2C03">
        <w:tab/>
      </w:r>
      <w:r>
        <w:t>The labour code in force in Mali provides for protection of women in so far as their safety while performing certain dangerous work is concerned, especially night work in industry.</w:t>
      </w:r>
    </w:p>
    <w:p w:rsidR="005E1F07" w:rsidRDefault="00770B6C" w:rsidP="00770B6C">
      <w:pPr>
        <w:pStyle w:val="SingleTxt"/>
      </w:pPr>
      <w:r>
        <w:t>82.</w:t>
      </w:r>
      <w:r w:rsidR="00FC2C03">
        <w:tab/>
      </w:r>
      <w:r>
        <w:t>These provisions have been strengthened by the decree and the application order of the said implementing law.</w:t>
      </w:r>
    </w:p>
    <w:p w:rsidR="005E1F07" w:rsidRDefault="00770B6C" w:rsidP="00770B6C">
      <w:pPr>
        <w:pStyle w:val="SingleTxt"/>
      </w:pPr>
      <w:r>
        <w:t>83.</w:t>
      </w:r>
      <w:r w:rsidR="00FC2C03">
        <w:tab/>
      </w:r>
      <w:r>
        <w:t>Further, in 2008, Mali ratified ILO Convention 183 concerning maternity protection, which strengthened the legal protection of working women.</w:t>
      </w:r>
    </w:p>
    <w:p w:rsidR="00FC2C03" w:rsidRPr="00FC2C03" w:rsidRDefault="00FC2C03" w:rsidP="00FC2C03">
      <w:pPr>
        <w:pStyle w:val="SingleTxt"/>
        <w:spacing w:after="0" w:line="120" w:lineRule="exact"/>
        <w:rPr>
          <w:sz w:val="10"/>
        </w:rPr>
      </w:pPr>
    </w:p>
    <w:p w:rsidR="00770B6C" w:rsidRDefault="00FC2C03" w:rsidP="00FC2C03">
      <w:pPr>
        <w:pStyle w:val="H23"/>
        <w:ind w:right="1260"/>
      </w:pPr>
      <w:r>
        <w:lastRenderedPageBreak/>
        <w:tab/>
      </w:r>
      <w:r w:rsidR="00770B6C">
        <w:t>2.</w:t>
      </w:r>
      <w:r>
        <w:tab/>
      </w:r>
      <w:r w:rsidR="00770B6C">
        <w:t xml:space="preserve">Prevention of discrimination on the grounds of marriage, maternity or </w:t>
      </w:r>
      <w:r>
        <w:br/>
      </w:r>
      <w:r w:rsidR="00770B6C">
        <w:t>marital status</w:t>
      </w:r>
    </w:p>
    <w:p w:rsidR="00FC2C03" w:rsidRPr="00FC2C03" w:rsidRDefault="00FC2C03" w:rsidP="00FC2C03">
      <w:pPr>
        <w:pStyle w:val="SingleTxt"/>
        <w:spacing w:after="0" w:line="120" w:lineRule="exact"/>
        <w:rPr>
          <w:sz w:val="10"/>
        </w:rPr>
      </w:pPr>
    </w:p>
    <w:p w:rsidR="00770B6C" w:rsidRDefault="00FC2C03" w:rsidP="00FC2C03">
      <w:pPr>
        <w:pStyle w:val="H23"/>
        <w:ind w:right="1260"/>
      </w:pPr>
      <w:r>
        <w:tab/>
      </w:r>
      <w:r w:rsidR="00770B6C">
        <w:t>(a)</w:t>
      </w:r>
      <w:r>
        <w:tab/>
      </w:r>
      <w:r w:rsidR="00770B6C">
        <w:t>Prohibition of dismissal on the grounds of pregnancy, maternity or marital status</w:t>
      </w:r>
    </w:p>
    <w:p w:rsidR="00FC2C03" w:rsidRPr="00FC2C03" w:rsidRDefault="00FC2C03" w:rsidP="00FC2C03">
      <w:pPr>
        <w:pStyle w:val="SingleTxt"/>
        <w:spacing w:after="0" w:line="120" w:lineRule="exact"/>
        <w:rPr>
          <w:sz w:val="10"/>
        </w:rPr>
      </w:pPr>
    </w:p>
    <w:p w:rsidR="005E1F07" w:rsidRDefault="00770B6C" w:rsidP="00770B6C">
      <w:pPr>
        <w:pStyle w:val="SingleTxt"/>
      </w:pPr>
      <w:r>
        <w:t>84.</w:t>
      </w:r>
      <w:r w:rsidR="00FC2C03">
        <w:tab/>
      </w:r>
      <w:r>
        <w:t>The Labour Code does not list marital status among the grounds for dismissal.</w:t>
      </w:r>
      <w:r w:rsidR="005E03D8">
        <w:t xml:space="preserve"> </w:t>
      </w:r>
      <w:r>
        <w:t>The labour services have not reported any dispute relating to dismissal on the ground of marital status.</w:t>
      </w:r>
    </w:p>
    <w:p w:rsidR="00FC2C03" w:rsidRPr="00FC2C03" w:rsidRDefault="00FC2C03" w:rsidP="00FC2C03">
      <w:pPr>
        <w:pStyle w:val="SingleTxt"/>
        <w:spacing w:after="0" w:line="120" w:lineRule="exact"/>
        <w:rPr>
          <w:sz w:val="10"/>
        </w:rPr>
      </w:pPr>
    </w:p>
    <w:p w:rsidR="005E1F07" w:rsidRDefault="00FC2C03" w:rsidP="00FC2C03">
      <w:pPr>
        <w:pStyle w:val="H23"/>
        <w:ind w:right="1260"/>
      </w:pPr>
      <w:r>
        <w:tab/>
      </w:r>
      <w:r w:rsidR="00770B6C">
        <w:t>(b)</w:t>
      </w:r>
      <w:r>
        <w:tab/>
      </w:r>
      <w:r w:rsidR="00770B6C">
        <w:t>Maternity leave and related provisions</w:t>
      </w:r>
    </w:p>
    <w:p w:rsidR="00FC2C03" w:rsidRPr="00FC2C03" w:rsidRDefault="00FC2C03" w:rsidP="00FC2C03">
      <w:pPr>
        <w:pStyle w:val="SingleTxt"/>
        <w:spacing w:after="0" w:line="120" w:lineRule="exact"/>
        <w:rPr>
          <w:sz w:val="10"/>
        </w:rPr>
      </w:pPr>
    </w:p>
    <w:p w:rsidR="005E1F07" w:rsidRDefault="00770B6C" w:rsidP="00770B6C">
      <w:pPr>
        <w:pStyle w:val="SingleTxt"/>
      </w:pPr>
      <w:r>
        <w:t>85.</w:t>
      </w:r>
      <w:r w:rsidR="00FC2C03">
        <w:tab/>
      </w:r>
      <w:r>
        <w:t>The Labour Code establishes that a pregnant woman is entitled to 14 weeks of maternity leave.</w:t>
      </w:r>
    </w:p>
    <w:p w:rsidR="005E1F07" w:rsidRDefault="00770B6C" w:rsidP="00770B6C">
      <w:pPr>
        <w:pStyle w:val="SingleTxt"/>
      </w:pPr>
      <w:r>
        <w:t>86.</w:t>
      </w:r>
      <w:r w:rsidR="00FC2C03">
        <w:tab/>
      </w:r>
      <w:r>
        <w:t>Article L181 of the Labour Code provides that a woman is entitled to an extension of leave for 3 weeks in the event of medically certified illness resulting from pregnancy or labour.</w:t>
      </w:r>
    </w:p>
    <w:p w:rsidR="005E1F07" w:rsidRDefault="00770B6C" w:rsidP="00770B6C">
      <w:pPr>
        <w:pStyle w:val="SingleTxt"/>
      </w:pPr>
      <w:r>
        <w:t>87.</w:t>
      </w:r>
      <w:r w:rsidR="00FC2C03">
        <w:tab/>
      </w:r>
      <w:r>
        <w:t>ILO Convention 183, ratified by Mali, provides that a woman who takes maternity leave may return to her post at the end of the leave.</w:t>
      </w:r>
      <w:r w:rsidR="005E03D8">
        <w:t xml:space="preserve"> </w:t>
      </w:r>
      <w:r>
        <w:t>This prevents employers from revoking a woman</w:t>
      </w:r>
      <w:r w:rsidR="001E33E4">
        <w:t>’</w:t>
      </w:r>
      <w:r>
        <w:t>s employment by reason of maternity.</w:t>
      </w:r>
    </w:p>
    <w:p w:rsidR="005E1F07" w:rsidRDefault="00770B6C" w:rsidP="00770B6C">
      <w:pPr>
        <w:pStyle w:val="SingleTxt"/>
      </w:pPr>
      <w:r>
        <w:t>88.</w:t>
      </w:r>
      <w:r w:rsidR="00FC2C03">
        <w:tab/>
      </w:r>
      <w:r>
        <w:t xml:space="preserve">It should be noted that there are fifteen (15) inter-company </w:t>
      </w:r>
      <w:r w:rsidR="0000254B">
        <w:t>health-care</w:t>
      </w:r>
      <w:r>
        <w:t xml:space="preserve"> centres throughout the country.</w:t>
      </w:r>
      <w:r w:rsidR="005E03D8">
        <w:t xml:space="preserve"> </w:t>
      </w:r>
      <w:r>
        <w:t>These centres provide medical monitoring (medical examination at time of hiring, periodic checkups of workers following an annual programme) and inspection of working conditions (company visits).</w:t>
      </w:r>
    </w:p>
    <w:p w:rsidR="00360288" w:rsidRPr="00360288" w:rsidRDefault="00360288" w:rsidP="00360288">
      <w:pPr>
        <w:pStyle w:val="SingleTxt"/>
        <w:spacing w:after="0" w:line="120" w:lineRule="exact"/>
        <w:rPr>
          <w:sz w:val="10"/>
        </w:rPr>
      </w:pPr>
    </w:p>
    <w:p w:rsidR="005E1F07" w:rsidRDefault="00360288" w:rsidP="00360288">
      <w:pPr>
        <w:pStyle w:val="H23"/>
        <w:ind w:right="1260"/>
      </w:pPr>
      <w:r>
        <w:tab/>
      </w:r>
      <w:r w:rsidR="00770B6C">
        <w:t>(c)</w:t>
      </w:r>
      <w:r>
        <w:tab/>
      </w:r>
      <w:r w:rsidR="00770B6C">
        <w:t>Provision of the necessary supporting social services to enable parents to combine family obligations with work responsibilities</w:t>
      </w:r>
    </w:p>
    <w:p w:rsidR="00360288" w:rsidRPr="00360288" w:rsidRDefault="00360288" w:rsidP="00360288">
      <w:pPr>
        <w:pStyle w:val="SingleTxt"/>
        <w:spacing w:after="0" w:line="120" w:lineRule="exact"/>
        <w:rPr>
          <w:sz w:val="10"/>
        </w:rPr>
      </w:pPr>
    </w:p>
    <w:p w:rsidR="005E1F07" w:rsidRDefault="00770B6C" w:rsidP="00770B6C">
      <w:pPr>
        <w:pStyle w:val="SingleTxt"/>
      </w:pPr>
      <w:r>
        <w:t>89.</w:t>
      </w:r>
      <w:r w:rsidR="00360288">
        <w:tab/>
      </w:r>
      <w:r w:rsidRPr="00360288">
        <w:rPr>
          <w:spacing w:val="2"/>
        </w:rPr>
        <w:t xml:space="preserve">Article L124 of the Labour Code establishes that a woman has the right to rest times at her workplace for the purpose of breastfeeding her child, for a period of </w:t>
      </w:r>
      <w:r w:rsidR="00360288">
        <w:rPr>
          <w:spacing w:val="2"/>
        </w:rPr>
        <w:br/>
      </w:r>
      <w:r w:rsidRPr="00360288">
        <w:rPr>
          <w:spacing w:val="2"/>
        </w:rPr>
        <w:t>15 months following the child</w:t>
      </w:r>
      <w:r w:rsidR="001E33E4" w:rsidRPr="00360288">
        <w:rPr>
          <w:spacing w:val="2"/>
        </w:rPr>
        <w:t>’</w:t>
      </w:r>
      <w:r w:rsidRPr="00360288">
        <w:rPr>
          <w:spacing w:val="2"/>
        </w:rPr>
        <w:t>s birth, without any reduction in remuneration. During this period, a mother may terminate her employment contract, and if she does so she is required to give her employer only 24 hours</w:t>
      </w:r>
      <w:r w:rsidR="001E33E4" w:rsidRPr="00360288">
        <w:rPr>
          <w:spacing w:val="2"/>
        </w:rPr>
        <w:t>’</w:t>
      </w:r>
      <w:r w:rsidRPr="00360288">
        <w:rPr>
          <w:spacing w:val="2"/>
        </w:rPr>
        <w:t xml:space="preserve"> advance notice and is not required to pay any compensation for the short notice</w:t>
      </w:r>
      <w:r>
        <w:t>.</w:t>
      </w:r>
    </w:p>
    <w:p w:rsidR="005E1F07" w:rsidRDefault="00770B6C" w:rsidP="00770B6C">
      <w:pPr>
        <w:pStyle w:val="SingleTxt"/>
      </w:pPr>
      <w:r>
        <w:t>90.</w:t>
      </w:r>
      <w:r w:rsidR="00360288">
        <w:tab/>
      </w:r>
      <w:r>
        <w:t>Under article 189-11, paragraph 5, of the decree implementing the Labour Code, every establishment employing more than 25 women is obliged to set up a special room for breast-feeding.</w:t>
      </w:r>
    </w:p>
    <w:p w:rsidR="005E1F07" w:rsidRDefault="00770B6C" w:rsidP="00770B6C">
      <w:pPr>
        <w:pStyle w:val="SingleTxt"/>
      </w:pPr>
      <w:r>
        <w:t>91.</w:t>
      </w:r>
      <w:r w:rsidR="00360288">
        <w:tab/>
      </w:r>
      <w:r>
        <w:t>However, child care centres are no longer satisfying demand and efforts are needed to increase the number of child care facilities in urban centres, but also to create them regionally and locally.</w:t>
      </w:r>
    </w:p>
    <w:p w:rsidR="00360288" w:rsidRDefault="00360288" w:rsidP="00360288">
      <w:pPr>
        <w:pStyle w:val="SingleTxt"/>
        <w:spacing w:after="0" w:line="120" w:lineRule="exact"/>
        <w:rPr>
          <w:sz w:val="10"/>
        </w:rPr>
      </w:pPr>
    </w:p>
    <w:p w:rsidR="00360288" w:rsidRPr="00360288" w:rsidRDefault="00360288" w:rsidP="00360288">
      <w:pPr>
        <w:pStyle w:val="SingleTxt"/>
        <w:spacing w:after="0" w:line="120" w:lineRule="exact"/>
        <w:rPr>
          <w:sz w:val="10"/>
        </w:rPr>
      </w:pPr>
    </w:p>
    <w:p w:rsidR="005E1F07" w:rsidRDefault="00770B6C" w:rsidP="00360288">
      <w:pPr>
        <w:pStyle w:val="H1"/>
        <w:ind w:right="1260"/>
      </w:pPr>
      <w:r>
        <w:tab/>
      </w:r>
      <w:r>
        <w:tab/>
        <w:t>Article 12:</w:t>
      </w:r>
      <w:r w:rsidR="00360288">
        <w:t xml:space="preserve"> </w:t>
      </w:r>
      <w:r>
        <w:t>Health and family planning</w:t>
      </w:r>
    </w:p>
    <w:p w:rsidR="00360288" w:rsidRPr="00360288" w:rsidRDefault="00360288" w:rsidP="00360288">
      <w:pPr>
        <w:pStyle w:val="SingleTxt"/>
        <w:spacing w:after="0" w:line="120" w:lineRule="exact"/>
        <w:rPr>
          <w:sz w:val="10"/>
        </w:rPr>
      </w:pPr>
    </w:p>
    <w:p w:rsidR="00360288" w:rsidRPr="00360288" w:rsidRDefault="00360288" w:rsidP="00360288">
      <w:pPr>
        <w:pStyle w:val="SingleTxt"/>
        <w:spacing w:after="0" w:line="120" w:lineRule="exact"/>
        <w:rPr>
          <w:sz w:val="10"/>
        </w:rPr>
      </w:pPr>
    </w:p>
    <w:p w:rsidR="005E1F07" w:rsidRDefault="00360288" w:rsidP="00360288">
      <w:pPr>
        <w:pStyle w:val="H23"/>
        <w:ind w:right="1260"/>
      </w:pPr>
      <w:r>
        <w:tab/>
      </w:r>
      <w:r w:rsidR="00770B6C">
        <w:t>1.</w:t>
      </w:r>
      <w:r>
        <w:tab/>
      </w:r>
      <w:r w:rsidR="00770B6C">
        <w:t>Combating discrimination in the area of health care and in access to medical services, including family planning</w:t>
      </w:r>
    </w:p>
    <w:p w:rsidR="00360288" w:rsidRPr="00360288" w:rsidRDefault="00360288" w:rsidP="00360288">
      <w:pPr>
        <w:pStyle w:val="SingleTxt"/>
        <w:spacing w:after="0" w:line="120" w:lineRule="exact"/>
        <w:rPr>
          <w:sz w:val="10"/>
        </w:rPr>
      </w:pPr>
    </w:p>
    <w:p w:rsidR="005E1F07" w:rsidRDefault="00770B6C" w:rsidP="00770B6C">
      <w:pPr>
        <w:pStyle w:val="SingleTxt"/>
      </w:pPr>
      <w:r>
        <w:t>92.</w:t>
      </w:r>
      <w:r w:rsidR="00360288">
        <w:tab/>
      </w:r>
      <w:r>
        <w:t>Mali</w:t>
      </w:r>
      <w:r w:rsidR="001E33E4">
        <w:t>’</w:t>
      </w:r>
      <w:r>
        <w:t xml:space="preserve">s health policy is founded on the principle set forth in article 17 which makes health a right of every Malian citizen. Article 2 of Law 02-049 of 22 July 2002 concerning the Health Guidelines Act provides as follows: </w:t>
      </w:r>
      <w:r w:rsidR="001E33E4">
        <w:t>“</w:t>
      </w:r>
      <w:r>
        <w:t>The nation</w:t>
      </w:r>
      <w:r w:rsidR="001E33E4">
        <w:t>’</w:t>
      </w:r>
      <w:r>
        <w:t>s health policy is based on the fundamental principles of equity, justice, solidarity and participation by the people and by civil society.</w:t>
      </w:r>
      <w:r w:rsidR="001E33E4">
        <w:t>”</w:t>
      </w:r>
    </w:p>
    <w:p w:rsidR="00770B6C" w:rsidRDefault="00360288" w:rsidP="00360288">
      <w:pPr>
        <w:pStyle w:val="SingleTxt"/>
        <w:tabs>
          <w:tab w:val="right" w:pos="1685"/>
        </w:tabs>
        <w:ind w:left="1742" w:hanging="475"/>
      </w:pPr>
      <w:r>
        <w:lastRenderedPageBreak/>
        <w:tab/>
      </w:r>
      <w:r w:rsidR="00770B6C">
        <w:t>•</w:t>
      </w:r>
      <w:r w:rsidR="00770B6C">
        <w:tab/>
        <w:t>The Health Guidelines Act reaffirms the aims set out in the sectoral health and population policy adopted in 1991, which was renewed under the Decennial Health and Social Development Plan 1998-2007: To assure the ongoing improvement of family welfare and the situation of the general population, and particularly of women and children;</w:t>
      </w:r>
    </w:p>
    <w:p w:rsidR="00770B6C" w:rsidRDefault="00360288" w:rsidP="00360288">
      <w:pPr>
        <w:pStyle w:val="SingleTxt"/>
        <w:tabs>
          <w:tab w:val="right" w:pos="1685"/>
        </w:tabs>
        <w:ind w:left="1742" w:hanging="475"/>
      </w:pPr>
      <w:r>
        <w:tab/>
      </w:r>
      <w:r w:rsidR="00770B6C">
        <w:t>•</w:t>
      </w:r>
      <w:r w:rsidR="00770B6C">
        <w:tab/>
        <w:t>To extend health coverage by making health services accessible to the general population, and particularly women and children;</w:t>
      </w:r>
    </w:p>
    <w:p w:rsidR="00770B6C" w:rsidRDefault="00360288" w:rsidP="00360288">
      <w:pPr>
        <w:pStyle w:val="SingleTxt"/>
        <w:tabs>
          <w:tab w:val="right" w:pos="1685"/>
        </w:tabs>
        <w:ind w:left="1742" w:hanging="475"/>
      </w:pPr>
      <w:r>
        <w:tab/>
      </w:r>
      <w:r w:rsidR="00770B6C">
        <w:t>•</w:t>
      </w:r>
      <w:r w:rsidR="00770B6C">
        <w:tab/>
        <w:t>To ensure that the system works well and produces a high standard of results;</w:t>
      </w:r>
    </w:p>
    <w:p w:rsidR="005E1F07" w:rsidRDefault="00360288" w:rsidP="00360288">
      <w:pPr>
        <w:pStyle w:val="SingleTxt"/>
        <w:tabs>
          <w:tab w:val="right" w:pos="1685"/>
        </w:tabs>
        <w:ind w:left="1742" w:hanging="475"/>
      </w:pPr>
      <w:r>
        <w:tab/>
      </w:r>
      <w:r w:rsidR="00770B6C">
        <w:t>•</w:t>
      </w:r>
      <w:r w:rsidR="00770B6C">
        <w:tab/>
        <w:t>To promote healthy attitudes and behaviours that will have a favourable impact on family welfare.</w:t>
      </w:r>
    </w:p>
    <w:p w:rsidR="00770B6C" w:rsidRDefault="00770B6C" w:rsidP="00770B6C">
      <w:pPr>
        <w:pStyle w:val="SingleTxt"/>
      </w:pPr>
      <w:r>
        <w:t>93.</w:t>
      </w:r>
      <w:r w:rsidR="00360288">
        <w:tab/>
      </w:r>
      <w:r>
        <w:t>The efforts exerted in recent years by the health sector have brought about an improvement in the health of Mali</w:t>
      </w:r>
      <w:r w:rsidR="001E33E4">
        <w:t>’</w:t>
      </w:r>
      <w:r>
        <w:t>s population.</w:t>
      </w:r>
      <w:r w:rsidR="005E03D8">
        <w:t xml:space="preserve"> </w:t>
      </w:r>
      <w:r>
        <w:t>For example, the results of the fourth Demographic and Health Survey (EDS-IV) show that:</w:t>
      </w:r>
    </w:p>
    <w:p w:rsidR="00770B6C" w:rsidRDefault="00360288" w:rsidP="00360288">
      <w:pPr>
        <w:pStyle w:val="SingleTxt"/>
        <w:tabs>
          <w:tab w:val="right" w:pos="1685"/>
        </w:tabs>
        <w:ind w:left="1742" w:hanging="475"/>
      </w:pPr>
      <w:r>
        <w:tab/>
        <w:t>▪</w:t>
      </w:r>
      <w:r w:rsidR="00770B6C">
        <w:tab/>
        <w:t xml:space="preserve">The rate of child mortality has declined to 191 per thousand live births in 2006 as compared with 229.1 in 2001 (EDS-III) and 237.5 in 1996 (EDS-II). </w:t>
      </w:r>
    </w:p>
    <w:p w:rsidR="00770B6C" w:rsidRDefault="00360288" w:rsidP="00360288">
      <w:pPr>
        <w:pStyle w:val="SingleTxt"/>
        <w:tabs>
          <w:tab w:val="right" w:pos="1685"/>
        </w:tabs>
        <w:ind w:left="1742" w:hanging="475"/>
      </w:pPr>
      <w:r>
        <w:tab/>
        <w:t>▪</w:t>
      </w:r>
      <w:r w:rsidR="00770B6C">
        <w:tab/>
        <w:t xml:space="preserve">The rate of infant mortality has declined to 96 in 2006 as compared with 113.4 in 2001 and 122.5 in 1996, thanks in particular to the Expanded Programme on Immunization and the programme against malnutrition. </w:t>
      </w:r>
    </w:p>
    <w:p w:rsidR="00770B6C" w:rsidRDefault="00360288" w:rsidP="00360288">
      <w:pPr>
        <w:pStyle w:val="SingleTxt"/>
        <w:tabs>
          <w:tab w:val="right" w:pos="1685"/>
        </w:tabs>
        <w:ind w:left="1742" w:hanging="475"/>
      </w:pPr>
      <w:r>
        <w:tab/>
        <w:t>▪</w:t>
      </w:r>
      <w:r w:rsidR="00770B6C">
        <w:tab/>
        <w:t>The maternal mortality rate has declined to 464 per 100,000 in 2006, compared with 582 per 100,000 in 2001.</w:t>
      </w:r>
    </w:p>
    <w:p w:rsidR="005E1F07" w:rsidRPr="00604170" w:rsidRDefault="00360288" w:rsidP="00360288">
      <w:pPr>
        <w:pStyle w:val="SingleTxt"/>
        <w:tabs>
          <w:tab w:val="right" w:pos="1685"/>
        </w:tabs>
        <w:ind w:left="1742" w:hanging="475"/>
        <w:rPr>
          <w:spacing w:val="0"/>
        </w:rPr>
      </w:pPr>
      <w:r>
        <w:tab/>
        <w:t>▪</w:t>
      </w:r>
      <w:r w:rsidR="00770B6C">
        <w:tab/>
      </w:r>
      <w:r w:rsidR="00770B6C" w:rsidRPr="00604170">
        <w:rPr>
          <w:spacing w:val="0"/>
        </w:rPr>
        <w:t xml:space="preserve">Finally, HIV/AIDS prevalence in the population aged 15 to 49 has declined to </w:t>
      </w:r>
      <w:r w:rsidR="00604170">
        <w:rPr>
          <w:spacing w:val="0"/>
        </w:rPr>
        <w:br/>
      </w:r>
      <w:r w:rsidR="00770B6C" w:rsidRPr="00604170">
        <w:rPr>
          <w:spacing w:val="0"/>
        </w:rPr>
        <w:t>1.3 per cent in 2006 (EDSM-IV) compared with 1.7 per cent in 2001 (EDSM III).</w:t>
      </w:r>
    </w:p>
    <w:p w:rsidR="005E1F07" w:rsidRDefault="00770B6C" w:rsidP="00770B6C">
      <w:pPr>
        <w:pStyle w:val="SingleTxt"/>
      </w:pPr>
      <w:r>
        <w:t>94.</w:t>
      </w:r>
      <w:r w:rsidR="00604170">
        <w:tab/>
      </w:r>
      <w:r>
        <w:t>Despite these advances, the health situation of the Malian population remains worrisome. Like many countries in the West African sub-region, it is still characterized by:</w:t>
      </w:r>
    </w:p>
    <w:p w:rsidR="00770B6C" w:rsidRDefault="00604170" w:rsidP="00604170">
      <w:pPr>
        <w:pStyle w:val="SingleTxt"/>
        <w:tabs>
          <w:tab w:val="right" w:pos="1685"/>
        </w:tabs>
        <w:ind w:left="1742" w:hanging="475"/>
      </w:pPr>
      <w:r>
        <w:tab/>
      </w:r>
      <w:r w:rsidR="00770B6C">
        <w:t>•</w:t>
      </w:r>
      <w:r w:rsidR="00770B6C">
        <w:tab/>
        <w:t>The persistence of high maternal and child morbidity and mortality.</w:t>
      </w:r>
      <w:r w:rsidR="005E03D8">
        <w:t xml:space="preserve"> </w:t>
      </w:r>
      <w:r w:rsidR="00770B6C">
        <w:t>According to the EDSM-IV survey of 2006, maternal mortality was 464 maternal deaths per 100,000 live births.</w:t>
      </w:r>
      <w:r w:rsidR="005E03D8">
        <w:t xml:space="preserve"> </w:t>
      </w:r>
      <w:r w:rsidR="00770B6C">
        <w:t>Infant mortality (children less than one year old) is 96 per 1000 and child mortality 191 per 1,000;</w:t>
      </w:r>
    </w:p>
    <w:p w:rsidR="00770B6C" w:rsidRDefault="00604170" w:rsidP="00604170">
      <w:pPr>
        <w:pStyle w:val="SingleTxt"/>
        <w:tabs>
          <w:tab w:val="right" w:pos="1685"/>
        </w:tabs>
        <w:ind w:left="1742" w:hanging="475"/>
      </w:pPr>
      <w:r>
        <w:tab/>
      </w:r>
      <w:r w:rsidR="00770B6C">
        <w:t>•</w:t>
      </w:r>
      <w:r w:rsidR="00770B6C">
        <w:tab/>
        <w:t>The predominance of parasitic infections and nutritional deficits, particularly among women and children;</w:t>
      </w:r>
    </w:p>
    <w:p w:rsidR="00770B6C" w:rsidRDefault="00604170" w:rsidP="00604170">
      <w:pPr>
        <w:pStyle w:val="SingleTxt"/>
        <w:tabs>
          <w:tab w:val="right" w:pos="1685"/>
        </w:tabs>
        <w:ind w:left="1742" w:hanging="475"/>
      </w:pPr>
      <w:r>
        <w:tab/>
      </w:r>
      <w:r w:rsidR="00770B6C">
        <w:t>•</w:t>
      </w:r>
      <w:r w:rsidR="00770B6C">
        <w:tab/>
        <w:t>The emergence of non-communicable diseases (cancer, cardiovascular disease, diabetes, sickle-cell anaemia, etc.);</w:t>
      </w:r>
    </w:p>
    <w:p w:rsidR="00770B6C" w:rsidRDefault="00604170" w:rsidP="00604170">
      <w:pPr>
        <w:pStyle w:val="SingleTxt"/>
        <w:tabs>
          <w:tab w:val="right" w:pos="1685"/>
        </w:tabs>
        <w:ind w:left="1742" w:hanging="475"/>
      </w:pPr>
      <w:r>
        <w:tab/>
      </w:r>
      <w:r w:rsidR="00770B6C">
        <w:t>•</w:t>
      </w:r>
      <w:r w:rsidR="00770B6C">
        <w:tab/>
        <w:t>Under-utilization and under-equipping of health services;</w:t>
      </w:r>
    </w:p>
    <w:p w:rsidR="00770B6C" w:rsidRDefault="00604170" w:rsidP="00604170">
      <w:pPr>
        <w:pStyle w:val="SingleTxt"/>
        <w:tabs>
          <w:tab w:val="right" w:pos="1685"/>
        </w:tabs>
        <w:ind w:left="1742" w:hanging="475"/>
      </w:pPr>
      <w:r>
        <w:tab/>
      </w:r>
      <w:r w:rsidR="00770B6C">
        <w:t>•</w:t>
      </w:r>
      <w:r w:rsidR="00770B6C">
        <w:tab/>
        <w:t>A shortage of staff, who are too few in number, inadequately motivated, and inefficiently deployed</w:t>
      </w:r>
      <w:r>
        <w:t>;</w:t>
      </w:r>
    </w:p>
    <w:p w:rsidR="005E1F07" w:rsidRDefault="00604170" w:rsidP="00604170">
      <w:pPr>
        <w:pStyle w:val="SingleTxt"/>
        <w:tabs>
          <w:tab w:val="right" w:pos="1685"/>
        </w:tabs>
        <w:ind w:left="1742" w:hanging="475"/>
      </w:pPr>
      <w:r>
        <w:tab/>
      </w:r>
      <w:r w:rsidR="00770B6C">
        <w:t>•</w:t>
      </w:r>
      <w:r w:rsidR="00770B6C">
        <w:tab/>
        <w:t>Inadequate funding of the health sector.</w:t>
      </w:r>
    </w:p>
    <w:p w:rsidR="00604170" w:rsidRPr="00604170" w:rsidRDefault="00604170" w:rsidP="00604170">
      <w:pPr>
        <w:pStyle w:val="SingleTxt"/>
        <w:tabs>
          <w:tab w:val="right" w:pos="1685"/>
        </w:tabs>
        <w:spacing w:after="0" w:line="120" w:lineRule="exact"/>
        <w:ind w:left="1742" w:hanging="475"/>
        <w:rPr>
          <w:sz w:val="10"/>
        </w:rPr>
      </w:pPr>
    </w:p>
    <w:p w:rsidR="005E1F07" w:rsidRDefault="00604170" w:rsidP="00604170">
      <w:pPr>
        <w:pStyle w:val="H23"/>
        <w:ind w:right="1260"/>
      </w:pPr>
      <w:r>
        <w:tab/>
      </w:r>
      <w:r w:rsidR="00770B6C">
        <w:t>2.</w:t>
      </w:r>
      <w:r w:rsidR="00770B6C">
        <w:tab/>
        <w:t>Major achievements and commitments wit</w:t>
      </w:r>
      <w:r>
        <w:t>h regard to reproductive health</w:t>
      </w:r>
    </w:p>
    <w:p w:rsidR="00604170" w:rsidRPr="00604170" w:rsidRDefault="00604170" w:rsidP="00604170">
      <w:pPr>
        <w:pStyle w:val="SingleTxt"/>
        <w:spacing w:after="0" w:line="120" w:lineRule="exact"/>
        <w:rPr>
          <w:sz w:val="10"/>
        </w:rPr>
      </w:pPr>
    </w:p>
    <w:p w:rsidR="005E1F07" w:rsidRDefault="00770B6C" w:rsidP="00770B6C">
      <w:pPr>
        <w:pStyle w:val="SingleTxt"/>
      </w:pPr>
      <w:r>
        <w:t>95.</w:t>
      </w:r>
      <w:r w:rsidR="00604170">
        <w:tab/>
      </w:r>
      <w:r>
        <w:t xml:space="preserve">To face the challenges and reach the goals of the millennium, Mali has adopted a document entitled the </w:t>
      </w:r>
      <w:r w:rsidR="001E33E4">
        <w:t>“</w:t>
      </w:r>
      <w:r>
        <w:t>COMPACT</w:t>
      </w:r>
      <w:r w:rsidR="001E33E4">
        <w:t>”</w:t>
      </w:r>
      <w:r>
        <w:t xml:space="preserve"> (Cadre unique et harmonisé pour l</w:t>
      </w:r>
      <w:r w:rsidR="001E33E4">
        <w:t>’</w:t>
      </w:r>
      <w:r>
        <w:t>augmentation et l</w:t>
      </w:r>
      <w:r w:rsidR="001E33E4">
        <w:t>’</w:t>
      </w:r>
      <w:r>
        <w:t>amélioration de l</w:t>
      </w:r>
      <w:r w:rsidR="001E33E4">
        <w:t>’</w:t>
      </w:r>
      <w:r>
        <w:t>efficacité de l</w:t>
      </w:r>
      <w:r w:rsidR="001E33E4">
        <w:t>’</w:t>
      </w:r>
      <w:r>
        <w:t xml:space="preserve">aide dans le secteur de la </w:t>
      </w:r>
      <w:r>
        <w:lastRenderedPageBreak/>
        <w:t>Santé</w:t>
      </w:r>
      <w:r w:rsidR="005151E1">
        <w:t>/</w:t>
      </w:r>
      <w:r w:rsidR="001E33E4">
        <w:t>“</w:t>
      </w:r>
      <w:r>
        <w:t>Single Harmonized Framework to Enhance Effectiveness of Aid in the Health Sector</w:t>
      </w:r>
      <w:r w:rsidR="001E33E4">
        <w:t>”</w:t>
      </w:r>
      <w:r>
        <w:t>) which seeks to combine funding from the Government and partners in the framework of a national health sector plan geared to results in terms of the Decennial Health and Social Development Plan (PRODESS).</w:t>
      </w:r>
    </w:p>
    <w:p w:rsidR="005E1F07" w:rsidRDefault="00770B6C" w:rsidP="00770B6C">
      <w:pPr>
        <w:pStyle w:val="SingleTxt"/>
      </w:pPr>
      <w:r>
        <w:t>96.</w:t>
      </w:r>
      <w:r w:rsidR="00604170">
        <w:tab/>
      </w:r>
      <w:r>
        <w:t>Reproductive health is a health policy priority in Mali.</w:t>
      </w:r>
      <w:r w:rsidR="005E03D8">
        <w:t xml:space="preserve"> </w:t>
      </w:r>
      <w:r>
        <w:t>Accordingly, the country has made major efforts on that score.</w:t>
      </w:r>
    </w:p>
    <w:p w:rsidR="00770B6C" w:rsidRDefault="00770B6C" w:rsidP="00770B6C">
      <w:pPr>
        <w:pStyle w:val="SingleTxt"/>
      </w:pPr>
      <w:r>
        <w:t>97.</w:t>
      </w:r>
      <w:r w:rsidR="00604170">
        <w:tab/>
      </w:r>
      <w:r>
        <w:t>Among the initiatives undertaken in the framework of the Decennial Health and Social Development Plan (PRODESS II) to achieve the MDGs, most of which are a part of the COMPACT, the following should be noted:</w:t>
      </w:r>
    </w:p>
    <w:p w:rsidR="00770B6C" w:rsidRDefault="00604170" w:rsidP="00604170">
      <w:pPr>
        <w:pStyle w:val="SingleTxt"/>
        <w:tabs>
          <w:tab w:val="right" w:pos="1685"/>
        </w:tabs>
        <w:ind w:left="1742" w:hanging="475"/>
      </w:pPr>
      <w:r>
        <w:tab/>
        <w:t>▪</w:t>
      </w:r>
      <w:r w:rsidR="00770B6C">
        <w:tab/>
        <w:t>The Strategic Reproductive Health Plan (2004-2008);</w:t>
      </w:r>
    </w:p>
    <w:p w:rsidR="00770B6C" w:rsidRDefault="00604170" w:rsidP="00604170">
      <w:pPr>
        <w:pStyle w:val="SingleTxt"/>
        <w:tabs>
          <w:tab w:val="right" w:pos="1685"/>
        </w:tabs>
        <w:ind w:left="1742" w:hanging="475"/>
      </w:pPr>
      <w:r>
        <w:tab/>
        <w:t>▪</w:t>
      </w:r>
      <w:r w:rsidR="00770B6C">
        <w:tab/>
        <w:t xml:space="preserve">The road map to accelerate the reduction of maternal and neonatal mortality (with the motto </w:t>
      </w:r>
      <w:r w:rsidR="001E33E4">
        <w:t>“</w:t>
      </w:r>
      <w:r w:rsidR="00770B6C">
        <w:t>Hoping for life for a mother and her baby, Mali forges ahead to 2015</w:t>
      </w:r>
      <w:r w:rsidR="001E33E4">
        <w:t>”</w:t>
      </w:r>
      <w:r w:rsidR="00770B6C">
        <w:t>);</w:t>
      </w:r>
    </w:p>
    <w:p w:rsidR="00770B6C" w:rsidRDefault="00604170" w:rsidP="00604170">
      <w:pPr>
        <w:pStyle w:val="SingleTxt"/>
        <w:tabs>
          <w:tab w:val="right" w:pos="1685"/>
        </w:tabs>
        <w:ind w:left="1742" w:hanging="475"/>
      </w:pPr>
      <w:r>
        <w:tab/>
        <w:t>▪</w:t>
      </w:r>
      <w:r w:rsidR="00770B6C">
        <w:tab/>
        <w:t>The action plan for audits on maternal deaths (2005-2006) and its extension, with the scheduled introduction of neonatal deaths;</w:t>
      </w:r>
    </w:p>
    <w:p w:rsidR="00770B6C" w:rsidRDefault="00604170" w:rsidP="00604170">
      <w:pPr>
        <w:pStyle w:val="SingleTxt"/>
        <w:tabs>
          <w:tab w:val="right" w:pos="1685"/>
        </w:tabs>
        <w:ind w:left="1742" w:hanging="475"/>
      </w:pPr>
      <w:r>
        <w:tab/>
        <w:t>▪</w:t>
      </w:r>
      <w:r w:rsidR="00770B6C">
        <w:tab/>
        <w:t>Initiative for the prevention of post-partum haemorrhaging, particularly the generalization of the GATPA strategy (active management of the third stage of labour) and its extension to trained midwives;</w:t>
      </w:r>
    </w:p>
    <w:p w:rsidR="00770B6C" w:rsidRDefault="00604170" w:rsidP="00604170">
      <w:pPr>
        <w:pStyle w:val="SingleTxt"/>
        <w:tabs>
          <w:tab w:val="right" w:pos="1685"/>
        </w:tabs>
        <w:ind w:left="1742" w:hanging="475"/>
      </w:pPr>
      <w:r>
        <w:tab/>
        <w:t>▪</w:t>
      </w:r>
      <w:r w:rsidR="00770B6C">
        <w:tab/>
        <w:t>Coverage without charge of caesarean section;</w:t>
      </w:r>
    </w:p>
    <w:p w:rsidR="00770B6C" w:rsidRDefault="00604170" w:rsidP="00604170">
      <w:pPr>
        <w:pStyle w:val="SingleTxt"/>
        <w:tabs>
          <w:tab w:val="right" w:pos="1685"/>
        </w:tabs>
        <w:ind w:left="1742" w:hanging="475"/>
      </w:pPr>
      <w:r>
        <w:tab/>
        <w:t>▪</w:t>
      </w:r>
      <w:r w:rsidR="00770B6C">
        <w:tab/>
        <w:t>The national programme of Basic Emergency Obstetric and Neonatal Care, with the integration of the newborn (SONU: 2004-2008);</w:t>
      </w:r>
    </w:p>
    <w:p w:rsidR="00770B6C" w:rsidRDefault="00604170" w:rsidP="00604170">
      <w:pPr>
        <w:pStyle w:val="SingleTxt"/>
        <w:tabs>
          <w:tab w:val="right" w:pos="1685"/>
        </w:tabs>
        <w:ind w:left="1742" w:hanging="475"/>
      </w:pPr>
      <w:r>
        <w:tab/>
        <w:t>▪</w:t>
      </w:r>
      <w:r w:rsidR="00770B6C">
        <w:tab/>
        <w:t>The national strategic plan for adolescent reproductive health;</w:t>
      </w:r>
    </w:p>
    <w:p w:rsidR="00770B6C" w:rsidRDefault="00604170" w:rsidP="00604170">
      <w:pPr>
        <w:pStyle w:val="SingleTxt"/>
        <w:tabs>
          <w:tab w:val="right" w:pos="1685"/>
        </w:tabs>
        <w:ind w:left="1742" w:hanging="475"/>
      </w:pPr>
      <w:r>
        <w:tab/>
        <w:t>▪</w:t>
      </w:r>
      <w:r w:rsidR="00770B6C">
        <w:tab/>
        <w:t>Treatment of malaria provided free of charge for children under 5 years of age and for pregnant women (June 2007);</w:t>
      </w:r>
    </w:p>
    <w:p w:rsidR="00770B6C" w:rsidRDefault="00604170" w:rsidP="00604170">
      <w:pPr>
        <w:pStyle w:val="SingleTxt"/>
        <w:tabs>
          <w:tab w:val="right" w:pos="1685"/>
        </w:tabs>
        <w:ind w:left="1742" w:hanging="475"/>
      </w:pPr>
      <w:r>
        <w:tab/>
      </w:r>
      <w:r w:rsidR="003B6D0E">
        <w:t>▪</w:t>
      </w:r>
      <w:r w:rsidR="003B6D0E">
        <w:tab/>
        <w:t>Treatment of malaria without charge by Technical Centres for Agricultural and Rural Cooperation for children ages 0 to 5 and SP (sulfadoxine-pyrimethamine) for all pregnant women;</w:t>
      </w:r>
    </w:p>
    <w:p w:rsidR="00770B6C" w:rsidRDefault="00604170" w:rsidP="00604170">
      <w:pPr>
        <w:pStyle w:val="SingleTxt"/>
        <w:tabs>
          <w:tab w:val="right" w:pos="1685"/>
        </w:tabs>
        <w:ind w:left="1742" w:hanging="475"/>
      </w:pPr>
      <w:r>
        <w:tab/>
        <w:t>▪</w:t>
      </w:r>
      <w:r w:rsidR="00770B6C">
        <w:tab/>
        <w:t>Distribution without charge of insecticide-treated mosquito nets to children and pregnant women;</w:t>
      </w:r>
    </w:p>
    <w:p w:rsidR="00770B6C" w:rsidRDefault="00604170" w:rsidP="00604170">
      <w:pPr>
        <w:pStyle w:val="SingleTxt"/>
        <w:tabs>
          <w:tab w:val="right" w:pos="1685"/>
        </w:tabs>
        <w:ind w:left="1742" w:hanging="475"/>
      </w:pPr>
      <w:r>
        <w:tab/>
        <w:t>▪</w:t>
      </w:r>
      <w:r w:rsidR="00770B6C">
        <w:tab/>
        <w:t>The ten-year plan on safe contraception (2002-2011);</w:t>
      </w:r>
    </w:p>
    <w:p w:rsidR="00770B6C" w:rsidRDefault="00604170" w:rsidP="00604170">
      <w:pPr>
        <w:pStyle w:val="SingleTxt"/>
        <w:tabs>
          <w:tab w:val="right" w:pos="1685"/>
        </w:tabs>
        <w:ind w:left="1742" w:hanging="475"/>
      </w:pPr>
      <w:r>
        <w:tab/>
        <w:t>▪</w:t>
      </w:r>
      <w:r w:rsidR="00770B6C">
        <w:tab/>
        <w:t>The action plan to reposition family planning (2005) and the Family Planning Repositioning Weeks;</w:t>
      </w:r>
    </w:p>
    <w:p w:rsidR="00770B6C" w:rsidRDefault="00604170" w:rsidP="00604170">
      <w:pPr>
        <w:pStyle w:val="SingleTxt"/>
        <w:tabs>
          <w:tab w:val="right" w:pos="1685"/>
        </w:tabs>
        <w:ind w:left="1742" w:hanging="475"/>
      </w:pPr>
      <w:r>
        <w:tab/>
        <w:t>▪</w:t>
      </w:r>
      <w:r w:rsidR="00770B6C">
        <w:tab/>
        <w:t xml:space="preserve">Development of a </w:t>
      </w:r>
      <w:r w:rsidR="001E33E4">
        <w:t>“</w:t>
      </w:r>
      <w:r w:rsidR="00770B6C">
        <w:t>Guide for Constructive Involvement by Men in Reproductive Health</w:t>
      </w:r>
      <w:r>
        <w:t>”;</w:t>
      </w:r>
    </w:p>
    <w:p w:rsidR="00770B6C" w:rsidRDefault="00604170" w:rsidP="00604170">
      <w:pPr>
        <w:pStyle w:val="SingleTxt"/>
        <w:tabs>
          <w:tab w:val="right" w:pos="1685"/>
        </w:tabs>
        <w:ind w:left="1742" w:hanging="475"/>
      </w:pPr>
      <w:r>
        <w:tab/>
        <w:t>▪</w:t>
      </w:r>
      <w:r w:rsidR="00770B6C">
        <w:tab/>
        <w:t>The programme of post-abortion care (adopted in 2006);</w:t>
      </w:r>
    </w:p>
    <w:p w:rsidR="00770B6C" w:rsidRDefault="00604170" w:rsidP="00604170">
      <w:pPr>
        <w:pStyle w:val="SingleTxt"/>
        <w:tabs>
          <w:tab w:val="right" w:pos="1685"/>
        </w:tabs>
        <w:ind w:left="1742" w:hanging="475"/>
      </w:pPr>
      <w:r>
        <w:tab/>
        <w:t>▪</w:t>
      </w:r>
      <w:r w:rsidR="00770B6C">
        <w:tab/>
        <w:t>The Malian strategy for prevention and treatment of obstetric fistula;</w:t>
      </w:r>
    </w:p>
    <w:p w:rsidR="00770B6C" w:rsidRDefault="00604170" w:rsidP="00604170">
      <w:pPr>
        <w:pStyle w:val="SingleTxt"/>
        <w:tabs>
          <w:tab w:val="right" w:pos="1685"/>
        </w:tabs>
        <w:ind w:left="1742" w:hanging="475"/>
      </w:pPr>
      <w:r>
        <w:tab/>
        <w:t>▪</w:t>
      </w:r>
      <w:r w:rsidR="00770B6C">
        <w:tab/>
        <w:t>The 2005-2009 sectoral plan to combat HIV/AIDS;</w:t>
      </w:r>
    </w:p>
    <w:p w:rsidR="00770B6C" w:rsidRDefault="00604170" w:rsidP="00604170">
      <w:pPr>
        <w:pStyle w:val="SingleTxt"/>
        <w:tabs>
          <w:tab w:val="right" w:pos="1685"/>
        </w:tabs>
        <w:ind w:left="1742" w:hanging="475"/>
      </w:pPr>
      <w:r>
        <w:tab/>
        <w:t>▪</w:t>
      </w:r>
      <w:r w:rsidR="00770B6C">
        <w:tab/>
        <w:t>The strategic communication plan for reproductive health (2006-2011);</w:t>
      </w:r>
    </w:p>
    <w:p w:rsidR="00770B6C" w:rsidRDefault="00604170" w:rsidP="00604170">
      <w:pPr>
        <w:pStyle w:val="SingleTxt"/>
        <w:tabs>
          <w:tab w:val="right" w:pos="1685"/>
        </w:tabs>
        <w:ind w:left="1742" w:hanging="475"/>
      </w:pPr>
      <w:r>
        <w:tab/>
        <w:t>▪</w:t>
      </w:r>
      <w:r w:rsidR="00770B6C">
        <w:tab/>
        <w:t>The PMTCT (prevention of mother-to-child transmission) programme (2002);</w:t>
      </w:r>
    </w:p>
    <w:p w:rsidR="00770B6C" w:rsidRDefault="00604170" w:rsidP="00604170">
      <w:pPr>
        <w:pStyle w:val="SingleTxt"/>
        <w:tabs>
          <w:tab w:val="right" w:pos="1685"/>
        </w:tabs>
        <w:ind w:left="1742" w:hanging="475"/>
      </w:pPr>
      <w:r>
        <w:lastRenderedPageBreak/>
        <w:tab/>
        <w:t>▪</w:t>
      </w:r>
      <w:r w:rsidR="00770B6C">
        <w:tab/>
        <w:t xml:space="preserve">Research on preventing malaria among pregnant women with TPI and SP at the community centres and health centres at Kolondièba; research on management of asphyxia at birth at the community level; </w:t>
      </w:r>
    </w:p>
    <w:p w:rsidR="00770B6C" w:rsidRDefault="00604170" w:rsidP="00604170">
      <w:pPr>
        <w:pStyle w:val="SingleTxt"/>
        <w:tabs>
          <w:tab w:val="right" w:pos="1685"/>
        </w:tabs>
        <w:ind w:left="1742" w:hanging="475"/>
      </w:pPr>
      <w:r>
        <w:tab/>
        <w:t>▪</w:t>
      </w:r>
      <w:r w:rsidR="00770B6C">
        <w:tab/>
        <w:t xml:space="preserve">As part of the national programme to combat excision (2002) the development of a </w:t>
      </w:r>
      <w:r w:rsidR="001E33E4">
        <w:t>“</w:t>
      </w:r>
      <w:r w:rsidR="00770B6C">
        <w:t>Trainer</w:t>
      </w:r>
      <w:r w:rsidR="001E33E4">
        <w:t>’</w:t>
      </w:r>
      <w:r w:rsidR="00770B6C">
        <w:t>s Guide</w:t>
      </w:r>
      <w:r w:rsidR="001E33E4">
        <w:t>”</w:t>
      </w:r>
      <w:r w:rsidR="00770B6C">
        <w:t xml:space="preserve"> and a Provider</w:t>
      </w:r>
      <w:r w:rsidR="001E33E4">
        <w:t>’</w:t>
      </w:r>
      <w:r w:rsidR="00770B6C">
        <w:t>s Manual on the medical, psychosocial and legal treatment of complications related to female genital mutilation</w:t>
      </w:r>
      <w:r w:rsidR="005151E1">
        <w:t>/</w:t>
      </w:r>
      <w:r w:rsidR="00770B6C">
        <w:t>excision;</w:t>
      </w:r>
    </w:p>
    <w:p w:rsidR="00770B6C" w:rsidRDefault="00604170" w:rsidP="00604170">
      <w:pPr>
        <w:pStyle w:val="SingleTxt"/>
        <w:tabs>
          <w:tab w:val="right" w:pos="1685"/>
        </w:tabs>
        <w:ind w:left="1742" w:hanging="475"/>
      </w:pPr>
      <w:r>
        <w:tab/>
        <w:t>▪</w:t>
      </w:r>
      <w:r w:rsidR="00770B6C">
        <w:tab/>
        <w:t>Medical treatment without charge of AIDS-related illnesses (especially ARVs) and persons living with HIV;</w:t>
      </w:r>
    </w:p>
    <w:p w:rsidR="00770B6C" w:rsidRDefault="00604170" w:rsidP="00604170">
      <w:pPr>
        <w:pStyle w:val="SingleTxt"/>
        <w:tabs>
          <w:tab w:val="right" w:pos="1685"/>
        </w:tabs>
        <w:ind w:left="1742" w:hanging="475"/>
      </w:pPr>
      <w:r>
        <w:tab/>
        <w:t>▪</w:t>
      </w:r>
      <w:r w:rsidR="00770B6C">
        <w:tab/>
        <w:t>Decentralizing treatment of AIDS-related illnesses and persons living with HIV;</w:t>
      </w:r>
    </w:p>
    <w:p w:rsidR="005E1F07" w:rsidRDefault="00604170" w:rsidP="00604170">
      <w:pPr>
        <w:pStyle w:val="SingleTxt"/>
        <w:tabs>
          <w:tab w:val="right" w:pos="1685"/>
        </w:tabs>
        <w:ind w:left="1742" w:hanging="475"/>
      </w:pPr>
      <w:r>
        <w:tab/>
        <w:t>▪</w:t>
      </w:r>
      <w:r w:rsidR="00770B6C">
        <w:tab/>
        <w:t>In the institutional domain, in addition to legislative and regulatory measures, the following should be noted:</w:t>
      </w:r>
    </w:p>
    <w:p w:rsidR="00770B6C" w:rsidRDefault="00604170" w:rsidP="00C31965">
      <w:pPr>
        <w:pStyle w:val="SingleTxt"/>
        <w:tabs>
          <w:tab w:val="clear" w:pos="1742"/>
          <w:tab w:val="right" w:pos="1971"/>
        </w:tabs>
        <w:ind w:left="2016" w:hanging="749"/>
      </w:pPr>
      <w:r>
        <w:tab/>
      </w:r>
      <w:r>
        <w:tab/>
      </w:r>
      <w:r w:rsidR="00770B6C">
        <w:t>•</w:t>
      </w:r>
      <w:r w:rsidR="00770B6C">
        <w:tab/>
        <w:t>Institutionalization of a national day for safer childbirth;</w:t>
      </w:r>
    </w:p>
    <w:p w:rsidR="00770B6C" w:rsidRDefault="00604170" w:rsidP="00C31965">
      <w:pPr>
        <w:pStyle w:val="SingleTxt"/>
        <w:tabs>
          <w:tab w:val="clear" w:pos="1742"/>
          <w:tab w:val="right" w:pos="1971"/>
          <w:tab w:val="left" w:pos="2025"/>
        </w:tabs>
        <w:ind w:left="2218" w:hanging="951"/>
      </w:pPr>
      <w:r>
        <w:tab/>
      </w:r>
      <w:r>
        <w:tab/>
      </w:r>
      <w:r w:rsidR="00770B6C">
        <w:t>•</w:t>
      </w:r>
      <w:r w:rsidR="00770B6C">
        <w:tab/>
        <w:t xml:space="preserve">Introduction of </w:t>
      </w:r>
      <w:r w:rsidR="001E33E4">
        <w:t>“</w:t>
      </w:r>
      <w:r w:rsidR="00770B6C">
        <w:t>nutrition activities focus weeks</w:t>
      </w:r>
      <w:r w:rsidR="001E33E4">
        <w:t>”</w:t>
      </w:r>
      <w:r w:rsidR="00770B6C">
        <w:t xml:space="preserve"> (semaines d</w:t>
      </w:r>
      <w:r w:rsidR="001E33E4">
        <w:t>’</w:t>
      </w:r>
      <w:r w:rsidR="00770B6C">
        <w:t xml:space="preserve">intensification des activités de nutrition </w:t>
      </w:r>
      <w:r>
        <w:t>—</w:t>
      </w:r>
      <w:r w:rsidR="00770B6C">
        <w:t xml:space="preserve"> SIAN)</w:t>
      </w:r>
      <w:r>
        <w:t>;</w:t>
      </w:r>
    </w:p>
    <w:p w:rsidR="005E1F07" w:rsidRDefault="00604170" w:rsidP="00C31965">
      <w:pPr>
        <w:pStyle w:val="SingleTxt"/>
        <w:tabs>
          <w:tab w:val="clear" w:pos="1742"/>
          <w:tab w:val="left" w:pos="2007"/>
        </w:tabs>
        <w:ind w:left="2218" w:hanging="951"/>
      </w:pPr>
      <w:r>
        <w:tab/>
      </w:r>
      <w:r w:rsidR="00770B6C">
        <w:t>•</w:t>
      </w:r>
      <w:r w:rsidR="00770B6C">
        <w:tab/>
        <w:t xml:space="preserve">Creation of the </w:t>
      </w:r>
      <w:r w:rsidR="001E33E4">
        <w:t>“</w:t>
      </w:r>
      <w:r w:rsidR="00770B6C">
        <w:t>Tara Boiré Prize</w:t>
      </w:r>
      <w:r w:rsidR="001E33E4">
        <w:t>”</w:t>
      </w:r>
      <w:r w:rsidR="00770B6C">
        <w:t xml:space="preserve"> rewarding initiatives in support of safer childbirth;</w:t>
      </w:r>
    </w:p>
    <w:p w:rsidR="00770B6C" w:rsidRDefault="00604170" w:rsidP="00604170">
      <w:pPr>
        <w:pStyle w:val="SingleTxt"/>
        <w:tabs>
          <w:tab w:val="right" w:pos="1685"/>
        </w:tabs>
        <w:ind w:left="1742" w:hanging="475"/>
      </w:pPr>
      <w:r>
        <w:tab/>
        <w:t>▪</w:t>
      </w:r>
      <w:r w:rsidR="00770B6C">
        <w:tab/>
        <w:t>Design of several advocacy instruments relating to reproductive health and HIV;</w:t>
      </w:r>
    </w:p>
    <w:p w:rsidR="00770B6C" w:rsidRDefault="00604170" w:rsidP="00604170">
      <w:pPr>
        <w:pStyle w:val="SingleTxt"/>
        <w:tabs>
          <w:tab w:val="right" w:pos="1685"/>
        </w:tabs>
        <w:ind w:left="1742" w:hanging="475"/>
      </w:pPr>
      <w:r>
        <w:tab/>
        <w:t>▪</w:t>
      </w:r>
      <w:r w:rsidR="00770B6C">
        <w:tab/>
        <w:t>Creation of a framework for cooperation with religious leaders, the Network of Traditional Communicators (RECOTRADE), and the media;</w:t>
      </w:r>
    </w:p>
    <w:p w:rsidR="00770B6C" w:rsidRDefault="00604170" w:rsidP="00604170">
      <w:pPr>
        <w:pStyle w:val="SingleTxt"/>
        <w:tabs>
          <w:tab w:val="right" w:pos="1685"/>
        </w:tabs>
        <w:ind w:left="1742" w:hanging="475"/>
      </w:pPr>
      <w:r>
        <w:tab/>
        <w:t>▪</w:t>
      </w:r>
      <w:r w:rsidR="00770B6C">
        <w:tab/>
        <w:t>Development of partnerships with civil society (agreements with NGOs, cooperation with private organizations);</w:t>
      </w:r>
    </w:p>
    <w:p w:rsidR="005E1F07" w:rsidRDefault="00604170" w:rsidP="00604170">
      <w:pPr>
        <w:pStyle w:val="SingleTxt"/>
        <w:tabs>
          <w:tab w:val="right" w:pos="1685"/>
        </w:tabs>
        <w:ind w:left="1742" w:hanging="475"/>
      </w:pPr>
      <w:r>
        <w:tab/>
        <w:t>▪</w:t>
      </w:r>
      <w:r w:rsidR="00770B6C">
        <w:tab/>
        <w:t>Finally, adoption in late 2009 of a national policy for the development of human resources in the area of health.</w:t>
      </w:r>
    </w:p>
    <w:p w:rsidR="00604170" w:rsidRPr="00604170" w:rsidRDefault="00604170" w:rsidP="00604170">
      <w:pPr>
        <w:pStyle w:val="SingleTxt"/>
        <w:tabs>
          <w:tab w:val="right" w:pos="1685"/>
        </w:tabs>
        <w:spacing w:after="0" w:line="120" w:lineRule="exact"/>
        <w:ind w:left="1742" w:hanging="475"/>
        <w:rPr>
          <w:sz w:val="10"/>
        </w:rPr>
      </w:pPr>
    </w:p>
    <w:p w:rsidR="005E1F07" w:rsidRDefault="00604170" w:rsidP="00604170">
      <w:pPr>
        <w:pStyle w:val="H23"/>
        <w:ind w:right="1260"/>
      </w:pPr>
      <w:r>
        <w:tab/>
      </w:r>
      <w:r w:rsidR="00770B6C">
        <w:t>3.</w:t>
      </w:r>
      <w:r>
        <w:tab/>
      </w:r>
      <w:r w:rsidR="00770B6C">
        <w:t>Provision of appropriate services to women during pregnancy, confinement and the post-natal period</w:t>
      </w:r>
    </w:p>
    <w:p w:rsidR="00604170" w:rsidRPr="00604170" w:rsidRDefault="00604170" w:rsidP="00604170">
      <w:pPr>
        <w:pStyle w:val="SingleTxt"/>
        <w:spacing w:after="0" w:line="120" w:lineRule="exact"/>
        <w:rPr>
          <w:sz w:val="10"/>
        </w:rPr>
      </w:pPr>
    </w:p>
    <w:p w:rsidR="00770B6C" w:rsidRDefault="00770B6C" w:rsidP="00770B6C">
      <w:pPr>
        <w:pStyle w:val="SingleTxt"/>
      </w:pPr>
      <w:r>
        <w:t>98.</w:t>
      </w:r>
      <w:r w:rsidR="00604170">
        <w:tab/>
      </w:r>
      <w:r>
        <w:t xml:space="preserve">Law 02-049 of 22 July 2002 concerning the Health Guidelines Act creates the following </w:t>
      </w:r>
      <w:r w:rsidR="0000254B">
        <w:t>health-care</w:t>
      </w:r>
      <w:r>
        <w:t xml:space="preserve"> establishments:</w:t>
      </w:r>
    </w:p>
    <w:p w:rsidR="00770B6C" w:rsidRDefault="00604170" w:rsidP="00604170">
      <w:pPr>
        <w:pStyle w:val="SingleTxt"/>
        <w:tabs>
          <w:tab w:val="right" w:pos="1685"/>
        </w:tabs>
        <w:ind w:left="1742" w:hanging="475"/>
      </w:pPr>
      <w:r>
        <w:tab/>
      </w:r>
      <w:r w:rsidR="00770B6C">
        <w:t>•</w:t>
      </w:r>
      <w:r w:rsidR="00770B6C">
        <w:tab/>
        <w:t>Public hospitals;</w:t>
      </w:r>
    </w:p>
    <w:p w:rsidR="00770B6C" w:rsidRDefault="00604170" w:rsidP="00604170">
      <w:pPr>
        <w:pStyle w:val="SingleTxt"/>
        <w:tabs>
          <w:tab w:val="right" w:pos="1685"/>
        </w:tabs>
        <w:ind w:left="1742" w:hanging="475"/>
      </w:pPr>
      <w:r>
        <w:tab/>
      </w:r>
      <w:r w:rsidR="00770B6C">
        <w:t>•</w:t>
      </w:r>
      <w:r w:rsidR="00770B6C">
        <w:tab/>
      </w:r>
      <w:r w:rsidR="0000254B">
        <w:t>Health-care</w:t>
      </w:r>
      <w:r w:rsidR="00770B6C">
        <w:t xml:space="preserve"> referral centres (or district hospitals);</w:t>
      </w:r>
    </w:p>
    <w:p w:rsidR="005E1F07" w:rsidRDefault="00604170" w:rsidP="00604170">
      <w:pPr>
        <w:pStyle w:val="SingleTxt"/>
        <w:tabs>
          <w:tab w:val="right" w:pos="1685"/>
        </w:tabs>
        <w:ind w:left="1742" w:hanging="475"/>
      </w:pPr>
      <w:r>
        <w:tab/>
      </w:r>
      <w:r w:rsidR="00770B6C">
        <w:t>•</w:t>
      </w:r>
      <w:r w:rsidR="00770B6C">
        <w:tab/>
        <w:t>Private health clinics, comprising both for-profit clinics and not-for-profit clinics, as well as community health centres, denominational centres, etc.</w:t>
      </w:r>
    </w:p>
    <w:p w:rsidR="00604170" w:rsidRPr="00604170" w:rsidRDefault="00604170" w:rsidP="00604170">
      <w:pPr>
        <w:pStyle w:val="SingleTxt"/>
        <w:tabs>
          <w:tab w:val="right" w:pos="1685"/>
        </w:tabs>
        <w:spacing w:after="0" w:line="120" w:lineRule="exact"/>
        <w:ind w:left="1742" w:hanging="475"/>
        <w:rPr>
          <w:sz w:val="10"/>
        </w:rPr>
      </w:pPr>
    </w:p>
    <w:p w:rsidR="00770B6C" w:rsidRDefault="00604170" w:rsidP="00604170">
      <w:pPr>
        <w:pStyle w:val="H23"/>
        <w:ind w:right="1260"/>
      </w:pPr>
      <w:r>
        <w:tab/>
      </w:r>
      <w:r w:rsidR="00770B6C">
        <w:t>3.1</w:t>
      </w:r>
      <w:r>
        <w:tab/>
      </w:r>
      <w:r w:rsidR="00770B6C">
        <w:t xml:space="preserve">Situation of </w:t>
      </w:r>
      <w:r w:rsidR="0000254B">
        <w:t>health-care</w:t>
      </w:r>
      <w:r w:rsidR="00770B6C">
        <w:t xml:space="preserve"> coverage</w:t>
      </w:r>
    </w:p>
    <w:p w:rsidR="00604170" w:rsidRPr="00604170" w:rsidRDefault="00604170" w:rsidP="00604170">
      <w:pPr>
        <w:pStyle w:val="SingleTxt"/>
        <w:spacing w:after="0" w:line="120" w:lineRule="exact"/>
        <w:rPr>
          <w:sz w:val="10"/>
        </w:rPr>
      </w:pPr>
    </w:p>
    <w:p w:rsidR="00770B6C" w:rsidRDefault="00770B6C" w:rsidP="00770B6C">
      <w:pPr>
        <w:pStyle w:val="SingleTxt"/>
      </w:pPr>
      <w:r>
        <w:t>99.</w:t>
      </w:r>
      <w:r w:rsidR="00604170">
        <w:tab/>
      </w:r>
      <w:r>
        <w:t>The aims of the sectoral health policy, namely to place services as near as possible to users, have nearly been accomplished, even though efforts are still needed to improve affordability.</w:t>
      </w:r>
      <w:r w:rsidR="005E03D8">
        <w:t xml:space="preserve"> </w:t>
      </w:r>
      <w:r>
        <w:t>As of 31 December 2009, 54 per cent of the total population lived within 5 km of an operating community health centre providing the minimum package of services.</w:t>
      </w:r>
    </w:p>
    <w:p w:rsidR="00770B6C" w:rsidRPr="00604170" w:rsidRDefault="00604170" w:rsidP="00604170">
      <w:pPr>
        <w:pStyle w:val="H23"/>
        <w:ind w:right="1260"/>
        <w:rPr>
          <w:b w:val="0"/>
        </w:rPr>
      </w:pPr>
      <w:r>
        <w:lastRenderedPageBreak/>
        <w:tab/>
      </w:r>
      <w:r w:rsidRPr="00604170">
        <w:rPr>
          <w:b w:val="0"/>
        </w:rPr>
        <w:tab/>
      </w:r>
      <w:r w:rsidR="00770B6C" w:rsidRPr="00604170">
        <w:rPr>
          <w:b w:val="0"/>
        </w:rPr>
        <w:t>Table 6</w:t>
      </w:r>
    </w:p>
    <w:p w:rsidR="005E1F07" w:rsidRDefault="00604170" w:rsidP="00604170">
      <w:pPr>
        <w:pStyle w:val="H23"/>
        <w:ind w:right="1260"/>
      </w:pPr>
      <w:r>
        <w:tab/>
      </w:r>
      <w:r>
        <w:tab/>
      </w:r>
      <w:r w:rsidR="00770B6C">
        <w:t>Percentage of population living within 5 km of a health centre by region</w:t>
      </w:r>
    </w:p>
    <w:p w:rsidR="00604170" w:rsidRPr="00604170" w:rsidRDefault="00604170" w:rsidP="0060417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5"/>
        <w:gridCol w:w="1998"/>
        <w:gridCol w:w="1091"/>
        <w:gridCol w:w="1091"/>
        <w:gridCol w:w="1091"/>
        <w:gridCol w:w="1092"/>
      </w:tblGrid>
      <w:tr w:rsidR="001344E6" w:rsidRPr="00835118" w:rsidTr="00835118">
        <w:trPr>
          <w:tblHeader/>
        </w:trPr>
        <w:tc>
          <w:tcPr>
            <w:tcW w:w="965" w:type="dxa"/>
            <w:tcBorders>
              <w:top w:val="single" w:sz="4" w:space="0" w:color="auto"/>
              <w:bottom w:val="single" w:sz="12" w:space="0" w:color="auto"/>
            </w:tcBorders>
            <w:shd w:val="clear" w:color="auto" w:fill="auto"/>
            <w:vAlign w:val="bottom"/>
          </w:tcPr>
          <w:p w:rsidR="001344E6" w:rsidRPr="00835118" w:rsidRDefault="001344E6"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835118">
              <w:rPr>
                <w:i/>
                <w:sz w:val="14"/>
              </w:rPr>
              <w:t>Poverty Zones</w:t>
            </w:r>
          </w:p>
        </w:tc>
        <w:tc>
          <w:tcPr>
            <w:tcW w:w="1998" w:type="dxa"/>
            <w:tcBorders>
              <w:top w:val="single" w:sz="4" w:space="0" w:color="auto"/>
              <w:bottom w:val="single" w:sz="12" w:space="0" w:color="auto"/>
            </w:tcBorders>
            <w:shd w:val="clear" w:color="auto" w:fill="auto"/>
            <w:vAlign w:val="bottom"/>
          </w:tcPr>
          <w:p w:rsidR="001344E6" w:rsidRPr="00835118" w:rsidRDefault="001344E6"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3"/>
              <w:jc w:val="left"/>
              <w:rPr>
                <w:i/>
                <w:sz w:val="14"/>
              </w:rPr>
            </w:pPr>
            <w:r w:rsidRPr="00835118">
              <w:rPr>
                <w:i/>
                <w:sz w:val="14"/>
              </w:rPr>
              <w:t>Regions</w:t>
            </w:r>
          </w:p>
        </w:tc>
        <w:tc>
          <w:tcPr>
            <w:tcW w:w="1091" w:type="dxa"/>
            <w:tcBorders>
              <w:top w:val="single" w:sz="4" w:space="0" w:color="auto"/>
              <w:bottom w:val="single" w:sz="12" w:space="0" w:color="auto"/>
            </w:tcBorders>
            <w:shd w:val="clear" w:color="auto" w:fill="auto"/>
            <w:vAlign w:val="bottom"/>
          </w:tcPr>
          <w:p w:rsidR="001344E6" w:rsidRPr="00835118" w:rsidRDefault="001344E6"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35118">
              <w:rPr>
                <w:i/>
                <w:sz w:val="14"/>
              </w:rPr>
              <w:t>2006</w:t>
            </w:r>
          </w:p>
        </w:tc>
        <w:tc>
          <w:tcPr>
            <w:tcW w:w="1091" w:type="dxa"/>
            <w:tcBorders>
              <w:top w:val="single" w:sz="4" w:space="0" w:color="auto"/>
              <w:bottom w:val="single" w:sz="12" w:space="0" w:color="auto"/>
            </w:tcBorders>
            <w:shd w:val="clear" w:color="auto" w:fill="auto"/>
            <w:vAlign w:val="bottom"/>
          </w:tcPr>
          <w:p w:rsidR="001344E6" w:rsidRPr="00835118" w:rsidRDefault="001344E6"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35118">
              <w:rPr>
                <w:i/>
                <w:sz w:val="14"/>
              </w:rPr>
              <w:t>2007</w:t>
            </w:r>
          </w:p>
        </w:tc>
        <w:tc>
          <w:tcPr>
            <w:tcW w:w="1091" w:type="dxa"/>
            <w:tcBorders>
              <w:top w:val="single" w:sz="4" w:space="0" w:color="auto"/>
              <w:bottom w:val="single" w:sz="12" w:space="0" w:color="auto"/>
            </w:tcBorders>
            <w:shd w:val="clear" w:color="auto" w:fill="auto"/>
            <w:vAlign w:val="bottom"/>
          </w:tcPr>
          <w:p w:rsidR="001344E6" w:rsidRPr="00835118" w:rsidRDefault="001344E6"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35118">
              <w:rPr>
                <w:i/>
                <w:sz w:val="14"/>
              </w:rPr>
              <w:t>2008</w:t>
            </w:r>
          </w:p>
        </w:tc>
        <w:tc>
          <w:tcPr>
            <w:tcW w:w="1092" w:type="dxa"/>
            <w:tcBorders>
              <w:top w:val="single" w:sz="4" w:space="0" w:color="auto"/>
              <w:bottom w:val="single" w:sz="12" w:space="0" w:color="auto"/>
            </w:tcBorders>
            <w:shd w:val="clear" w:color="auto" w:fill="auto"/>
            <w:vAlign w:val="bottom"/>
          </w:tcPr>
          <w:p w:rsidR="001344E6" w:rsidRPr="00835118" w:rsidRDefault="001344E6"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35118">
              <w:rPr>
                <w:i/>
                <w:sz w:val="14"/>
              </w:rPr>
              <w:t>2009*</w:t>
            </w:r>
          </w:p>
        </w:tc>
      </w:tr>
      <w:tr w:rsidR="00835118" w:rsidRPr="00835118" w:rsidTr="00835118">
        <w:trPr>
          <w:trHeight w:hRule="exact" w:val="115"/>
          <w:tblHeader/>
        </w:trPr>
        <w:tc>
          <w:tcPr>
            <w:tcW w:w="965" w:type="dxa"/>
            <w:tcBorders>
              <w:top w:val="single" w:sz="12" w:space="0" w:color="auto"/>
            </w:tcBorders>
            <w:shd w:val="clear" w:color="auto" w:fill="auto"/>
            <w:vAlign w:val="bottom"/>
          </w:tcPr>
          <w:p w:rsidR="00835118" w:rsidRPr="00835118" w:rsidRDefault="00835118"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998" w:type="dxa"/>
            <w:tcBorders>
              <w:top w:val="single" w:sz="12" w:space="0" w:color="auto"/>
            </w:tcBorders>
            <w:shd w:val="clear" w:color="auto" w:fill="auto"/>
            <w:vAlign w:val="bottom"/>
          </w:tcPr>
          <w:p w:rsidR="00835118" w:rsidRPr="00835118" w:rsidRDefault="00835118"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0" w:line="210" w:lineRule="exact"/>
              <w:ind w:left="144" w:right="43"/>
              <w:jc w:val="left"/>
              <w:rPr>
                <w:sz w:val="17"/>
              </w:rPr>
            </w:pPr>
          </w:p>
        </w:tc>
        <w:tc>
          <w:tcPr>
            <w:tcW w:w="1091" w:type="dxa"/>
            <w:tcBorders>
              <w:top w:val="single" w:sz="12" w:space="0" w:color="auto"/>
            </w:tcBorders>
            <w:shd w:val="clear" w:color="auto" w:fill="auto"/>
            <w:vAlign w:val="bottom"/>
          </w:tcPr>
          <w:p w:rsidR="00835118" w:rsidRPr="00835118" w:rsidRDefault="00835118"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91" w:type="dxa"/>
            <w:tcBorders>
              <w:top w:val="single" w:sz="12" w:space="0" w:color="auto"/>
            </w:tcBorders>
            <w:shd w:val="clear" w:color="auto" w:fill="auto"/>
            <w:vAlign w:val="bottom"/>
          </w:tcPr>
          <w:p w:rsidR="00835118" w:rsidRPr="00835118" w:rsidRDefault="00835118"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91" w:type="dxa"/>
            <w:tcBorders>
              <w:top w:val="single" w:sz="12" w:space="0" w:color="auto"/>
            </w:tcBorders>
            <w:shd w:val="clear" w:color="auto" w:fill="auto"/>
            <w:vAlign w:val="bottom"/>
          </w:tcPr>
          <w:p w:rsidR="00835118" w:rsidRPr="00835118" w:rsidRDefault="00835118"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92" w:type="dxa"/>
            <w:tcBorders>
              <w:top w:val="single" w:sz="12" w:space="0" w:color="auto"/>
            </w:tcBorders>
            <w:shd w:val="clear" w:color="auto" w:fill="auto"/>
            <w:vAlign w:val="bottom"/>
          </w:tcPr>
          <w:p w:rsidR="00835118" w:rsidRPr="00835118" w:rsidRDefault="00835118" w:rsidP="00835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835118">
              <w:rPr>
                <w:sz w:val="17"/>
              </w:rPr>
              <w:t>Zone I</w:t>
            </w: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Koulikoro</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36</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49</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49</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46</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Sikasso</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49</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59</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59</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45</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Ségou</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49</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56</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56</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50</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Mopti</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43</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46</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46</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49</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Subtotal zone I</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44</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46</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53</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47</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835118">
              <w:rPr>
                <w:sz w:val="17"/>
              </w:rPr>
              <w:t>Zone II</w:t>
            </w: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Kayes</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44</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49</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51</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51</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Tombouctou</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41</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39</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39</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38</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Gao</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50</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57</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57</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40</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Kidal</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24</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31</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31</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37</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Subtotal zone II</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40</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44</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49</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46</w:t>
            </w:r>
          </w:p>
        </w:tc>
      </w:tr>
      <w:tr w:rsidR="001344E6" w:rsidRPr="00835118" w:rsidTr="00835118">
        <w:tc>
          <w:tcPr>
            <w:tcW w:w="965"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835118">
              <w:rPr>
                <w:sz w:val="17"/>
              </w:rPr>
              <w:t>Zone III</w:t>
            </w:r>
          </w:p>
        </w:tc>
        <w:tc>
          <w:tcPr>
            <w:tcW w:w="1998"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Bamako</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100</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99</w:t>
            </w:r>
          </w:p>
        </w:tc>
        <w:tc>
          <w:tcPr>
            <w:tcW w:w="1091"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99</w:t>
            </w:r>
          </w:p>
        </w:tc>
        <w:tc>
          <w:tcPr>
            <w:tcW w:w="1092" w:type="dxa"/>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94</w:t>
            </w:r>
          </w:p>
        </w:tc>
      </w:tr>
      <w:tr w:rsidR="001344E6" w:rsidRPr="00835118" w:rsidTr="00835118">
        <w:tc>
          <w:tcPr>
            <w:tcW w:w="965" w:type="dxa"/>
            <w:tcBorders>
              <w:bottom w:val="single" w:sz="12" w:space="0" w:color="auto"/>
            </w:tcBorders>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p>
        </w:tc>
        <w:tc>
          <w:tcPr>
            <w:tcW w:w="1998" w:type="dxa"/>
            <w:tcBorders>
              <w:bottom w:val="single" w:sz="12" w:space="0" w:color="auto"/>
            </w:tcBorders>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left"/>
              <w:rPr>
                <w:sz w:val="17"/>
              </w:rPr>
            </w:pPr>
            <w:r w:rsidRPr="00835118">
              <w:rPr>
                <w:sz w:val="17"/>
              </w:rPr>
              <w:t>Total Mali</w:t>
            </w:r>
          </w:p>
        </w:tc>
        <w:tc>
          <w:tcPr>
            <w:tcW w:w="1091" w:type="dxa"/>
            <w:tcBorders>
              <w:bottom w:val="single" w:sz="12" w:space="0" w:color="auto"/>
            </w:tcBorders>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51</w:t>
            </w:r>
          </w:p>
        </w:tc>
        <w:tc>
          <w:tcPr>
            <w:tcW w:w="1091" w:type="dxa"/>
            <w:tcBorders>
              <w:bottom w:val="single" w:sz="12" w:space="0" w:color="auto"/>
            </w:tcBorders>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58</w:t>
            </w:r>
          </w:p>
        </w:tc>
        <w:tc>
          <w:tcPr>
            <w:tcW w:w="1091" w:type="dxa"/>
            <w:tcBorders>
              <w:bottom w:val="single" w:sz="12" w:space="0" w:color="auto"/>
            </w:tcBorders>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58</w:t>
            </w:r>
          </w:p>
        </w:tc>
        <w:tc>
          <w:tcPr>
            <w:tcW w:w="1092" w:type="dxa"/>
            <w:tcBorders>
              <w:bottom w:val="single" w:sz="12" w:space="0" w:color="auto"/>
            </w:tcBorders>
            <w:shd w:val="clear" w:color="auto" w:fill="auto"/>
            <w:vAlign w:val="bottom"/>
          </w:tcPr>
          <w:p w:rsidR="001344E6" w:rsidRPr="00835118" w:rsidRDefault="001344E6"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835118">
              <w:rPr>
                <w:sz w:val="17"/>
              </w:rPr>
              <w:t>54</w:t>
            </w:r>
          </w:p>
        </w:tc>
      </w:tr>
    </w:tbl>
    <w:p w:rsidR="00604170" w:rsidRPr="00604170" w:rsidRDefault="00604170" w:rsidP="00604170">
      <w:pPr>
        <w:pStyle w:val="SingleTxt"/>
        <w:spacing w:after="0" w:line="120" w:lineRule="exact"/>
        <w:rPr>
          <w:sz w:val="10"/>
        </w:rPr>
      </w:pPr>
    </w:p>
    <w:p w:rsidR="005E1F07" w:rsidRDefault="00604170" w:rsidP="00604170">
      <w:pPr>
        <w:pStyle w:val="FootnoteText"/>
        <w:tabs>
          <w:tab w:val="clear" w:pos="418"/>
          <w:tab w:val="right" w:pos="1476"/>
          <w:tab w:val="left" w:pos="1548"/>
          <w:tab w:val="right" w:pos="1836"/>
          <w:tab w:val="left" w:pos="1908"/>
        </w:tabs>
        <w:ind w:left="1548" w:right="1267" w:hanging="288"/>
      </w:pPr>
      <w:r w:rsidRPr="00604170">
        <w:rPr>
          <w:i/>
        </w:rPr>
        <w:tab/>
      </w:r>
      <w:r w:rsidR="00770B6C" w:rsidRPr="00773C9B">
        <w:rPr>
          <w:i/>
        </w:rPr>
        <w:t>Source</w:t>
      </w:r>
      <w:r w:rsidR="00770B6C" w:rsidRPr="00773C9B">
        <w:t xml:space="preserve">: </w:t>
      </w:r>
      <w:r w:rsidR="00770B6C" w:rsidRPr="00604170">
        <w:rPr>
          <w:i/>
        </w:rPr>
        <w:t>National Health Directorate, Local Health Information Systems</w:t>
      </w:r>
      <w:r>
        <w:t>.</w:t>
      </w:r>
    </w:p>
    <w:p w:rsidR="00604170" w:rsidRPr="00604170" w:rsidRDefault="00604170" w:rsidP="00604170">
      <w:pPr>
        <w:pStyle w:val="SingleTxt"/>
        <w:spacing w:after="0" w:line="120" w:lineRule="exact"/>
        <w:rPr>
          <w:sz w:val="10"/>
        </w:rPr>
      </w:pPr>
    </w:p>
    <w:p w:rsidR="00604170" w:rsidRPr="00604170" w:rsidRDefault="00604170" w:rsidP="00604170">
      <w:pPr>
        <w:pStyle w:val="SingleTxt"/>
        <w:spacing w:after="0" w:line="120" w:lineRule="exact"/>
        <w:rPr>
          <w:sz w:val="10"/>
        </w:rPr>
      </w:pPr>
    </w:p>
    <w:p w:rsidR="005E1F07" w:rsidRDefault="00770B6C" w:rsidP="00770B6C">
      <w:pPr>
        <w:pStyle w:val="SingleTxt"/>
      </w:pPr>
      <w:r>
        <w:t>100.</w:t>
      </w:r>
      <w:r w:rsidR="00604170">
        <w:tab/>
      </w:r>
      <w:r w:rsidRPr="00835118">
        <w:rPr>
          <w:spacing w:val="2"/>
        </w:rPr>
        <w:t>The proportions range from 37 per cent in Kidal to 94 per cent in Bamako District.</w:t>
      </w:r>
      <w:r w:rsidR="005E03D8" w:rsidRPr="00835118">
        <w:rPr>
          <w:spacing w:val="2"/>
        </w:rPr>
        <w:t xml:space="preserve"> </w:t>
      </w:r>
      <w:r w:rsidRPr="00835118">
        <w:rPr>
          <w:spacing w:val="2"/>
        </w:rPr>
        <w:t>It should be noted that in the northern regions of the country the dispersed population and its mobility make it difficult to improve provision of access to health care within 5 km by building community health centres. The slow growth of coverage in certain localities is essentially due to the low concentration of covered population in new functional health areas</w:t>
      </w:r>
      <w:r>
        <w:t>.</w:t>
      </w:r>
    </w:p>
    <w:p w:rsidR="005E1F07" w:rsidRDefault="00770B6C" w:rsidP="00770B6C">
      <w:pPr>
        <w:pStyle w:val="SingleTxt"/>
        <w:rPr>
          <w:spacing w:val="2"/>
          <w:w w:val="100"/>
        </w:rPr>
      </w:pPr>
      <w:r>
        <w:t>101.</w:t>
      </w:r>
      <w:r w:rsidR="00604170">
        <w:tab/>
      </w:r>
      <w:r w:rsidRPr="00835118">
        <w:rPr>
          <w:spacing w:val="2"/>
          <w:w w:val="100"/>
        </w:rPr>
        <w:t>Zone 1 (a poor zone) experienced a decline of six points (53 per cent to 47 per cent), zone II three points (49 per cent to 46 per cent) and zone III a drop of five points.</w:t>
      </w:r>
    </w:p>
    <w:p w:rsidR="00835118" w:rsidRPr="00835118" w:rsidRDefault="00835118" w:rsidP="00835118">
      <w:pPr>
        <w:pStyle w:val="SingleTxt"/>
        <w:spacing w:after="0" w:line="120" w:lineRule="exact"/>
        <w:rPr>
          <w:spacing w:val="2"/>
          <w:w w:val="100"/>
          <w:sz w:val="10"/>
        </w:rPr>
      </w:pPr>
    </w:p>
    <w:p w:rsidR="00770B6C" w:rsidRPr="00835118" w:rsidRDefault="00835118" w:rsidP="00835118">
      <w:pPr>
        <w:pStyle w:val="H23"/>
        <w:ind w:right="1260"/>
        <w:rPr>
          <w:b w:val="0"/>
        </w:rPr>
      </w:pPr>
      <w:r w:rsidRPr="00835118">
        <w:rPr>
          <w:b w:val="0"/>
        </w:rPr>
        <w:tab/>
      </w:r>
      <w:r w:rsidRPr="00835118">
        <w:rPr>
          <w:b w:val="0"/>
        </w:rPr>
        <w:tab/>
      </w:r>
      <w:r w:rsidR="00770B6C" w:rsidRPr="00835118">
        <w:rPr>
          <w:b w:val="0"/>
        </w:rPr>
        <w:t>Table 7</w:t>
      </w:r>
    </w:p>
    <w:p w:rsidR="00770B6C" w:rsidRDefault="00835118" w:rsidP="00835118">
      <w:pPr>
        <w:pStyle w:val="H23"/>
        <w:ind w:right="1260"/>
      </w:pPr>
      <w:r>
        <w:tab/>
      </w:r>
      <w:r>
        <w:tab/>
      </w:r>
      <w:r w:rsidR="00770B6C">
        <w:t>Evolution of community health centres by region</w:t>
      </w:r>
    </w:p>
    <w:p w:rsidR="00835118" w:rsidRPr="00835118" w:rsidRDefault="00835118" w:rsidP="0083511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3"/>
        <w:gridCol w:w="1053"/>
        <w:gridCol w:w="63"/>
        <w:gridCol w:w="990"/>
        <w:gridCol w:w="1053"/>
        <w:gridCol w:w="1053"/>
        <w:gridCol w:w="1053"/>
      </w:tblGrid>
      <w:tr w:rsidR="006756B2" w:rsidRPr="006756B2" w:rsidTr="006756B2">
        <w:trPr>
          <w:tblHeader/>
        </w:trPr>
        <w:tc>
          <w:tcPr>
            <w:tcW w:w="2063" w:type="dxa"/>
            <w:tcBorders>
              <w:top w:val="single" w:sz="4"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053" w:type="dxa"/>
            <w:tcBorders>
              <w:top w:val="single" w:sz="4" w:space="0" w:color="auto"/>
              <w:bottom w:val="single" w:sz="4"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756B2">
              <w:rPr>
                <w:i/>
                <w:sz w:val="14"/>
              </w:rPr>
              <w:t>Planned</w:t>
            </w:r>
          </w:p>
        </w:tc>
        <w:tc>
          <w:tcPr>
            <w:tcW w:w="63" w:type="dxa"/>
            <w:tcBorders>
              <w:top w:val="single" w:sz="4"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4149" w:type="dxa"/>
            <w:gridSpan w:val="4"/>
            <w:tcBorders>
              <w:top w:val="single" w:sz="4" w:space="0" w:color="auto"/>
              <w:bottom w:val="single" w:sz="4"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6756B2">
              <w:rPr>
                <w:i/>
                <w:sz w:val="14"/>
              </w:rPr>
              <w:t>Completed</w:t>
            </w:r>
          </w:p>
        </w:tc>
      </w:tr>
      <w:tr w:rsidR="005C4278" w:rsidRPr="006756B2" w:rsidTr="006756B2">
        <w:trPr>
          <w:tblHeader/>
        </w:trPr>
        <w:tc>
          <w:tcPr>
            <w:tcW w:w="2063" w:type="dxa"/>
            <w:tcBorders>
              <w:bottom w:val="single" w:sz="12" w:space="0" w:color="auto"/>
            </w:tcBorders>
            <w:shd w:val="clear" w:color="auto" w:fill="auto"/>
            <w:vAlign w:val="bottom"/>
          </w:tcPr>
          <w:p w:rsidR="005C4278"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756B2">
              <w:rPr>
                <w:i/>
                <w:sz w:val="14"/>
              </w:rPr>
              <w:t>Regions</w:t>
            </w:r>
          </w:p>
        </w:tc>
        <w:tc>
          <w:tcPr>
            <w:tcW w:w="1053" w:type="dxa"/>
            <w:tcBorders>
              <w:top w:val="single" w:sz="4" w:space="0" w:color="auto"/>
              <w:bottom w:val="single" w:sz="12" w:space="0" w:color="auto"/>
            </w:tcBorders>
            <w:shd w:val="clear" w:color="auto" w:fill="auto"/>
            <w:vAlign w:val="bottom"/>
          </w:tcPr>
          <w:p w:rsidR="005C4278"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756B2">
              <w:rPr>
                <w:i/>
                <w:sz w:val="14"/>
              </w:rPr>
              <w:t>PDSEC</w:t>
            </w:r>
          </w:p>
        </w:tc>
        <w:tc>
          <w:tcPr>
            <w:tcW w:w="1053" w:type="dxa"/>
            <w:gridSpan w:val="2"/>
            <w:tcBorders>
              <w:bottom w:val="single" w:sz="12" w:space="0" w:color="auto"/>
            </w:tcBorders>
            <w:shd w:val="clear" w:color="auto" w:fill="auto"/>
            <w:vAlign w:val="bottom"/>
          </w:tcPr>
          <w:p w:rsidR="005C4278"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756B2">
              <w:rPr>
                <w:i/>
                <w:sz w:val="14"/>
              </w:rPr>
              <w:t>2006</w:t>
            </w:r>
          </w:p>
        </w:tc>
        <w:tc>
          <w:tcPr>
            <w:tcW w:w="1053" w:type="dxa"/>
            <w:tcBorders>
              <w:bottom w:val="single" w:sz="12" w:space="0" w:color="auto"/>
            </w:tcBorders>
            <w:shd w:val="clear" w:color="auto" w:fill="auto"/>
            <w:vAlign w:val="bottom"/>
          </w:tcPr>
          <w:p w:rsidR="005C4278"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756B2">
              <w:rPr>
                <w:i/>
                <w:sz w:val="14"/>
              </w:rPr>
              <w:t>2007</w:t>
            </w:r>
          </w:p>
        </w:tc>
        <w:tc>
          <w:tcPr>
            <w:tcW w:w="1053" w:type="dxa"/>
            <w:tcBorders>
              <w:bottom w:val="single" w:sz="12" w:space="0" w:color="auto"/>
            </w:tcBorders>
            <w:shd w:val="clear" w:color="auto" w:fill="auto"/>
            <w:vAlign w:val="bottom"/>
          </w:tcPr>
          <w:p w:rsidR="005C4278"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756B2">
              <w:rPr>
                <w:i/>
                <w:sz w:val="14"/>
              </w:rPr>
              <w:t>2008</w:t>
            </w:r>
          </w:p>
        </w:tc>
        <w:tc>
          <w:tcPr>
            <w:tcW w:w="1053" w:type="dxa"/>
            <w:tcBorders>
              <w:bottom w:val="single" w:sz="12" w:space="0" w:color="auto"/>
            </w:tcBorders>
            <w:shd w:val="clear" w:color="auto" w:fill="auto"/>
            <w:vAlign w:val="bottom"/>
          </w:tcPr>
          <w:p w:rsidR="005C4278"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756B2">
              <w:rPr>
                <w:i/>
                <w:sz w:val="14"/>
              </w:rPr>
              <w:t>2009*</w:t>
            </w:r>
          </w:p>
        </w:tc>
      </w:tr>
      <w:tr w:rsidR="006756B2" w:rsidRPr="006756B2" w:rsidTr="006756B2">
        <w:trPr>
          <w:trHeight w:hRule="exact" w:val="115"/>
          <w:tblHeader/>
        </w:trPr>
        <w:tc>
          <w:tcPr>
            <w:tcW w:w="2063" w:type="dxa"/>
            <w:tcBorders>
              <w:top w:val="single" w:sz="12"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53" w:type="dxa"/>
            <w:tcBorders>
              <w:top w:val="single" w:sz="12"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53" w:type="dxa"/>
            <w:gridSpan w:val="2"/>
            <w:tcBorders>
              <w:top w:val="single" w:sz="12"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53" w:type="dxa"/>
            <w:tcBorders>
              <w:top w:val="single" w:sz="12"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53" w:type="dxa"/>
            <w:tcBorders>
              <w:top w:val="single" w:sz="12"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53" w:type="dxa"/>
            <w:tcBorders>
              <w:top w:val="single" w:sz="12" w:space="0" w:color="auto"/>
            </w:tcBorders>
            <w:shd w:val="clear" w:color="auto" w:fill="auto"/>
            <w:vAlign w:val="bottom"/>
          </w:tcPr>
          <w:p w:rsidR="006756B2"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5C4278" w:rsidRPr="006756B2" w:rsidTr="006756B2">
        <w:tc>
          <w:tcPr>
            <w:tcW w:w="206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6756B2">
              <w:rPr>
                <w:sz w:val="17"/>
              </w:rPr>
              <w:t>Kayes</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183</w:t>
            </w:r>
          </w:p>
        </w:tc>
        <w:tc>
          <w:tcPr>
            <w:tcW w:w="1053" w:type="dxa"/>
            <w:gridSpan w:val="2"/>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130</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141</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156</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167</w:t>
            </w:r>
          </w:p>
        </w:tc>
      </w:tr>
      <w:tr w:rsidR="005C4278" w:rsidRPr="006756B2" w:rsidTr="006756B2">
        <w:tc>
          <w:tcPr>
            <w:tcW w:w="206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6756B2">
              <w:rPr>
                <w:sz w:val="17"/>
              </w:rPr>
              <w:t>Koulikoro</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167</w:t>
            </w:r>
          </w:p>
        </w:tc>
        <w:tc>
          <w:tcPr>
            <w:tcW w:w="1053" w:type="dxa"/>
            <w:gridSpan w:val="2"/>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107</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116</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120</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156</w:t>
            </w:r>
          </w:p>
        </w:tc>
      </w:tr>
      <w:tr w:rsidR="005C4278" w:rsidRPr="006756B2" w:rsidTr="006756B2">
        <w:tc>
          <w:tcPr>
            <w:tcW w:w="206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6756B2">
              <w:rPr>
                <w:sz w:val="17"/>
              </w:rPr>
              <w:t>Sikasso</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186</w:t>
            </w:r>
          </w:p>
        </w:tc>
        <w:tc>
          <w:tcPr>
            <w:tcW w:w="1053" w:type="dxa"/>
            <w:gridSpan w:val="2"/>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152</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153</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156</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188</w:t>
            </w:r>
          </w:p>
        </w:tc>
      </w:tr>
      <w:tr w:rsidR="005C4278" w:rsidRPr="006756B2" w:rsidTr="006756B2">
        <w:tc>
          <w:tcPr>
            <w:tcW w:w="206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6756B2">
              <w:rPr>
                <w:sz w:val="17"/>
              </w:rPr>
              <w:t>Ségou</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167</w:t>
            </w:r>
          </w:p>
        </w:tc>
        <w:tc>
          <w:tcPr>
            <w:tcW w:w="1053" w:type="dxa"/>
            <w:gridSpan w:val="2"/>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134</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145</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148</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165</w:t>
            </w:r>
          </w:p>
        </w:tc>
      </w:tr>
      <w:tr w:rsidR="005C4278" w:rsidRPr="006756B2" w:rsidTr="006756B2">
        <w:tc>
          <w:tcPr>
            <w:tcW w:w="206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6756B2">
              <w:rPr>
                <w:sz w:val="17"/>
              </w:rPr>
              <w:t>Mopti</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128</w:t>
            </w:r>
          </w:p>
        </w:tc>
        <w:tc>
          <w:tcPr>
            <w:tcW w:w="1053" w:type="dxa"/>
            <w:gridSpan w:val="2"/>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109</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112</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118</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134</w:t>
            </w:r>
          </w:p>
        </w:tc>
      </w:tr>
      <w:tr w:rsidR="005C4278" w:rsidRPr="006756B2" w:rsidTr="006756B2">
        <w:tc>
          <w:tcPr>
            <w:tcW w:w="206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6756B2">
              <w:rPr>
                <w:sz w:val="17"/>
              </w:rPr>
              <w:t>Tombouctou</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77</w:t>
            </w:r>
          </w:p>
        </w:tc>
        <w:tc>
          <w:tcPr>
            <w:tcW w:w="1053" w:type="dxa"/>
            <w:gridSpan w:val="2"/>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51</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51</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53</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67</w:t>
            </w:r>
          </w:p>
        </w:tc>
      </w:tr>
      <w:tr w:rsidR="005C4278" w:rsidRPr="006756B2" w:rsidTr="006756B2">
        <w:tc>
          <w:tcPr>
            <w:tcW w:w="206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6756B2">
              <w:rPr>
                <w:sz w:val="17"/>
              </w:rPr>
              <w:t>Gao</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93</w:t>
            </w:r>
          </w:p>
        </w:tc>
        <w:tc>
          <w:tcPr>
            <w:tcW w:w="1053" w:type="dxa"/>
            <w:gridSpan w:val="2"/>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43</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49</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48</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55</w:t>
            </w:r>
          </w:p>
        </w:tc>
      </w:tr>
      <w:tr w:rsidR="005C4278" w:rsidRPr="006756B2" w:rsidTr="006756B2">
        <w:tc>
          <w:tcPr>
            <w:tcW w:w="206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6756B2">
              <w:rPr>
                <w:sz w:val="17"/>
              </w:rPr>
              <w:t>Kidal</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13</w:t>
            </w:r>
          </w:p>
        </w:tc>
        <w:tc>
          <w:tcPr>
            <w:tcW w:w="1053" w:type="dxa"/>
            <w:gridSpan w:val="2"/>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7</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7</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7</w:t>
            </w:r>
          </w:p>
        </w:tc>
        <w:tc>
          <w:tcPr>
            <w:tcW w:w="1053" w:type="dxa"/>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6756B2">
              <w:rPr>
                <w:sz w:val="17"/>
              </w:rPr>
              <w:t>52</w:t>
            </w:r>
          </w:p>
        </w:tc>
      </w:tr>
      <w:tr w:rsidR="005C4278" w:rsidRPr="006756B2" w:rsidTr="006756B2">
        <w:tc>
          <w:tcPr>
            <w:tcW w:w="2063" w:type="dxa"/>
            <w:tcBorders>
              <w:bottom w:val="single" w:sz="4"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rPr>
                <w:sz w:val="17"/>
              </w:rPr>
            </w:pPr>
            <w:r w:rsidRPr="006756B2">
              <w:rPr>
                <w:sz w:val="17"/>
              </w:rPr>
              <w:t>Bamako</w:t>
            </w:r>
          </w:p>
        </w:tc>
        <w:tc>
          <w:tcPr>
            <w:tcW w:w="1053" w:type="dxa"/>
            <w:tcBorders>
              <w:bottom w:val="single" w:sz="4"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rPr>
            </w:pPr>
            <w:r w:rsidRPr="006756B2">
              <w:rPr>
                <w:sz w:val="17"/>
              </w:rPr>
              <w:t>56</w:t>
            </w:r>
          </w:p>
        </w:tc>
        <w:tc>
          <w:tcPr>
            <w:tcW w:w="1053" w:type="dxa"/>
            <w:gridSpan w:val="2"/>
            <w:tcBorders>
              <w:bottom w:val="single" w:sz="4"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rPr>
            </w:pPr>
            <w:r w:rsidRPr="006756B2">
              <w:rPr>
                <w:sz w:val="17"/>
              </w:rPr>
              <w:t>52</w:t>
            </w:r>
          </w:p>
        </w:tc>
        <w:tc>
          <w:tcPr>
            <w:tcW w:w="1053" w:type="dxa"/>
            <w:tcBorders>
              <w:bottom w:val="single" w:sz="4"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rPr>
            </w:pPr>
            <w:r w:rsidRPr="006756B2">
              <w:rPr>
                <w:sz w:val="17"/>
              </w:rPr>
              <w:t>52</w:t>
            </w:r>
          </w:p>
        </w:tc>
        <w:tc>
          <w:tcPr>
            <w:tcW w:w="1053" w:type="dxa"/>
            <w:tcBorders>
              <w:bottom w:val="single" w:sz="4"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rPr>
            </w:pPr>
            <w:r w:rsidRPr="006756B2">
              <w:rPr>
                <w:sz w:val="17"/>
              </w:rPr>
              <w:t>52</w:t>
            </w:r>
          </w:p>
        </w:tc>
        <w:tc>
          <w:tcPr>
            <w:tcW w:w="1053" w:type="dxa"/>
            <w:tcBorders>
              <w:bottom w:val="single" w:sz="4"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rPr>
            </w:pPr>
            <w:r w:rsidRPr="006756B2">
              <w:rPr>
                <w:sz w:val="17"/>
              </w:rPr>
              <w:t>9</w:t>
            </w:r>
          </w:p>
        </w:tc>
      </w:tr>
      <w:tr w:rsidR="005C4278" w:rsidRPr="006756B2" w:rsidTr="006756B2">
        <w:tc>
          <w:tcPr>
            <w:tcW w:w="2063" w:type="dxa"/>
            <w:tcBorders>
              <w:top w:val="single" w:sz="4" w:space="0" w:color="auto"/>
              <w:bottom w:val="single" w:sz="12" w:space="0" w:color="auto"/>
            </w:tcBorders>
            <w:shd w:val="clear" w:color="auto" w:fill="auto"/>
            <w:vAlign w:val="bottom"/>
          </w:tcPr>
          <w:p w:rsidR="005C4278" w:rsidRPr="006756B2" w:rsidRDefault="006756B2"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0" w:right="43"/>
              <w:rPr>
                <w:b/>
                <w:sz w:val="17"/>
              </w:rPr>
            </w:pPr>
            <w:r w:rsidRPr="006756B2">
              <w:rPr>
                <w:b/>
                <w:sz w:val="17"/>
              </w:rPr>
              <w:tab/>
            </w:r>
            <w:r w:rsidR="005C4278" w:rsidRPr="006756B2">
              <w:rPr>
                <w:b/>
                <w:sz w:val="17"/>
              </w:rPr>
              <w:t>Total</w:t>
            </w:r>
          </w:p>
        </w:tc>
        <w:tc>
          <w:tcPr>
            <w:tcW w:w="1053" w:type="dxa"/>
            <w:tcBorders>
              <w:top w:val="single" w:sz="4" w:space="0" w:color="auto"/>
              <w:bottom w:val="single" w:sz="12"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0" w:right="43"/>
              <w:jc w:val="right"/>
              <w:rPr>
                <w:b/>
                <w:sz w:val="17"/>
              </w:rPr>
            </w:pPr>
            <w:r w:rsidRPr="006756B2">
              <w:rPr>
                <w:b/>
                <w:sz w:val="17"/>
              </w:rPr>
              <w:t>1</w:t>
            </w:r>
            <w:r w:rsidR="006756B2">
              <w:rPr>
                <w:b/>
                <w:sz w:val="17"/>
              </w:rPr>
              <w:t xml:space="preserve"> </w:t>
            </w:r>
            <w:r w:rsidRPr="006756B2">
              <w:rPr>
                <w:b/>
                <w:sz w:val="17"/>
              </w:rPr>
              <w:t>070</w:t>
            </w:r>
          </w:p>
        </w:tc>
        <w:tc>
          <w:tcPr>
            <w:tcW w:w="1053" w:type="dxa"/>
            <w:gridSpan w:val="2"/>
            <w:tcBorders>
              <w:top w:val="single" w:sz="4" w:space="0" w:color="auto"/>
              <w:bottom w:val="single" w:sz="12"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0" w:right="43"/>
              <w:jc w:val="right"/>
              <w:rPr>
                <w:b/>
                <w:sz w:val="17"/>
              </w:rPr>
            </w:pPr>
            <w:r w:rsidRPr="006756B2">
              <w:rPr>
                <w:b/>
                <w:sz w:val="17"/>
              </w:rPr>
              <w:t>785</w:t>
            </w:r>
          </w:p>
        </w:tc>
        <w:tc>
          <w:tcPr>
            <w:tcW w:w="1053" w:type="dxa"/>
            <w:tcBorders>
              <w:top w:val="single" w:sz="4" w:space="0" w:color="auto"/>
              <w:bottom w:val="single" w:sz="12"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0" w:right="43"/>
              <w:jc w:val="right"/>
              <w:rPr>
                <w:b/>
                <w:sz w:val="17"/>
              </w:rPr>
            </w:pPr>
            <w:r w:rsidRPr="006756B2">
              <w:rPr>
                <w:b/>
                <w:sz w:val="17"/>
              </w:rPr>
              <w:t>826</w:t>
            </w:r>
          </w:p>
        </w:tc>
        <w:tc>
          <w:tcPr>
            <w:tcW w:w="1053" w:type="dxa"/>
            <w:tcBorders>
              <w:top w:val="single" w:sz="4" w:space="0" w:color="auto"/>
              <w:bottom w:val="single" w:sz="12"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0" w:right="43"/>
              <w:jc w:val="right"/>
              <w:rPr>
                <w:b/>
                <w:sz w:val="17"/>
              </w:rPr>
            </w:pPr>
            <w:r w:rsidRPr="006756B2">
              <w:rPr>
                <w:b/>
                <w:sz w:val="17"/>
              </w:rPr>
              <w:t>858</w:t>
            </w:r>
          </w:p>
        </w:tc>
        <w:tc>
          <w:tcPr>
            <w:tcW w:w="1053" w:type="dxa"/>
            <w:tcBorders>
              <w:top w:val="single" w:sz="4" w:space="0" w:color="auto"/>
              <w:bottom w:val="single" w:sz="12" w:space="0" w:color="auto"/>
            </w:tcBorders>
            <w:shd w:val="clear" w:color="auto" w:fill="auto"/>
            <w:vAlign w:val="bottom"/>
          </w:tcPr>
          <w:p w:rsidR="005C4278" w:rsidRPr="006756B2" w:rsidRDefault="005C4278" w:rsidP="00675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0" w:right="43"/>
              <w:jc w:val="right"/>
              <w:rPr>
                <w:b/>
                <w:sz w:val="17"/>
              </w:rPr>
            </w:pPr>
            <w:r w:rsidRPr="006756B2">
              <w:rPr>
                <w:b/>
                <w:sz w:val="17"/>
              </w:rPr>
              <w:t>993</w:t>
            </w:r>
          </w:p>
        </w:tc>
      </w:tr>
    </w:tbl>
    <w:p w:rsidR="00770B6C" w:rsidRPr="006756B2" w:rsidRDefault="00770B6C" w:rsidP="006756B2">
      <w:pPr>
        <w:pStyle w:val="SingleTxt"/>
        <w:spacing w:after="0" w:line="120" w:lineRule="exact"/>
        <w:rPr>
          <w:sz w:val="10"/>
        </w:rPr>
      </w:pPr>
    </w:p>
    <w:p w:rsidR="005E1F07" w:rsidRDefault="00835118" w:rsidP="00835118">
      <w:pPr>
        <w:pStyle w:val="FootnoteText"/>
        <w:tabs>
          <w:tab w:val="clear" w:pos="418"/>
          <w:tab w:val="right" w:pos="1476"/>
          <w:tab w:val="left" w:pos="1548"/>
          <w:tab w:val="right" w:pos="1836"/>
          <w:tab w:val="left" w:pos="1908"/>
        </w:tabs>
        <w:ind w:left="1548" w:right="1267" w:hanging="288"/>
      </w:pPr>
      <w:r>
        <w:tab/>
      </w:r>
      <w:r w:rsidR="00770B6C" w:rsidRPr="00773C9B">
        <w:rPr>
          <w:i/>
        </w:rPr>
        <w:t>Source</w:t>
      </w:r>
      <w:r w:rsidR="00770B6C" w:rsidRPr="00773C9B">
        <w:t>:</w:t>
      </w:r>
      <w:r w:rsidR="00770B6C" w:rsidRPr="00835118">
        <w:rPr>
          <w:i/>
        </w:rPr>
        <w:t xml:space="preserve"> National Health Directorate, Local Health Information Systems</w:t>
      </w:r>
      <w:r>
        <w:t>.</w:t>
      </w:r>
    </w:p>
    <w:p w:rsidR="00835118" w:rsidRPr="00835118" w:rsidRDefault="00835118" w:rsidP="00835118">
      <w:pPr>
        <w:pStyle w:val="FootnoteText"/>
        <w:tabs>
          <w:tab w:val="clear" w:pos="418"/>
          <w:tab w:val="right" w:pos="1476"/>
          <w:tab w:val="left" w:pos="1548"/>
          <w:tab w:val="right" w:pos="1836"/>
          <w:tab w:val="left" w:pos="1908"/>
        </w:tabs>
        <w:spacing w:line="120" w:lineRule="exact"/>
        <w:ind w:left="1548" w:right="1267" w:hanging="288"/>
        <w:rPr>
          <w:sz w:val="10"/>
        </w:rPr>
      </w:pPr>
    </w:p>
    <w:p w:rsidR="00835118" w:rsidRPr="00835118" w:rsidRDefault="00835118" w:rsidP="00835118">
      <w:pPr>
        <w:pStyle w:val="FootnoteText"/>
        <w:tabs>
          <w:tab w:val="clear" w:pos="418"/>
          <w:tab w:val="right" w:pos="1476"/>
          <w:tab w:val="left" w:pos="1548"/>
          <w:tab w:val="right" w:pos="1836"/>
          <w:tab w:val="left" w:pos="1908"/>
        </w:tabs>
        <w:spacing w:line="120" w:lineRule="exact"/>
        <w:ind w:left="1548" w:right="1267" w:hanging="288"/>
        <w:rPr>
          <w:sz w:val="10"/>
        </w:rPr>
      </w:pPr>
    </w:p>
    <w:p w:rsidR="005E1F07" w:rsidRDefault="00770B6C" w:rsidP="00770B6C">
      <w:pPr>
        <w:pStyle w:val="SingleTxt"/>
        <w:rPr>
          <w:spacing w:val="2"/>
        </w:rPr>
      </w:pPr>
      <w:r>
        <w:lastRenderedPageBreak/>
        <w:t>102.</w:t>
      </w:r>
      <w:r w:rsidR="00FF1C6C">
        <w:tab/>
      </w:r>
      <w:r w:rsidRPr="00835118">
        <w:rPr>
          <w:spacing w:val="2"/>
        </w:rPr>
        <w:t>In general there has been a yearly increase in the number of community health centres. The number has risen from 785 in 2006 to 993 in 2009, with 135 new centres counted in 2009. The overall rate of completion in relation to the target defined by the Ten Year Health Sector Development Plan (PRODESS II) is about 93 per cent of the 1,070 community health centres planned in the development programme (Programme de Développement Social, Economique et Culturel</w:t>
      </w:r>
      <w:r w:rsidR="00A275F0" w:rsidRPr="00835118">
        <w:rPr>
          <w:spacing w:val="2"/>
        </w:rPr>
        <w:t xml:space="preserve"> — </w:t>
      </w:r>
      <w:r w:rsidRPr="00835118">
        <w:rPr>
          <w:spacing w:val="2"/>
        </w:rPr>
        <w:t>PDSEC).</w:t>
      </w:r>
    </w:p>
    <w:p w:rsidR="00835118" w:rsidRPr="00835118" w:rsidRDefault="00835118" w:rsidP="00835118">
      <w:pPr>
        <w:pStyle w:val="SingleTxt"/>
        <w:spacing w:after="0" w:line="120" w:lineRule="exact"/>
        <w:rPr>
          <w:spacing w:val="2"/>
          <w:sz w:val="10"/>
        </w:rPr>
      </w:pPr>
    </w:p>
    <w:p w:rsidR="00770B6C" w:rsidRDefault="00835118" w:rsidP="00835118">
      <w:pPr>
        <w:pStyle w:val="H23"/>
        <w:ind w:right="1260"/>
      </w:pPr>
      <w:r>
        <w:tab/>
      </w:r>
      <w:r>
        <w:tab/>
      </w:r>
      <w:r w:rsidR="00770B6C">
        <w:t>Referral and evacuation:</w:t>
      </w:r>
    </w:p>
    <w:p w:rsidR="00835118" w:rsidRPr="00835118" w:rsidRDefault="00835118" w:rsidP="00835118">
      <w:pPr>
        <w:pStyle w:val="SingleTxt"/>
        <w:spacing w:after="0" w:line="120" w:lineRule="exact"/>
        <w:rPr>
          <w:sz w:val="10"/>
        </w:rPr>
      </w:pPr>
    </w:p>
    <w:p w:rsidR="00770B6C" w:rsidRDefault="00FF1C6C" w:rsidP="00835118">
      <w:pPr>
        <w:pStyle w:val="SingleTxt"/>
        <w:tabs>
          <w:tab w:val="right" w:pos="1685"/>
        </w:tabs>
        <w:ind w:left="1742" w:hanging="475"/>
      </w:pPr>
      <w:r>
        <w:tab/>
      </w:r>
      <w:r w:rsidR="00770B6C">
        <w:t>•</w:t>
      </w:r>
      <w:r w:rsidR="00770B6C">
        <w:tab/>
        <w:t xml:space="preserve">Arrangements for referral and evacuation have been set up in all </w:t>
      </w:r>
      <w:r w:rsidR="0000254B">
        <w:t>health-care</w:t>
      </w:r>
      <w:r w:rsidR="00770B6C">
        <w:t xml:space="preserve"> districts (health circles or zones) around the Referral Health Centres (Centre de Santé de Référence</w:t>
      </w:r>
      <w:r w:rsidR="008F4CE3">
        <w:t xml:space="preserve"> — </w:t>
      </w:r>
      <w:r w:rsidR="00770B6C">
        <w:t>CSREF), using perinatal services as the entry point.</w:t>
      </w:r>
      <w:r w:rsidR="005E03D8">
        <w:t xml:space="preserve"> </w:t>
      </w:r>
      <w:r w:rsidR="00770B6C">
        <w:t>Each centre has at least one all-terrain ambulance connected to the community health centre by radio.</w:t>
      </w:r>
      <w:r w:rsidR="005E03D8">
        <w:t xml:space="preserve"> </w:t>
      </w:r>
      <w:r w:rsidR="00770B6C">
        <w:t>The aim is to facilitate access to and coverage of obstetric emergency care.</w:t>
      </w:r>
      <w:r w:rsidR="005E03D8">
        <w:t xml:space="preserve"> </w:t>
      </w:r>
      <w:r w:rsidR="00770B6C">
        <w:t>It is in this context that the Government has decided to provide caesarean sections free of charge in all public service facilities and military hospitals.</w:t>
      </w:r>
    </w:p>
    <w:p w:rsidR="00770B6C" w:rsidRDefault="00FF1C6C" w:rsidP="00835118">
      <w:pPr>
        <w:pStyle w:val="SingleTxt"/>
        <w:tabs>
          <w:tab w:val="right" w:pos="1685"/>
        </w:tabs>
        <w:ind w:left="1742" w:hanging="475"/>
      </w:pPr>
      <w:r>
        <w:tab/>
      </w:r>
      <w:r w:rsidR="00770B6C">
        <w:t>•</w:t>
      </w:r>
      <w:r w:rsidR="00770B6C">
        <w:tab/>
        <w:t>There are 51 Comprehensive Emergency Obstetric and Neonatal Care units and 55 Basic Emergency Obstetric and Neonatal Care units (in the community health centres).</w:t>
      </w:r>
    </w:p>
    <w:p w:rsidR="005E1F07" w:rsidRPr="00835118" w:rsidRDefault="00FF1C6C" w:rsidP="00835118">
      <w:pPr>
        <w:pStyle w:val="SingleTxt"/>
        <w:tabs>
          <w:tab w:val="right" w:pos="1685"/>
        </w:tabs>
        <w:ind w:left="1742" w:hanging="475"/>
        <w:rPr>
          <w:spacing w:val="2"/>
        </w:rPr>
      </w:pPr>
      <w:r>
        <w:tab/>
      </w:r>
      <w:r w:rsidR="00770B6C">
        <w:t>•</w:t>
      </w:r>
      <w:r w:rsidR="00770B6C">
        <w:tab/>
        <w:t xml:space="preserve">All hospitals second and third in line for referrals are categorized as </w:t>
      </w:r>
      <w:r w:rsidR="00770B6C" w:rsidRPr="006756B2">
        <w:rPr>
          <w:i/>
          <w:spacing w:val="2"/>
        </w:rPr>
        <w:t>Etablissements Hospitaliers</w:t>
      </w:r>
      <w:r w:rsidR="00770B6C" w:rsidRPr="00835118">
        <w:rPr>
          <w:spacing w:val="2"/>
        </w:rPr>
        <w:t xml:space="preserve"> (EPH) and granted management autonomy. The technical base of most public health and community health structures has been strengthened (construction and/or refurbishment or extension, technical medical equipment, qualified human resources, logistics, especially ambulances, etc.). </w:t>
      </w:r>
    </w:p>
    <w:p w:rsidR="005E1F07" w:rsidRDefault="00770B6C" w:rsidP="00770B6C">
      <w:pPr>
        <w:pStyle w:val="SingleTxt"/>
      </w:pPr>
      <w:r>
        <w:t>103.</w:t>
      </w:r>
      <w:r w:rsidR="00FF1C6C">
        <w:tab/>
      </w:r>
      <w:r w:rsidRPr="009353B4">
        <w:rPr>
          <w:b/>
        </w:rPr>
        <w:t>With regard to human resources</w:t>
      </w:r>
      <w:r>
        <w:t>, the ratio of number of inhabitants per staff member in each personnel category remains below the standards because there are national ratios which include the personnel of central services.</w:t>
      </w:r>
    </w:p>
    <w:p w:rsidR="00770B6C" w:rsidRDefault="00FF1C6C" w:rsidP="00835118">
      <w:pPr>
        <w:pStyle w:val="SingleTxt"/>
        <w:tabs>
          <w:tab w:val="right" w:pos="1685"/>
        </w:tabs>
        <w:ind w:left="1742" w:hanging="475"/>
      </w:pPr>
      <w:r>
        <w:tab/>
      </w:r>
      <w:r w:rsidR="00770B6C">
        <w:t>•</w:t>
      </w:r>
      <w:r w:rsidR="00770B6C">
        <w:tab/>
      </w:r>
      <w:r w:rsidR="00770B6C" w:rsidRPr="00835118">
        <w:rPr>
          <w:spacing w:val="2"/>
          <w:w w:val="100"/>
        </w:rPr>
        <w:t>1 doctor per 7,256 inhabitants (9,257 in Bamako and 14,511 as a regional average)</w:t>
      </w:r>
      <w:r w:rsidR="00770B6C">
        <w:t xml:space="preserve"> </w:t>
      </w:r>
    </w:p>
    <w:p w:rsidR="00770B6C" w:rsidRPr="00835118" w:rsidRDefault="00FF1C6C" w:rsidP="00835118">
      <w:pPr>
        <w:pStyle w:val="SingleTxt"/>
        <w:tabs>
          <w:tab w:val="right" w:pos="1685"/>
        </w:tabs>
        <w:ind w:left="1742" w:hanging="475"/>
        <w:rPr>
          <w:spacing w:val="2"/>
          <w:w w:val="100"/>
        </w:rPr>
      </w:pPr>
      <w:r>
        <w:tab/>
      </w:r>
      <w:r w:rsidR="00770B6C">
        <w:t>•</w:t>
      </w:r>
      <w:r w:rsidR="00770B6C">
        <w:tab/>
      </w:r>
      <w:r w:rsidR="00770B6C" w:rsidRPr="00835118">
        <w:rPr>
          <w:spacing w:val="2"/>
          <w:w w:val="100"/>
        </w:rPr>
        <w:t>1 midwife per 10,763 inhabitants (5,478 in Bamako and 21,520 as a regional average)</w:t>
      </w:r>
    </w:p>
    <w:p w:rsidR="005E1F07" w:rsidRDefault="00FF1C6C" w:rsidP="00835118">
      <w:pPr>
        <w:pStyle w:val="SingleTxt"/>
        <w:tabs>
          <w:tab w:val="right" w:pos="1685"/>
        </w:tabs>
        <w:ind w:left="1742" w:hanging="475"/>
      </w:pPr>
      <w:r>
        <w:tab/>
      </w:r>
      <w:r w:rsidR="00770B6C">
        <w:t>•</w:t>
      </w:r>
      <w:r w:rsidR="00770B6C">
        <w:tab/>
      </w:r>
      <w:r w:rsidR="00770B6C" w:rsidRPr="00835118">
        <w:rPr>
          <w:spacing w:val="2"/>
          <w:w w:val="100"/>
        </w:rPr>
        <w:t>1 nurse</w:t>
      </w:r>
      <w:r w:rsidR="005151E1" w:rsidRPr="00835118">
        <w:rPr>
          <w:spacing w:val="2"/>
          <w:w w:val="100"/>
        </w:rPr>
        <w:t>/</w:t>
      </w:r>
      <w:r w:rsidR="00770B6C" w:rsidRPr="00835118">
        <w:rPr>
          <w:spacing w:val="2"/>
          <w:w w:val="100"/>
        </w:rPr>
        <w:t>medical assistant per 1,930 inhabitants (2,801 in Bamako and 3,860 as a regional average).</w:t>
      </w:r>
      <w:r w:rsidR="00770B6C">
        <w:t xml:space="preserve"> </w:t>
      </w:r>
    </w:p>
    <w:p w:rsidR="005E1F07" w:rsidRDefault="00770B6C" w:rsidP="00770B6C">
      <w:pPr>
        <w:pStyle w:val="SingleTxt"/>
      </w:pPr>
      <w:r>
        <w:t>104.</w:t>
      </w:r>
      <w:r w:rsidR="00FF1C6C">
        <w:tab/>
      </w:r>
      <w:r>
        <w:t xml:space="preserve">There are substantial disparities between regions due to inefficient distribution and/or to low population density. </w:t>
      </w:r>
    </w:p>
    <w:p w:rsidR="005E1F07" w:rsidRDefault="00770B6C" w:rsidP="00770B6C">
      <w:pPr>
        <w:pStyle w:val="SingleTxt"/>
      </w:pPr>
      <w:r>
        <w:t>105.</w:t>
      </w:r>
      <w:r w:rsidR="00FF1C6C">
        <w:tab/>
      </w:r>
      <w:r>
        <w:t>Despite efforts in terms of expansion of coverage, there are differences in the use of services between urban and rural areas. Health services are not very accessible to women. Several factors contribute to these differences:</w:t>
      </w:r>
    </w:p>
    <w:p w:rsidR="00770B6C" w:rsidRDefault="00FF1C6C" w:rsidP="00835118">
      <w:pPr>
        <w:pStyle w:val="SingleTxt"/>
        <w:tabs>
          <w:tab w:val="right" w:pos="1685"/>
        </w:tabs>
        <w:ind w:left="1742" w:hanging="475"/>
      </w:pPr>
      <w:r>
        <w:tab/>
      </w:r>
      <w:r w:rsidR="00770B6C">
        <w:t>•</w:t>
      </w:r>
      <w:r w:rsidR="00770B6C">
        <w:tab/>
        <w:t>Geographic access to the facilities;</w:t>
      </w:r>
    </w:p>
    <w:p w:rsidR="00770B6C" w:rsidRDefault="00FF1C6C" w:rsidP="00835118">
      <w:pPr>
        <w:pStyle w:val="SingleTxt"/>
        <w:tabs>
          <w:tab w:val="right" w:pos="1685"/>
        </w:tabs>
        <w:ind w:left="1742" w:hanging="475"/>
      </w:pPr>
      <w:r>
        <w:tab/>
      </w:r>
      <w:r w:rsidR="00770B6C">
        <w:t>•</w:t>
      </w:r>
      <w:r w:rsidR="00770B6C">
        <w:tab/>
        <w:t>Affordability, in some cases;</w:t>
      </w:r>
    </w:p>
    <w:p w:rsidR="00770B6C" w:rsidRDefault="00FF1C6C" w:rsidP="00835118">
      <w:pPr>
        <w:pStyle w:val="SingleTxt"/>
        <w:tabs>
          <w:tab w:val="right" w:pos="1685"/>
        </w:tabs>
        <w:ind w:left="1742" w:hanging="475"/>
      </w:pPr>
      <w:r>
        <w:tab/>
      </w:r>
      <w:r w:rsidR="00770B6C">
        <w:t>•</w:t>
      </w:r>
      <w:r w:rsidR="00770B6C">
        <w:tab/>
        <w:t>Cultural pressures;</w:t>
      </w:r>
    </w:p>
    <w:p w:rsidR="00770B6C" w:rsidRDefault="00FF1C6C" w:rsidP="00835118">
      <w:pPr>
        <w:pStyle w:val="SingleTxt"/>
        <w:tabs>
          <w:tab w:val="right" w:pos="1685"/>
        </w:tabs>
        <w:ind w:left="1742" w:hanging="475"/>
      </w:pPr>
      <w:r>
        <w:tab/>
      </w:r>
      <w:r w:rsidR="00770B6C">
        <w:t>•</w:t>
      </w:r>
      <w:r w:rsidR="00770B6C">
        <w:tab/>
        <w:t>Ignorance, inadequate or inaccessible information;</w:t>
      </w:r>
    </w:p>
    <w:p w:rsidR="005E1F07" w:rsidRDefault="00FF1C6C" w:rsidP="00835118">
      <w:pPr>
        <w:pStyle w:val="SingleTxt"/>
        <w:tabs>
          <w:tab w:val="right" w:pos="1685"/>
        </w:tabs>
        <w:ind w:left="1742" w:hanging="475"/>
      </w:pPr>
      <w:r>
        <w:tab/>
      </w:r>
      <w:r w:rsidR="00770B6C">
        <w:t>•</w:t>
      </w:r>
      <w:r w:rsidR="00770B6C">
        <w:tab/>
        <w:t>Etc.</w:t>
      </w:r>
    </w:p>
    <w:p w:rsidR="005E1F07" w:rsidRDefault="00770B6C" w:rsidP="00770B6C">
      <w:pPr>
        <w:pStyle w:val="SingleTxt"/>
      </w:pPr>
      <w:r>
        <w:lastRenderedPageBreak/>
        <w:t>106.</w:t>
      </w:r>
      <w:r w:rsidR="00FF1C6C">
        <w:tab/>
      </w:r>
      <w:r>
        <w:t>Analysis of the tables below provides further information on the health status of rural Malian women.</w:t>
      </w:r>
    </w:p>
    <w:p w:rsidR="005E1F07" w:rsidRDefault="00770B6C" w:rsidP="00770B6C">
      <w:pPr>
        <w:pStyle w:val="SingleTxt"/>
      </w:pPr>
      <w:r>
        <w:t>107.</w:t>
      </w:r>
      <w:r w:rsidR="00FF1C6C">
        <w:tab/>
      </w:r>
      <w:r>
        <w:t xml:space="preserve">Further, women do not find </w:t>
      </w:r>
      <w:r w:rsidR="0000254B">
        <w:t>health-care</w:t>
      </w:r>
      <w:r>
        <w:t xml:space="preserve"> services readily accessible.</w:t>
      </w:r>
    </w:p>
    <w:p w:rsidR="005E1F07" w:rsidRDefault="00770B6C" w:rsidP="00770B6C">
      <w:pPr>
        <w:pStyle w:val="SingleTxt"/>
      </w:pPr>
      <w:r>
        <w:t>108.</w:t>
      </w:r>
      <w:r w:rsidR="00FF1C6C">
        <w:tab/>
      </w:r>
      <w:r>
        <w:t>The tables below shed further light on the health status of rural Malian women.</w:t>
      </w:r>
    </w:p>
    <w:p w:rsidR="00835118" w:rsidRPr="00835118" w:rsidRDefault="00835118" w:rsidP="00835118">
      <w:pPr>
        <w:pStyle w:val="SingleTxt"/>
        <w:spacing w:after="0" w:line="120" w:lineRule="exact"/>
        <w:rPr>
          <w:sz w:val="10"/>
        </w:rPr>
      </w:pPr>
    </w:p>
    <w:p w:rsidR="00770B6C" w:rsidRDefault="00770B6C" w:rsidP="00835118">
      <w:pPr>
        <w:pStyle w:val="H23"/>
        <w:ind w:right="1260"/>
      </w:pPr>
      <w:r>
        <w:tab/>
        <w:t>3.2</w:t>
      </w:r>
      <w:r w:rsidR="00835118">
        <w:tab/>
      </w:r>
      <w:r>
        <w:t>Total fertility rate:</w:t>
      </w:r>
    </w:p>
    <w:p w:rsidR="00835118" w:rsidRPr="00835118" w:rsidRDefault="00835118" w:rsidP="00835118">
      <w:pPr>
        <w:pStyle w:val="SingleTxt"/>
        <w:spacing w:after="0" w:line="120" w:lineRule="exact"/>
        <w:rPr>
          <w:sz w:val="10"/>
        </w:rPr>
      </w:pPr>
    </w:p>
    <w:p w:rsidR="00770B6C" w:rsidRDefault="006756B2" w:rsidP="00770B6C">
      <w:pPr>
        <w:pStyle w:val="SingleTxt"/>
      </w:pPr>
      <w:r>
        <w:tab/>
      </w:r>
      <w:r w:rsidR="00770B6C">
        <w:t>According to the latest demographic and health survey (EDSM-IV 2006), the fertility rate of Mali is 6.6 children per woman.</w:t>
      </w:r>
      <w:r w:rsidR="005E03D8">
        <w:t xml:space="preserve"> </w:t>
      </w:r>
      <w:r w:rsidR="00770B6C">
        <w:t>It was 6.7 in 2001. The median interval between successive births is 32 months.</w:t>
      </w:r>
      <w:r w:rsidR="005E03D8">
        <w:t xml:space="preserve"> </w:t>
      </w:r>
      <w:r w:rsidR="00770B6C">
        <w:t>The EDSM-IV survey showed that 36 per cent of women aged 15 to 19 year are already mothers or expectant.</w:t>
      </w:r>
    </w:p>
    <w:p w:rsidR="006756B2" w:rsidRPr="006756B2" w:rsidRDefault="006756B2" w:rsidP="006756B2">
      <w:pPr>
        <w:pStyle w:val="SingleTxt"/>
        <w:spacing w:after="0" w:line="120" w:lineRule="exact"/>
        <w:rPr>
          <w:sz w:val="10"/>
        </w:rPr>
      </w:pPr>
    </w:p>
    <w:p w:rsidR="005E1F07" w:rsidRDefault="00770B6C" w:rsidP="006756B2">
      <w:pPr>
        <w:pStyle w:val="H23"/>
        <w:ind w:right="1260"/>
      </w:pPr>
      <w:r>
        <w:tab/>
      </w:r>
      <w:r>
        <w:tab/>
        <w:t>Prenatal consultation</w:t>
      </w:r>
    </w:p>
    <w:p w:rsidR="006756B2" w:rsidRPr="006756B2" w:rsidRDefault="006756B2" w:rsidP="006756B2">
      <w:pPr>
        <w:pStyle w:val="SingleTxt"/>
        <w:spacing w:after="0" w:line="120" w:lineRule="exact"/>
        <w:rPr>
          <w:sz w:val="10"/>
        </w:rPr>
      </w:pPr>
    </w:p>
    <w:p w:rsidR="00770B6C" w:rsidRPr="006756B2" w:rsidRDefault="006756B2" w:rsidP="006756B2">
      <w:pPr>
        <w:pStyle w:val="H23"/>
        <w:ind w:right="1260"/>
        <w:rPr>
          <w:b w:val="0"/>
        </w:rPr>
      </w:pPr>
      <w:r w:rsidRPr="006756B2">
        <w:rPr>
          <w:b w:val="0"/>
        </w:rPr>
        <w:tab/>
      </w:r>
      <w:r w:rsidRPr="006756B2">
        <w:rPr>
          <w:b w:val="0"/>
        </w:rPr>
        <w:tab/>
      </w:r>
      <w:r w:rsidR="00770B6C" w:rsidRPr="006756B2">
        <w:rPr>
          <w:b w:val="0"/>
        </w:rPr>
        <w:t xml:space="preserve">Table 8 </w:t>
      </w:r>
    </w:p>
    <w:p w:rsidR="00770B6C" w:rsidRDefault="006756B2" w:rsidP="006756B2">
      <w:pPr>
        <w:pStyle w:val="H23"/>
        <w:ind w:right="1260"/>
      </w:pPr>
      <w:r>
        <w:tab/>
      </w:r>
      <w:r>
        <w:tab/>
      </w:r>
      <w:r w:rsidR="00770B6C">
        <w:t>Proportion of births receiving the benefit of a prenatal consultation during the pregnancy, according to EDSM, EDSM-II and IV</w:t>
      </w:r>
    </w:p>
    <w:p w:rsidR="006756B2" w:rsidRPr="006756B2" w:rsidRDefault="006756B2" w:rsidP="006756B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3"/>
        <w:gridCol w:w="1662"/>
        <w:gridCol w:w="1662"/>
        <w:gridCol w:w="1662"/>
      </w:tblGrid>
      <w:tr w:rsidR="00B115A5" w:rsidRPr="00B115A5" w:rsidTr="00B115A5">
        <w:trPr>
          <w:tblHeader/>
        </w:trPr>
        <w:tc>
          <w:tcPr>
            <w:tcW w:w="2333" w:type="dxa"/>
            <w:tcBorders>
              <w:top w:val="single" w:sz="4" w:space="0" w:color="auto"/>
              <w:bottom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115A5">
              <w:rPr>
                <w:i/>
                <w:sz w:val="14"/>
              </w:rPr>
              <w:t>Area of residence</w:t>
            </w:r>
          </w:p>
        </w:tc>
        <w:tc>
          <w:tcPr>
            <w:tcW w:w="1662" w:type="dxa"/>
            <w:tcBorders>
              <w:top w:val="single" w:sz="4" w:space="0" w:color="auto"/>
              <w:bottom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B115A5">
              <w:rPr>
                <w:i/>
                <w:sz w:val="14"/>
              </w:rPr>
              <w:t>EDSM-II (1995/96</w:t>
            </w:r>
            <w:r w:rsidR="00A61064">
              <w:rPr>
                <w:i/>
                <w:sz w:val="14"/>
              </w:rPr>
              <w:t>)</w:t>
            </w:r>
          </w:p>
        </w:tc>
        <w:tc>
          <w:tcPr>
            <w:tcW w:w="1662" w:type="dxa"/>
            <w:tcBorders>
              <w:top w:val="single" w:sz="4" w:space="0" w:color="auto"/>
              <w:bottom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B115A5">
              <w:rPr>
                <w:i/>
                <w:sz w:val="14"/>
              </w:rPr>
              <w:t>EDSM III (2000/01)</w:t>
            </w:r>
          </w:p>
        </w:tc>
        <w:tc>
          <w:tcPr>
            <w:tcW w:w="1662" w:type="dxa"/>
            <w:tcBorders>
              <w:top w:val="single" w:sz="4" w:space="0" w:color="auto"/>
              <w:bottom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B115A5">
              <w:rPr>
                <w:i/>
                <w:sz w:val="14"/>
              </w:rPr>
              <w:t>EDSM IV (2006)</w:t>
            </w:r>
          </w:p>
        </w:tc>
      </w:tr>
      <w:tr w:rsidR="00B115A5" w:rsidRPr="00B115A5" w:rsidTr="00B115A5">
        <w:trPr>
          <w:trHeight w:hRule="exact" w:val="115"/>
          <w:tblHeader/>
        </w:trPr>
        <w:tc>
          <w:tcPr>
            <w:tcW w:w="2333" w:type="dxa"/>
            <w:tcBorders>
              <w:top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662" w:type="dxa"/>
            <w:tcBorders>
              <w:top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662" w:type="dxa"/>
            <w:tcBorders>
              <w:top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662" w:type="dxa"/>
            <w:tcBorders>
              <w:top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115A5" w:rsidRPr="00B115A5" w:rsidTr="00B115A5">
        <w:tc>
          <w:tcPr>
            <w:tcW w:w="2333" w:type="dxa"/>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115A5">
              <w:rPr>
                <w:sz w:val="17"/>
              </w:rPr>
              <w:t>Urban</w:t>
            </w:r>
          </w:p>
        </w:tc>
        <w:tc>
          <w:tcPr>
            <w:tcW w:w="1662" w:type="dxa"/>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115A5">
              <w:rPr>
                <w:sz w:val="17"/>
              </w:rPr>
              <w:t>80.6%</w:t>
            </w:r>
          </w:p>
        </w:tc>
        <w:tc>
          <w:tcPr>
            <w:tcW w:w="1662" w:type="dxa"/>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115A5">
              <w:rPr>
                <w:sz w:val="17"/>
              </w:rPr>
              <w:t>86.9%</w:t>
            </w:r>
          </w:p>
        </w:tc>
        <w:tc>
          <w:tcPr>
            <w:tcW w:w="1662" w:type="dxa"/>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115A5">
              <w:rPr>
                <w:sz w:val="17"/>
              </w:rPr>
              <w:t>86.9%</w:t>
            </w:r>
          </w:p>
        </w:tc>
      </w:tr>
      <w:tr w:rsidR="00B115A5" w:rsidRPr="00B115A5" w:rsidTr="00B115A5">
        <w:tc>
          <w:tcPr>
            <w:tcW w:w="2333" w:type="dxa"/>
            <w:tcBorders>
              <w:bottom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115A5">
              <w:rPr>
                <w:sz w:val="17"/>
              </w:rPr>
              <w:t>Rural</w:t>
            </w:r>
          </w:p>
        </w:tc>
        <w:tc>
          <w:tcPr>
            <w:tcW w:w="1662" w:type="dxa"/>
            <w:tcBorders>
              <w:bottom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115A5">
              <w:rPr>
                <w:sz w:val="17"/>
              </w:rPr>
              <w:t>35.3%</w:t>
            </w:r>
          </w:p>
        </w:tc>
        <w:tc>
          <w:tcPr>
            <w:tcW w:w="1662" w:type="dxa"/>
            <w:tcBorders>
              <w:bottom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115A5">
              <w:rPr>
                <w:sz w:val="17"/>
              </w:rPr>
              <w:t>47.2%</w:t>
            </w:r>
          </w:p>
        </w:tc>
        <w:tc>
          <w:tcPr>
            <w:tcW w:w="1662" w:type="dxa"/>
            <w:tcBorders>
              <w:bottom w:val="single" w:sz="12" w:space="0" w:color="auto"/>
            </w:tcBorders>
            <w:shd w:val="clear" w:color="auto" w:fill="auto"/>
            <w:vAlign w:val="bottom"/>
          </w:tcPr>
          <w:p w:rsidR="00B115A5" w:rsidRPr="00B115A5" w:rsidRDefault="00B115A5" w:rsidP="00B11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115A5">
              <w:rPr>
                <w:sz w:val="17"/>
              </w:rPr>
              <w:t>63.8%</w:t>
            </w:r>
          </w:p>
        </w:tc>
      </w:tr>
    </w:tbl>
    <w:p w:rsidR="00B115A5" w:rsidRPr="00B115A5" w:rsidRDefault="00B115A5" w:rsidP="00B115A5">
      <w:pPr>
        <w:pStyle w:val="SingleTxt"/>
        <w:spacing w:after="0" w:line="120" w:lineRule="exact"/>
        <w:rPr>
          <w:sz w:val="10"/>
        </w:rPr>
      </w:pPr>
    </w:p>
    <w:p w:rsidR="00B115A5" w:rsidRPr="00B115A5" w:rsidRDefault="00B115A5" w:rsidP="00B115A5">
      <w:pPr>
        <w:pStyle w:val="SingleTxt"/>
        <w:spacing w:after="0" w:line="120" w:lineRule="exact"/>
        <w:rPr>
          <w:sz w:val="10"/>
        </w:rPr>
      </w:pPr>
    </w:p>
    <w:p w:rsidR="00770B6C" w:rsidRDefault="00770B6C" w:rsidP="00770B6C">
      <w:pPr>
        <w:pStyle w:val="SingleTxt"/>
      </w:pPr>
      <w:r>
        <w:t>109.</w:t>
      </w:r>
      <w:r w:rsidR="00FF1C6C">
        <w:tab/>
      </w:r>
      <w:r>
        <w:t>With regard to prenatal consultations, there has been an improvement in coverage.</w:t>
      </w:r>
    </w:p>
    <w:p w:rsidR="006756B2" w:rsidRPr="006756B2" w:rsidRDefault="006756B2" w:rsidP="006756B2">
      <w:pPr>
        <w:pStyle w:val="SingleTxt"/>
        <w:spacing w:after="0" w:line="120" w:lineRule="exact"/>
        <w:rPr>
          <w:sz w:val="10"/>
        </w:rPr>
      </w:pPr>
    </w:p>
    <w:p w:rsidR="00770B6C" w:rsidRPr="006756B2" w:rsidRDefault="006756B2" w:rsidP="006756B2">
      <w:pPr>
        <w:pStyle w:val="H23"/>
        <w:ind w:right="1260"/>
        <w:rPr>
          <w:b w:val="0"/>
        </w:rPr>
      </w:pPr>
      <w:r w:rsidRPr="006756B2">
        <w:rPr>
          <w:b w:val="0"/>
        </w:rPr>
        <w:tab/>
      </w:r>
      <w:r w:rsidRPr="006756B2">
        <w:rPr>
          <w:b w:val="0"/>
        </w:rPr>
        <w:tab/>
      </w:r>
      <w:r w:rsidR="00770B6C" w:rsidRPr="006756B2">
        <w:rPr>
          <w:b w:val="0"/>
        </w:rPr>
        <w:t>Table 9</w:t>
      </w:r>
    </w:p>
    <w:p w:rsidR="00770B6C" w:rsidRDefault="006756B2" w:rsidP="006756B2">
      <w:pPr>
        <w:pStyle w:val="H23"/>
        <w:ind w:right="1260"/>
      </w:pPr>
      <w:r>
        <w:tab/>
      </w:r>
      <w:r>
        <w:tab/>
      </w:r>
      <w:r w:rsidR="00770B6C">
        <w:t>Evolution of coverage of prenatal care from 2004 to 2009</w:t>
      </w:r>
    </w:p>
    <w:p w:rsidR="00F732E9" w:rsidRPr="00F732E9" w:rsidRDefault="00F732E9" w:rsidP="00F732E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3"/>
        <w:gridCol w:w="831"/>
        <w:gridCol w:w="831"/>
        <w:gridCol w:w="831"/>
        <w:gridCol w:w="831"/>
        <w:gridCol w:w="831"/>
        <w:gridCol w:w="831"/>
      </w:tblGrid>
      <w:tr w:rsidR="00F732E9" w:rsidRPr="00F732E9" w:rsidTr="00F732E9">
        <w:trPr>
          <w:tblHeader/>
        </w:trPr>
        <w:tc>
          <w:tcPr>
            <w:tcW w:w="2333" w:type="dxa"/>
            <w:tcBorders>
              <w:top w:val="single" w:sz="4" w:space="0" w:color="auto"/>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732E9">
              <w:rPr>
                <w:i/>
                <w:sz w:val="14"/>
              </w:rPr>
              <w:t>Regions</w:t>
            </w:r>
          </w:p>
        </w:tc>
        <w:tc>
          <w:tcPr>
            <w:tcW w:w="831" w:type="dxa"/>
            <w:tcBorders>
              <w:top w:val="single" w:sz="4" w:space="0" w:color="auto"/>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732E9">
              <w:rPr>
                <w:i/>
                <w:sz w:val="14"/>
              </w:rPr>
              <w:t>2004</w:t>
            </w:r>
          </w:p>
        </w:tc>
        <w:tc>
          <w:tcPr>
            <w:tcW w:w="831" w:type="dxa"/>
            <w:tcBorders>
              <w:top w:val="single" w:sz="4" w:space="0" w:color="auto"/>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732E9">
              <w:rPr>
                <w:i/>
                <w:sz w:val="14"/>
              </w:rPr>
              <w:t>2005</w:t>
            </w:r>
          </w:p>
        </w:tc>
        <w:tc>
          <w:tcPr>
            <w:tcW w:w="831" w:type="dxa"/>
            <w:tcBorders>
              <w:top w:val="single" w:sz="4" w:space="0" w:color="auto"/>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732E9">
              <w:rPr>
                <w:i/>
                <w:sz w:val="14"/>
              </w:rPr>
              <w:t>2006</w:t>
            </w:r>
          </w:p>
        </w:tc>
        <w:tc>
          <w:tcPr>
            <w:tcW w:w="831" w:type="dxa"/>
            <w:tcBorders>
              <w:top w:val="single" w:sz="4" w:space="0" w:color="auto"/>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732E9">
              <w:rPr>
                <w:i/>
                <w:sz w:val="14"/>
              </w:rPr>
              <w:t>2007</w:t>
            </w:r>
          </w:p>
        </w:tc>
        <w:tc>
          <w:tcPr>
            <w:tcW w:w="831" w:type="dxa"/>
            <w:tcBorders>
              <w:top w:val="single" w:sz="4" w:space="0" w:color="auto"/>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732E9">
              <w:rPr>
                <w:i/>
                <w:sz w:val="14"/>
              </w:rPr>
              <w:t>2008</w:t>
            </w:r>
          </w:p>
        </w:tc>
        <w:tc>
          <w:tcPr>
            <w:tcW w:w="831" w:type="dxa"/>
            <w:tcBorders>
              <w:top w:val="single" w:sz="4" w:space="0" w:color="auto"/>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732E9">
              <w:rPr>
                <w:i/>
                <w:sz w:val="14"/>
              </w:rPr>
              <w:t>2009</w:t>
            </w:r>
          </w:p>
        </w:tc>
      </w:tr>
      <w:tr w:rsidR="00F732E9" w:rsidRPr="00F732E9" w:rsidTr="00F732E9">
        <w:trPr>
          <w:trHeight w:hRule="exact" w:val="115"/>
          <w:tblHeader/>
        </w:trPr>
        <w:tc>
          <w:tcPr>
            <w:tcW w:w="2333" w:type="dxa"/>
            <w:tcBorders>
              <w:top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31" w:type="dxa"/>
            <w:tcBorders>
              <w:top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1" w:type="dxa"/>
            <w:tcBorders>
              <w:top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1" w:type="dxa"/>
            <w:tcBorders>
              <w:top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1" w:type="dxa"/>
            <w:tcBorders>
              <w:top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1" w:type="dxa"/>
            <w:tcBorders>
              <w:top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1" w:type="dxa"/>
            <w:tcBorders>
              <w:top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F732E9" w:rsidRPr="00F732E9" w:rsidTr="00F732E9">
        <w:tc>
          <w:tcPr>
            <w:tcW w:w="2333"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Kayes</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71%</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76%</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82%</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78</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83%</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86%</w:t>
            </w:r>
          </w:p>
        </w:tc>
      </w:tr>
      <w:tr w:rsidR="00F732E9" w:rsidRPr="00F732E9" w:rsidTr="00F732E9">
        <w:tc>
          <w:tcPr>
            <w:tcW w:w="2333"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Koulikoro</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65%</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70%</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73%</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77</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82%</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87%</w:t>
            </w:r>
          </w:p>
        </w:tc>
      </w:tr>
      <w:tr w:rsidR="00F732E9" w:rsidRPr="00F732E9" w:rsidTr="00F732E9">
        <w:tc>
          <w:tcPr>
            <w:tcW w:w="2333"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Sikasso</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78%</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74%</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78%</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81</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84%</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89%</w:t>
            </w:r>
          </w:p>
        </w:tc>
      </w:tr>
      <w:tr w:rsidR="00F732E9" w:rsidRPr="00F732E9" w:rsidTr="00F732E9">
        <w:tc>
          <w:tcPr>
            <w:tcW w:w="2333"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Ségou</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96%</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81%</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80%</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83</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90%</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94%</w:t>
            </w:r>
          </w:p>
        </w:tc>
      </w:tr>
      <w:tr w:rsidR="00F732E9" w:rsidRPr="00F732E9" w:rsidTr="00F732E9">
        <w:tc>
          <w:tcPr>
            <w:tcW w:w="2333"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Mopti</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77%</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75%</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64%</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77</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82%</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88%</w:t>
            </w:r>
          </w:p>
        </w:tc>
      </w:tr>
      <w:tr w:rsidR="00F732E9" w:rsidRPr="00F732E9" w:rsidTr="00F732E9">
        <w:tc>
          <w:tcPr>
            <w:tcW w:w="2333"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Tombouctou</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35%</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46%</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52%</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64</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75%</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80%</w:t>
            </w:r>
          </w:p>
        </w:tc>
      </w:tr>
      <w:tr w:rsidR="00F732E9" w:rsidRPr="00F732E9" w:rsidTr="00F732E9">
        <w:tc>
          <w:tcPr>
            <w:tcW w:w="2333"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Gao</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30</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50%</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57%</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60</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58%</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76%</w:t>
            </w:r>
          </w:p>
        </w:tc>
      </w:tr>
      <w:tr w:rsidR="00F732E9" w:rsidRPr="00F732E9" w:rsidTr="00F732E9">
        <w:tc>
          <w:tcPr>
            <w:tcW w:w="2333"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Kidal</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30</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43%</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35%</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26</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48%</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49%</w:t>
            </w:r>
          </w:p>
        </w:tc>
      </w:tr>
      <w:tr w:rsidR="00F732E9" w:rsidRPr="00F732E9" w:rsidTr="00F732E9">
        <w:tc>
          <w:tcPr>
            <w:tcW w:w="2333"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Bamako</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88</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91%</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90%</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85</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94%</w:t>
            </w:r>
          </w:p>
        </w:tc>
        <w:tc>
          <w:tcPr>
            <w:tcW w:w="831" w:type="dxa"/>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102%</w:t>
            </w:r>
          </w:p>
        </w:tc>
      </w:tr>
      <w:tr w:rsidR="00F732E9" w:rsidRPr="00F732E9" w:rsidTr="00F732E9">
        <w:tc>
          <w:tcPr>
            <w:tcW w:w="2333" w:type="dxa"/>
            <w:tcBorders>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732E9">
              <w:rPr>
                <w:sz w:val="17"/>
              </w:rPr>
              <w:t>Total</w:t>
            </w:r>
          </w:p>
        </w:tc>
        <w:tc>
          <w:tcPr>
            <w:tcW w:w="831" w:type="dxa"/>
            <w:tcBorders>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75%</w:t>
            </w:r>
          </w:p>
        </w:tc>
        <w:tc>
          <w:tcPr>
            <w:tcW w:w="831" w:type="dxa"/>
            <w:tcBorders>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75%</w:t>
            </w:r>
          </w:p>
        </w:tc>
        <w:tc>
          <w:tcPr>
            <w:tcW w:w="831" w:type="dxa"/>
            <w:tcBorders>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75%</w:t>
            </w:r>
          </w:p>
        </w:tc>
        <w:tc>
          <w:tcPr>
            <w:tcW w:w="831" w:type="dxa"/>
            <w:tcBorders>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78%</w:t>
            </w:r>
          </w:p>
        </w:tc>
        <w:tc>
          <w:tcPr>
            <w:tcW w:w="831" w:type="dxa"/>
            <w:tcBorders>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84%</w:t>
            </w:r>
          </w:p>
        </w:tc>
        <w:tc>
          <w:tcPr>
            <w:tcW w:w="831" w:type="dxa"/>
            <w:tcBorders>
              <w:bottom w:val="single" w:sz="12" w:space="0" w:color="auto"/>
            </w:tcBorders>
            <w:shd w:val="clear" w:color="auto" w:fill="auto"/>
            <w:vAlign w:val="bottom"/>
          </w:tcPr>
          <w:p w:rsidR="00F732E9" w:rsidRPr="00F732E9" w:rsidRDefault="00F732E9" w:rsidP="00F73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732E9">
              <w:rPr>
                <w:sz w:val="17"/>
              </w:rPr>
              <w:t>90%</w:t>
            </w:r>
          </w:p>
        </w:tc>
      </w:tr>
    </w:tbl>
    <w:p w:rsidR="00F732E9" w:rsidRPr="00F732E9" w:rsidRDefault="00F732E9" w:rsidP="00F732E9">
      <w:pPr>
        <w:pStyle w:val="SingleTxt"/>
        <w:spacing w:after="0" w:line="120" w:lineRule="exact"/>
        <w:rPr>
          <w:sz w:val="10"/>
        </w:rPr>
      </w:pPr>
    </w:p>
    <w:p w:rsidR="005E1F07" w:rsidRPr="00F732E9" w:rsidRDefault="00F732E9" w:rsidP="00F732E9">
      <w:pPr>
        <w:pStyle w:val="FootnoteText"/>
        <w:tabs>
          <w:tab w:val="clear" w:pos="418"/>
          <w:tab w:val="right" w:pos="1476"/>
          <w:tab w:val="left" w:pos="1548"/>
          <w:tab w:val="right" w:pos="1836"/>
          <w:tab w:val="left" w:pos="1908"/>
        </w:tabs>
        <w:ind w:left="1548" w:right="1267" w:hanging="288"/>
        <w:rPr>
          <w:spacing w:val="4"/>
        </w:rPr>
      </w:pPr>
      <w:r>
        <w:tab/>
      </w:r>
      <w:r w:rsidR="00770B6C" w:rsidRPr="00A61064">
        <w:rPr>
          <w:i/>
          <w:spacing w:val="4"/>
        </w:rPr>
        <w:t>Source</w:t>
      </w:r>
      <w:r w:rsidR="00770B6C" w:rsidRPr="00A61064">
        <w:rPr>
          <w:spacing w:val="4"/>
        </w:rPr>
        <w:t>:</w:t>
      </w:r>
      <w:r w:rsidR="00770B6C" w:rsidRPr="00F732E9">
        <w:rPr>
          <w:i/>
          <w:spacing w:val="4"/>
        </w:rPr>
        <w:t xml:space="preserve"> National Health Directorate: statistical yearbooks of the local health information system</w:t>
      </w:r>
      <w:r w:rsidRPr="00F732E9">
        <w:rPr>
          <w:spacing w:val="4"/>
        </w:rPr>
        <w:t>.</w:t>
      </w:r>
    </w:p>
    <w:p w:rsidR="00F732E9" w:rsidRPr="00F732E9" w:rsidRDefault="00F732E9" w:rsidP="00F732E9">
      <w:pPr>
        <w:pStyle w:val="FootnoteText"/>
        <w:tabs>
          <w:tab w:val="clear" w:pos="418"/>
          <w:tab w:val="right" w:pos="1476"/>
          <w:tab w:val="left" w:pos="1548"/>
          <w:tab w:val="right" w:pos="1836"/>
          <w:tab w:val="left" w:pos="1908"/>
        </w:tabs>
        <w:spacing w:line="120" w:lineRule="exact"/>
        <w:ind w:left="1548" w:right="1267" w:hanging="288"/>
        <w:rPr>
          <w:sz w:val="10"/>
        </w:rPr>
      </w:pPr>
    </w:p>
    <w:p w:rsidR="00F732E9" w:rsidRPr="00F732E9" w:rsidRDefault="00F732E9" w:rsidP="00F732E9">
      <w:pPr>
        <w:pStyle w:val="FootnoteText"/>
        <w:tabs>
          <w:tab w:val="clear" w:pos="418"/>
          <w:tab w:val="right" w:pos="1476"/>
          <w:tab w:val="left" w:pos="1548"/>
          <w:tab w:val="right" w:pos="1836"/>
          <w:tab w:val="left" w:pos="1908"/>
        </w:tabs>
        <w:spacing w:line="120" w:lineRule="exact"/>
        <w:ind w:left="1548" w:right="1267" w:hanging="288"/>
        <w:rPr>
          <w:sz w:val="10"/>
        </w:rPr>
      </w:pPr>
    </w:p>
    <w:p w:rsidR="00770B6C" w:rsidRDefault="00770B6C" w:rsidP="00770B6C">
      <w:pPr>
        <w:pStyle w:val="SingleTxt"/>
      </w:pPr>
      <w:r>
        <w:t>110.</w:t>
      </w:r>
      <w:r w:rsidR="00FF1C6C">
        <w:tab/>
      </w:r>
      <w:r>
        <w:t xml:space="preserve">This table shows that the trend is </w:t>
      </w:r>
      <w:r w:rsidR="008854F9">
        <w:t>towards</w:t>
      </w:r>
      <w:r>
        <w:t xml:space="preserve"> improvement, since the routine situation is not at variance with that observed through the EDSM-IV of 2006.</w:t>
      </w:r>
    </w:p>
    <w:p w:rsidR="00F732E9" w:rsidRPr="00F732E9" w:rsidRDefault="00F732E9" w:rsidP="00F732E9">
      <w:pPr>
        <w:pStyle w:val="SingleTxt"/>
        <w:spacing w:after="0" w:line="120" w:lineRule="exact"/>
        <w:rPr>
          <w:sz w:val="10"/>
        </w:rPr>
      </w:pPr>
    </w:p>
    <w:p w:rsidR="005E1F07" w:rsidRDefault="00770B6C" w:rsidP="00F732E9">
      <w:pPr>
        <w:pStyle w:val="H23"/>
        <w:ind w:right="1260"/>
      </w:pPr>
      <w:r>
        <w:lastRenderedPageBreak/>
        <w:tab/>
        <w:t>3.3</w:t>
      </w:r>
      <w:r w:rsidR="00F732E9">
        <w:tab/>
      </w:r>
      <w:r>
        <w:t>Attended births</w:t>
      </w:r>
    </w:p>
    <w:p w:rsidR="00F732E9" w:rsidRPr="00F732E9" w:rsidRDefault="00F732E9" w:rsidP="00F732E9">
      <w:pPr>
        <w:pStyle w:val="SingleTxt"/>
        <w:keepNext/>
        <w:keepLines/>
        <w:spacing w:after="0" w:line="120" w:lineRule="exact"/>
        <w:rPr>
          <w:sz w:val="10"/>
        </w:rPr>
      </w:pPr>
    </w:p>
    <w:p w:rsidR="00770B6C" w:rsidRDefault="00FF1C6C" w:rsidP="00F732E9">
      <w:pPr>
        <w:pStyle w:val="SingleTxt"/>
        <w:keepNext/>
        <w:keepLines/>
        <w:tabs>
          <w:tab w:val="right" w:pos="1685"/>
        </w:tabs>
        <w:ind w:left="1742" w:hanging="475"/>
      </w:pPr>
      <w:r>
        <w:tab/>
      </w:r>
      <w:r w:rsidR="00770B6C">
        <w:t>•</w:t>
      </w:r>
      <w:r w:rsidR="00770B6C">
        <w:tab/>
        <w:t>The rate of births attended by a midwife or nurse is higher in urban than in rural areas.</w:t>
      </w:r>
      <w:r w:rsidR="005E03D8">
        <w:t xml:space="preserve"> </w:t>
      </w:r>
      <w:r w:rsidR="00770B6C">
        <w:t>This indicates an inadequate allocation of human resources, which is detrimental to women living in rural areas. However, whether childbirth is attended by qualified personnel depends on where it takes place, and in 66 per cent of cases it takes place at home, with traditional midwives in attendance. This is why they are taken into account in reproductive health activities with respect to referral of at-risk cases.</w:t>
      </w:r>
    </w:p>
    <w:p w:rsidR="005E1F07" w:rsidRDefault="00FF1C6C" w:rsidP="00F732E9">
      <w:pPr>
        <w:pStyle w:val="SingleTxt"/>
        <w:tabs>
          <w:tab w:val="right" w:pos="1685"/>
        </w:tabs>
        <w:ind w:left="1742" w:hanging="475"/>
      </w:pPr>
      <w:r>
        <w:tab/>
      </w:r>
      <w:r w:rsidR="00770B6C">
        <w:t>•</w:t>
      </w:r>
      <w:r w:rsidR="00770B6C">
        <w:tab/>
        <w:t>Because of the role played by nurse-matrons in attended births, the Government has decided to incorporate them into the GATPA strategy (active management of the third stage of labour) which aims to reduce the number of deaths due to postpartum haemorrhage.</w:t>
      </w:r>
    </w:p>
    <w:p w:rsidR="005E1F07" w:rsidRDefault="00770B6C" w:rsidP="00770B6C">
      <w:pPr>
        <w:pStyle w:val="SingleTxt"/>
      </w:pPr>
      <w:r>
        <w:t>111.</w:t>
      </w:r>
      <w:r w:rsidR="00FF1C6C">
        <w:tab/>
      </w:r>
      <w:r>
        <w:t>As with prenatal consultations and the organization of referral-evacuation, there has been an improvement in the rate of attended births.</w:t>
      </w:r>
    </w:p>
    <w:p w:rsidR="00F732E9" w:rsidRPr="00F732E9" w:rsidRDefault="00F732E9" w:rsidP="00F732E9">
      <w:pPr>
        <w:pStyle w:val="SingleTxt"/>
        <w:spacing w:after="0" w:line="120" w:lineRule="exact"/>
        <w:rPr>
          <w:sz w:val="10"/>
        </w:rPr>
      </w:pPr>
    </w:p>
    <w:p w:rsidR="00770B6C" w:rsidRPr="00F732E9" w:rsidRDefault="00F732E9" w:rsidP="00F732E9">
      <w:pPr>
        <w:pStyle w:val="H23"/>
        <w:ind w:right="1260"/>
        <w:rPr>
          <w:b w:val="0"/>
        </w:rPr>
      </w:pPr>
      <w:r>
        <w:tab/>
      </w:r>
      <w:r w:rsidRPr="00F732E9">
        <w:rPr>
          <w:b w:val="0"/>
        </w:rPr>
        <w:tab/>
      </w:r>
      <w:r w:rsidR="00770B6C" w:rsidRPr="00F732E9">
        <w:rPr>
          <w:b w:val="0"/>
        </w:rPr>
        <w:t>Table 10</w:t>
      </w:r>
    </w:p>
    <w:p w:rsidR="005E1F07" w:rsidRDefault="00F732E9" w:rsidP="00F732E9">
      <w:pPr>
        <w:pStyle w:val="H23"/>
        <w:ind w:right="1260"/>
      </w:pPr>
      <w:r>
        <w:tab/>
      </w:r>
      <w:r>
        <w:tab/>
      </w:r>
      <w:r w:rsidR="00770B6C">
        <w:t>Evolution of rate of coverage of attended births by region</w:t>
      </w:r>
    </w:p>
    <w:p w:rsidR="00F732E9" w:rsidRPr="00F732E9" w:rsidRDefault="00F732E9" w:rsidP="00F732E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3"/>
        <w:gridCol w:w="892"/>
        <w:gridCol w:w="893"/>
        <w:gridCol w:w="892"/>
        <w:gridCol w:w="893"/>
        <w:gridCol w:w="892"/>
        <w:gridCol w:w="893"/>
      </w:tblGrid>
      <w:tr w:rsidR="00F732E9" w:rsidRPr="0000254B" w:rsidTr="0000254B">
        <w:trPr>
          <w:tblHeader/>
        </w:trPr>
        <w:tc>
          <w:tcPr>
            <w:tcW w:w="1973" w:type="dxa"/>
            <w:tcBorders>
              <w:top w:val="single" w:sz="4" w:space="0" w:color="auto"/>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0254B">
              <w:rPr>
                <w:i/>
                <w:sz w:val="14"/>
              </w:rPr>
              <w:t>Regions</w:t>
            </w:r>
          </w:p>
        </w:tc>
        <w:tc>
          <w:tcPr>
            <w:tcW w:w="892" w:type="dxa"/>
            <w:tcBorders>
              <w:top w:val="single" w:sz="4" w:space="0" w:color="auto"/>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0254B">
              <w:rPr>
                <w:i/>
                <w:sz w:val="14"/>
              </w:rPr>
              <w:t>2004</w:t>
            </w:r>
          </w:p>
        </w:tc>
        <w:tc>
          <w:tcPr>
            <w:tcW w:w="893" w:type="dxa"/>
            <w:tcBorders>
              <w:top w:val="single" w:sz="4" w:space="0" w:color="auto"/>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0254B">
              <w:rPr>
                <w:i/>
                <w:sz w:val="14"/>
              </w:rPr>
              <w:t>2005</w:t>
            </w:r>
          </w:p>
        </w:tc>
        <w:tc>
          <w:tcPr>
            <w:tcW w:w="892" w:type="dxa"/>
            <w:tcBorders>
              <w:top w:val="single" w:sz="4" w:space="0" w:color="auto"/>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0254B">
              <w:rPr>
                <w:i/>
                <w:sz w:val="14"/>
              </w:rPr>
              <w:t>2006</w:t>
            </w:r>
          </w:p>
        </w:tc>
        <w:tc>
          <w:tcPr>
            <w:tcW w:w="893" w:type="dxa"/>
            <w:tcBorders>
              <w:top w:val="single" w:sz="4" w:space="0" w:color="auto"/>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0254B">
              <w:rPr>
                <w:i/>
                <w:sz w:val="14"/>
              </w:rPr>
              <w:t>2007</w:t>
            </w:r>
          </w:p>
        </w:tc>
        <w:tc>
          <w:tcPr>
            <w:tcW w:w="892" w:type="dxa"/>
            <w:tcBorders>
              <w:top w:val="single" w:sz="4" w:space="0" w:color="auto"/>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0254B">
              <w:rPr>
                <w:i/>
                <w:sz w:val="14"/>
              </w:rPr>
              <w:t>2008</w:t>
            </w:r>
          </w:p>
        </w:tc>
        <w:tc>
          <w:tcPr>
            <w:tcW w:w="893" w:type="dxa"/>
            <w:tcBorders>
              <w:top w:val="single" w:sz="4" w:space="0" w:color="auto"/>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0254B">
              <w:rPr>
                <w:i/>
                <w:sz w:val="14"/>
              </w:rPr>
              <w:t>2009</w:t>
            </w:r>
          </w:p>
        </w:tc>
      </w:tr>
      <w:tr w:rsidR="0000254B" w:rsidRPr="0000254B" w:rsidTr="0000254B">
        <w:trPr>
          <w:trHeight w:hRule="exact" w:val="115"/>
          <w:tblHeader/>
        </w:trPr>
        <w:tc>
          <w:tcPr>
            <w:tcW w:w="1973" w:type="dxa"/>
            <w:tcBorders>
              <w:top w:val="single" w:sz="12" w:space="0" w:color="auto"/>
            </w:tcBorders>
            <w:shd w:val="clear" w:color="auto" w:fill="auto"/>
            <w:vAlign w:val="bottom"/>
          </w:tcPr>
          <w:p w:rsidR="0000254B" w:rsidRPr="0000254B" w:rsidRDefault="0000254B"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92" w:type="dxa"/>
            <w:tcBorders>
              <w:top w:val="single" w:sz="12" w:space="0" w:color="auto"/>
            </w:tcBorders>
            <w:shd w:val="clear" w:color="auto" w:fill="auto"/>
            <w:vAlign w:val="bottom"/>
          </w:tcPr>
          <w:p w:rsidR="0000254B" w:rsidRPr="0000254B" w:rsidRDefault="0000254B"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3" w:type="dxa"/>
            <w:tcBorders>
              <w:top w:val="single" w:sz="12" w:space="0" w:color="auto"/>
            </w:tcBorders>
            <w:shd w:val="clear" w:color="auto" w:fill="auto"/>
            <w:vAlign w:val="bottom"/>
          </w:tcPr>
          <w:p w:rsidR="0000254B" w:rsidRPr="0000254B" w:rsidRDefault="0000254B"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2" w:type="dxa"/>
            <w:tcBorders>
              <w:top w:val="single" w:sz="12" w:space="0" w:color="auto"/>
            </w:tcBorders>
            <w:shd w:val="clear" w:color="auto" w:fill="auto"/>
            <w:vAlign w:val="bottom"/>
          </w:tcPr>
          <w:p w:rsidR="0000254B" w:rsidRPr="0000254B" w:rsidRDefault="0000254B"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3" w:type="dxa"/>
            <w:tcBorders>
              <w:top w:val="single" w:sz="12" w:space="0" w:color="auto"/>
            </w:tcBorders>
            <w:shd w:val="clear" w:color="auto" w:fill="auto"/>
            <w:vAlign w:val="bottom"/>
          </w:tcPr>
          <w:p w:rsidR="0000254B" w:rsidRPr="0000254B" w:rsidRDefault="0000254B"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2" w:type="dxa"/>
            <w:tcBorders>
              <w:top w:val="single" w:sz="12" w:space="0" w:color="auto"/>
            </w:tcBorders>
            <w:shd w:val="clear" w:color="auto" w:fill="auto"/>
            <w:vAlign w:val="bottom"/>
          </w:tcPr>
          <w:p w:rsidR="0000254B" w:rsidRPr="0000254B" w:rsidRDefault="0000254B"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3" w:type="dxa"/>
            <w:tcBorders>
              <w:top w:val="single" w:sz="12" w:space="0" w:color="auto"/>
            </w:tcBorders>
            <w:shd w:val="clear" w:color="auto" w:fill="auto"/>
            <w:vAlign w:val="bottom"/>
          </w:tcPr>
          <w:p w:rsidR="0000254B" w:rsidRPr="0000254B" w:rsidRDefault="0000254B"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F732E9" w:rsidRPr="0000254B" w:rsidTr="0000254B">
        <w:tc>
          <w:tcPr>
            <w:tcW w:w="197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Kayes</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34</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40</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42%</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50%</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57%</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58%</w:t>
            </w:r>
          </w:p>
        </w:tc>
      </w:tr>
      <w:tr w:rsidR="00F732E9" w:rsidRPr="0000254B" w:rsidTr="0000254B">
        <w:tc>
          <w:tcPr>
            <w:tcW w:w="197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Koulikoro</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45</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53</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58%</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61%</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64%</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67%</w:t>
            </w:r>
          </w:p>
        </w:tc>
      </w:tr>
      <w:tr w:rsidR="00F732E9" w:rsidRPr="0000254B" w:rsidTr="0000254B">
        <w:tc>
          <w:tcPr>
            <w:tcW w:w="197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Sikasso</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66</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64</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59%</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67%</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66%</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71%</w:t>
            </w:r>
          </w:p>
        </w:tc>
      </w:tr>
      <w:tr w:rsidR="00F732E9" w:rsidRPr="0000254B" w:rsidTr="0000254B">
        <w:tc>
          <w:tcPr>
            <w:tcW w:w="197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Ségou</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49</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50</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55%</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60%</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61%</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63%</w:t>
            </w:r>
          </w:p>
        </w:tc>
      </w:tr>
      <w:tr w:rsidR="00F732E9" w:rsidRPr="0000254B" w:rsidTr="0000254B">
        <w:tc>
          <w:tcPr>
            <w:tcW w:w="197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Mopti</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30</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34</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40%</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37%</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42%</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44%</w:t>
            </w:r>
          </w:p>
        </w:tc>
      </w:tr>
      <w:tr w:rsidR="00F732E9" w:rsidRPr="0000254B" w:rsidTr="0000254B">
        <w:tc>
          <w:tcPr>
            <w:tcW w:w="197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Tombouctou</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18</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24</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27%</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35%</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31%</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33%</w:t>
            </w:r>
          </w:p>
        </w:tc>
      </w:tr>
      <w:tr w:rsidR="00F732E9" w:rsidRPr="0000254B" w:rsidTr="0000254B">
        <w:tc>
          <w:tcPr>
            <w:tcW w:w="197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Gao</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17</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20</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22%</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22%</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22%</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24%</w:t>
            </w:r>
          </w:p>
        </w:tc>
      </w:tr>
      <w:tr w:rsidR="00F732E9" w:rsidRPr="0000254B" w:rsidTr="0000254B">
        <w:tc>
          <w:tcPr>
            <w:tcW w:w="197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Kidal</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17</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18</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24%</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17%</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35%</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29%</w:t>
            </w:r>
          </w:p>
        </w:tc>
      </w:tr>
      <w:tr w:rsidR="00F732E9" w:rsidRPr="0000254B" w:rsidTr="0000254B">
        <w:tc>
          <w:tcPr>
            <w:tcW w:w="197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Bamako</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94</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97</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99%</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97%</w:t>
            </w:r>
          </w:p>
        </w:tc>
        <w:tc>
          <w:tcPr>
            <w:tcW w:w="892"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96%</w:t>
            </w:r>
          </w:p>
        </w:tc>
        <w:tc>
          <w:tcPr>
            <w:tcW w:w="893" w:type="dxa"/>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97%</w:t>
            </w:r>
          </w:p>
        </w:tc>
      </w:tr>
      <w:tr w:rsidR="00F732E9" w:rsidRPr="0000254B" w:rsidTr="0000254B">
        <w:tc>
          <w:tcPr>
            <w:tcW w:w="1973" w:type="dxa"/>
            <w:tcBorders>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0254B">
              <w:rPr>
                <w:sz w:val="17"/>
              </w:rPr>
              <w:t>Total</w:t>
            </w:r>
          </w:p>
        </w:tc>
        <w:tc>
          <w:tcPr>
            <w:tcW w:w="892" w:type="dxa"/>
            <w:tcBorders>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49</w:t>
            </w:r>
          </w:p>
        </w:tc>
        <w:tc>
          <w:tcPr>
            <w:tcW w:w="893" w:type="dxa"/>
            <w:tcBorders>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53</w:t>
            </w:r>
          </w:p>
        </w:tc>
        <w:tc>
          <w:tcPr>
            <w:tcW w:w="892" w:type="dxa"/>
            <w:tcBorders>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55%</w:t>
            </w:r>
          </w:p>
        </w:tc>
        <w:tc>
          <w:tcPr>
            <w:tcW w:w="893" w:type="dxa"/>
            <w:tcBorders>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59%</w:t>
            </w:r>
          </w:p>
        </w:tc>
        <w:tc>
          <w:tcPr>
            <w:tcW w:w="892" w:type="dxa"/>
            <w:tcBorders>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61%</w:t>
            </w:r>
          </w:p>
        </w:tc>
        <w:tc>
          <w:tcPr>
            <w:tcW w:w="893" w:type="dxa"/>
            <w:tcBorders>
              <w:bottom w:val="single" w:sz="12" w:space="0" w:color="auto"/>
            </w:tcBorders>
            <w:shd w:val="clear" w:color="auto" w:fill="auto"/>
            <w:vAlign w:val="bottom"/>
          </w:tcPr>
          <w:p w:rsidR="00F732E9" w:rsidRPr="0000254B" w:rsidRDefault="00F732E9" w:rsidP="00002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0254B">
              <w:rPr>
                <w:sz w:val="17"/>
              </w:rPr>
              <w:t>64%</w:t>
            </w:r>
          </w:p>
        </w:tc>
      </w:tr>
    </w:tbl>
    <w:p w:rsidR="00F732E9" w:rsidRPr="00F732E9" w:rsidRDefault="00F732E9" w:rsidP="00F732E9">
      <w:pPr>
        <w:pStyle w:val="SingleTxt"/>
        <w:spacing w:after="0" w:line="120" w:lineRule="exact"/>
        <w:rPr>
          <w:sz w:val="10"/>
        </w:rPr>
      </w:pPr>
    </w:p>
    <w:p w:rsidR="005E1F07" w:rsidRPr="00F732E9" w:rsidRDefault="00F732E9" w:rsidP="00F732E9">
      <w:pPr>
        <w:pStyle w:val="FootnoteText"/>
        <w:tabs>
          <w:tab w:val="clear" w:pos="418"/>
          <w:tab w:val="right" w:pos="1476"/>
          <w:tab w:val="left" w:pos="1548"/>
          <w:tab w:val="right" w:pos="1836"/>
          <w:tab w:val="left" w:pos="1908"/>
        </w:tabs>
        <w:ind w:left="1548" w:right="1267" w:hanging="288"/>
        <w:rPr>
          <w:spacing w:val="4"/>
        </w:rPr>
      </w:pPr>
      <w:r>
        <w:tab/>
      </w:r>
      <w:r w:rsidR="00770B6C" w:rsidRPr="00A61064">
        <w:rPr>
          <w:i/>
          <w:spacing w:val="4"/>
        </w:rPr>
        <w:t>Source</w:t>
      </w:r>
      <w:r w:rsidR="00770B6C" w:rsidRPr="00A61064">
        <w:rPr>
          <w:spacing w:val="4"/>
        </w:rPr>
        <w:t>:</w:t>
      </w:r>
      <w:r w:rsidR="00770B6C" w:rsidRPr="00F732E9">
        <w:rPr>
          <w:i/>
          <w:spacing w:val="4"/>
        </w:rPr>
        <w:t xml:space="preserve"> National Health Directorate: statistical yearbooks of the local health information system</w:t>
      </w:r>
      <w:r w:rsidRPr="00F732E9">
        <w:rPr>
          <w:spacing w:val="4"/>
        </w:rPr>
        <w:t>.</w:t>
      </w:r>
    </w:p>
    <w:p w:rsidR="00F732E9" w:rsidRPr="00F732E9" w:rsidRDefault="00F732E9" w:rsidP="00F732E9">
      <w:pPr>
        <w:pStyle w:val="FootnoteText"/>
        <w:tabs>
          <w:tab w:val="clear" w:pos="418"/>
          <w:tab w:val="right" w:pos="1476"/>
          <w:tab w:val="left" w:pos="1548"/>
          <w:tab w:val="right" w:pos="1836"/>
          <w:tab w:val="left" w:pos="1908"/>
        </w:tabs>
        <w:spacing w:line="120" w:lineRule="exact"/>
        <w:ind w:left="1548" w:right="1267" w:hanging="288"/>
        <w:rPr>
          <w:sz w:val="10"/>
        </w:rPr>
      </w:pPr>
    </w:p>
    <w:p w:rsidR="00F732E9" w:rsidRPr="00F732E9" w:rsidRDefault="00F732E9" w:rsidP="00F732E9">
      <w:pPr>
        <w:pStyle w:val="FootnoteText"/>
        <w:tabs>
          <w:tab w:val="clear" w:pos="418"/>
          <w:tab w:val="right" w:pos="1476"/>
          <w:tab w:val="left" w:pos="1548"/>
          <w:tab w:val="right" w:pos="1836"/>
          <w:tab w:val="left" w:pos="1908"/>
        </w:tabs>
        <w:spacing w:line="120" w:lineRule="exact"/>
        <w:ind w:left="1548" w:right="1267" w:hanging="288"/>
        <w:rPr>
          <w:sz w:val="10"/>
        </w:rPr>
      </w:pPr>
    </w:p>
    <w:p w:rsidR="005E1F07" w:rsidRDefault="00770B6C" w:rsidP="00770B6C">
      <w:pPr>
        <w:pStyle w:val="SingleTxt"/>
      </w:pPr>
      <w:r>
        <w:t>112.</w:t>
      </w:r>
      <w:r w:rsidR="00FF1C6C">
        <w:tab/>
      </w:r>
      <w:r>
        <w:t xml:space="preserve">Despite efforts with regard to health-care coverage and numerous information and awareness campaigns, many births take place at home. </w:t>
      </w:r>
    </w:p>
    <w:p w:rsidR="005E1F07" w:rsidRDefault="00770B6C" w:rsidP="00770B6C">
      <w:pPr>
        <w:pStyle w:val="SingleTxt"/>
      </w:pPr>
      <w:r>
        <w:t>113.</w:t>
      </w:r>
      <w:r w:rsidR="00FF1C6C">
        <w:tab/>
      </w:r>
      <w:r>
        <w:t>Caesarean section has in effect been free of charge since late 2005.</w:t>
      </w:r>
      <w:r w:rsidR="005E03D8">
        <w:t xml:space="preserve"> </w:t>
      </w:r>
      <w:r>
        <w:t>In 2008, the Government made available to the Referral Health Centre (Centres de Santé de Référence) and hospitals 16,500 intervention kits for simple C-sections and 3,042 for C-sections with complications.</w:t>
      </w:r>
      <w:r w:rsidR="005E03D8">
        <w:t xml:space="preserve"> </w:t>
      </w:r>
      <w:r>
        <w:t>This made it possible for 13,711 Caesarean sections to be performed in 2008.</w:t>
      </w:r>
    </w:p>
    <w:p w:rsidR="00F732E9" w:rsidRPr="00F732E9" w:rsidRDefault="00F732E9" w:rsidP="00F732E9">
      <w:pPr>
        <w:pStyle w:val="SingleTxt"/>
        <w:spacing w:after="0" w:line="120" w:lineRule="exact"/>
        <w:rPr>
          <w:sz w:val="10"/>
        </w:rPr>
      </w:pPr>
    </w:p>
    <w:p w:rsidR="00770B6C" w:rsidRDefault="00770B6C" w:rsidP="00F732E9">
      <w:pPr>
        <w:pStyle w:val="H23"/>
        <w:ind w:right="1260"/>
      </w:pPr>
      <w:r>
        <w:tab/>
        <w:t>3.4</w:t>
      </w:r>
      <w:r w:rsidR="00F732E9">
        <w:tab/>
      </w:r>
      <w:r>
        <w:t>Post-natal consultation</w:t>
      </w:r>
    </w:p>
    <w:p w:rsidR="00F732E9" w:rsidRPr="00F732E9" w:rsidRDefault="00F732E9" w:rsidP="00F732E9">
      <w:pPr>
        <w:pStyle w:val="SingleTxt"/>
        <w:spacing w:after="0" w:line="120" w:lineRule="exact"/>
        <w:rPr>
          <w:sz w:val="10"/>
        </w:rPr>
      </w:pPr>
    </w:p>
    <w:p w:rsidR="005E1F07" w:rsidRDefault="00770B6C" w:rsidP="00770B6C">
      <w:pPr>
        <w:pStyle w:val="SingleTxt"/>
      </w:pPr>
      <w:r>
        <w:t>114.</w:t>
      </w:r>
      <w:r w:rsidR="00FF1C6C">
        <w:tab/>
      </w:r>
      <w:r>
        <w:t xml:space="preserve">This is an under-developed area, for new mothers do not appreciate the importance of post-natal care despite the information campaigns and IEC sessions conducted in all the health regions. Yet it is recognized that a large proportion of maternal deaths and deaths of newborns occur within 48 hours after childbirth. All of the communication and social mobilization strategies adopted have met with </w:t>
      </w:r>
      <w:r>
        <w:lastRenderedPageBreak/>
        <w:t>cultural barriers, such as the belief that a new mother should not go out until after the baptism, i.e. a week after the birth.</w:t>
      </w:r>
    </w:p>
    <w:p w:rsidR="005E1F07" w:rsidRDefault="00770B6C" w:rsidP="00770B6C">
      <w:pPr>
        <w:pStyle w:val="SingleTxt"/>
      </w:pPr>
      <w:r>
        <w:t>115.</w:t>
      </w:r>
      <w:r w:rsidR="00FF1C6C">
        <w:tab/>
      </w:r>
      <w:r>
        <w:t xml:space="preserve">According to the EDSM-IV survey in 2006, 72.2 per cent of women who gave birth outside of a </w:t>
      </w:r>
      <w:r w:rsidR="0000254B">
        <w:t>health-care</w:t>
      </w:r>
      <w:r>
        <w:t xml:space="preserve"> facility did not have any post-natal visits, compared with 84 per cent for EDSM-III in 2001. In Bamako, 51 per cent of women did not have any post-natal visits.</w:t>
      </w:r>
    </w:p>
    <w:p w:rsidR="00770B6C" w:rsidRDefault="00770B6C" w:rsidP="00770B6C">
      <w:pPr>
        <w:pStyle w:val="SingleTxt"/>
      </w:pPr>
      <w:r>
        <w:t>116.</w:t>
      </w:r>
      <w:r w:rsidR="00FF1C6C">
        <w:tab/>
      </w:r>
      <w:r>
        <w:t xml:space="preserve">A post-natal assessment was done within two days after giving birth in only 18.2 per cent of cases in 2006, compared to 10 per cent in 2001, within three to six days after giving birth in 1.7 per cent per cent of cases, compared with 1 per cent in 2001, and within seven to 41 days after giving birth in 4.4 per cent of cases compared with 2 per cent in 2001. </w:t>
      </w:r>
    </w:p>
    <w:p w:rsidR="0000254B" w:rsidRPr="0000254B" w:rsidRDefault="0000254B" w:rsidP="0000254B">
      <w:pPr>
        <w:pStyle w:val="SingleTxt"/>
        <w:spacing w:after="0" w:line="120" w:lineRule="exact"/>
        <w:rPr>
          <w:sz w:val="10"/>
        </w:rPr>
      </w:pPr>
    </w:p>
    <w:p w:rsidR="005E1F07" w:rsidRDefault="00770B6C" w:rsidP="0000254B">
      <w:pPr>
        <w:pStyle w:val="H23"/>
        <w:ind w:right="1260"/>
      </w:pPr>
      <w:r>
        <w:tab/>
        <w:t>3.5</w:t>
      </w:r>
      <w:r w:rsidR="001E33E4">
        <w:tab/>
      </w:r>
      <w:r>
        <w:t>Family planning</w:t>
      </w:r>
    </w:p>
    <w:p w:rsidR="0000254B" w:rsidRPr="0000254B" w:rsidRDefault="0000254B" w:rsidP="0000254B">
      <w:pPr>
        <w:pStyle w:val="SingleTxt"/>
        <w:spacing w:after="0" w:line="120" w:lineRule="exact"/>
        <w:rPr>
          <w:sz w:val="10"/>
        </w:rPr>
      </w:pPr>
    </w:p>
    <w:p w:rsidR="005E1F07" w:rsidRDefault="00770B6C" w:rsidP="00770B6C">
      <w:pPr>
        <w:pStyle w:val="SingleTxt"/>
      </w:pPr>
      <w:r>
        <w:t>117.</w:t>
      </w:r>
      <w:r w:rsidR="00FF1C6C">
        <w:tab/>
      </w:r>
      <w:r>
        <w:t>It is believed that the prevalence of contraception shown by the results of demographic health surveys indicates the real prevalence at the time of the survey because it takes into account the data concerning all other non-state actors (NGOs, private associations).</w:t>
      </w:r>
    </w:p>
    <w:p w:rsidR="005E1F07" w:rsidRDefault="00770B6C" w:rsidP="00770B6C">
      <w:pPr>
        <w:pStyle w:val="SingleTxt"/>
      </w:pPr>
      <w:r>
        <w:t>118.</w:t>
      </w:r>
      <w:r w:rsidR="00FF1C6C">
        <w:tab/>
      </w:r>
      <w:r>
        <w:t>As shown by the results of the EDSM III and IV surveys done in 2001 and 2006, contraceptive prevalence has evolved:</w:t>
      </w:r>
    </w:p>
    <w:p w:rsidR="0000254B" w:rsidRPr="0000254B" w:rsidRDefault="0000254B" w:rsidP="0000254B">
      <w:pPr>
        <w:pStyle w:val="SingleTxt"/>
        <w:spacing w:after="0" w:line="120" w:lineRule="exact"/>
        <w:rPr>
          <w:sz w:val="10"/>
        </w:rPr>
      </w:pPr>
    </w:p>
    <w:p w:rsidR="00770B6C" w:rsidRPr="0000254B" w:rsidRDefault="0000254B" w:rsidP="0000254B">
      <w:pPr>
        <w:pStyle w:val="H23"/>
        <w:ind w:right="1260"/>
        <w:rPr>
          <w:b w:val="0"/>
        </w:rPr>
      </w:pPr>
      <w:r>
        <w:tab/>
      </w:r>
      <w:r w:rsidRPr="0000254B">
        <w:rPr>
          <w:b w:val="0"/>
        </w:rPr>
        <w:tab/>
      </w:r>
      <w:r w:rsidR="00770B6C" w:rsidRPr="0000254B">
        <w:rPr>
          <w:b w:val="0"/>
        </w:rPr>
        <w:t>Table 11</w:t>
      </w:r>
    </w:p>
    <w:p w:rsidR="005E1F07" w:rsidRDefault="0000254B" w:rsidP="0000254B">
      <w:pPr>
        <w:pStyle w:val="H23"/>
        <w:ind w:right="1260"/>
      </w:pPr>
      <w:r>
        <w:tab/>
      </w:r>
      <w:r>
        <w:tab/>
      </w:r>
      <w:r w:rsidR="00770B6C">
        <w:t>Contraceptive coverage between 2001 and 2006</w:t>
      </w:r>
    </w:p>
    <w:p w:rsidR="0000254B" w:rsidRPr="0000254B" w:rsidRDefault="0000254B" w:rsidP="0000254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3"/>
        <w:gridCol w:w="1361"/>
        <w:gridCol w:w="1361"/>
        <w:gridCol w:w="68"/>
        <w:gridCol w:w="1293"/>
        <w:gridCol w:w="1362"/>
      </w:tblGrid>
      <w:tr w:rsidR="006B02B6" w:rsidRPr="006B02B6" w:rsidTr="006B02B6">
        <w:trPr>
          <w:tblHeader/>
        </w:trPr>
        <w:tc>
          <w:tcPr>
            <w:tcW w:w="1883" w:type="dxa"/>
            <w:vMerge w:val="restart"/>
            <w:tcBorders>
              <w:top w:val="single" w:sz="4"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B02B6">
              <w:rPr>
                <w:i/>
                <w:sz w:val="14"/>
              </w:rPr>
              <w:t>Year/Regions</w:t>
            </w:r>
          </w:p>
        </w:tc>
        <w:tc>
          <w:tcPr>
            <w:tcW w:w="2722" w:type="dxa"/>
            <w:gridSpan w:val="2"/>
            <w:tcBorders>
              <w:top w:val="single" w:sz="4" w:space="0" w:color="auto"/>
              <w:bottom w:val="single" w:sz="4"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6B02B6">
              <w:rPr>
                <w:i/>
                <w:sz w:val="14"/>
              </w:rPr>
              <w:t>EDSM-III (2001)</w:t>
            </w:r>
          </w:p>
        </w:tc>
        <w:tc>
          <w:tcPr>
            <w:tcW w:w="68" w:type="dxa"/>
            <w:tcBorders>
              <w:top w:val="single" w:sz="4"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sz w:val="14"/>
              </w:rPr>
            </w:pPr>
          </w:p>
        </w:tc>
        <w:tc>
          <w:tcPr>
            <w:tcW w:w="2655" w:type="dxa"/>
            <w:gridSpan w:val="2"/>
            <w:tcBorders>
              <w:top w:val="single" w:sz="4" w:space="0" w:color="auto"/>
              <w:bottom w:val="single" w:sz="4"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6B02B6">
              <w:rPr>
                <w:i/>
                <w:sz w:val="14"/>
              </w:rPr>
              <w:t>EDSM-IV (2006)</w:t>
            </w:r>
          </w:p>
        </w:tc>
      </w:tr>
      <w:tr w:rsidR="006B02B6" w:rsidRPr="006B02B6" w:rsidTr="006B02B6">
        <w:trPr>
          <w:tblHeader/>
        </w:trPr>
        <w:tc>
          <w:tcPr>
            <w:tcW w:w="1883" w:type="dxa"/>
            <w:vMerge/>
            <w:tcBorders>
              <w:bottom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361" w:type="dxa"/>
            <w:tcBorders>
              <w:top w:val="single" w:sz="4" w:space="0" w:color="auto"/>
              <w:bottom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B02B6">
              <w:rPr>
                <w:i/>
                <w:sz w:val="14"/>
              </w:rPr>
              <w:t>Modern methods</w:t>
            </w:r>
          </w:p>
        </w:tc>
        <w:tc>
          <w:tcPr>
            <w:tcW w:w="1361" w:type="dxa"/>
            <w:tcBorders>
              <w:top w:val="single" w:sz="4" w:space="0" w:color="auto"/>
              <w:bottom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B02B6">
              <w:rPr>
                <w:i/>
                <w:sz w:val="14"/>
              </w:rPr>
              <w:t>All methods</w:t>
            </w:r>
          </w:p>
        </w:tc>
        <w:tc>
          <w:tcPr>
            <w:tcW w:w="1361" w:type="dxa"/>
            <w:gridSpan w:val="2"/>
            <w:tcBorders>
              <w:bottom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B02B6">
              <w:rPr>
                <w:i/>
                <w:sz w:val="14"/>
              </w:rPr>
              <w:t>Modern methods</w:t>
            </w:r>
          </w:p>
        </w:tc>
        <w:tc>
          <w:tcPr>
            <w:tcW w:w="1362" w:type="dxa"/>
            <w:tcBorders>
              <w:bottom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B02B6">
              <w:rPr>
                <w:i/>
                <w:sz w:val="14"/>
              </w:rPr>
              <w:t>All methods</w:t>
            </w:r>
          </w:p>
        </w:tc>
      </w:tr>
      <w:tr w:rsidR="006B02B6" w:rsidRPr="006B02B6" w:rsidTr="006B02B6">
        <w:trPr>
          <w:trHeight w:hRule="exact" w:val="115"/>
          <w:tblHeader/>
        </w:trPr>
        <w:tc>
          <w:tcPr>
            <w:tcW w:w="1883" w:type="dxa"/>
            <w:tcBorders>
              <w:top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361" w:type="dxa"/>
            <w:tcBorders>
              <w:top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61" w:type="dxa"/>
            <w:tcBorders>
              <w:top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61" w:type="dxa"/>
            <w:gridSpan w:val="2"/>
            <w:tcBorders>
              <w:top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62" w:type="dxa"/>
            <w:tcBorders>
              <w:top w:val="single" w:sz="12" w:space="0" w:color="auto"/>
            </w:tcBorders>
            <w:shd w:val="clear" w:color="auto" w:fill="auto"/>
            <w:vAlign w:val="bottom"/>
          </w:tcPr>
          <w:p w:rsidR="006B02B6" w:rsidRPr="006B02B6" w:rsidRDefault="006B02B6"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6B02B6"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Bamako</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19.2</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23.3</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16.9</w:t>
            </w: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19.6</w:t>
            </w:r>
          </w:p>
        </w:tc>
      </w:tr>
      <w:tr w:rsidR="0000254B"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Kayes</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4.6</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6.1</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5.1</w:t>
            </w: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6.2</w:t>
            </w:r>
          </w:p>
        </w:tc>
      </w:tr>
      <w:tr w:rsidR="0000254B"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Koulikoro</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4.3</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7.0</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6.8</w:t>
            </w: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8.9</w:t>
            </w:r>
          </w:p>
        </w:tc>
      </w:tr>
      <w:tr w:rsidR="0000254B"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Sikasso</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4.8</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6.5</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6</w:t>
            </w: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6.5</w:t>
            </w:r>
          </w:p>
        </w:tc>
      </w:tr>
      <w:tr w:rsidR="0000254B"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Ségou</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3.3</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7.3</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7.0</w:t>
            </w: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9.4</w:t>
            </w:r>
          </w:p>
        </w:tc>
      </w:tr>
      <w:tr w:rsidR="0000254B"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Mopti</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2.4</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3.5</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2</w:t>
            </w: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2.2</w:t>
            </w:r>
          </w:p>
        </w:tc>
      </w:tr>
      <w:tr w:rsidR="0000254B"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Tombouctou</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5.5</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4.0</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4.3</w:t>
            </w: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4.6</w:t>
            </w:r>
          </w:p>
        </w:tc>
      </w:tr>
      <w:tr w:rsidR="0000254B"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Gao</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5.5</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4.0</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4.4</w:t>
            </w: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5.1</w:t>
            </w:r>
          </w:p>
        </w:tc>
      </w:tr>
      <w:tr w:rsidR="0000254B"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Kidal</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5.5</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4.0</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8.6</w:t>
            </w: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9.3</w:t>
            </w:r>
          </w:p>
        </w:tc>
      </w:tr>
      <w:tr w:rsidR="0000254B"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All Mali</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8.1</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8.2</w:t>
            </w:r>
          </w:p>
        </w:tc>
      </w:tr>
      <w:tr w:rsidR="006B02B6" w:rsidRPr="006B02B6" w:rsidTr="006B02B6">
        <w:tc>
          <w:tcPr>
            <w:tcW w:w="1883"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Urban</w:t>
            </w: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361"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17.8</w:t>
            </w:r>
          </w:p>
        </w:tc>
        <w:tc>
          <w:tcPr>
            <w:tcW w:w="1361" w:type="dxa"/>
            <w:gridSpan w:val="2"/>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362" w:type="dxa"/>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15.2</w:t>
            </w:r>
          </w:p>
        </w:tc>
      </w:tr>
      <w:tr w:rsidR="006B02B6" w:rsidRPr="006B02B6" w:rsidTr="006B02B6">
        <w:tc>
          <w:tcPr>
            <w:tcW w:w="1883" w:type="dxa"/>
            <w:tcBorders>
              <w:bottom w:val="single" w:sz="12" w:space="0" w:color="auto"/>
            </w:tcBorders>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B02B6">
              <w:rPr>
                <w:sz w:val="17"/>
              </w:rPr>
              <w:t>Rural</w:t>
            </w:r>
          </w:p>
        </w:tc>
        <w:tc>
          <w:tcPr>
            <w:tcW w:w="1361" w:type="dxa"/>
            <w:tcBorders>
              <w:bottom w:val="single" w:sz="12" w:space="0" w:color="auto"/>
            </w:tcBorders>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361" w:type="dxa"/>
            <w:tcBorders>
              <w:bottom w:val="single" w:sz="12" w:space="0" w:color="auto"/>
            </w:tcBorders>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4.9</w:t>
            </w:r>
          </w:p>
        </w:tc>
        <w:tc>
          <w:tcPr>
            <w:tcW w:w="1361" w:type="dxa"/>
            <w:gridSpan w:val="2"/>
            <w:tcBorders>
              <w:bottom w:val="single" w:sz="12" w:space="0" w:color="auto"/>
            </w:tcBorders>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362" w:type="dxa"/>
            <w:tcBorders>
              <w:bottom w:val="single" w:sz="12" w:space="0" w:color="auto"/>
            </w:tcBorders>
            <w:shd w:val="clear" w:color="auto" w:fill="auto"/>
            <w:vAlign w:val="bottom"/>
          </w:tcPr>
          <w:p w:rsidR="0000254B" w:rsidRPr="006B02B6" w:rsidRDefault="0000254B" w:rsidP="006B02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B02B6">
              <w:rPr>
                <w:sz w:val="17"/>
              </w:rPr>
              <w:t>5.1</w:t>
            </w:r>
          </w:p>
        </w:tc>
      </w:tr>
    </w:tbl>
    <w:p w:rsidR="006B02B6" w:rsidRPr="006B02B6" w:rsidRDefault="006B02B6" w:rsidP="006B02B6">
      <w:pPr>
        <w:pStyle w:val="SingleTxt"/>
        <w:spacing w:after="0" w:line="120" w:lineRule="exact"/>
        <w:rPr>
          <w:sz w:val="10"/>
        </w:rPr>
      </w:pPr>
    </w:p>
    <w:p w:rsidR="00770B6C" w:rsidRDefault="006B02B6" w:rsidP="006B02B6">
      <w:pPr>
        <w:pStyle w:val="FootnoteText"/>
        <w:tabs>
          <w:tab w:val="clear" w:pos="418"/>
          <w:tab w:val="right" w:pos="1476"/>
          <w:tab w:val="left" w:pos="1548"/>
          <w:tab w:val="right" w:pos="1836"/>
          <w:tab w:val="left" w:pos="1908"/>
        </w:tabs>
        <w:ind w:left="1548" w:right="1267" w:hanging="288"/>
      </w:pPr>
      <w:r>
        <w:tab/>
      </w:r>
      <w:r w:rsidR="00770B6C" w:rsidRPr="00A61064">
        <w:rPr>
          <w:i/>
        </w:rPr>
        <w:t>Sources</w:t>
      </w:r>
      <w:r w:rsidR="00770B6C" w:rsidRPr="00A61064">
        <w:t xml:space="preserve">: </w:t>
      </w:r>
      <w:r w:rsidR="00770B6C" w:rsidRPr="006B02B6">
        <w:rPr>
          <w:i/>
        </w:rPr>
        <w:t>Health Centres &amp; National Health Directorate: Malian Demographic and Health Surveys, reports, 2001 &amp; 2006)</w:t>
      </w:r>
      <w:r>
        <w:t>.</w:t>
      </w:r>
    </w:p>
    <w:p w:rsidR="006B02B6" w:rsidRPr="006B02B6" w:rsidRDefault="006B02B6" w:rsidP="006B02B6">
      <w:pPr>
        <w:pStyle w:val="SingleTxt"/>
        <w:spacing w:after="0" w:line="120" w:lineRule="exact"/>
        <w:rPr>
          <w:sz w:val="10"/>
        </w:rPr>
      </w:pPr>
    </w:p>
    <w:p w:rsidR="006B02B6" w:rsidRPr="006B02B6" w:rsidRDefault="006B02B6" w:rsidP="006B02B6">
      <w:pPr>
        <w:pStyle w:val="SingleTxt"/>
        <w:spacing w:after="0" w:line="120" w:lineRule="exact"/>
        <w:rPr>
          <w:sz w:val="10"/>
        </w:rPr>
      </w:pPr>
    </w:p>
    <w:p w:rsidR="005E1F07" w:rsidRPr="006B02B6" w:rsidRDefault="00770B6C" w:rsidP="00770B6C">
      <w:pPr>
        <w:pStyle w:val="SingleTxt"/>
        <w:rPr>
          <w:spacing w:val="2"/>
        </w:rPr>
      </w:pPr>
      <w:r>
        <w:t>119.</w:t>
      </w:r>
      <w:r w:rsidR="00FF1C6C">
        <w:tab/>
      </w:r>
      <w:r w:rsidRPr="006B02B6">
        <w:rPr>
          <w:spacing w:val="2"/>
        </w:rPr>
        <w:t>Contraceptive coverage showed little change from 2001 to 2006 according to data from the two EDSM surveys (III and IV).</w:t>
      </w:r>
      <w:r w:rsidR="005E03D8" w:rsidRPr="006B02B6">
        <w:rPr>
          <w:spacing w:val="2"/>
        </w:rPr>
        <w:t xml:space="preserve"> </w:t>
      </w:r>
      <w:r w:rsidRPr="006B02B6">
        <w:rPr>
          <w:spacing w:val="2"/>
        </w:rPr>
        <w:t xml:space="preserve">There was even a downward trend in urban settings (17.8 per cent in 2001 as compared with 15.2 per cent in 2006 i.e. </w:t>
      </w:r>
      <w:r w:rsidR="006B02B6">
        <w:rPr>
          <w:spacing w:val="2"/>
        </w:rPr>
        <w:br/>
      </w:r>
      <w:r w:rsidRPr="006B02B6">
        <w:rPr>
          <w:spacing w:val="2"/>
        </w:rPr>
        <w:t>2.6 per cent less) while there was a slight upward trend during the same period in rural settings.</w:t>
      </w:r>
    </w:p>
    <w:p w:rsidR="005E1F07" w:rsidRDefault="00770B6C" w:rsidP="00770B6C">
      <w:pPr>
        <w:pStyle w:val="SingleTxt"/>
      </w:pPr>
      <w:r>
        <w:lastRenderedPageBreak/>
        <w:t>120.</w:t>
      </w:r>
      <w:r w:rsidR="00FF1C6C">
        <w:tab/>
      </w:r>
      <w:r>
        <w:t>However, it is necessary to stress the difficulty of specifying this indicator even by means of surveys, in light of the sensitivity of the issue and the discretion that is required in practice.</w:t>
      </w:r>
      <w:r w:rsidR="005E03D8">
        <w:t xml:space="preserve"> </w:t>
      </w:r>
      <w:r>
        <w:t>With other actors intervening in this matter, it is advisable to set up an appropriate system for data collection.</w:t>
      </w:r>
    </w:p>
    <w:p w:rsidR="005E1F07" w:rsidRDefault="00770B6C" w:rsidP="00770B6C">
      <w:pPr>
        <w:pStyle w:val="SingleTxt"/>
      </w:pPr>
      <w:r>
        <w:t>121.</w:t>
      </w:r>
      <w:r w:rsidR="00FF1C6C">
        <w:tab/>
      </w:r>
      <w:r>
        <w:t>All public and community services, several NGOs, and village centres provide family planning services.</w:t>
      </w:r>
      <w:r w:rsidR="005E03D8">
        <w:t xml:space="preserve"> </w:t>
      </w:r>
      <w:r>
        <w:t>However, the rates of usage of such services are low.</w:t>
      </w:r>
      <w:r w:rsidR="005E03D8">
        <w:t xml:space="preserve"> </w:t>
      </w:r>
      <w:r>
        <w:t>According to the annual statistical data of the health information system, the rate of contraceptive use is quite low.</w:t>
      </w:r>
    </w:p>
    <w:p w:rsidR="005E1F07" w:rsidRDefault="00770B6C" w:rsidP="00770B6C">
      <w:pPr>
        <w:pStyle w:val="SingleTxt"/>
      </w:pPr>
      <w:r>
        <w:t>122.</w:t>
      </w:r>
      <w:r w:rsidR="00FF1C6C">
        <w:tab/>
      </w:r>
      <w:r>
        <w:t>Despite the lifting of restrictions on access to family planning methods, contraceptive prevalence remains very low. The health information system does not collect all the data related to the operations of all players but only those from the results of the activities of local public health services (Referral Health Centres, Community Health Centres). This should be supplemented with those of the private sector and NGOs working in the field.</w:t>
      </w:r>
    </w:p>
    <w:p w:rsidR="0020706D" w:rsidRPr="0020706D" w:rsidRDefault="0020706D" w:rsidP="0020706D">
      <w:pPr>
        <w:pStyle w:val="SingleTxt"/>
        <w:spacing w:after="0" w:line="120" w:lineRule="exact"/>
        <w:rPr>
          <w:sz w:val="10"/>
        </w:rPr>
      </w:pPr>
    </w:p>
    <w:p w:rsidR="005E1F07" w:rsidRDefault="00770B6C" w:rsidP="0020706D">
      <w:pPr>
        <w:pStyle w:val="H23"/>
        <w:ind w:right="1260"/>
      </w:pPr>
      <w:r>
        <w:tab/>
        <w:t>3.6</w:t>
      </w:r>
      <w:r w:rsidR="0020706D">
        <w:tab/>
      </w:r>
      <w:r>
        <w:t>Abortion</w:t>
      </w:r>
    </w:p>
    <w:p w:rsidR="0020706D" w:rsidRPr="0020706D" w:rsidRDefault="0020706D" w:rsidP="0020706D">
      <w:pPr>
        <w:pStyle w:val="SingleTxt"/>
        <w:spacing w:after="0" w:line="120" w:lineRule="exact"/>
        <w:rPr>
          <w:sz w:val="10"/>
        </w:rPr>
      </w:pPr>
    </w:p>
    <w:p w:rsidR="00770B6C" w:rsidRDefault="00770B6C" w:rsidP="00770B6C">
      <w:pPr>
        <w:pStyle w:val="SingleTxt"/>
      </w:pPr>
      <w:r>
        <w:t>123.</w:t>
      </w:r>
      <w:r w:rsidR="00FF1C6C">
        <w:tab/>
      </w:r>
      <w:r>
        <w:t>Article 211 of the Penal Code prohibits all abortions except those performed for therapeutic reasons as listed in article 13 of Law 02-044 of 22 June 2000 concerning reproductive health, namely:</w:t>
      </w:r>
    </w:p>
    <w:p w:rsidR="00770B6C" w:rsidRDefault="0020706D" w:rsidP="0020706D">
      <w:pPr>
        <w:pStyle w:val="SingleTxt"/>
        <w:tabs>
          <w:tab w:val="right" w:pos="1685"/>
        </w:tabs>
        <w:ind w:left="1742" w:hanging="475"/>
      </w:pPr>
      <w:r>
        <w:tab/>
      </w:r>
      <w:r w:rsidR="00770B6C">
        <w:t>•</w:t>
      </w:r>
      <w:r w:rsidR="00770B6C">
        <w:tab/>
        <w:t>When abortion is necessary to protect the life of the mother;</w:t>
      </w:r>
    </w:p>
    <w:p w:rsidR="005E1F07" w:rsidRDefault="0020706D" w:rsidP="0020706D">
      <w:pPr>
        <w:pStyle w:val="SingleTxt"/>
        <w:tabs>
          <w:tab w:val="right" w:pos="1685"/>
        </w:tabs>
        <w:ind w:left="1742" w:hanging="475"/>
      </w:pPr>
      <w:r>
        <w:tab/>
      </w:r>
      <w:r w:rsidR="00770B6C">
        <w:t>•</w:t>
      </w:r>
      <w:r w:rsidR="00770B6C">
        <w:tab/>
        <w:t>When the pregnancy is the result of rape or incest.</w:t>
      </w:r>
    </w:p>
    <w:p w:rsidR="005E1F07" w:rsidRPr="00EC07B0" w:rsidRDefault="00770B6C" w:rsidP="00770B6C">
      <w:pPr>
        <w:pStyle w:val="SingleTxt"/>
        <w:rPr>
          <w:spacing w:val="2"/>
        </w:rPr>
      </w:pPr>
      <w:r>
        <w:t>124.</w:t>
      </w:r>
      <w:r w:rsidR="004124C0" w:rsidRPr="00EC07B0">
        <w:rPr>
          <w:spacing w:val="2"/>
        </w:rPr>
        <w:tab/>
      </w:r>
      <w:r w:rsidRPr="00EC07B0">
        <w:rPr>
          <w:spacing w:val="2"/>
        </w:rPr>
        <w:t>Since it is prohibited, little reliable statistical data on abortion are available, but it is evident that the practice continues to be used to terminate unwanted pregnancies.</w:t>
      </w:r>
    </w:p>
    <w:p w:rsidR="0020706D" w:rsidRPr="0020706D" w:rsidRDefault="0020706D" w:rsidP="0020706D">
      <w:pPr>
        <w:pStyle w:val="SingleTxt"/>
        <w:spacing w:after="0" w:line="120" w:lineRule="exact"/>
        <w:rPr>
          <w:sz w:val="10"/>
        </w:rPr>
      </w:pPr>
    </w:p>
    <w:p w:rsidR="005E1F07" w:rsidRDefault="00770B6C" w:rsidP="0020706D">
      <w:pPr>
        <w:pStyle w:val="H23"/>
        <w:ind w:right="1260"/>
      </w:pPr>
      <w:r>
        <w:tab/>
        <w:t>3.7</w:t>
      </w:r>
      <w:r w:rsidR="0020706D">
        <w:tab/>
      </w:r>
      <w:r>
        <w:t>Sexually Transmitted Diseases</w:t>
      </w:r>
      <w:r w:rsidR="005151E1">
        <w:t>/</w:t>
      </w:r>
      <w:r>
        <w:t>HIV-AIDS</w:t>
      </w:r>
    </w:p>
    <w:p w:rsidR="0020706D" w:rsidRPr="0020706D" w:rsidRDefault="0020706D" w:rsidP="0020706D">
      <w:pPr>
        <w:pStyle w:val="SingleTxt"/>
        <w:spacing w:after="0" w:line="120" w:lineRule="exact"/>
        <w:rPr>
          <w:sz w:val="10"/>
        </w:rPr>
      </w:pPr>
    </w:p>
    <w:p w:rsidR="005E1F07" w:rsidRDefault="00770B6C" w:rsidP="00770B6C">
      <w:pPr>
        <w:pStyle w:val="SingleTxt"/>
      </w:pPr>
      <w:r>
        <w:t>125.</w:t>
      </w:r>
      <w:r w:rsidR="004124C0">
        <w:tab/>
      </w:r>
      <w:r>
        <w:t>The fourth demographic and health survey (EDSM-IV) of 2006 indicates a national seroprevalence rate of 1.3 per cent in the general population, as compared with 1.7 per cent in 2001 according to survey EDSM-III.</w:t>
      </w:r>
    </w:p>
    <w:p w:rsidR="0020706D" w:rsidRPr="0020706D" w:rsidRDefault="0020706D" w:rsidP="0020706D">
      <w:pPr>
        <w:pStyle w:val="SingleTxt"/>
        <w:spacing w:after="0" w:line="120" w:lineRule="exact"/>
        <w:rPr>
          <w:sz w:val="10"/>
        </w:rPr>
      </w:pPr>
    </w:p>
    <w:p w:rsidR="00770B6C" w:rsidRPr="0020706D" w:rsidRDefault="0020706D" w:rsidP="0020706D">
      <w:pPr>
        <w:pStyle w:val="H23"/>
        <w:ind w:right="1260"/>
        <w:rPr>
          <w:b w:val="0"/>
        </w:rPr>
      </w:pPr>
      <w:r>
        <w:tab/>
      </w:r>
      <w:r w:rsidRPr="0020706D">
        <w:rPr>
          <w:b w:val="0"/>
        </w:rPr>
        <w:tab/>
      </w:r>
      <w:r w:rsidR="00770B6C" w:rsidRPr="0020706D">
        <w:rPr>
          <w:b w:val="0"/>
        </w:rPr>
        <w:t>Table 12</w:t>
      </w:r>
    </w:p>
    <w:p w:rsidR="00770B6C" w:rsidRDefault="0020706D" w:rsidP="0020706D">
      <w:pPr>
        <w:pStyle w:val="H23"/>
        <w:ind w:right="1260"/>
      </w:pPr>
      <w:r>
        <w:tab/>
      </w:r>
      <w:r>
        <w:tab/>
      </w:r>
      <w:r w:rsidR="00770B6C">
        <w:t>HIV prevalence by gender and by region in 2001</w:t>
      </w:r>
      <w:r w:rsidR="00A275F0">
        <w:t>-</w:t>
      </w:r>
      <w:r w:rsidR="00770B6C">
        <w:t>2006</w:t>
      </w:r>
    </w:p>
    <w:p w:rsidR="0020706D" w:rsidRPr="0020706D" w:rsidRDefault="0020706D" w:rsidP="0020706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3"/>
        <w:gridCol w:w="892"/>
        <w:gridCol w:w="893"/>
        <w:gridCol w:w="892"/>
        <w:gridCol w:w="86"/>
        <w:gridCol w:w="807"/>
        <w:gridCol w:w="892"/>
        <w:gridCol w:w="893"/>
      </w:tblGrid>
      <w:tr w:rsidR="00EC07B0" w:rsidRPr="00EC07B0" w:rsidTr="00EC07B0">
        <w:trPr>
          <w:tblHeader/>
        </w:trPr>
        <w:tc>
          <w:tcPr>
            <w:tcW w:w="1973" w:type="dxa"/>
            <w:vMerge w:val="restart"/>
            <w:tcBorders>
              <w:top w:val="single" w:sz="4"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EC07B0">
              <w:rPr>
                <w:i/>
                <w:sz w:val="14"/>
              </w:rPr>
              <w:t>Gender/Regions</w:t>
            </w:r>
          </w:p>
        </w:tc>
        <w:tc>
          <w:tcPr>
            <w:tcW w:w="2677" w:type="dxa"/>
            <w:gridSpan w:val="3"/>
            <w:tcBorders>
              <w:top w:val="single" w:sz="4" w:space="0" w:color="auto"/>
              <w:bottom w:val="single" w:sz="4"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EC07B0">
              <w:rPr>
                <w:i/>
                <w:sz w:val="14"/>
              </w:rPr>
              <w:t>Prevalence in 2001 (EDSM III)</w:t>
            </w:r>
          </w:p>
        </w:tc>
        <w:tc>
          <w:tcPr>
            <w:tcW w:w="86" w:type="dxa"/>
            <w:tcBorders>
              <w:top w:val="single" w:sz="4"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2592" w:type="dxa"/>
            <w:gridSpan w:val="3"/>
            <w:tcBorders>
              <w:top w:val="single" w:sz="4" w:space="0" w:color="auto"/>
              <w:bottom w:val="single" w:sz="4"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EC07B0">
              <w:rPr>
                <w:i/>
                <w:sz w:val="14"/>
              </w:rPr>
              <w:t>Prevalence in 2006 (EDSM IV)</w:t>
            </w:r>
          </w:p>
        </w:tc>
      </w:tr>
      <w:tr w:rsidR="00EC07B0" w:rsidRPr="00EC07B0" w:rsidTr="00EC07B0">
        <w:trPr>
          <w:tblHeader/>
        </w:trPr>
        <w:tc>
          <w:tcPr>
            <w:tcW w:w="1973" w:type="dxa"/>
            <w:vMerge/>
            <w:tcBorders>
              <w:bottom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892" w:type="dxa"/>
            <w:tcBorders>
              <w:top w:val="single" w:sz="4" w:space="0" w:color="auto"/>
              <w:bottom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C07B0">
              <w:rPr>
                <w:i/>
                <w:sz w:val="14"/>
              </w:rPr>
              <w:t>Women</w:t>
            </w:r>
          </w:p>
        </w:tc>
        <w:tc>
          <w:tcPr>
            <w:tcW w:w="893" w:type="dxa"/>
            <w:tcBorders>
              <w:top w:val="single" w:sz="4" w:space="0" w:color="auto"/>
              <w:bottom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C07B0">
              <w:rPr>
                <w:i/>
                <w:sz w:val="14"/>
              </w:rPr>
              <w:t>Men</w:t>
            </w:r>
          </w:p>
        </w:tc>
        <w:tc>
          <w:tcPr>
            <w:tcW w:w="892" w:type="dxa"/>
            <w:tcBorders>
              <w:top w:val="single" w:sz="4" w:space="0" w:color="auto"/>
              <w:bottom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C07B0">
              <w:rPr>
                <w:i/>
                <w:sz w:val="14"/>
              </w:rPr>
              <w:t>Total</w:t>
            </w:r>
          </w:p>
        </w:tc>
        <w:tc>
          <w:tcPr>
            <w:tcW w:w="893" w:type="dxa"/>
            <w:gridSpan w:val="2"/>
            <w:tcBorders>
              <w:bottom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C07B0">
              <w:rPr>
                <w:i/>
                <w:sz w:val="14"/>
              </w:rPr>
              <w:t>Women</w:t>
            </w:r>
          </w:p>
        </w:tc>
        <w:tc>
          <w:tcPr>
            <w:tcW w:w="892" w:type="dxa"/>
            <w:tcBorders>
              <w:bottom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C07B0">
              <w:rPr>
                <w:i/>
                <w:sz w:val="14"/>
              </w:rPr>
              <w:t>Men</w:t>
            </w:r>
          </w:p>
        </w:tc>
        <w:tc>
          <w:tcPr>
            <w:tcW w:w="893" w:type="dxa"/>
            <w:tcBorders>
              <w:bottom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C07B0">
              <w:rPr>
                <w:i/>
                <w:sz w:val="14"/>
              </w:rPr>
              <w:t>Total</w:t>
            </w:r>
          </w:p>
        </w:tc>
      </w:tr>
      <w:tr w:rsidR="00EC07B0" w:rsidRPr="00EC07B0" w:rsidTr="00EC07B0">
        <w:trPr>
          <w:trHeight w:hRule="exact" w:val="115"/>
          <w:tblHeader/>
        </w:trPr>
        <w:tc>
          <w:tcPr>
            <w:tcW w:w="1973" w:type="dxa"/>
            <w:tcBorders>
              <w:top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92" w:type="dxa"/>
            <w:tcBorders>
              <w:top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3" w:type="dxa"/>
            <w:tcBorders>
              <w:top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2" w:type="dxa"/>
            <w:tcBorders>
              <w:top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3" w:type="dxa"/>
            <w:gridSpan w:val="2"/>
            <w:tcBorders>
              <w:top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2" w:type="dxa"/>
            <w:tcBorders>
              <w:top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3" w:type="dxa"/>
            <w:tcBorders>
              <w:top w:val="single" w:sz="12" w:space="0" w:color="auto"/>
            </w:tcBorders>
            <w:shd w:val="clear" w:color="auto" w:fill="auto"/>
            <w:vAlign w:val="bottom"/>
          </w:tcPr>
          <w:p w:rsidR="00EC07B0" w:rsidRPr="00EC07B0" w:rsidRDefault="00EC07B0"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EC07B0" w:rsidRPr="00EC07B0" w:rsidTr="00EC07B0">
        <w:tc>
          <w:tcPr>
            <w:tcW w:w="197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Bamako</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2.4</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2.7</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2.5</w:t>
            </w:r>
          </w:p>
        </w:tc>
        <w:tc>
          <w:tcPr>
            <w:tcW w:w="893" w:type="dxa"/>
            <w:gridSpan w:val="2"/>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2.3</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1.5</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1.9</w:t>
            </w:r>
          </w:p>
        </w:tc>
      </w:tr>
      <w:tr w:rsidR="00EC07B0" w:rsidRPr="00EC07B0" w:rsidTr="00EC07B0">
        <w:tc>
          <w:tcPr>
            <w:tcW w:w="197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Kayes</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2.4</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1.3</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1.9</w:t>
            </w:r>
          </w:p>
        </w:tc>
        <w:tc>
          <w:tcPr>
            <w:tcW w:w="893" w:type="dxa"/>
            <w:gridSpan w:val="2"/>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1.2</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0.0</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0.7</w:t>
            </w:r>
          </w:p>
        </w:tc>
      </w:tr>
      <w:tr w:rsidR="00EC07B0" w:rsidRPr="00EC07B0" w:rsidTr="00EC07B0">
        <w:tc>
          <w:tcPr>
            <w:tcW w:w="197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Koulikoro</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2.3</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1.3</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1.9</w:t>
            </w:r>
          </w:p>
        </w:tc>
        <w:tc>
          <w:tcPr>
            <w:tcW w:w="893" w:type="dxa"/>
            <w:gridSpan w:val="2"/>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1.0</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1.6</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1.2</w:t>
            </w:r>
          </w:p>
        </w:tc>
      </w:tr>
      <w:tr w:rsidR="00EC07B0" w:rsidRPr="00EC07B0" w:rsidTr="00EC07B0">
        <w:tc>
          <w:tcPr>
            <w:tcW w:w="197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Sikasso</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1.4</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0.4</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1.0</w:t>
            </w:r>
          </w:p>
        </w:tc>
        <w:tc>
          <w:tcPr>
            <w:tcW w:w="893" w:type="dxa"/>
            <w:gridSpan w:val="2"/>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0.9</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0.2</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0.6</w:t>
            </w:r>
          </w:p>
        </w:tc>
      </w:tr>
      <w:tr w:rsidR="00EC07B0" w:rsidRPr="00EC07B0" w:rsidTr="00EC07B0">
        <w:tc>
          <w:tcPr>
            <w:tcW w:w="197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Ségou</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2.5</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1.4</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1.9</w:t>
            </w:r>
          </w:p>
        </w:tc>
        <w:tc>
          <w:tcPr>
            <w:tcW w:w="893" w:type="dxa"/>
            <w:gridSpan w:val="2"/>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1.7</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0.8</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1.3</w:t>
            </w:r>
          </w:p>
        </w:tc>
      </w:tr>
      <w:tr w:rsidR="00EC07B0" w:rsidRPr="00EC07B0" w:rsidTr="00EC07B0">
        <w:tc>
          <w:tcPr>
            <w:tcW w:w="197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Mopti</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1.7</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1.0</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1.4</w:t>
            </w:r>
          </w:p>
        </w:tc>
        <w:tc>
          <w:tcPr>
            <w:tcW w:w="893" w:type="dxa"/>
            <w:gridSpan w:val="2"/>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1.9</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0.8</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1.4</w:t>
            </w:r>
          </w:p>
        </w:tc>
      </w:tr>
      <w:tr w:rsidR="00EC07B0" w:rsidRPr="00EC07B0" w:rsidTr="00EC07B0">
        <w:tc>
          <w:tcPr>
            <w:tcW w:w="197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Tombouctou</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0.8</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0.7</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0.7</w:t>
            </w:r>
          </w:p>
        </w:tc>
        <w:tc>
          <w:tcPr>
            <w:tcW w:w="893" w:type="dxa"/>
            <w:gridSpan w:val="2"/>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0.3</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0.7</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0.5</w:t>
            </w:r>
          </w:p>
        </w:tc>
      </w:tr>
      <w:tr w:rsidR="00EC07B0" w:rsidRPr="00EC07B0" w:rsidTr="00EC07B0">
        <w:tc>
          <w:tcPr>
            <w:tcW w:w="197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Gao</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0.8</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0.7</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0.7</w:t>
            </w:r>
          </w:p>
        </w:tc>
        <w:tc>
          <w:tcPr>
            <w:tcW w:w="893" w:type="dxa"/>
            <w:gridSpan w:val="2"/>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0.8</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1.4</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1.1</w:t>
            </w:r>
          </w:p>
        </w:tc>
      </w:tr>
      <w:tr w:rsidR="00EC07B0" w:rsidRPr="00EC07B0" w:rsidTr="00EC07B0">
        <w:tc>
          <w:tcPr>
            <w:tcW w:w="197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Kidal</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0.8</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0.7</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0.7</w:t>
            </w:r>
          </w:p>
        </w:tc>
        <w:tc>
          <w:tcPr>
            <w:tcW w:w="893" w:type="dxa"/>
            <w:gridSpan w:val="2"/>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1.1</w:t>
            </w:r>
          </w:p>
        </w:tc>
        <w:tc>
          <w:tcPr>
            <w:tcW w:w="892"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0.0</w:t>
            </w:r>
          </w:p>
        </w:tc>
        <w:tc>
          <w:tcPr>
            <w:tcW w:w="893" w:type="dxa"/>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0.6</w:t>
            </w:r>
          </w:p>
        </w:tc>
      </w:tr>
      <w:tr w:rsidR="00EC07B0" w:rsidRPr="00EC07B0" w:rsidTr="00EC07B0">
        <w:tc>
          <w:tcPr>
            <w:tcW w:w="1973" w:type="dxa"/>
            <w:tcBorders>
              <w:bottom w:val="single" w:sz="12" w:space="0" w:color="auto"/>
            </w:tcBorders>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C07B0">
              <w:rPr>
                <w:sz w:val="17"/>
              </w:rPr>
              <w:t>Total Mali</w:t>
            </w:r>
          </w:p>
        </w:tc>
        <w:tc>
          <w:tcPr>
            <w:tcW w:w="892" w:type="dxa"/>
            <w:tcBorders>
              <w:bottom w:val="single" w:sz="12" w:space="0" w:color="auto"/>
            </w:tcBorders>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2.0</w:t>
            </w:r>
          </w:p>
        </w:tc>
        <w:tc>
          <w:tcPr>
            <w:tcW w:w="893" w:type="dxa"/>
            <w:tcBorders>
              <w:bottom w:val="single" w:sz="12" w:space="0" w:color="auto"/>
            </w:tcBorders>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1.3</w:t>
            </w:r>
          </w:p>
        </w:tc>
        <w:tc>
          <w:tcPr>
            <w:tcW w:w="892" w:type="dxa"/>
            <w:tcBorders>
              <w:bottom w:val="single" w:sz="12" w:space="0" w:color="auto"/>
            </w:tcBorders>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1.7</w:t>
            </w:r>
          </w:p>
        </w:tc>
        <w:tc>
          <w:tcPr>
            <w:tcW w:w="893" w:type="dxa"/>
            <w:gridSpan w:val="2"/>
            <w:tcBorders>
              <w:bottom w:val="single" w:sz="12" w:space="0" w:color="auto"/>
            </w:tcBorders>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1.4</w:t>
            </w:r>
          </w:p>
        </w:tc>
        <w:tc>
          <w:tcPr>
            <w:tcW w:w="892" w:type="dxa"/>
            <w:tcBorders>
              <w:bottom w:val="single" w:sz="12" w:space="0" w:color="auto"/>
            </w:tcBorders>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1.0</w:t>
            </w:r>
          </w:p>
        </w:tc>
        <w:tc>
          <w:tcPr>
            <w:tcW w:w="893" w:type="dxa"/>
            <w:tcBorders>
              <w:bottom w:val="single" w:sz="12" w:space="0" w:color="auto"/>
            </w:tcBorders>
            <w:shd w:val="clear" w:color="auto" w:fill="auto"/>
            <w:vAlign w:val="bottom"/>
          </w:tcPr>
          <w:p w:rsidR="0020706D" w:rsidRPr="00EC07B0" w:rsidRDefault="0020706D" w:rsidP="00EC0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EC07B0">
              <w:rPr>
                <w:sz w:val="17"/>
              </w:rPr>
              <w:t>1.3</w:t>
            </w:r>
          </w:p>
        </w:tc>
      </w:tr>
    </w:tbl>
    <w:p w:rsidR="00EC07B0" w:rsidRPr="00EC07B0" w:rsidRDefault="00EC07B0" w:rsidP="00EC07B0">
      <w:pPr>
        <w:pStyle w:val="SingleTxt"/>
        <w:spacing w:after="0" w:line="120" w:lineRule="exact"/>
        <w:rPr>
          <w:sz w:val="10"/>
        </w:rPr>
      </w:pPr>
    </w:p>
    <w:p w:rsidR="005E1F07" w:rsidRDefault="00770B6C" w:rsidP="00770B6C">
      <w:pPr>
        <w:pStyle w:val="SingleTxt"/>
      </w:pPr>
      <w:r>
        <w:lastRenderedPageBreak/>
        <w:t>126.</w:t>
      </w:r>
      <w:r w:rsidR="004124C0">
        <w:tab/>
      </w:r>
      <w:r>
        <w:t>As in 2001, prevalence is higher among women (1.5 per cent) than among men (1.0 per cent).</w:t>
      </w:r>
    </w:p>
    <w:p w:rsidR="005E1F07" w:rsidRDefault="00770B6C" w:rsidP="00770B6C">
      <w:pPr>
        <w:pStyle w:val="SingleTxt"/>
      </w:pPr>
      <w:r>
        <w:t>127.</w:t>
      </w:r>
      <w:r w:rsidR="004124C0">
        <w:tab/>
      </w:r>
      <w:r>
        <w:t>Bamako is still the hardest-hit region (1.9 per cent) followed by Mopti (1.4 per cent), followed by Ségou (1.3 per cent) and Koulikoro (1.2 per cent).</w:t>
      </w:r>
    </w:p>
    <w:p w:rsidR="005E1F07" w:rsidRDefault="00770B6C" w:rsidP="00770B6C">
      <w:pPr>
        <w:pStyle w:val="SingleTxt"/>
      </w:pPr>
      <w:r>
        <w:t>128.</w:t>
      </w:r>
      <w:r w:rsidR="004124C0">
        <w:tab/>
      </w:r>
      <w:r>
        <w:t>Prevalence is highest among the most fit and sexually active groups, especially women, as illustrated by the following table:</w:t>
      </w:r>
    </w:p>
    <w:p w:rsidR="00EC07B0" w:rsidRPr="00EC07B0" w:rsidRDefault="00EC07B0" w:rsidP="00EC07B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23"/>
        <w:gridCol w:w="1635"/>
        <w:gridCol w:w="1635"/>
        <w:gridCol w:w="1635"/>
      </w:tblGrid>
      <w:tr w:rsidR="00EC07B0" w:rsidRPr="00C31965" w:rsidTr="00C31965">
        <w:trPr>
          <w:tblHeader/>
        </w:trPr>
        <w:tc>
          <w:tcPr>
            <w:tcW w:w="2423" w:type="dxa"/>
            <w:tcBorders>
              <w:top w:val="single" w:sz="4" w:space="0" w:color="auto"/>
              <w:bottom w:val="single" w:sz="12" w:space="0" w:color="auto"/>
            </w:tcBorders>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31965">
              <w:rPr>
                <w:i/>
                <w:sz w:val="14"/>
              </w:rPr>
              <w:t>Gender/Age groups</w:t>
            </w:r>
          </w:p>
        </w:tc>
        <w:tc>
          <w:tcPr>
            <w:tcW w:w="1635" w:type="dxa"/>
            <w:tcBorders>
              <w:top w:val="single" w:sz="4" w:space="0" w:color="auto"/>
              <w:bottom w:val="single" w:sz="12" w:space="0" w:color="auto"/>
            </w:tcBorders>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31965">
              <w:rPr>
                <w:i/>
                <w:sz w:val="14"/>
              </w:rPr>
              <w:t>Women</w:t>
            </w:r>
          </w:p>
        </w:tc>
        <w:tc>
          <w:tcPr>
            <w:tcW w:w="1635" w:type="dxa"/>
            <w:tcBorders>
              <w:top w:val="single" w:sz="4" w:space="0" w:color="auto"/>
              <w:bottom w:val="single" w:sz="12" w:space="0" w:color="auto"/>
            </w:tcBorders>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31965">
              <w:rPr>
                <w:i/>
                <w:sz w:val="14"/>
              </w:rPr>
              <w:t>Men</w:t>
            </w:r>
          </w:p>
        </w:tc>
        <w:tc>
          <w:tcPr>
            <w:tcW w:w="1635" w:type="dxa"/>
            <w:tcBorders>
              <w:top w:val="single" w:sz="4" w:space="0" w:color="auto"/>
              <w:bottom w:val="single" w:sz="12" w:space="0" w:color="auto"/>
            </w:tcBorders>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31965">
              <w:rPr>
                <w:i/>
                <w:sz w:val="14"/>
              </w:rPr>
              <w:t>Total</w:t>
            </w:r>
          </w:p>
        </w:tc>
      </w:tr>
      <w:tr w:rsidR="00C31965" w:rsidRPr="00C31965" w:rsidTr="00C31965">
        <w:trPr>
          <w:trHeight w:hRule="exact" w:val="115"/>
          <w:tblHeader/>
        </w:trPr>
        <w:tc>
          <w:tcPr>
            <w:tcW w:w="2423" w:type="dxa"/>
            <w:tcBorders>
              <w:top w:val="single" w:sz="12" w:space="0" w:color="auto"/>
            </w:tcBorders>
            <w:shd w:val="clear" w:color="auto" w:fill="auto"/>
            <w:vAlign w:val="bottom"/>
          </w:tcPr>
          <w:p w:rsidR="00C31965" w:rsidRPr="00C31965" w:rsidRDefault="00C31965"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635" w:type="dxa"/>
            <w:tcBorders>
              <w:top w:val="single" w:sz="12" w:space="0" w:color="auto"/>
            </w:tcBorders>
            <w:shd w:val="clear" w:color="auto" w:fill="auto"/>
            <w:vAlign w:val="bottom"/>
          </w:tcPr>
          <w:p w:rsidR="00C31965" w:rsidRPr="00C31965" w:rsidRDefault="00C31965"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635" w:type="dxa"/>
            <w:tcBorders>
              <w:top w:val="single" w:sz="12" w:space="0" w:color="auto"/>
            </w:tcBorders>
            <w:shd w:val="clear" w:color="auto" w:fill="auto"/>
            <w:vAlign w:val="bottom"/>
          </w:tcPr>
          <w:p w:rsidR="00C31965" w:rsidRPr="00C31965" w:rsidRDefault="00C31965"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635" w:type="dxa"/>
            <w:tcBorders>
              <w:top w:val="single" w:sz="12" w:space="0" w:color="auto"/>
            </w:tcBorders>
            <w:shd w:val="clear" w:color="auto" w:fill="auto"/>
            <w:vAlign w:val="bottom"/>
          </w:tcPr>
          <w:p w:rsidR="00C31965" w:rsidRPr="00C31965" w:rsidRDefault="00C31965"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EC07B0" w:rsidRPr="00C31965" w:rsidTr="00C31965">
        <w:tc>
          <w:tcPr>
            <w:tcW w:w="2423"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31965">
              <w:rPr>
                <w:sz w:val="17"/>
              </w:rPr>
              <w:t>15-19 years</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0.6</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0.7</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0.6</w:t>
            </w:r>
          </w:p>
        </w:tc>
      </w:tr>
      <w:tr w:rsidR="00EC07B0" w:rsidRPr="00C31965" w:rsidTr="00C31965">
        <w:tc>
          <w:tcPr>
            <w:tcW w:w="2423"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31965">
              <w:rPr>
                <w:sz w:val="17"/>
              </w:rPr>
              <w:t>20-24 years</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1.3</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0.8</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1.1</w:t>
            </w:r>
          </w:p>
        </w:tc>
      </w:tr>
      <w:tr w:rsidR="00EC07B0" w:rsidRPr="00C31965" w:rsidTr="00C31965">
        <w:tc>
          <w:tcPr>
            <w:tcW w:w="2423"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31965">
              <w:rPr>
                <w:sz w:val="17"/>
              </w:rPr>
              <w:t>25-29 years</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2.0</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0.6</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1.5</w:t>
            </w:r>
          </w:p>
        </w:tc>
      </w:tr>
      <w:tr w:rsidR="00EC07B0" w:rsidRPr="00C31965" w:rsidTr="00C31965">
        <w:tc>
          <w:tcPr>
            <w:tcW w:w="2423"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31965">
              <w:rPr>
                <w:sz w:val="17"/>
              </w:rPr>
              <w:t>30-34 years</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2.2</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2.2</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2.2</w:t>
            </w:r>
          </w:p>
        </w:tc>
      </w:tr>
      <w:tr w:rsidR="00EC07B0" w:rsidRPr="00C31965" w:rsidTr="00C31965">
        <w:tc>
          <w:tcPr>
            <w:tcW w:w="2423"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31965">
              <w:rPr>
                <w:sz w:val="17"/>
              </w:rPr>
              <w:t>35-39 years</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2.2</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0.6</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1.5</w:t>
            </w:r>
          </w:p>
        </w:tc>
      </w:tr>
      <w:tr w:rsidR="00EC07B0" w:rsidRPr="00C31965" w:rsidTr="00C31965">
        <w:tc>
          <w:tcPr>
            <w:tcW w:w="2423"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31965">
              <w:rPr>
                <w:sz w:val="17"/>
              </w:rPr>
              <w:t>40-44 years</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1.9</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1.9</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1.9</w:t>
            </w:r>
          </w:p>
        </w:tc>
      </w:tr>
      <w:tr w:rsidR="00EC07B0" w:rsidRPr="00C31965" w:rsidTr="00C31965">
        <w:tc>
          <w:tcPr>
            <w:tcW w:w="2423"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31965">
              <w:rPr>
                <w:sz w:val="17"/>
              </w:rPr>
              <w:t>45-49 years</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1.2</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0.8</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1.0</w:t>
            </w:r>
          </w:p>
        </w:tc>
      </w:tr>
      <w:tr w:rsidR="00EC07B0" w:rsidRPr="00C31965" w:rsidTr="00C31965">
        <w:tc>
          <w:tcPr>
            <w:tcW w:w="2423"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31965">
              <w:rPr>
                <w:sz w:val="17"/>
              </w:rPr>
              <w:t>50-59 years</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na</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1.7</w:t>
            </w:r>
          </w:p>
        </w:tc>
        <w:tc>
          <w:tcPr>
            <w:tcW w:w="1635" w:type="dxa"/>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na</w:t>
            </w:r>
          </w:p>
        </w:tc>
      </w:tr>
      <w:tr w:rsidR="00EC07B0" w:rsidRPr="00C31965" w:rsidTr="00C31965">
        <w:tc>
          <w:tcPr>
            <w:tcW w:w="2423" w:type="dxa"/>
            <w:tcBorders>
              <w:bottom w:val="single" w:sz="12" w:space="0" w:color="auto"/>
            </w:tcBorders>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31965">
              <w:rPr>
                <w:sz w:val="17"/>
              </w:rPr>
              <w:t>Total</w:t>
            </w:r>
          </w:p>
        </w:tc>
        <w:tc>
          <w:tcPr>
            <w:tcW w:w="1635" w:type="dxa"/>
            <w:tcBorders>
              <w:bottom w:val="single" w:sz="12" w:space="0" w:color="auto"/>
            </w:tcBorders>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1.5</w:t>
            </w:r>
          </w:p>
        </w:tc>
        <w:tc>
          <w:tcPr>
            <w:tcW w:w="1635" w:type="dxa"/>
            <w:tcBorders>
              <w:bottom w:val="single" w:sz="12" w:space="0" w:color="auto"/>
            </w:tcBorders>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1.0</w:t>
            </w:r>
          </w:p>
        </w:tc>
        <w:tc>
          <w:tcPr>
            <w:tcW w:w="1635" w:type="dxa"/>
            <w:tcBorders>
              <w:bottom w:val="single" w:sz="12" w:space="0" w:color="auto"/>
            </w:tcBorders>
            <w:shd w:val="clear" w:color="auto" w:fill="auto"/>
            <w:vAlign w:val="bottom"/>
          </w:tcPr>
          <w:p w:rsidR="00EC07B0" w:rsidRPr="00C31965" w:rsidRDefault="00EC07B0" w:rsidP="00C319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31965">
              <w:rPr>
                <w:sz w:val="17"/>
              </w:rPr>
              <w:t>1.3</w:t>
            </w:r>
          </w:p>
        </w:tc>
      </w:tr>
    </w:tbl>
    <w:p w:rsidR="00EC07B0" w:rsidRPr="00EC07B0" w:rsidRDefault="00EC07B0" w:rsidP="00EC07B0">
      <w:pPr>
        <w:pStyle w:val="SingleTxt"/>
        <w:spacing w:after="0" w:line="120" w:lineRule="exact"/>
        <w:rPr>
          <w:sz w:val="10"/>
        </w:rPr>
      </w:pPr>
    </w:p>
    <w:p w:rsidR="005E1F07" w:rsidRDefault="00770B6C" w:rsidP="00EC07B0">
      <w:pPr>
        <w:pStyle w:val="FootnoteText"/>
        <w:tabs>
          <w:tab w:val="clear" w:pos="418"/>
          <w:tab w:val="right" w:pos="1476"/>
          <w:tab w:val="left" w:pos="1548"/>
          <w:tab w:val="right" w:pos="1836"/>
          <w:tab w:val="left" w:pos="1908"/>
        </w:tabs>
        <w:ind w:left="1548" w:right="1267" w:hanging="288"/>
      </w:pPr>
      <w:r w:rsidRPr="00A61064">
        <w:rPr>
          <w:i/>
        </w:rPr>
        <w:t>Source</w:t>
      </w:r>
      <w:r w:rsidRPr="00A61064">
        <w:t>:</w:t>
      </w:r>
      <w:r w:rsidRPr="00EC07B0">
        <w:rPr>
          <w:i/>
        </w:rPr>
        <w:t xml:space="preserve"> Malian Demographic and Health Surveys: EDSM-IV 2006</w:t>
      </w:r>
      <w:r w:rsidR="00EC07B0">
        <w:t>.</w:t>
      </w:r>
    </w:p>
    <w:p w:rsidR="00EC07B0" w:rsidRPr="00EC07B0" w:rsidRDefault="00EC07B0" w:rsidP="00EC07B0">
      <w:pPr>
        <w:pStyle w:val="SingleTxt"/>
        <w:spacing w:after="0" w:line="120" w:lineRule="exact"/>
        <w:rPr>
          <w:sz w:val="10"/>
        </w:rPr>
      </w:pPr>
    </w:p>
    <w:p w:rsidR="00EC07B0" w:rsidRPr="00EC07B0" w:rsidRDefault="00EC07B0" w:rsidP="00EC07B0">
      <w:pPr>
        <w:pStyle w:val="SingleTxt"/>
        <w:spacing w:after="0" w:line="120" w:lineRule="exact"/>
        <w:rPr>
          <w:sz w:val="10"/>
        </w:rPr>
      </w:pPr>
    </w:p>
    <w:p w:rsidR="005E1F07" w:rsidRPr="00C31965" w:rsidRDefault="00770B6C" w:rsidP="00770B6C">
      <w:pPr>
        <w:pStyle w:val="SingleTxt"/>
        <w:rPr>
          <w:spacing w:val="2"/>
        </w:rPr>
      </w:pPr>
      <w:r>
        <w:t>129.</w:t>
      </w:r>
      <w:r w:rsidR="004124C0">
        <w:tab/>
      </w:r>
      <w:r w:rsidRPr="00C31965">
        <w:rPr>
          <w:spacing w:val="2"/>
        </w:rPr>
        <w:t xml:space="preserve">As in 2001, the age groups most affected in 2006 are 30-34 years (2.2 per cent) followed by 40-44 (1.9 per cent) and 25-29 (1.5 per cent). Among women prevalence rises with age: 1.3 per cent for ages 20-24, 2 per cent for 25-29, and 2.2 per cent for those 30-24 and 35-39 years of age, then 1.9 per cent for ages 40-44. Women are more at risk for AIDS owing to certain </w:t>
      </w:r>
      <w:r w:rsidR="00224C39" w:rsidRPr="00224C39">
        <w:rPr>
          <w:spacing w:val="2"/>
        </w:rPr>
        <w:t>socio</w:t>
      </w:r>
      <w:r w:rsidRPr="00C31965">
        <w:rPr>
          <w:spacing w:val="2"/>
        </w:rPr>
        <w:t>cultural and socioeconomic factors, in particular levirate marriage, illiteracy and extreme poverty.</w:t>
      </w:r>
    </w:p>
    <w:p w:rsidR="005E1F07" w:rsidRDefault="00770B6C" w:rsidP="00770B6C">
      <w:pPr>
        <w:pStyle w:val="SingleTxt"/>
      </w:pPr>
      <w:r>
        <w:t>130.</w:t>
      </w:r>
      <w:r w:rsidR="004124C0">
        <w:tab/>
      </w:r>
      <w:r>
        <w:t>Initiatives taken since 2004 have made it possible to increase the supply of services in terms of screening and in terms of prevention of mother-to-child transmission and medical coverage.</w:t>
      </w:r>
      <w:r w:rsidR="005E03D8">
        <w:t xml:space="preserve"> </w:t>
      </w:r>
      <w:r>
        <w:t>The 2009 report of the Ministry of Health committee to combat AIDS indicates that:</w:t>
      </w:r>
    </w:p>
    <w:p w:rsidR="005E1F07" w:rsidRDefault="004124C0" w:rsidP="00C31965">
      <w:pPr>
        <w:pStyle w:val="SingleTxt"/>
        <w:tabs>
          <w:tab w:val="right" w:pos="1685"/>
        </w:tabs>
        <w:ind w:left="1742" w:hanging="475"/>
      </w:pPr>
      <w:r>
        <w:tab/>
      </w:r>
      <w:r w:rsidR="00770B6C">
        <w:t>•</w:t>
      </w:r>
      <w:r w:rsidR="00770B6C">
        <w:tab/>
        <w:t>The number of voluntary screening centres as of 31 December 2008 is 260, of which 178 are private and community centres;</w:t>
      </w:r>
    </w:p>
    <w:p w:rsidR="005E1F07" w:rsidRDefault="004124C0" w:rsidP="00C31965">
      <w:pPr>
        <w:pStyle w:val="SingleTxt"/>
        <w:tabs>
          <w:tab w:val="right" w:pos="1685"/>
        </w:tabs>
        <w:ind w:left="1742" w:hanging="475"/>
      </w:pPr>
      <w:r>
        <w:tab/>
      </w:r>
      <w:r w:rsidR="00770B6C">
        <w:t>•</w:t>
      </w:r>
      <w:r w:rsidR="00770B6C">
        <w:tab/>
        <w:t>In 2008 there were 172 sites providing prevention of mother-child transmission of which 63 provided overall care and 30 provided paediatric care;</w:t>
      </w:r>
    </w:p>
    <w:p w:rsidR="005E1F07" w:rsidRDefault="004124C0" w:rsidP="00C31965">
      <w:pPr>
        <w:pStyle w:val="SingleTxt"/>
        <w:tabs>
          <w:tab w:val="right" w:pos="1685"/>
        </w:tabs>
        <w:ind w:left="1742" w:hanging="475"/>
      </w:pPr>
      <w:r>
        <w:tab/>
      </w:r>
      <w:r w:rsidR="00770B6C">
        <w:t>•</w:t>
      </w:r>
      <w:r w:rsidR="00770B6C">
        <w:tab/>
        <w:t>In 2009 there were 203,615 screenings, of which:</w:t>
      </w:r>
    </w:p>
    <w:p w:rsidR="00770B6C" w:rsidRDefault="00C31965" w:rsidP="00C31965">
      <w:pPr>
        <w:pStyle w:val="SingleTxt"/>
        <w:tabs>
          <w:tab w:val="clear" w:pos="1742"/>
          <w:tab w:val="right" w:pos="1685"/>
          <w:tab w:val="left" w:pos="1863"/>
        </w:tabs>
        <w:ind w:left="2016" w:hanging="749"/>
      </w:pPr>
      <w:r>
        <w:tab/>
      </w:r>
      <w:r>
        <w:tab/>
        <w:t>–</w:t>
      </w:r>
      <w:r>
        <w:tab/>
      </w:r>
      <w:r w:rsidR="00770B6C">
        <w:t>82,196 through voluntary screening (2,493 positives);</w:t>
      </w:r>
    </w:p>
    <w:p w:rsidR="00770B6C" w:rsidRDefault="00C31965" w:rsidP="00C31965">
      <w:pPr>
        <w:pStyle w:val="SingleTxt"/>
        <w:tabs>
          <w:tab w:val="clear" w:pos="1742"/>
          <w:tab w:val="clear" w:pos="2218"/>
          <w:tab w:val="clear" w:pos="2693"/>
          <w:tab w:val="right" w:pos="1685"/>
          <w:tab w:val="left" w:pos="1890"/>
          <w:tab w:val="left" w:pos="2016"/>
        </w:tabs>
        <w:ind w:left="2016" w:hanging="749"/>
      </w:pPr>
      <w:r>
        <w:tab/>
      </w:r>
      <w:r>
        <w:tab/>
        <w:t>–</w:t>
      </w:r>
      <w:r>
        <w:tab/>
      </w:r>
      <w:r w:rsidR="00770B6C">
        <w:t>86,825 screened through prevention of mother-child transmission (1,614 positives);</w:t>
      </w:r>
    </w:p>
    <w:p w:rsidR="005E1F07" w:rsidRDefault="00C31965" w:rsidP="00C31965">
      <w:pPr>
        <w:pStyle w:val="SingleTxt"/>
        <w:tabs>
          <w:tab w:val="clear" w:pos="1742"/>
          <w:tab w:val="right" w:pos="1685"/>
          <w:tab w:val="left" w:pos="1863"/>
        </w:tabs>
        <w:ind w:left="2016" w:hanging="749"/>
      </w:pPr>
      <w:r>
        <w:tab/>
      </w:r>
      <w:r>
        <w:tab/>
        <w:t>–</w:t>
      </w:r>
      <w:r>
        <w:tab/>
      </w:r>
      <w:r w:rsidR="00770B6C">
        <w:t>34,594 screenings prescribed in treatment settings (10,971 positives)</w:t>
      </w:r>
      <w:r>
        <w:t>;</w:t>
      </w:r>
    </w:p>
    <w:p w:rsidR="00770B6C" w:rsidRDefault="00C31965" w:rsidP="00C31965">
      <w:pPr>
        <w:pStyle w:val="SingleTxt"/>
        <w:tabs>
          <w:tab w:val="right" w:pos="1685"/>
        </w:tabs>
        <w:ind w:left="1742" w:hanging="475"/>
      </w:pPr>
      <w:r>
        <w:tab/>
        <w:t>▪</w:t>
      </w:r>
      <w:r w:rsidR="00770B6C">
        <w:tab/>
        <w:t xml:space="preserve">In late 2008, 23,754 patients were started on antiretroviral therapy, of whom 94.6 per cent were adults and 5.4 per cent children, or just over the 2008 </w:t>
      </w:r>
      <w:r w:rsidR="00770B6C">
        <w:lastRenderedPageBreak/>
        <w:t>forecasts of the Ministry of Health</w:t>
      </w:r>
      <w:r w:rsidR="001E33E4">
        <w:t>’</w:t>
      </w:r>
      <w:r w:rsidR="00770B6C">
        <w:t>s 2005-2010 sector plan, which was for 21,000 patients;</w:t>
      </w:r>
    </w:p>
    <w:p w:rsidR="00770B6C" w:rsidRDefault="00C31965" w:rsidP="00C31965">
      <w:pPr>
        <w:pStyle w:val="SingleTxt"/>
        <w:tabs>
          <w:tab w:val="right" w:pos="1685"/>
        </w:tabs>
        <w:ind w:left="1742" w:hanging="475"/>
      </w:pPr>
      <w:r>
        <w:tab/>
        <w:t>▪</w:t>
      </w:r>
      <w:r w:rsidR="00770B6C">
        <w:tab/>
        <w:t>In December, 2009, 29260 patients were started on antiretroviral therapy, of whom 21,200 were regularly followed through ARV, i.e. a compliance rate of 72.10 per cent</w:t>
      </w:r>
      <w:r w:rsidR="00DD173B">
        <w:t>;</w:t>
      </w:r>
    </w:p>
    <w:p w:rsidR="005E1F07" w:rsidRDefault="00C31965" w:rsidP="00C31965">
      <w:pPr>
        <w:pStyle w:val="SingleTxt"/>
        <w:tabs>
          <w:tab w:val="right" w:pos="1685"/>
        </w:tabs>
        <w:ind w:left="1742" w:hanging="475"/>
      </w:pPr>
      <w:r>
        <w:tab/>
        <w:t>▪</w:t>
      </w:r>
      <w:r w:rsidR="00770B6C">
        <w:tab/>
        <w:t>The distribution of patients by gender is given in the table below.</w:t>
      </w:r>
    </w:p>
    <w:p w:rsidR="005E1F07" w:rsidRDefault="00770B6C" w:rsidP="00770B6C">
      <w:pPr>
        <w:pStyle w:val="SingleTxt"/>
      </w:pPr>
      <w:r>
        <w:t>131.</w:t>
      </w:r>
      <w:r w:rsidR="004124C0">
        <w:tab/>
      </w:r>
      <w:r>
        <w:t>Women were in a majority in the cohort and accounted for 65 per cent both among the patients started on the therapy and among patients regularly receiving ARV.</w:t>
      </w:r>
      <w:r w:rsidR="005E03D8">
        <w:t xml:space="preserve"> </w:t>
      </w:r>
      <w:r>
        <w:t>The rate of compliance is higher among women.</w:t>
      </w:r>
      <w:r w:rsidR="005E03D8">
        <w:t xml:space="preserve"> </w:t>
      </w:r>
      <w:r>
        <w:t>Comprehensive coverage is available in all regions of Mali.</w:t>
      </w:r>
    </w:p>
    <w:p w:rsidR="00770B6C" w:rsidRDefault="00770B6C" w:rsidP="00770B6C">
      <w:pPr>
        <w:pStyle w:val="SingleTxt"/>
      </w:pPr>
      <w:r>
        <w:t>132.</w:t>
      </w:r>
      <w:r w:rsidR="004124C0">
        <w:tab/>
      </w:r>
      <w:r>
        <w:t>Women receiving ARV outnumber men because they have a higher rate of seroprevalence than men and also because, in addition to the screenings at voluntary screening centres and prescribed screenings at clinics, the screenings done for prevention of mother-to-child transmission affect only women.</w:t>
      </w:r>
    </w:p>
    <w:p w:rsidR="009353B4" w:rsidRPr="009353B4" w:rsidRDefault="009353B4" w:rsidP="009353B4">
      <w:pPr>
        <w:pStyle w:val="SingleTxt"/>
        <w:spacing w:after="0" w:line="120" w:lineRule="exact"/>
        <w:rPr>
          <w:sz w:val="10"/>
        </w:rPr>
      </w:pPr>
    </w:p>
    <w:p w:rsidR="005E1F07" w:rsidRDefault="00770B6C" w:rsidP="009353B4">
      <w:pPr>
        <w:pStyle w:val="H23"/>
        <w:ind w:right="1260"/>
      </w:pPr>
      <w:r>
        <w:tab/>
        <w:t>3.8</w:t>
      </w:r>
      <w:r w:rsidR="009353B4">
        <w:tab/>
      </w:r>
      <w:r>
        <w:t>Harmful practices</w:t>
      </w:r>
    </w:p>
    <w:p w:rsidR="009353B4" w:rsidRPr="009353B4" w:rsidRDefault="009353B4" w:rsidP="009353B4">
      <w:pPr>
        <w:pStyle w:val="SingleTxt"/>
        <w:spacing w:after="0" w:line="120" w:lineRule="exact"/>
        <w:rPr>
          <w:sz w:val="10"/>
        </w:rPr>
      </w:pPr>
    </w:p>
    <w:p w:rsidR="00770B6C" w:rsidRDefault="00770B6C" w:rsidP="00770B6C">
      <w:pPr>
        <w:pStyle w:val="SingleTxt"/>
      </w:pPr>
      <w:r>
        <w:t>133.</w:t>
      </w:r>
      <w:r w:rsidR="004124C0">
        <w:tab/>
      </w:r>
      <w:r>
        <w:t>Mali regards the following 16 practices as harmful to the health of women and children:</w:t>
      </w:r>
    </w:p>
    <w:p w:rsidR="00770B6C" w:rsidRDefault="004124C0" w:rsidP="009353B4">
      <w:pPr>
        <w:pStyle w:val="SingleTxt"/>
        <w:tabs>
          <w:tab w:val="right" w:pos="1685"/>
        </w:tabs>
        <w:ind w:left="1742" w:hanging="475"/>
      </w:pPr>
      <w:r>
        <w:tab/>
      </w:r>
      <w:r w:rsidR="00770B6C">
        <w:t>•</w:t>
      </w:r>
      <w:r w:rsidR="00770B6C">
        <w:tab/>
        <w:t>Excision</w:t>
      </w:r>
    </w:p>
    <w:p w:rsidR="00770B6C" w:rsidRDefault="004124C0" w:rsidP="009353B4">
      <w:pPr>
        <w:pStyle w:val="SingleTxt"/>
        <w:tabs>
          <w:tab w:val="right" w:pos="1685"/>
        </w:tabs>
        <w:ind w:left="1742" w:hanging="475"/>
      </w:pPr>
      <w:r>
        <w:tab/>
      </w:r>
      <w:r w:rsidR="00770B6C">
        <w:t>•</w:t>
      </w:r>
      <w:r w:rsidR="00770B6C">
        <w:tab/>
        <w:t>Scarification</w:t>
      </w:r>
    </w:p>
    <w:p w:rsidR="00770B6C" w:rsidRDefault="004124C0" w:rsidP="009353B4">
      <w:pPr>
        <w:pStyle w:val="SingleTxt"/>
        <w:tabs>
          <w:tab w:val="right" w:pos="1685"/>
        </w:tabs>
        <w:ind w:left="1742" w:hanging="475"/>
      </w:pPr>
      <w:r>
        <w:tab/>
      </w:r>
      <w:r w:rsidR="00770B6C">
        <w:t>•</w:t>
      </w:r>
      <w:r w:rsidR="00770B6C">
        <w:tab/>
        <w:t>Filing of teeth</w:t>
      </w:r>
    </w:p>
    <w:p w:rsidR="00770B6C" w:rsidRDefault="004124C0" w:rsidP="009353B4">
      <w:pPr>
        <w:pStyle w:val="SingleTxt"/>
        <w:tabs>
          <w:tab w:val="right" w:pos="1685"/>
        </w:tabs>
        <w:ind w:left="1742" w:hanging="475"/>
      </w:pPr>
      <w:r>
        <w:tab/>
      </w:r>
      <w:r w:rsidR="00770B6C">
        <w:t>•</w:t>
      </w:r>
      <w:r w:rsidR="00770B6C">
        <w:tab/>
        <w:t>Cionectomy</w:t>
      </w:r>
    </w:p>
    <w:p w:rsidR="00770B6C" w:rsidRDefault="004124C0" w:rsidP="009353B4">
      <w:pPr>
        <w:pStyle w:val="SingleTxt"/>
        <w:tabs>
          <w:tab w:val="right" w:pos="1685"/>
        </w:tabs>
        <w:ind w:left="1742" w:hanging="475"/>
      </w:pPr>
      <w:r>
        <w:tab/>
      </w:r>
      <w:r w:rsidR="00770B6C">
        <w:t>•</w:t>
      </w:r>
      <w:r w:rsidR="00770B6C">
        <w:tab/>
        <w:t>Tattooing</w:t>
      </w:r>
    </w:p>
    <w:p w:rsidR="00770B6C" w:rsidRDefault="004124C0" w:rsidP="009353B4">
      <w:pPr>
        <w:pStyle w:val="SingleTxt"/>
        <w:tabs>
          <w:tab w:val="right" w:pos="1685"/>
        </w:tabs>
        <w:ind w:left="1742" w:hanging="475"/>
      </w:pPr>
      <w:r>
        <w:tab/>
      </w:r>
      <w:r w:rsidR="00770B6C">
        <w:t>•</w:t>
      </w:r>
      <w:r w:rsidR="00770B6C">
        <w:tab/>
        <w:t>Bloodletting</w:t>
      </w:r>
    </w:p>
    <w:p w:rsidR="00770B6C" w:rsidRDefault="004124C0" w:rsidP="009353B4">
      <w:pPr>
        <w:pStyle w:val="SingleTxt"/>
        <w:tabs>
          <w:tab w:val="right" w:pos="1685"/>
        </w:tabs>
        <w:ind w:left="1742" w:hanging="475"/>
      </w:pPr>
      <w:r>
        <w:tab/>
      </w:r>
      <w:r w:rsidR="00770B6C">
        <w:t>•</w:t>
      </w:r>
      <w:r w:rsidR="00770B6C">
        <w:tab/>
        <w:t>The use of aphrodisiacs by women</w:t>
      </w:r>
    </w:p>
    <w:p w:rsidR="00770B6C" w:rsidRDefault="004124C0" w:rsidP="009353B4">
      <w:pPr>
        <w:pStyle w:val="SingleTxt"/>
        <w:tabs>
          <w:tab w:val="right" w:pos="1685"/>
        </w:tabs>
        <w:ind w:left="1742" w:hanging="475"/>
      </w:pPr>
      <w:r>
        <w:tab/>
      </w:r>
      <w:r w:rsidR="00770B6C">
        <w:t>•</w:t>
      </w:r>
      <w:r w:rsidR="00770B6C">
        <w:tab/>
        <w:t>Depigmentation</w:t>
      </w:r>
    </w:p>
    <w:p w:rsidR="00770B6C" w:rsidRDefault="004124C0" w:rsidP="009353B4">
      <w:pPr>
        <w:pStyle w:val="SingleTxt"/>
        <w:tabs>
          <w:tab w:val="right" w:pos="1685"/>
        </w:tabs>
        <w:ind w:left="1742" w:hanging="475"/>
      </w:pPr>
      <w:r>
        <w:tab/>
      </w:r>
      <w:r w:rsidR="00770B6C">
        <w:t>•</w:t>
      </w:r>
      <w:r w:rsidR="00770B6C">
        <w:tab/>
        <w:t>Forced marriage and/or marriage at a very young age</w:t>
      </w:r>
    </w:p>
    <w:p w:rsidR="00770B6C" w:rsidRDefault="004124C0" w:rsidP="009353B4">
      <w:pPr>
        <w:pStyle w:val="SingleTxt"/>
        <w:tabs>
          <w:tab w:val="right" w:pos="1685"/>
        </w:tabs>
        <w:ind w:left="1742" w:hanging="475"/>
      </w:pPr>
      <w:r>
        <w:tab/>
      </w:r>
      <w:r w:rsidR="00770B6C">
        <w:t>•</w:t>
      </w:r>
      <w:r w:rsidR="00770B6C">
        <w:tab/>
        <w:t>Levirate and sororate marriages</w:t>
      </w:r>
    </w:p>
    <w:p w:rsidR="00770B6C" w:rsidRDefault="004124C0" w:rsidP="009353B4">
      <w:pPr>
        <w:pStyle w:val="SingleTxt"/>
        <w:tabs>
          <w:tab w:val="right" w:pos="1685"/>
        </w:tabs>
        <w:ind w:left="1742" w:hanging="475"/>
      </w:pPr>
      <w:r>
        <w:tab/>
      </w:r>
      <w:r w:rsidR="00770B6C">
        <w:t>•</w:t>
      </w:r>
      <w:r w:rsidR="00770B6C">
        <w:tab/>
        <w:t>Nutritional taboos</w:t>
      </w:r>
    </w:p>
    <w:p w:rsidR="00770B6C" w:rsidRDefault="004124C0" w:rsidP="009353B4">
      <w:pPr>
        <w:pStyle w:val="SingleTxt"/>
        <w:tabs>
          <w:tab w:val="right" w:pos="1685"/>
        </w:tabs>
        <w:ind w:left="1742" w:hanging="475"/>
      </w:pPr>
      <w:r>
        <w:tab/>
      </w:r>
      <w:r w:rsidR="00770B6C">
        <w:t>•</w:t>
      </w:r>
      <w:r w:rsidR="00770B6C">
        <w:tab/>
        <w:t>Forced feeding</w:t>
      </w:r>
    </w:p>
    <w:p w:rsidR="00770B6C" w:rsidRDefault="004124C0" w:rsidP="009353B4">
      <w:pPr>
        <w:pStyle w:val="SingleTxt"/>
        <w:tabs>
          <w:tab w:val="right" w:pos="1685"/>
        </w:tabs>
        <w:ind w:left="1742" w:hanging="475"/>
      </w:pPr>
      <w:r>
        <w:tab/>
      </w:r>
      <w:r w:rsidR="00770B6C">
        <w:t>•</w:t>
      </w:r>
      <w:r w:rsidR="00770B6C">
        <w:tab/>
        <w:t>Starvation diet prior to marriage</w:t>
      </w:r>
    </w:p>
    <w:p w:rsidR="00770B6C" w:rsidRDefault="004124C0" w:rsidP="009353B4">
      <w:pPr>
        <w:pStyle w:val="SingleTxt"/>
        <w:tabs>
          <w:tab w:val="right" w:pos="1685"/>
        </w:tabs>
        <w:ind w:left="1742" w:hanging="475"/>
      </w:pPr>
      <w:r>
        <w:tab/>
      </w:r>
      <w:r w:rsidR="00770B6C">
        <w:t>•</w:t>
      </w:r>
      <w:r w:rsidR="00770B6C">
        <w:tab/>
        <w:t>The killing of babies that are orphans or are born outside marriage</w:t>
      </w:r>
    </w:p>
    <w:p w:rsidR="00770B6C" w:rsidRDefault="004124C0" w:rsidP="009353B4">
      <w:pPr>
        <w:pStyle w:val="SingleTxt"/>
        <w:tabs>
          <w:tab w:val="right" w:pos="1685"/>
        </w:tabs>
        <w:ind w:left="1742" w:hanging="475"/>
      </w:pPr>
      <w:r>
        <w:tab/>
      </w:r>
      <w:r w:rsidR="00770B6C">
        <w:t>•</w:t>
      </w:r>
      <w:r w:rsidR="00770B6C">
        <w:tab/>
        <w:t>Practices that humiliate women during difficult deliveries</w:t>
      </w:r>
    </w:p>
    <w:p w:rsidR="005E1F07" w:rsidRDefault="004124C0" w:rsidP="009353B4">
      <w:pPr>
        <w:pStyle w:val="SingleTxt"/>
        <w:tabs>
          <w:tab w:val="right" w:pos="1685"/>
        </w:tabs>
        <w:ind w:left="1742" w:hanging="475"/>
      </w:pPr>
      <w:r>
        <w:tab/>
      </w:r>
      <w:r w:rsidR="00770B6C">
        <w:t>•</w:t>
      </w:r>
      <w:r w:rsidR="00770B6C">
        <w:tab/>
        <w:t>Physical violence against women</w:t>
      </w:r>
    </w:p>
    <w:p w:rsidR="005E1F07" w:rsidRDefault="00770B6C" w:rsidP="00770B6C">
      <w:pPr>
        <w:pStyle w:val="SingleTxt"/>
      </w:pPr>
      <w:r>
        <w:t>134.</w:t>
      </w:r>
      <w:r w:rsidR="004124C0">
        <w:tab/>
      </w:r>
      <w:r>
        <w:t>In fighting these harmful practices, special emphasis has been placed on excision and early marriage, which contribute significantly to increasing mother and child mortality and morbidity rates, it is a prime cause of difficulties in childbirth, and it often produces irreversible disabilities (vesico-vaginal fistulas).</w:t>
      </w:r>
    </w:p>
    <w:p w:rsidR="005E1F07" w:rsidRDefault="00770B6C" w:rsidP="00770B6C">
      <w:pPr>
        <w:pStyle w:val="SingleTxt"/>
      </w:pPr>
      <w:r>
        <w:lastRenderedPageBreak/>
        <w:t>135.</w:t>
      </w:r>
      <w:r w:rsidR="004124C0">
        <w:tab/>
      </w:r>
      <w:r>
        <w:t>Excision is a very old practice and, according to DHS III, 94 per cent of Malian girls and women undergo it. The average age at which excision is performed has fallen from 6.3 years to 4.3 years.</w:t>
      </w:r>
    </w:p>
    <w:p w:rsidR="009353B4" w:rsidRPr="009353B4" w:rsidRDefault="009353B4" w:rsidP="009353B4">
      <w:pPr>
        <w:pStyle w:val="SingleTxt"/>
        <w:spacing w:after="0" w:line="120" w:lineRule="exact"/>
        <w:rPr>
          <w:sz w:val="10"/>
        </w:rPr>
      </w:pPr>
    </w:p>
    <w:p w:rsidR="00770B6C" w:rsidRPr="009353B4" w:rsidRDefault="009353B4" w:rsidP="009353B4">
      <w:pPr>
        <w:pStyle w:val="H23"/>
        <w:ind w:right="1260"/>
        <w:rPr>
          <w:b w:val="0"/>
        </w:rPr>
      </w:pPr>
      <w:r>
        <w:tab/>
      </w:r>
      <w:r w:rsidRPr="009353B4">
        <w:rPr>
          <w:b w:val="0"/>
        </w:rPr>
        <w:tab/>
      </w:r>
      <w:r w:rsidR="00770B6C" w:rsidRPr="009353B4">
        <w:rPr>
          <w:b w:val="0"/>
        </w:rPr>
        <w:t>Table 13</w:t>
      </w:r>
    </w:p>
    <w:p w:rsidR="00770B6C" w:rsidRPr="009353B4" w:rsidRDefault="009353B4" w:rsidP="009353B4">
      <w:pPr>
        <w:pStyle w:val="H23"/>
        <w:ind w:right="1260"/>
        <w:rPr>
          <w:spacing w:val="0"/>
          <w:w w:val="100"/>
        </w:rPr>
      </w:pPr>
      <w:r>
        <w:tab/>
      </w:r>
      <w:r>
        <w:tab/>
      </w:r>
      <w:r w:rsidR="00770B6C" w:rsidRPr="009353B4">
        <w:rPr>
          <w:spacing w:val="0"/>
          <w:w w:val="100"/>
        </w:rPr>
        <w:t xml:space="preserve">Percentage distribution of women who have undergone excision, as identified in the DHS II, III and IV surveys, on the basis of certain </w:t>
      </w:r>
      <w:r w:rsidR="00224C39" w:rsidRPr="00224C39">
        <w:rPr>
          <w:spacing w:val="0"/>
          <w:w w:val="100"/>
        </w:rPr>
        <w:t>socio</w:t>
      </w:r>
      <w:r w:rsidR="00770B6C" w:rsidRPr="009353B4">
        <w:rPr>
          <w:spacing w:val="0"/>
          <w:w w:val="100"/>
        </w:rPr>
        <w:t>demographic characteristics</w:t>
      </w:r>
    </w:p>
    <w:p w:rsidR="009353B4" w:rsidRPr="009353B4" w:rsidRDefault="009353B4" w:rsidP="009353B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2"/>
        <w:gridCol w:w="1832"/>
        <w:gridCol w:w="1832"/>
        <w:gridCol w:w="1832"/>
      </w:tblGrid>
      <w:tr w:rsidR="009353B4" w:rsidRPr="009353B4" w:rsidTr="009353B4">
        <w:trPr>
          <w:tblHeader/>
        </w:trPr>
        <w:tc>
          <w:tcPr>
            <w:tcW w:w="1832" w:type="dxa"/>
            <w:tcBorders>
              <w:top w:val="single" w:sz="4" w:space="0" w:color="auto"/>
              <w:bottom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353B4">
              <w:rPr>
                <w:i/>
                <w:sz w:val="14"/>
              </w:rPr>
              <w:t>Place of residence</w:t>
            </w:r>
          </w:p>
        </w:tc>
        <w:tc>
          <w:tcPr>
            <w:tcW w:w="1832" w:type="dxa"/>
            <w:tcBorders>
              <w:top w:val="single" w:sz="4" w:space="0" w:color="auto"/>
              <w:bottom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353B4">
              <w:rPr>
                <w:i/>
                <w:sz w:val="14"/>
              </w:rPr>
              <w:t>EDSM II (1995/96)</w:t>
            </w:r>
          </w:p>
        </w:tc>
        <w:tc>
          <w:tcPr>
            <w:tcW w:w="1832" w:type="dxa"/>
            <w:tcBorders>
              <w:top w:val="single" w:sz="4" w:space="0" w:color="auto"/>
              <w:bottom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353B4">
              <w:rPr>
                <w:i/>
                <w:sz w:val="14"/>
              </w:rPr>
              <w:t>EDSM III (2000/01)</w:t>
            </w:r>
          </w:p>
        </w:tc>
        <w:tc>
          <w:tcPr>
            <w:tcW w:w="1832" w:type="dxa"/>
            <w:tcBorders>
              <w:top w:val="single" w:sz="4" w:space="0" w:color="auto"/>
              <w:bottom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353B4">
              <w:rPr>
                <w:i/>
                <w:sz w:val="14"/>
              </w:rPr>
              <w:t>EDSM IV (2006)</w:t>
            </w:r>
          </w:p>
        </w:tc>
      </w:tr>
      <w:tr w:rsidR="009353B4" w:rsidRPr="009353B4" w:rsidTr="009353B4">
        <w:trPr>
          <w:trHeight w:hRule="exact" w:val="115"/>
          <w:tblHeader/>
        </w:trPr>
        <w:tc>
          <w:tcPr>
            <w:tcW w:w="1832" w:type="dxa"/>
            <w:tcBorders>
              <w:top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2" w:type="dxa"/>
            <w:tcBorders>
              <w:top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832" w:type="dxa"/>
            <w:tcBorders>
              <w:top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832" w:type="dxa"/>
            <w:tcBorders>
              <w:top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9353B4" w:rsidRPr="009353B4" w:rsidTr="009353B4">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3B4">
              <w:rPr>
                <w:sz w:val="17"/>
              </w:rPr>
              <w:t>Bamako</w:t>
            </w:r>
          </w:p>
        </w:tc>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95.3%</w:t>
            </w:r>
          </w:p>
        </w:tc>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92.8%</w:t>
            </w:r>
          </w:p>
        </w:tc>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92.6%</w:t>
            </w:r>
          </w:p>
        </w:tc>
      </w:tr>
      <w:tr w:rsidR="009353B4" w:rsidRPr="009353B4" w:rsidTr="009353B4">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3B4">
              <w:rPr>
                <w:sz w:val="17"/>
              </w:rPr>
              <w:t>Other cities</w:t>
            </w:r>
          </w:p>
        </w:tc>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85.5%</w:t>
            </w:r>
          </w:p>
        </w:tc>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85.5%</w:t>
            </w:r>
          </w:p>
        </w:tc>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72.2%</w:t>
            </w:r>
          </w:p>
        </w:tc>
      </w:tr>
      <w:tr w:rsidR="009353B4" w:rsidRPr="009353B4" w:rsidTr="009353B4">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3B4">
              <w:rPr>
                <w:sz w:val="17"/>
              </w:rPr>
              <w:t>Urban areas</w:t>
            </w:r>
          </w:p>
        </w:tc>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89.8%</w:t>
            </w:r>
          </w:p>
        </w:tc>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89.5%</w:t>
            </w:r>
          </w:p>
        </w:tc>
        <w:tc>
          <w:tcPr>
            <w:tcW w:w="1832" w:type="dxa"/>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80.9%</w:t>
            </w:r>
          </w:p>
        </w:tc>
      </w:tr>
      <w:tr w:rsidR="009353B4" w:rsidRPr="009353B4" w:rsidTr="009353B4">
        <w:tc>
          <w:tcPr>
            <w:tcW w:w="1832" w:type="dxa"/>
            <w:tcBorders>
              <w:bottom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3B4">
              <w:rPr>
                <w:sz w:val="17"/>
              </w:rPr>
              <w:t>Rural</w:t>
            </w:r>
          </w:p>
        </w:tc>
        <w:tc>
          <w:tcPr>
            <w:tcW w:w="1832" w:type="dxa"/>
            <w:tcBorders>
              <w:bottom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95.6%</w:t>
            </w:r>
          </w:p>
        </w:tc>
        <w:tc>
          <w:tcPr>
            <w:tcW w:w="1832" w:type="dxa"/>
            <w:tcBorders>
              <w:bottom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92.5%</w:t>
            </w:r>
          </w:p>
        </w:tc>
        <w:tc>
          <w:tcPr>
            <w:tcW w:w="1832" w:type="dxa"/>
            <w:tcBorders>
              <w:bottom w:val="single" w:sz="12" w:space="0" w:color="auto"/>
            </w:tcBorders>
            <w:shd w:val="clear" w:color="auto" w:fill="auto"/>
            <w:vAlign w:val="bottom"/>
          </w:tcPr>
          <w:p w:rsidR="009353B4" w:rsidRPr="009353B4" w:rsidRDefault="009353B4" w:rsidP="009353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353B4">
              <w:rPr>
                <w:sz w:val="17"/>
              </w:rPr>
              <w:t>87.4%</w:t>
            </w:r>
          </w:p>
        </w:tc>
      </w:tr>
    </w:tbl>
    <w:p w:rsidR="009353B4" w:rsidRPr="009353B4" w:rsidRDefault="009353B4" w:rsidP="009353B4">
      <w:pPr>
        <w:pStyle w:val="SingleTxt"/>
        <w:spacing w:after="0" w:line="120" w:lineRule="exact"/>
        <w:rPr>
          <w:sz w:val="10"/>
        </w:rPr>
      </w:pPr>
    </w:p>
    <w:p w:rsidR="009353B4" w:rsidRPr="009353B4" w:rsidRDefault="009353B4" w:rsidP="009353B4">
      <w:pPr>
        <w:pStyle w:val="SingleTxt"/>
        <w:spacing w:after="0" w:line="120" w:lineRule="exact"/>
        <w:rPr>
          <w:sz w:val="10"/>
        </w:rPr>
      </w:pPr>
    </w:p>
    <w:p w:rsidR="005E1F07" w:rsidRDefault="00770B6C" w:rsidP="00770B6C">
      <w:pPr>
        <w:pStyle w:val="SingleTxt"/>
      </w:pPr>
      <w:r>
        <w:t>136.</w:t>
      </w:r>
      <w:r w:rsidR="004124C0">
        <w:tab/>
      </w:r>
      <w:r>
        <w:t>This table shows that there was a very slight decline in excision rates.</w:t>
      </w:r>
      <w:r w:rsidR="005E03D8">
        <w:t xml:space="preserve"> </w:t>
      </w:r>
      <w:r>
        <w:t>This downturn is confirmed by the results of a survey on excision in Mali among children 0 to 14 years of age conducted by the national programme to combat excision (PNLE) in 2009.</w:t>
      </w:r>
      <w:r w:rsidR="005E03D8">
        <w:t xml:space="preserve"> </w:t>
      </w:r>
      <w:r>
        <w:t>According to this study, the prevalence is 84% am</w:t>
      </w:r>
      <w:r w:rsidR="009353B4">
        <w:t>ong girls 0 to 14 years of age.</w:t>
      </w:r>
    </w:p>
    <w:p w:rsidR="009353B4" w:rsidRPr="009353B4" w:rsidRDefault="009353B4" w:rsidP="009353B4">
      <w:pPr>
        <w:pStyle w:val="SingleTxt"/>
        <w:spacing w:after="0" w:line="120" w:lineRule="exact"/>
        <w:rPr>
          <w:sz w:val="10"/>
        </w:rPr>
      </w:pPr>
    </w:p>
    <w:p w:rsidR="005E1F07" w:rsidRDefault="00770B6C" w:rsidP="009353B4">
      <w:pPr>
        <w:pStyle w:val="H23"/>
        <w:ind w:right="1260"/>
      </w:pPr>
      <w:r>
        <w:tab/>
        <w:t>4.</w:t>
      </w:r>
      <w:r w:rsidR="009353B4">
        <w:tab/>
      </w:r>
      <w:r>
        <w:t>Looking ahead</w:t>
      </w:r>
    </w:p>
    <w:p w:rsidR="009353B4" w:rsidRPr="009353B4" w:rsidRDefault="009353B4" w:rsidP="009353B4">
      <w:pPr>
        <w:pStyle w:val="SingleTxt"/>
        <w:spacing w:after="0" w:line="120" w:lineRule="exact"/>
        <w:rPr>
          <w:sz w:val="10"/>
        </w:rPr>
      </w:pPr>
    </w:p>
    <w:p w:rsidR="005E1F07" w:rsidRDefault="00770B6C" w:rsidP="00770B6C">
      <w:pPr>
        <w:pStyle w:val="SingleTxt"/>
      </w:pPr>
      <w:r>
        <w:t>137.</w:t>
      </w:r>
      <w:r w:rsidR="004124C0">
        <w:tab/>
      </w:r>
      <w:r>
        <w:t>The revised Decennial Health and Social Development Plan (PRODESS II) and the 2009-2011 programme of sectoral investment known as COMPACT highlight reproduction, with special emphasis placed on reducing mother and child morbidity and mortality.</w:t>
      </w:r>
    </w:p>
    <w:p w:rsidR="005E1F07" w:rsidRDefault="00770B6C" w:rsidP="00770B6C">
      <w:pPr>
        <w:pStyle w:val="SingleTxt"/>
      </w:pPr>
      <w:r>
        <w:t>138.</w:t>
      </w:r>
      <w:r w:rsidR="004124C0">
        <w:tab/>
      </w:r>
      <w:r>
        <w:t>Innovative activities and initiatives are under way to accelerate the achievement of the Millennium Development Goals, including:</w:t>
      </w:r>
    </w:p>
    <w:p w:rsidR="00770B6C" w:rsidRDefault="004124C0" w:rsidP="009353B4">
      <w:pPr>
        <w:pStyle w:val="SingleTxt"/>
        <w:tabs>
          <w:tab w:val="right" w:pos="1685"/>
        </w:tabs>
        <w:ind w:left="1742" w:hanging="475"/>
      </w:pPr>
      <w:r>
        <w:tab/>
      </w:r>
      <w:r w:rsidR="00770B6C">
        <w:t>•</w:t>
      </w:r>
      <w:r w:rsidR="00770B6C">
        <w:tab/>
        <w:t>Implementation of the 2008-2015 road map for Accelerated Reduction of Maternal, Newborn and Child Mortality in Africa;</w:t>
      </w:r>
    </w:p>
    <w:p w:rsidR="00770B6C" w:rsidRPr="009353B4" w:rsidRDefault="004124C0" w:rsidP="009353B4">
      <w:pPr>
        <w:pStyle w:val="SingleTxt"/>
        <w:tabs>
          <w:tab w:val="right" w:pos="1685"/>
        </w:tabs>
        <w:ind w:left="1742" w:hanging="475"/>
        <w:rPr>
          <w:spacing w:val="2"/>
          <w:w w:val="100"/>
        </w:rPr>
      </w:pPr>
      <w:r>
        <w:tab/>
      </w:r>
      <w:r w:rsidR="00770B6C">
        <w:t>•</w:t>
      </w:r>
      <w:r w:rsidR="00770B6C">
        <w:tab/>
      </w:r>
      <w:r w:rsidR="00770B6C" w:rsidRPr="009353B4">
        <w:rPr>
          <w:spacing w:val="2"/>
          <w:w w:val="100"/>
        </w:rPr>
        <w:t>Implementation of the programme to support accelerated achievement of MDG 5;</w:t>
      </w:r>
    </w:p>
    <w:p w:rsidR="00770B6C" w:rsidRDefault="004124C0" w:rsidP="009353B4">
      <w:pPr>
        <w:pStyle w:val="SingleTxt"/>
        <w:tabs>
          <w:tab w:val="right" w:pos="1685"/>
        </w:tabs>
        <w:ind w:left="1742" w:hanging="475"/>
      </w:pPr>
      <w:r>
        <w:tab/>
      </w:r>
      <w:r w:rsidR="00770B6C">
        <w:t>•</w:t>
      </w:r>
      <w:r w:rsidR="00770B6C">
        <w:tab/>
        <w:t>Implementation of the plan for development of human resources in the health sector;</w:t>
      </w:r>
    </w:p>
    <w:p w:rsidR="00770B6C" w:rsidRDefault="004124C0" w:rsidP="009353B4">
      <w:pPr>
        <w:pStyle w:val="SingleTxt"/>
        <w:tabs>
          <w:tab w:val="right" w:pos="1685"/>
        </w:tabs>
        <w:ind w:left="1742" w:hanging="475"/>
      </w:pPr>
      <w:r>
        <w:tab/>
      </w:r>
      <w:r w:rsidR="00770B6C">
        <w:t>•</w:t>
      </w:r>
      <w:r w:rsidR="00770B6C">
        <w:tab/>
        <w:t xml:space="preserve">The programmed medicalization of community </w:t>
      </w:r>
      <w:r w:rsidR="0000254B">
        <w:t>health-care</w:t>
      </w:r>
      <w:r w:rsidR="00770B6C">
        <w:t xml:space="preserve"> centres;</w:t>
      </w:r>
    </w:p>
    <w:p w:rsidR="00770B6C" w:rsidRDefault="004124C0" w:rsidP="009353B4">
      <w:pPr>
        <w:pStyle w:val="SingleTxt"/>
        <w:tabs>
          <w:tab w:val="right" w:pos="1685"/>
        </w:tabs>
        <w:ind w:left="1742" w:hanging="475"/>
      </w:pPr>
      <w:r>
        <w:tab/>
      </w:r>
      <w:r w:rsidR="00770B6C">
        <w:t>•</w:t>
      </w:r>
      <w:r w:rsidR="00770B6C">
        <w:tab/>
        <w:t>Mali</w:t>
      </w:r>
      <w:r w:rsidR="001E33E4">
        <w:t>’</w:t>
      </w:r>
      <w:r w:rsidR="00770B6C">
        <w:t>s strategy for prevention and care of fistulas;</w:t>
      </w:r>
    </w:p>
    <w:p w:rsidR="00770B6C" w:rsidRDefault="004124C0" w:rsidP="009353B4">
      <w:pPr>
        <w:pStyle w:val="SingleTxt"/>
        <w:tabs>
          <w:tab w:val="right" w:pos="1685"/>
        </w:tabs>
        <w:ind w:left="1742" w:hanging="475"/>
      </w:pPr>
      <w:r>
        <w:tab/>
      </w:r>
      <w:r w:rsidR="00770B6C">
        <w:t>•</w:t>
      </w:r>
      <w:r w:rsidR="00770B6C">
        <w:tab/>
        <w:t>Review of the plan to reposition family planning;</w:t>
      </w:r>
    </w:p>
    <w:p w:rsidR="00770B6C" w:rsidRDefault="004124C0" w:rsidP="009353B4">
      <w:pPr>
        <w:pStyle w:val="SingleTxt"/>
        <w:tabs>
          <w:tab w:val="right" w:pos="1685"/>
        </w:tabs>
        <w:ind w:left="1742" w:hanging="475"/>
      </w:pPr>
      <w:r>
        <w:tab/>
      </w:r>
      <w:r w:rsidR="00770B6C">
        <w:t>•</w:t>
      </w:r>
      <w:r w:rsidR="00770B6C">
        <w:tab/>
        <w:t>The scaling up of the strategy for active management of the third stage of labour, including taking matrons into account</w:t>
      </w:r>
      <w:r w:rsidR="005E03D8">
        <w:t xml:space="preserve"> </w:t>
      </w:r>
      <w:r w:rsidR="00770B6C">
        <w:t>in its implementation;</w:t>
      </w:r>
    </w:p>
    <w:p w:rsidR="00770B6C" w:rsidRDefault="004124C0" w:rsidP="009353B4">
      <w:pPr>
        <w:pStyle w:val="SingleTxt"/>
        <w:tabs>
          <w:tab w:val="right" w:pos="1685"/>
        </w:tabs>
        <w:ind w:left="1742" w:hanging="475"/>
      </w:pPr>
      <w:r>
        <w:tab/>
      </w:r>
      <w:r w:rsidR="00770B6C">
        <w:t>•</w:t>
      </w:r>
      <w:r w:rsidR="00770B6C">
        <w:tab/>
        <w:t>Implementation of the Mali-Tunisia reproductive health pilot project with cooperation from Spain;</w:t>
      </w:r>
    </w:p>
    <w:p w:rsidR="00770B6C" w:rsidRDefault="004124C0" w:rsidP="009353B4">
      <w:pPr>
        <w:pStyle w:val="SingleTxt"/>
        <w:tabs>
          <w:tab w:val="right" w:pos="1685"/>
        </w:tabs>
        <w:ind w:left="1742" w:hanging="475"/>
      </w:pPr>
      <w:r>
        <w:tab/>
      </w:r>
      <w:r w:rsidR="00770B6C">
        <w:t>•</w:t>
      </w:r>
      <w:r w:rsidR="00770B6C">
        <w:tab/>
        <w:t>Ensuring that obstetric emergencies are properly dealt with, by setting up a referral and evacuation system with costs shared between the pregnant woman</w:t>
      </w:r>
      <w:r w:rsidR="001E33E4">
        <w:t>’</w:t>
      </w:r>
      <w:r w:rsidR="00770B6C">
        <w:t>s family, the referral health centre (CSREF) and the community health association (ASACO);</w:t>
      </w:r>
    </w:p>
    <w:p w:rsidR="005E1F07" w:rsidRDefault="009353B4" w:rsidP="009353B4">
      <w:pPr>
        <w:pStyle w:val="SingleTxt"/>
        <w:tabs>
          <w:tab w:val="right" w:pos="1685"/>
        </w:tabs>
        <w:ind w:left="1742" w:hanging="475"/>
      </w:pPr>
      <w:r>
        <w:lastRenderedPageBreak/>
        <w:tab/>
      </w:r>
      <w:r w:rsidR="00770B6C">
        <w:t>•</w:t>
      </w:r>
      <w:r w:rsidR="00770B6C">
        <w:tab/>
        <w:t>Continuing the expansion of health coverage through transfer of resources to decentralized communities.</w:t>
      </w:r>
    </w:p>
    <w:p w:rsidR="009353B4" w:rsidRPr="009353B4" w:rsidRDefault="009353B4" w:rsidP="009353B4">
      <w:pPr>
        <w:pStyle w:val="SingleTxt"/>
        <w:tabs>
          <w:tab w:val="right" w:pos="1685"/>
        </w:tabs>
        <w:spacing w:after="0" w:line="120" w:lineRule="exact"/>
        <w:ind w:left="1742" w:hanging="475"/>
        <w:rPr>
          <w:sz w:val="10"/>
        </w:rPr>
      </w:pPr>
    </w:p>
    <w:p w:rsidR="009353B4" w:rsidRPr="009353B4" w:rsidRDefault="009353B4" w:rsidP="009353B4">
      <w:pPr>
        <w:pStyle w:val="SingleTxt"/>
        <w:tabs>
          <w:tab w:val="right" w:pos="1685"/>
        </w:tabs>
        <w:spacing w:after="0" w:line="120" w:lineRule="exact"/>
        <w:ind w:left="1742" w:hanging="475"/>
        <w:rPr>
          <w:sz w:val="10"/>
        </w:rPr>
      </w:pPr>
    </w:p>
    <w:p w:rsidR="005E1F07" w:rsidRDefault="009353B4" w:rsidP="009353B4">
      <w:pPr>
        <w:pStyle w:val="H1"/>
        <w:ind w:right="1260"/>
      </w:pPr>
      <w:r>
        <w:tab/>
      </w:r>
      <w:r>
        <w:tab/>
      </w:r>
      <w:r w:rsidR="00770B6C">
        <w:t>Article 13: Elimination of discrimination in economic, social and cultural life</w:t>
      </w:r>
    </w:p>
    <w:p w:rsidR="009353B4" w:rsidRPr="009353B4" w:rsidRDefault="009353B4" w:rsidP="009353B4">
      <w:pPr>
        <w:pStyle w:val="SingleTxt"/>
        <w:spacing w:after="0" w:line="120" w:lineRule="exact"/>
        <w:rPr>
          <w:sz w:val="10"/>
        </w:rPr>
      </w:pPr>
    </w:p>
    <w:p w:rsidR="009353B4" w:rsidRPr="009353B4" w:rsidRDefault="009353B4" w:rsidP="009353B4">
      <w:pPr>
        <w:pStyle w:val="SingleTxt"/>
        <w:spacing w:after="0" w:line="120" w:lineRule="exact"/>
        <w:rPr>
          <w:sz w:val="10"/>
        </w:rPr>
      </w:pPr>
    </w:p>
    <w:p w:rsidR="005E1F07" w:rsidRPr="009353B4" w:rsidRDefault="00770B6C" w:rsidP="00770B6C">
      <w:pPr>
        <w:pStyle w:val="SingleTxt"/>
        <w:rPr>
          <w:spacing w:val="2"/>
        </w:rPr>
      </w:pPr>
      <w:r>
        <w:t>139.</w:t>
      </w:r>
      <w:r w:rsidR="004124C0">
        <w:tab/>
      </w:r>
      <w:r w:rsidRPr="009353B4">
        <w:rPr>
          <w:spacing w:val="2"/>
        </w:rPr>
        <w:t>In 2002, poverty affected nearly two out of every three Malians (63.8 per cent of the total population).</w:t>
      </w:r>
      <w:r w:rsidR="005E03D8" w:rsidRPr="009353B4">
        <w:rPr>
          <w:spacing w:val="2"/>
        </w:rPr>
        <w:t xml:space="preserve"> </w:t>
      </w:r>
      <w:r w:rsidRPr="009353B4">
        <w:rPr>
          <w:spacing w:val="2"/>
        </w:rPr>
        <w:t>Indeed, 88 per cent of the poor population live in rural areas, and far more women live in poverty than men. The incidence of poverty is 75.9 per cent in rural areas, as compared with 30.1 per cent in urban areas. Moreover, twice as much social-sector spending is needed in rural areas (where 45.8 per cent of the population live in extreme poverty) to raise poor local communities to the same level as urban areas (where 22.3 per cent of the population live in extreme poverty).</w:t>
      </w:r>
    </w:p>
    <w:p w:rsidR="005E1F07" w:rsidRDefault="00770B6C" w:rsidP="00770B6C">
      <w:pPr>
        <w:pStyle w:val="SingleTxt"/>
      </w:pPr>
      <w:r>
        <w:t>140.</w:t>
      </w:r>
      <w:r w:rsidR="004124C0">
        <w:tab/>
      </w:r>
      <w:r>
        <w:t>In 2006, 56 per cent of people lived below the poverty line (153,310 CFA francs per year).</w:t>
      </w:r>
      <w:r w:rsidR="005E03D8">
        <w:t xml:space="preserve"> </w:t>
      </w:r>
      <w:r>
        <w:t>This is an improvement over 2002, when it was 64 per cent.</w:t>
      </w:r>
    </w:p>
    <w:p w:rsidR="005E1F07" w:rsidRDefault="00770B6C" w:rsidP="00770B6C">
      <w:pPr>
        <w:pStyle w:val="SingleTxt"/>
      </w:pPr>
      <w:r>
        <w:t>141.</w:t>
      </w:r>
      <w:r w:rsidR="004124C0">
        <w:tab/>
      </w:r>
      <w:r>
        <w:t>Faced with this situation, the Government, through the Strategic Framework for Combating Poverty (CSLP) for 2002-2006, has set itself the objective of reducing people</w:t>
      </w:r>
      <w:r w:rsidR="001E33E4">
        <w:t>’</w:t>
      </w:r>
      <w:r>
        <w:t>s poverty overall, and reducing poverty among women in particular, inter alia by:</w:t>
      </w:r>
    </w:p>
    <w:p w:rsidR="005E1F07" w:rsidRDefault="004124C0" w:rsidP="009353B4">
      <w:pPr>
        <w:pStyle w:val="SingleTxt"/>
        <w:tabs>
          <w:tab w:val="right" w:pos="1685"/>
        </w:tabs>
        <w:ind w:left="1742" w:hanging="475"/>
      </w:pPr>
      <w:r>
        <w:tab/>
      </w:r>
      <w:r w:rsidR="00770B6C">
        <w:t>•</w:t>
      </w:r>
      <w:r w:rsidR="00770B6C">
        <w:tab/>
        <w:t>Strengthening women</w:t>
      </w:r>
      <w:r w:rsidR="001E33E4">
        <w:t>’</w:t>
      </w:r>
      <w:r w:rsidR="00770B6C">
        <w:t>s economic role in the areas of agriculture, livestock raising, fishing, crafts and trades and the informal sector;</w:t>
      </w:r>
    </w:p>
    <w:p w:rsidR="005E1F07" w:rsidRDefault="004124C0" w:rsidP="009353B4">
      <w:pPr>
        <w:pStyle w:val="SingleTxt"/>
        <w:tabs>
          <w:tab w:val="right" w:pos="1685"/>
        </w:tabs>
        <w:ind w:left="1742" w:hanging="475"/>
      </w:pPr>
      <w:r>
        <w:tab/>
      </w:r>
      <w:r w:rsidR="00770B6C">
        <w:t>•</w:t>
      </w:r>
      <w:r w:rsidR="00770B6C">
        <w:tab/>
        <w:t>Facilitating women</w:t>
      </w:r>
      <w:r w:rsidR="001E33E4">
        <w:t>’</w:t>
      </w:r>
      <w:r w:rsidR="00770B6C">
        <w:t>s access to credit, land and equipment, particularly in the case of women living in rural areas or near cities.</w:t>
      </w:r>
    </w:p>
    <w:p w:rsidR="005E1F07" w:rsidRDefault="00770B6C" w:rsidP="008F4CE3">
      <w:pPr>
        <w:pStyle w:val="SingleTxt"/>
      </w:pPr>
      <w:r>
        <w:t>142.</w:t>
      </w:r>
      <w:r w:rsidR="004124C0">
        <w:tab/>
      </w:r>
      <w:r>
        <w:t>As part of defining its poverty reduction strategy (CSCRP 2007-2011) Mali is envisaging measures aimed at reducing women</w:t>
      </w:r>
      <w:r w:rsidR="001E33E4">
        <w:t>’</w:t>
      </w:r>
      <w:r>
        <w:t>s poverty through:</w:t>
      </w:r>
    </w:p>
    <w:p w:rsidR="005E1F07" w:rsidRDefault="004124C0" w:rsidP="009353B4">
      <w:pPr>
        <w:pStyle w:val="SingleTxt"/>
        <w:tabs>
          <w:tab w:val="right" w:pos="1685"/>
        </w:tabs>
        <w:ind w:left="1742" w:hanging="475"/>
      </w:pPr>
      <w:r>
        <w:tab/>
      </w:r>
      <w:r w:rsidR="00770B6C">
        <w:t>•</w:t>
      </w:r>
      <w:r w:rsidR="00770B6C">
        <w:tab/>
        <w:t>Adoption of the gender approach as a strategic element in each development sector and at all levels;</w:t>
      </w:r>
    </w:p>
    <w:p w:rsidR="005E1F07" w:rsidRDefault="004124C0" w:rsidP="009353B4">
      <w:pPr>
        <w:pStyle w:val="SingleTxt"/>
        <w:tabs>
          <w:tab w:val="right" w:pos="1685"/>
        </w:tabs>
        <w:ind w:left="1742" w:hanging="475"/>
      </w:pPr>
      <w:r>
        <w:tab/>
      </w:r>
      <w:r w:rsidR="00770B6C">
        <w:t>•</w:t>
      </w:r>
      <w:r w:rsidR="00770B6C">
        <w:tab/>
        <w:t>Taking women</w:t>
      </w:r>
      <w:r w:rsidR="001E33E4">
        <w:t>’</w:t>
      </w:r>
      <w:r w:rsidR="00770B6C">
        <w:t>s needs into account in the State budget in keeping with the guidelines of the poverty reduction strategy.</w:t>
      </w:r>
    </w:p>
    <w:p w:rsidR="005E1F07" w:rsidRDefault="00770B6C" w:rsidP="00770B6C">
      <w:pPr>
        <w:pStyle w:val="SingleTxt"/>
      </w:pPr>
      <w:r>
        <w:t>143.</w:t>
      </w:r>
      <w:r w:rsidR="004124C0">
        <w:tab/>
      </w:r>
      <w:r>
        <w:t>Mali has also developed a national policy of equality between men and women, a process that was launched in June 2008.</w:t>
      </w:r>
      <w:r w:rsidR="005E03D8">
        <w:t xml:space="preserve"> </w:t>
      </w:r>
      <w:r>
        <w:t>The forthcoming adoption of this policy will enable different departments to develop their sectoral policies on this matter.</w:t>
      </w:r>
      <w:r w:rsidR="005E03D8">
        <w:t xml:space="preserve"> </w:t>
      </w:r>
      <w:r>
        <w:t>In any event, there is already a gender equality policy of the Ministry of Justice which forms part of the national policy.</w:t>
      </w:r>
    </w:p>
    <w:p w:rsidR="005E1F07" w:rsidRDefault="00770B6C" w:rsidP="00770B6C">
      <w:pPr>
        <w:pStyle w:val="SingleTxt"/>
      </w:pPr>
      <w:r>
        <w:t>144.</w:t>
      </w:r>
      <w:r w:rsidR="004124C0">
        <w:tab/>
      </w:r>
      <w:r>
        <w:t>The implementation of the National Strategy and of the 2005-2008 Action Plan for development of microfinance has made it possible to improve women</w:t>
      </w:r>
      <w:r w:rsidR="001E33E4">
        <w:t>’</w:t>
      </w:r>
      <w:r>
        <w:t>s access to credit.</w:t>
      </w:r>
      <w:r w:rsidR="005E03D8">
        <w:t xml:space="preserve"> </w:t>
      </w:r>
      <w:r>
        <w:t>Thus, in 2006 women accounted for 38.1 per cent of the overall participants in the Decentralized Financial System, compared with 35 per cent in 2002.</w:t>
      </w:r>
      <w:r w:rsidR="005E03D8">
        <w:t xml:space="preserve"> </w:t>
      </w:r>
      <w:r>
        <w:t>They are actually more numerous by reason of the group loan schemes that have been developed for them, which do not necessarily show up in the totals of individual Decentralized Financial System members.</w:t>
      </w:r>
    </w:p>
    <w:p w:rsidR="005E1F07" w:rsidRDefault="00770B6C" w:rsidP="00770B6C">
      <w:pPr>
        <w:pStyle w:val="SingleTxt"/>
      </w:pPr>
      <w:r>
        <w:t>145.</w:t>
      </w:r>
      <w:r w:rsidR="004124C0">
        <w:tab/>
      </w:r>
      <w:r>
        <w:t>These initiatives have helped to reduce poverty.</w:t>
      </w:r>
      <w:r w:rsidR="005E03D8">
        <w:t xml:space="preserve"> </w:t>
      </w:r>
      <w:r>
        <w:t>However, it should be noted that 64.2 per cent of households headed by a woman who does not receive funds transfers are poor, compared to 48 per cent of households headed by a woman who does receive funds transfers.</w:t>
      </w:r>
    </w:p>
    <w:p w:rsidR="005E1F07" w:rsidRDefault="00770B6C" w:rsidP="00770B6C">
      <w:pPr>
        <w:pStyle w:val="SingleTxt"/>
      </w:pPr>
      <w:r>
        <w:lastRenderedPageBreak/>
        <w:t>146.</w:t>
      </w:r>
      <w:r w:rsidR="004124C0">
        <w:tab/>
      </w:r>
      <w:r>
        <w:t>The number of women beneficiaries of microcredit increased steadily in the years 2006-2007-2008. But women beneficiaries of microcredit have always been outnumbered by men. This is explained inter alia by social pressures and the lack of attention given to the specific needs of women.</w:t>
      </w:r>
    </w:p>
    <w:p w:rsidR="005E1F07" w:rsidRDefault="00770B6C" w:rsidP="00770B6C">
      <w:pPr>
        <w:pStyle w:val="SingleTxt"/>
      </w:pPr>
      <w:r>
        <w:t>147.</w:t>
      </w:r>
      <w:r w:rsidR="004124C0">
        <w:tab/>
      </w:r>
      <w:r>
        <w:t>In 2008, Mali, after evaluation of the 2005-2008 action plan, adopted a new 2008-2012 action plan, one of whose aims is to cover the specific needs of two target groups: women and young creative workers.</w:t>
      </w:r>
    </w:p>
    <w:p w:rsidR="005E1F07" w:rsidRDefault="00770B6C" w:rsidP="00770B6C">
      <w:pPr>
        <w:pStyle w:val="SingleTxt"/>
      </w:pPr>
      <w:r>
        <w:t>148.</w:t>
      </w:r>
      <w:r w:rsidR="004124C0">
        <w:tab/>
      </w:r>
      <w:r>
        <w:t xml:space="preserve">In institutional terms, there have been two developments: the Centre for Promotion and Support of Decentralized Financial Systems and the Unit for Monitoring and Oversight of Decentralized Financial Systems (Cellule de Contrôle et de Surveillance des SFD). </w:t>
      </w:r>
    </w:p>
    <w:p w:rsidR="005E1F07" w:rsidRDefault="00770B6C" w:rsidP="00770B6C">
      <w:pPr>
        <w:pStyle w:val="SingleTxt"/>
      </w:pPr>
      <w:r>
        <w:t>149.</w:t>
      </w:r>
      <w:r w:rsidR="004124C0">
        <w:tab/>
      </w:r>
      <w:r>
        <w:t xml:space="preserve">Also, the Ministry for the Advancement of Women, Children and Families has since 2008 been jointly piloting with the Ministry of the Economy and Finance a </w:t>
      </w:r>
      <w:r w:rsidR="001E33E4">
        <w:t>“</w:t>
      </w:r>
      <w:r>
        <w:t>Project on microcredit for development of entrepreneurship among women and young people</w:t>
      </w:r>
      <w:r w:rsidR="001E33E4">
        <w:t>”</w:t>
      </w:r>
      <w:r>
        <w:t xml:space="preserve"> (</w:t>
      </w:r>
      <w:r w:rsidR="001E33E4">
        <w:t>“</w:t>
      </w:r>
      <w:r>
        <w:t>Projet de microcrédit pour le développement de l</w:t>
      </w:r>
      <w:r w:rsidR="001E33E4">
        <w:t>’</w:t>
      </w:r>
      <w:r>
        <w:t>entreprenariat des femmes et des jeunes</w:t>
      </w:r>
      <w:r w:rsidR="001E33E4">
        <w:t>”</w:t>
      </w:r>
      <w:r>
        <w:t>.)</w:t>
      </w:r>
    </w:p>
    <w:p w:rsidR="009353B4" w:rsidRPr="009353B4" w:rsidRDefault="009353B4" w:rsidP="009353B4">
      <w:pPr>
        <w:pStyle w:val="SingleTxt"/>
        <w:spacing w:after="0" w:line="120" w:lineRule="exact"/>
        <w:rPr>
          <w:sz w:val="10"/>
        </w:rPr>
      </w:pPr>
    </w:p>
    <w:p w:rsidR="009353B4" w:rsidRPr="009353B4" w:rsidRDefault="009353B4" w:rsidP="009353B4">
      <w:pPr>
        <w:pStyle w:val="SingleTxt"/>
        <w:spacing w:after="0" w:line="120" w:lineRule="exact"/>
        <w:rPr>
          <w:sz w:val="10"/>
        </w:rPr>
      </w:pPr>
    </w:p>
    <w:p w:rsidR="005E1F07" w:rsidRDefault="00770B6C" w:rsidP="009353B4">
      <w:pPr>
        <w:pStyle w:val="H1"/>
        <w:ind w:right="1260"/>
      </w:pPr>
      <w:r>
        <w:tab/>
      </w:r>
      <w:r>
        <w:tab/>
        <w:t>Article 14: Situation of rural women</w:t>
      </w:r>
    </w:p>
    <w:p w:rsidR="009353B4" w:rsidRPr="009353B4" w:rsidRDefault="009353B4" w:rsidP="009353B4">
      <w:pPr>
        <w:pStyle w:val="SingleTxt"/>
        <w:spacing w:after="0" w:line="120" w:lineRule="exact"/>
        <w:rPr>
          <w:sz w:val="10"/>
        </w:rPr>
      </w:pPr>
    </w:p>
    <w:p w:rsidR="009353B4" w:rsidRPr="009353B4" w:rsidRDefault="009353B4" w:rsidP="009353B4">
      <w:pPr>
        <w:pStyle w:val="SingleTxt"/>
        <w:spacing w:after="0" w:line="120" w:lineRule="exact"/>
        <w:rPr>
          <w:sz w:val="10"/>
        </w:rPr>
      </w:pPr>
    </w:p>
    <w:p w:rsidR="005E1F07" w:rsidRDefault="00770B6C" w:rsidP="00770B6C">
      <w:pPr>
        <w:pStyle w:val="SingleTxt"/>
      </w:pPr>
      <w:r>
        <w:t>150.</w:t>
      </w:r>
      <w:r w:rsidR="004124C0">
        <w:tab/>
      </w:r>
      <w:r w:rsidRPr="009353B4">
        <w:rPr>
          <w:spacing w:val="2"/>
        </w:rPr>
        <w:t xml:space="preserve">Women play a key </w:t>
      </w:r>
      <w:r w:rsidR="00224C39" w:rsidRPr="00224C39">
        <w:rPr>
          <w:spacing w:val="2"/>
        </w:rPr>
        <w:t>socio</w:t>
      </w:r>
      <w:r w:rsidRPr="009353B4">
        <w:rPr>
          <w:spacing w:val="2"/>
        </w:rPr>
        <w:t>economic role in rural areas of the country, with 75 per cent of women being engaged in agriculture, with 37.66 per cent of the population being active in garden farming</w:t>
      </w:r>
      <w:r>
        <w:t>.</w:t>
      </w:r>
    </w:p>
    <w:p w:rsidR="005E1F07" w:rsidRDefault="00770B6C" w:rsidP="00770B6C">
      <w:pPr>
        <w:pStyle w:val="SingleTxt"/>
      </w:pPr>
      <w:r>
        <w:t>151.</w:t>
      </w:r>
      <w:r w:rsidR="004124C0">
        <w:tab/>
      </w:r>
      <w:r>
        <w:t xml:space="preserve">The average area per farm is 1,060 </w:t>
      </w:r>
      <w:r w:rsidR="008F4CE3" w:rsidRPr="008F4CE3">
        <w:t>m</w:t>
      </w:r>
      <w:r w:rsidR="008F4CE3" w:rsidRPr="008F4CE3">
        <w:rPr>
          <w:vertAlign w:val="superscript"/>
        </w:rPr>
        <w:t>2</w:t>
      </w:r>
      <w:r>
        <w:t xml:space="preserve"> or 10.6 </w:t>
      </w:r>
      <w:r w:rsidR="009353B4">
        <w:t>acres</w:t>
      </w:r>
      <w:r>
        <w:t xml:space="preserve">, of which 40 </w:t>
      </w:r>
      <w:r w:rsidR="008F4CE3" w:rsidRPr="008F4CE3">
        <w:t>m</w:t>
      </w:r>
      <w:r w:rsidR="008F4CE3" w:rsidRPr="008F4CE3">
        <w:rPr>
          <w:vertAlign w:val="superscript"/>
        </w:rPr>
        <w:t>2</w:t>
      </w:r>
      <w:r w:rsidR="00DD173B">
        <w:t>,</w:t>
      </w:r>
      <w:r>
        <w:t xml:space="preserve"> or 4 </w:t>
      </w:r>
      <w:r w:rsidR="009353B4">
        <w:t>acres</w:t>
      </w:r>
      <w:r>
        <w:t>, go to women farmers. (Source: Planning and Statistics Unit, Rural Development Sector; Agricultural Survey 2006, survey of garden farming, 2008).</w:t>
      </w:r>
    </w:p>
    <w:p w:rsidR="005E1F07" w:rsidRDefault="00770B6C" w:rsidP="00770B6C">
      <w:pPr>
        <w:pStyle w:val="SingleTxt"/>
      </w:pPr>
      <w:r>
        <w:t>152.</w:t>
      </w:r>
      <w:r w:rsidR="004124C0">
        <w:tab/>
      </w:r>
      <w:r>
        <w:t>The foregoing applies also to vegetable-growing acreage, where one finds that in 2008 out of a total of 9,708 hectares only 2,068 belonged to women, i.e. 21.3 per cent of land farmed.</w:t>
      </w:r>
    </w:p>
    <w:p w:rsidR="005E1F07" w:rsidRDefault="00770B6C" w:rsidP="00770B6C">
      <w:pPr>
        <w:pStyle w:val="SingleTxt"/>
      </w:pPr>
      <w:r>
        <w:t>153.</w:t>
      </w:r>
      <w:r w:rsidR="004124C0">
        <w:tab/>
      </w:r>
      <w:r>
        <w:t>This means that men remain the main beneficiaries of farm land.</w:t>
      </w:r>
    </w:p>
    <w:p w:rsidR="005E1F07" w:rsidRDefault="00770B6C" w:rsidP="00770B6C">
      <w:pPr>
        <w:pStyle w:val="SingleTxt"/>
      </w:pPr>
      <w:r>
        <w:t>154.</w:t>
      </w:r>
      <w:r w:rsidR="004124C0">
        <w:tab/>
      </w:r>
      <w:r>
        <w:t>With regard to livestock-raising, while promotion of the sector is essentially held by men, an increasing number of women are making their entry.</w:t>
      </w:r>
      <w:r w:rsidR="005E03D8">
        <w:t xml:space="preserve"> </w:t>
      </w:r>
      <w:r>
        <w:t>In 2009, there were ten women entrepreneurs in the area of animal health.</w:t>
      </w:r>
      <w:r w:rsidR="005E03D8">
        <w:t xml:space="preserve"> </w:t>
      </w:r>
      <w:r>
        <w:t>They focus strongly on processing and marketing of agroforestry products by setting up small modern production units.</w:t>
      </w:r>
    </w:p>
    <w:p w:rsidR="008F4CE3" w:rsidRPr="008F4CE3" w:rsidRDefault="008F4CE3" w:rsidP="008F4CE3">
      <w:pPr>
        <w:pStyle w:val="SingleTxt"/>
        <w:spacing w:after="0" w:line="120" w:lineRule="exact"/>
        <w:rPr>
          <w:sz w:val="10"/>
        </w:rPr>
      </w:pPr>
    </w:p>
    <w:p w:rsidR="00770B6C" w:rsidRPr="008F4CE3" w:rsidRDefault="008F4CE3" w:rsidP="008F4CE3">
      <w:pPr>
        <w:pStyle w:val="H23"/>
        <w:ind w:right="1260"/>
        <w:rPr>
          <w:b w:val="0"/>
        </w:rPr>
      </w:pPr>
      <w:r>
        <w:tab/>
      </w:r>
      <w:r w:rsidRPr="008F4CE3">
        <w:rPr>
          <w:b w:val="0"/>
        </w:rPr>
        <w:tab/>
      </w:r>
      <w:r w:rsidR="00770B6C" w:rsidRPr="008F4CE3">
        <w:rPr>
          <w:b w:val="0"/>
        </w:rPr>
        <w:t>Table 14</w:t>
      </w:r>
    </w:p>
    <w:p w:rsidR="00770B6C" w:rsidRDefault="008F4CE3" w:rsidP="008F4CE3">
      <w:pPr>
        <w:pStyle w:val="H23"/>
        <w:ind w:right="1260"/>
      </w:pPr>
      <w:r>
        <w:tab/>
      </w:r>
      <w:r>
        <w:tab/>
      </w:r>
      <w:r w:rsidR="00770B6C">
        <w:t>Rate of rural agricultural population by region and by sex in 2011-2012</w:t>
      </w:r>
    </w:p>
    <w:p w:rsidR="008F4CE3" w:rsidRPr="008F4CE3" w:rsidRDefault="008F4CE3" w:rsidP="008F4CE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3"/>
        <w:gridCol w:w="2047"/>
        <w:gridCol w:w="2048"/>
      </w:tblGrid>
      <w:tr w:rsidR="00224C39" w:rsidRPr="008F4CE3" w:rsidTr="00224C39">
        <w:trPr>
          <w:tblHeader/>
        </w:trPr>
        <w:tc>
          <w:tcPr>
            <w:tcW w:w="3233" w:type="dxa"/>
            <w:tcBorders>
              <w:top w:val="single" w:sz="4" w:space="0" w:color="auto"/>
              <w:bottom w:val="single" w:sz="12" w:space="0" w:color="auto"/>
            </w:tcBorders>
            <w:shd w:val="clear" w:color="auto" w:fill="auto"/>
            <w:vAlign w:val="bottom"/>
          </w:tcPr>
          <w:p w:rsidR="008F4CE3" w:rsidRPr="008F4CE3" w:rsidRDefault="008F4CE3" w:rsidP="008F4CE3">
            <w:pPr>
              <w:pStyle w:val="FootnoteText"/>
              <w:tabs>
                <w:tab w:val="clear" w:pos="418"/>
                <w:tab w:val="right" w:pos="1476"/>
              </w:tabs>
              <w:spacing w:before="81" w:after="81" w:line="160" w:lineRule="exact"/>
              <w:ind w:left="0" w:right="43" w:firstLine="0"/>
              <w:rPr>
                <w:i/>
                <w:sz w:val="14"/>
              </w:rPr>
            </w:pPr>
            <w:r w:rsidRPr="008F4CE3">
              <w:rPr>
                <w:i/>
                <w:sz w:val="14"/>
              </w:rPr>
              <w:t>Region</w:t>
            </w:r>
          </w:p>
        </w:tc>
        <w:tc>
          <w:tcPr>
            <w:tcW w:w="2047" w:type="dxa"/>
            <w:tcBorders>
              <w:top w:val="single" w:sz="4" w:space="0" w:color="auto"/>
              <w:bottom w:val="single" w:sz="12" w:space="0" w:color="auto"/>
            </w:tcBorders>
            <w:shd w:val="clear" w:color="auto" w:fill="auto"/>
            <w:vAlign w:val="bottom"/>
          </w:tcPr>
          <w:p w:rsidR="008F4CE3" w:rsidRPr="008F4CE3" w:rsidRDefault="008F4CE3" w:rsidP="008F4CE3">
            <w:pPr>
              <w:pStyle w:val="FootnoteText"/>
              <w:tabs>
                <w:tab w:val="clear" w:pos="418"/>
                <w:tab w:val="right" w:pos="1476"/>
              </w:tabs>
              <w:spacing w:before="81" w:after="81" w:line="160" w:lineRule="exact"/>
              <w:ind w:left="0" w:right="43" w:hanging="288"/>
              <w:jc w:val="right"/>
              <w:rPr>
                <w:i/>
                <w:sz w:val="14"/>
              </w:rPr>
            </w:pPr>
            <w:r w:rsidRPr="008F4CE3">
              <w:rPr>
                <w:i/>
                <w:sz w:val="14"/>
              </w:rPr>
              <w:t>Men</w:t>
            </w:r>
          </w:p>
        </w:tc>
        <w:tc>
          <w:tcPr>
            <w:tcW w:w="2048" w:type="dxa"/>
            <w:tcBorders>
              <w:top w:val="single" w:sz="4" w:space="0" w:color="auto"/>
              <w:bottom w:val="single" w:sz="12" w:space="0" w:color="auto"/>
            </w:tcBorders>
            <w:shd w:val="clear" w:color="auto" w:fill="auto"/>
            <w:vAlign w:val="bottom"/>
          </w:tcPr>
          <w:p w:rsidR="008F4CE3" w:rsidRPr="008F4CE3" w:rsidRDefault="008F4CE3" w:rsidP="008F4CE3">
            <w:pPr>
              <w:pStyle w:val="FootnoteText"/>
              <w:tabs>
                <w:tab w:val="clear" w:pos="418"/>
                <w:tab w:val="right" w:pos="1476"/>
              </w:tabs>
              <w:spacing w:before="81" w:after="81" w:line="160" w:lineRule="exact"/>
              <w:ind w:left="0" w:right="43" w:hanging="288"/>
              <w:jc w:val="right"/>
              <w:rPr>
                <w:i/>
                <w:sz w:val="14"/>
              </w:rPr>
            </w:pPr>
            <w:r w:rsidRPr="008F4CE3">
              <w:rPr>
                <w:i/>
                <w:sz w:val="14"/>
              </w:rPr>
              <w:t>Women</w:t>
            </w:r>
          </w:p>
        </w:tc>
      </w:tr>
      <w:tr w:rsidR="008F4CE3" w:rsidRPr="008F4CE3" w:rsidTr="00224C39">
        <w:trPr>
          <w:trHeight w:hRule="exact" w:val="115"/>
          <w:tblHeader/>
        </w:trPr>
        <w:tc>
          <w:tcPr>
            <w:tcW w:w="3233" w:type="dxa"/>
            <w:tcBorders>
              <w:top w:val="single" w:sz="12" w:space="0" w:color="auto"/>
            </w:tcBorders>
            <w:shd w:val="clear" w:color="auto" w:fill="auto"/>
            <w:vAlign w:val="bottom"/>
          </w:tcPr>
          <w:p w:rsidR="008F4CE3" w:rsidRPr="008F4CE3" w:rsidRDefault="008F4CE3" w:rsidP="008F4CE3">
            <w:pPr>
              <w:pStyle w:val="FootnoteText"/>
              <w:tabs>
                <w:tab w:val="clear" w:pos="418"/>
                <w:tab w:val="right" w:pos="1476"/>
              </w:tabs>
              <w:spacing w:before="40" w:after="40"/>
              <w:ind w:left="0" w:right="43" w:firstLine="0"/>
            </w:pPr>
          </w:p>
        </w:tc>
        <w:tc>
          <w:tcPr>
            <w:tcW w:w="2047" w:type="dxa"/>
            <w:tcBorders>
              <w:top w:val="single" w:sz="12" w:space="0" w:color="auto"/>
            </w:tcBorders>
            <w:shd w:val="clear" w:color="auto" w:fill="auto"/>
            <w:vAlign w:val="bottom"/>
          </w:tcPr>
          <w:p w:rsidR="008F4CE3" w:rsidRPr="008F4CE3" w:rsidRDefault="008F4CE3" w:rsidP="008F4CE3">
            <w:pPr>
              <w:pStyle w:val="FootnoteText"/>
              <w:tabs>
                <w:tab w:val="clear" w:pos="418"/>
                <w:tab w:val="right" w:pos="1476"/>
              </w:tabs>
              <w:spacing w:before="40" w:after="40"/>
              <w:ind w:left="0" w:right="43" w:hanging="288"/>
              <w:jc w:val="right"/>
            </w:pPr>
          </w:p>
        </w:tc>
        <w:tc>
          <w:tcPr>
            <w:tcW w:w="2048" w:type="dxa"/>
            <w:tcBorders>
              <w:top w:val="single" w:sz="12" w:space="0" w:color="auto"/>
            </w:tcBorders>
            <w:shd w:val="clear" w:color="auto" w:fill="auto"/>
            <w:vAlign w:val="bottom"/>
          </w:tcPr>
          <w:p w:rsidR="008F4CE3" w:rsidRPr="008F4CE3" w:rsidRDefault="008F4CE3" w:rsidP="008F4CE3">
            <w:pPr>
              <w:pStyle w:val="FootnoteText"/>
              <w:tabs>
                <w:tab w:val="clear" w:pos="418"/>
                <w:tab w:val="right" w:pos="1476"/>
              </w:tabs>
              <w:spacing w:before="40" w:after="40"/>
              <w:ind w:left="0" w:right="43" w:hanging="288"/>
              <w:jc w:val="right"/>
            </w:pPr>
          </w:p>
        </w:tc>
      </w:tr>
      <w:tr w:rsidR="00224C39" w:rsidRPr="008F4CE3" w:rsidTr="00224C39">
        <w:tc>
          <w:tcPr>
            <w:tcW w:w="3233"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firstLine="0"/>
            </w:pPr>
            <w:r w:rsidRPr="008F4CE3">
              <w:t>Kayes</w:t>
            </w:r>
          </w:p>
        </w:tc>
        <w:tc>
          <w:tcPr>
            <w:tcW w:w="2047"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50.90</w:t>
            </w:r>
          </w:p>
        </w:tc>
        <w:tc>
          <w:tcPr>
            <w:tcW w:w="2048"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49.10</w:t>
            </w:r>
          </w:p>
        </w:tc>
      </w:tr>
      <w:tr w:rsidR="008F4CE3" w:rsidRPr="008F4CE3" w:rsidTr="00224C39">
        <w:tc>
          <w:tcPr>
            <w:tcW w:w="3233"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firstLine="0"/>
            </w:pPr>
            <w:r w:rsidRPr="008F4CE3">
              <w:t>Koulikoro</w:t>
            </w:r>
          </w:p>
        </w:tc>
        <w:tc>
          <w:tcPr>
            <w:tcW w:w="2047"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51.10</w:t>
            </w:r>
          </w:p>
        </w:tc>
        <w:tc>
          <w:tcPr>
            <w:tcW w:w="2048"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48.90</w:t>
            </w:r>
          </w:p>
        </w:tc>
      </w:tr>
      <w:tr w:rsidR="008F4CE3" w:rsidRPr="008F4CE3" w:rsidTr="00224C39">
        <w:tc>
          <w:tcPr>
            <w:tcW w:w="3233"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firstLine="0"/>
            </w:pPr>
            <w:r w:rsidRPr="008F4CE3">
              <w:t>Sikasso</w:t>
            </w:r>
          </w:p>
        </w:tc>
        <w:tc>
          <w:tcPr>
            <w:tcW w:w="2047"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49.80</w:t>
            </w:r>
          </w:p>
        </w:tc>
        <w:tc>
          <w:tcPr>
            <w:tcW w:w="2048"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50.20</w:t>
            </w:r>
          </w:p>
        </w:tc>
      </w:tr>
      <w:tr w:rsidR="008F4CE3" w:rsidRPr="008F4CE3" w:rsidTr="00224C39">
        <w:tc>
          <w:tcPr>
            <w:tcW w:w="3233"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firstLine="0"/>
            </w:pPr>
            <w:r w:rsidRPr="008F4CE3">
              <w:t>Ségou</w:t>
            </w:r>
          </w:p>
        </w:tc>
        <w:tc>
          <w:tcPr>
            <w:tcW w:w="2047"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51.40</w:t>
            </w:r>
          </w:p>
        </w:tc>
        <w:tc>
          <w:tcPr>
            <w:tcW w:w="2048"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48.60</w:t>
            </w:r>
          </w:p>
        </w:tc>
      </w:tr>
      <w:tr w:rsidR="008F4CE3" w:rsidRPr="008F4CE3" w:rsidTr="00224C39">
        <w:tc>
          <w:tcPr>
            <w:tcW w:w="3233"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firstLine="0"/>
            </w:pPr>
            <w:r w:rsidRPr="008F4CE3">
              <w:t>Mopti</w:t>
            </w:r>
          </w:p>
        </w:tc>
        <w:tc>
          <w:tcPr>
            <w:tcW w:w="2047"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53.20</w:t>
            </w:r>
          </w:p>
        </w:tc>
        <w:tc>
          <w:tcPr>
            <w:tcW w:w="2048" w:type="dxa"/>
            <w:shd w:val="clear" w:color="auto" w:fill="auto"/>
            <w:vAlign w:val="bottom"/>
          </w:tcPr>
          <w:p w:rsidR="008F4CE3" w:rsidRPr="008F4CE3" w:rsidRDefault="008F4CE3" w:rsidP="008F4CE3">
            <w:pPr>
              <w:pStyle w:val="FootnoteText"/>
              <w:tabs>
                <w:tab w:val="clear" w:pos="418"/>
                <w:tab w:val="left" w:pos="288"/>
                <w:tab w:val="left" w:pos="576"/>
                <w:tab w:val="left" w:pos="864"/>
                <w:tab w:val="left" w:pos="1152"/>
                <w:tab w:val="right" w:pos="1476"/>
              </w:tabs>
              <w:spacing w:before="40" w:after="40"/>
              <w:ind w:left="0" w:right="43" w:hanging="288"/>
              <w:jc w:val="right"/>
            </w:pPr>
            <w:r w:rsidRPr="008F4CE3">
              <w:t>46.80</w:t>
            </w:r>
          </w:p>
        </w:tc>
      </w:tr>
      <w:tr w:rsidR="008F4CE3" w:rsidRPr="008F4CE3" w:rsidTr="00224C39">
        <w:tc>
          <w:tcPr>
            <w:tcW w:w="3233" w:type="dxa"/>
            <w:shd w:val="clear" w:color="auto" w:fill="auto"/>
            <w:vAlign w:val="bottom"/>
          </w:tcPr>
          <w:p w:rsidR="008F4CE3" w:rsidRPr="008F4CE3" w:rsidRDefault="008F4CE3" w:rsidP="008E61F1">
            <w:pPr>
              <w:pStyle w:val="FootnoteText"/>
              <w:keepNext/>
              <w:keepLines/>
              <w:tabs>
                <w:tab w:val="clear" w:pos="418"/>
                <w:tab w:val="left" w:pos="288"/>
                <w:tab w:val="left" w:pos="576"/>
                <w:tab w:val="left" w:pos="864"/>
                <w:tab w:val="left" w:pos="1152"/>
                <w:tab w:val="right" w:pos="1476"/>
              </w:tabs>
              <w:spacing w:before="40" w:after="40"/>
              <w:ind w:left="0" w:right="43" w:firstLine="0"/>
            </w:pPr>
            <w:r w:rsidRPr="008F4CE3">
              <w:lastRenderedPageBreak/>
              <w:t>Tombouctou</w:t>
            </w:r>
          </w:p>
        </w:tc>
        <w:tc>
          <w:tcPr>
            <w:tcW w:w="2047" w:type="dxa"/>
            <w:shd w:val="clear" w:color="auto" w:fill="auto"/>
            <w:vAlign w:val="bottom"/>
          </w:tcPr>
          <w:p w:rsidR="008F4CE3" w:rsidRPr="008F4CE3" w:rsidRDefault="008F4CE3" w:rsidP="008E61F1">
            <w:pPr>
              <w:pStyle w:val="FootnoteText"/>
              <w:keepNext/>
              <w:keepLines/>
              <w:tabs>
                <w:tab w:val="clear" w:pos="418"/>
                <w:tab w:val="left" w:pos="288"/>
                <w:tab w:val="left" w:pos="576"/>
                <w:tab w:val="left" w:pos="864"/>
                <w:tab w:val="left" w:pos="1152"/>
                <w:tab w:val="right" w:pos="1476"/>
              </w:tabs>
              <w:spacing w:before="40" w:after="40"/>
              <w:ind w:left="0" w:right="43" w:hanging="288"/>
              <w:jc w:val="right"/>
            </w:pPr>
            <w:r w:rsidRPr="008F4CE3">
              <w:t>53.90</w:t>
            </w:r>
          </w:p>
        </w:tc>
        <w:tc>
          <w:tcPr>
            <w:tcW w:w="2048" w:type="dxa"/>
            <w:shd w:val="clear" w:color="auto" w:fill="auto"/>
            <w:vAlign w:val="bottom"/>
          </w:tcPr>
          <w:p w:rsidR="008F4CE3" w:rsidRPr="008F4CE3" w:rsidRDefault="008F4CE3" w:rsidP="008E61F1">
            <w:pPr>
              <w:pStyle w:val="FootnoteText"/>
              <w:keepNext/>
              <w:keepLines/>
              <w:tabs>
                <w:tab w:val="clear" w:pos="418"/>
                <w:tab w:val="left" w:pos="288"/>
                <w:tab w:val="left" w:pos="576"/>
                <w:tab w:val="left" w:pos="864"/>
                <w:tab w:val="left" w:pos="1152"/>
                <w:tab w:val="right" w:pos="1476"/>
              </w:tabs>
              <w:spacing w:before="40" w:after="40"/>
              <w:ind w:left="0" w:right="43" w:hanging="288"/>
              <w:jc w:val="right"/>
            </w:pPr>
            <w:r w:rsidRPr="008F4CE3">
              <w:t>46.10</w:t>
            </w:r>
          </w:p>
        </w:tc>
      </w:tr>
      <w:tr w:rsidR="00224C39" w:rsidRPr="008F4CE3" w:rsidTr="00224C39">
        <w:tc>
          <w:tcPr>
            <w:tcW w:w="3233" w:type="dxa"/>
            <w:tcBorders>
              <w:bottom w:val="single" w:sz="4" w:space="0" w:color="auto"/>
            </w:tcBorders>
            <w:shd w:val="clear" w:color="auto" w:fill="auto"/>
            <w:vAlign w:val="bottom"/>
          </w:tcPr>
          <w:p w:rsidR="008F4CE3" w:rsidRPr="008F4CE3" w:rsidRDefault="008F4CE3" w:rsidP="008E61F1">
            <w:pPr>
              <w:pStyle w:val="FootnoteText"/>
              <w:keepNext/>
              <w:keepLines/>
              <w:tabs>
                <w:tab w:val="clear" w:pos="418"/>
                <w:tab w:val="left" w:pos="288"/>
                <w:tab w:val="left" w:pos="576"/>
                <w:tab w:val="left" w:pos="864"/>
                <w:tab w:val="left" w:pos="1152"/>
                <w:tab w:val="right" w:pos="1476"/>
              </w:tabs>
              <w:spacing w:before="40" w:after="81"/>
              <w:ind w:left="0" w:right="43" w:firstLine="0"/>
            </w:pPr>
            <w:r w:rsidRPr="008F4CE3">
              <w:t>Gao</w:t>
            </w:r>
          </w:p>
        </w:tc>
        <w:tc>
          <w:tcPr>
            <w:tcW w:w="2047" w:type="dxa"/>
            <w:tcBorders>
              <w:bottom w:val="single" w:sz="4" w:space="0" w:color="auto"/>
            </w:tcBorders>
            <w:shd w:val="clear" w:color="auto" w:fill="auto"/>
            <w:vAlign w:val="bottom"/>
          </w:tcPr>
          <w:p w:rsidR="008F4CE3" w:rsidRPr="008F4CE3" w:rsidRDefault="008F4CE3" w:rsidP="008E61F1">
            <w:pPr>
              <w:pStyle w:val="FootnoteText"/>
              <w:keepNext/>
              <w:keepLines/>
              <w:tabs>
                <w:tab w:val="clear" w:pos="418"/>
                <w:tab w:val="left" w:pos="288"/>
                <w:tab w:val="left" w:pos="576"/>
                <w:tab w:val="left" w:pos="864"/>
                <w:tab w:val="left" w:pos="1152"/>
                <w:tab w:val="right" w:pos="1476"/>
              </w:tabs>
              <w:spacing w:before="40" w:after="81"/>
              <w:ind w:left="0" w:right="43" w:hanging="288"/>
              <w:jc w:val="right"/>
            </w:pPr>
            <w:r w:rsidRPr="008F4CE3">
              <w:t>51.70</w:t>
            </w:r>
          </w:p>
        </w:tc>
        <w:tc>
          <w:tcPr>
            <w:tcW w:w="2048" w:type="dxa"/>
            <w:tcBorders>
              <w:bottom w:val="single" w:sz="4" w:space="0" w:color="auto"/>
            </w:tcBorders>
            <w:shd w:val="clear" w:color="auto" w:fill="auto"/>
            <w:vAlign w:val="bottom"/>
          </w:tcPr>
          <w:p w:rsidR="008F4CE3" w:rsidRPr="008F4CE3" w:rsidRDefault="008F4CE3" w:rsidP="008E61F1">
            <w:pPr>
              <w:pStyle w:val="FootnoteText"/>
              <w:keepNext/>
              <w:keepLines/>
              <w:tabs>
                <w:tab w:val="clear" w:pos="418"/>
                <w:tab w:val="left" w:pos="288"/>
                <w:tab w:val="left" w:pos="576"/>
                <w:tab w:val="left" w:pos="864"/>
                <w:tab w:val="left" w:pos="1152"/>
                <w:tab w:val="right" w:pos="1476"/>
              </w:tabs>
              <w:spacing w:before="40" w:after="81"/>
              <w:ind w:left="0" w:right="43" w:hanging="288"/>
              <w:jc w:val="right"/>
            </w:pPr>
            <w:r w:rsidRPr="008F4CE3">
              <w:t>48.30</w:t>
            </w:r>
          </w:p>
        </w:tc>
      </w:tr>
      <w:tr w:rsidR="00224C39" w:rsidRPr="00224C39" w:rsidTr="00224C39">
        <w:tc>
          <w:tcPr>
            <w:tcW w:w="3233" w:type="dxa"/>
            <w:tcBorders>
              <w:top w:val="single" w:sz="4" w:space="0" w:color="auto"/>
              <w:bottom w:val="single" w:sz="12" w:space="0" w:color="auto"/>
            </w:tcBorders>
            <w:shd w:val="clear" w:color="auto" w:fill="auto"/>
            <w:vAlign w:val="bottom"/>
          </w:tcPr>
          <w:p w:rsidR="008F4CE3" w:rsidRPr="00224C39" w:rsidRDefault="00224C39" w:rsidP="00224C39">
            <w:pPr>
              <w:pStyle w:val="FootnoteText"/>
              <w:tabs>
                <w:tab w:val="clear" w:pos="418"/>
                <w:tab w:val="left" w:pos="288"/>
                <w:tab w:val="left" w:pos="576"/>
                <w:tab w:val="left" w:pos="864"/>
                <w:tab w:val="left" w:pos="1152"/>
                <w:tab w:val="right" w:pos="1476"/>
              </w:tabs>
              <w:spacing w:before="81" w:after="81"/>
              <w:ind w:left="0" w:right="43" w:firstLine="0"/>
              <w:rPr>
                <w:b/>
              </w:rPr>
            </w:pPr>
            <w:r w:rsidRPr="00224C39">
              <w:rPr>
                <w:b/>
              </w:rPr>
              <w:tab/>
              <w:t>Total</w:t>
            </w:r>
          </w:p>
        </w:tc>
        <w:tc>
          <w:tcPr>
            <w:tcW w:w="2047" w:type="dxa"/>
            <w:tcBorders>
              <w:top w:val="single" w:sz="4" w:space="0" w:color="auto"/>
              <w:bottom w:val="single" w:sz="12" w:space="0" w:color="auto"/>
            </w:tcBorders>
            <w:shd w:val="clear" w:color="auto" w:fill="auto"/>
            <w:vAlign w:val="bottom"/>
          </w:tcPr>
          <w:p w:rsidR="008F4CE3" w:rsidRPr="00224C39" w:rsidRDefault="008F4CE3" w:rsidP="00224C39">
            <w:pPr>
              <w:pStyle w:val="FootnoteText"/>
              <w:tabs>
                <w:tab w:val="clear" w:pos="418"/>
                <w:tab w:val="left" w:pos="288"/>
                <w:tab w:val="left" w:pos="576"/>
                <w:tab w:val="left" w:pos="864"/>
                <w:tab w:val="left" w:pos="1152"/>
                <w:tab w:val="right" w:pos="1476"/>
              </w:tabs>
              <w:spacing w:before="81" w:after="81"/>
              <w:ind w:left="0" w:right="43" w:hanging="288"/>
              <w:jc w:val="right"/>
              <w:rPr>
                <w:b/>
              </w:rPr>
            </w:pPr>
            <w:r w:rsidRPr="00224C39">
              <w:rPr>
                <w:b/>
              </w:rPr>
              <w:t>51.30</w:t>
            </w:r>
          </w:p>
        </w:tc>
        <w:tc>
          <w:tcPr>
            <w:tcW w:w="2048" w:type="dxa"/>
            <w:tcBorders>
              <w:top w:val="single" w:sz="4" w:space="0" w:color="auto"/>
              <w:bottom w:val="single" w:sz="12" w:space="0" w:color="auto"/>
            </w:tcBorders>
            <w:shd w:val="clear" w:color="auto" w:fill="auto"/>
            <w:vAlign w:val="bottom"/>
          </w:tcPr>
          <w:p w:rsidR="008F4CE3" w:rsidRPr="00224C39" w:rsidRDefault="008F4CE3" w:rsidP="00224C39">
            <w:pPr>
              <w:pStyle w:val="FootnoteText"/>
              <w:tabs>
                <w:tab w:val="clear" w:pos="418"/>
                <w:tab w:val="left" w:pos="288"/>
                <w:tab w:val="left" w:pos="576"/>
                <w:tab w:val="left" w:pos="864"/>
                <w:tab w:val="left" w:pos="1152"/>
                <w:tab w:val="right" w:pos="1476"/>
              </w:tabs>
              <w:spacing w:before="81" w:after="81"/>
              <w:ind w:left="0" w:right="43" w:hanging="288"/>
              <w:jc w:val="right"/>
              <w:rPr>
                <w:b/>
              </w:rPr>
            </w:pPr>
            <w:r w:rsidRPr="00224C39">
              <w:rPr>
                <w:b/>
              </w:rPr>
              <w:t>48.70</w:t>
            </w:r>
          </w:p>
        </w:tc>
      </w:tr>
    </w:tbl>
    <w:p w:rsidR="00224C39" w:rsidRPr="00224C39" w:rsidRDefault="00224C39" w:rsidP="00224C39">
      <w:pPr>
        <w:pStyle w:val="SingleTxt"/>
        <w:spacing w:after="0" w:line="120" w:lineRule="exact"/>
        <w:rPr>
          <w:sz w:val="10"/>
        </w:rPr>
      </w:pPr>
    </w:p>
    <w:p w:rsidR="005E1F07" w:rsidRDefault="00224C39" w:rsidP="00224C39">
      <w:pPr>
        <w:pStyle w:val="FootnoteText"/>
        <w:tabs>
          <w:tab w:val="clear" w:pos="418"/>
          <w:tab w:val="right" w:pos="1476"/>
          <w:tab w:val="left" w:pos="1548"/>
          <w:tab w:val="right" w:pos="1836"/>
          <w:tab w:val="left" w:pos="1908"/>
        </w:tabs>
        <w:ind w:left="1548" w:right="1267" w:hanging="288"/>
      </w:pPr>
      <w:r>
        <w:tab/>
      </w:r>
      <w:r w:rsidR="00770B6C" w:rsidRPr="00A61064">
        <w:rPr>
          <w:i/>
        </w:rPr>
        <w:t>Source</w:t>
      </w:r>
      <w:r w:rsidR="00770B6C" w:rsidRPr="00A61064">
        <w:t>:</w:t>
      </w:r>
      <w:r w:rsidR="00770B6C" w:rsidRPr="00224C39">
        <w:rPr>
          <w:i/>
        </w:rPr>
        <w:t xml:space="preserve"> Planning &amp; Statistics Unit, Rural Development Sector, Current Agricultural Survey, 2011-2012</w:t>
      </w:r>
      <w:r w:rsidR="00770B6C">
        <w:t xml:space="preserve">. </w:t>
      </w:r>
    </w:p>
    <w:p w:rsidR="00224C39" w:rsidRPr="00224C39" w:rsidRDefault="00224C39" w:rsidP="00224C39">
      <w:pPr>
        <w:pStyle w:val="SingleTxt"/>
        <w:spacing w:after="0" w:line="120" w:lineRule="exact"/>
        <w:rPr>
          <w:sz w:val="10"/>
        </w:rPr>
      </w:pPr>
    </w:p>
    <w:p w:rsidR="00224C39" w:rsidRPr="00224C39" w:rsidRDefault="00224C39" w:rsidP="00224C39">
      <w:pPr>
        <w:pStyle w:val="SingleTxt"/>
        <w:spacing w:after="0" w:line="120" w:lineRule="exact"/>
        <w:rPr>
          <w:sz w:val="10"/>
        </w:rPr>
      </w:pPr>
    </w:p>
    <w:p w:rsidR="005E1F07" w:rsidRDefault="00224C39" w:rsidP="00224C39">
      <w:pPr>
        <w:pStyle w:val="H23"/>
        <w:ind w:right="1260"/>
      </w:pPr>
      <w:r>
        <w:tab/>
      </w:r>
      <w:r>
        <w:tab/>
      </w:r>
      <w:r w:rsidR="00770B6C">
        <w:t>Bamako and Kidal were not covered by the Current Agricultural Survey</w:t>
      </w:r>
    </w:p>
    <w:p w:rsidR="00224C39" w:rsidRPr="00224C39" w:rsidRDefault="00224C39" w:rsidP="00224C39">
      <w:pPr>
        <w:pStyle w:val="SingleTxt"/>
        <w:spacing w:after="0" w:line="120" w:lineRule="exact"/>
        <w:rPr>
          <w:sz w:val="10"/>
        </w:rPr>
      </w:pPr>
    </w:p>
    <w:p w:rsidR="00770B6C" w:rsidRDefault="004124C0" w:rsidP="00224C39">
      <w:pPr>
        <w:pStyle w:val="H23"/>
        <w:ind w:right="1260"/>
      </w:pPr>
      <w:r>
        <w:tab/>
        <w:t>(</w:t>
      </w:r>
      <w:r w:rsidR="00770B6C">
        <w:t>a)</w:t>
      </w:r>
      <w:r>
        <w:tab/>
      </w:r>
      <w:r w:rsidR="00770B6C">
        <w:t>Women and development programmes</w:t>
      </w:r>
    </w:p>
    <w:p w:rsidR="00224C39" w:rsidRPr="00224C39" w:rsidRDefault="00224C39" w:rsidP="00224C39">
      <w:pPr>
        <w:pStyle w:val="SingleTxt"/>
        <w:spacing w:after="0" w:line="120" w:lineRule="exact"/>
        <w:rPr>
          <w:sz w:val="10"/>
        </w:rPr>
      </w:pPr>
    </w:p>
    <w:p w:rsidR="005E1F07" w:rsidRDefault="00770B6C" w:rsidP="00770B6C">
      <w:pPr>
        <w:pStyle w:val="SingleTxt"/>
      </w:pPr>
      <w:r>
        <w:t>155.</w:t>
      </w:r>
      <w:r w:rsidR="004124C0">
        <w:tab/>
      </w:r>
      <w:r>
        <w:t>After evaluating the implementation of the 2002</w:t>
      </w:r>
      <w:r w:rsidR="001E33E4">
        <w:t>-</w:t>
      </w:r>
      <w:r>
        <w:t>2006 poverty reduction strategy paper, the Government adopted the Strategic Framework for Growth and Poverty Reduction for 2007-2011 in order to significantly reduce poverty and accelerate progress towards achievement of the Millennium Development Goals (MDGs).</w:t>
      </w:r>
    </w:p>
    <w:p w:rsidR="005E1F07" w:rsidRDefault="00770B6C" w:rsidP="00770B6C">
      <w:pPr>
        <w:pStyle w:val="SingleTxt"/>
      </w:pPr>
      <w:r>
        <w:t>156.</w:t>
      </w:r>
      <w:r w:rsidR="004124C0">
        <w:tab/>
      </w:r>
      <w:r>
        <w:t xml:space="preserve">In this context, there has been significant improvement in the condition of women as a result of </w:t>
      </w:r>
      <w:r w:rsidR="00224C39" w:rsidRPr="00224C39">
        <w:t>socio</w:t>
      </w:r>
      <w:r>
        <w:t xml:space="preserve">economic development programmes implemented by the Government with contributions from development partners: PRODESS (Decennial Social and Health Development Programme); PRODEC (Decennial Education Development Programme); PRODEJ (Decennial Justice Development Programme); PASAOP (Programme to support the Farm System and Rural Organizations). </w:t>
      </w:r>
    </w:p>
    <w:p w:rsidR="005E1F07" w:rsidRDefault="00770B6C" w:rsidP="00770B6C">
      <w:pPr>
        <w:pStyle w:val="SingleTxt"/>
      </w:pPr>
      <w:r>
        <w:t>157.</w:t>
      </w:r>
      <w:r w:rsidR="004124C0">
        <w:tab/>
      </w:r>
      <w:r>
        <w:t>In addition, several projects and programmes in support of women and for reduction of male/female inequalities have been initiated, including the following:</w:t>
      </w:r>
    </w:p>
    <w:p w:rsidR="00770B6C" w:rsidRDefault="00224C39" w:rsidP="00224C39">
      <w:pPr>
        <w:pStyle w:val="SingleTxt"/>
        <w:tabs>
          <w:tab w:val="right" w:pos="1685"/>
        </w:tabs>
        <w:ind w:left="1742" w:hanging="475"/>
      </w:pPr>
      <w:r>
        <w:tab/>
        <w:t>▪</w:t>
      </w:r>
      <w:r w:rsidR="00770B6C">
        <w:tab/>
        <w:t xml:space="preserve">Project to support strengthening of male/female equity for the reduction of economic and </w:t>
      </w:r>
      <w:r w:rsidRPr="00224C39">
        <w:t>socio</w:t>
      </w:r>
      <w:r w:rsidR="00770B6C">
        <w:t>political disparities (PARHF2 et PAREHF3);</w:t>
      </w:r>
    </w:p>
    <w:p w:rsidR="00770B6C" w:rsidRDefault="00224C39" w:rsidP="00224C39">
      <w:pPr>
        <w:pStyle w:val="SingleTxt"/>
        <w:tabs>
          <w:tab w:val="right" w:pos="1685"/>
        </w:tabs>
        <w:ind w:left="1742" w:hanging="475"/>
      </w:pPr>
      <w:r>
        <w:tab/>
        <w:t>▪</w:t>
      </w:r>
      <w:r w:rsidR="00770B6C">
        <w:tab/>
        <w:t>Project to support women in shea production;</w:t>
      </w:r>
    </w:p>
    <w:p w:rsidR="00770B6C" w:rsidRDefault="00224C39" w:rsidP="00224C39">
      <w:pPr>
        <w:pStyle w:val="SingleTxt"/>
        <w:tabs>
          <w:tab w:val="right" w:pos="1685"/>
        </w:tabs>
        <w:ind w:left="1742" w:hanging="475"/>
      </w:pPr>
      <w:r>
        <w:tab/>
        <w:t>▪</w:t>
      </w:r>
      <w:r w:rsidR="00770B6C">
        <w:tab/>
        <w:t>Project to support women economic actors;</w:t>
      </w:r>
    </w:p>
    <w:p w:rsidR="00770B6C" w:rsidRDefault="00224C39" w:rsidP="00224C39">
      <w:pPr>
        <w:pStyle w:val="SingleTxt"/>
        <w:tabs>
          <w:tab w:val="right" w:pos="1685"/>
        </w:tabs>
        <w:ind w:left="1742" w:hanging="475"/>
      </w:pPr>
      <w:r>
        <w:tab/>
        <w:t>▪</w:t>
      </w:r>
      <w:r w:rsidR="00770B6C">
        <w:tab/>
        <w:t xml:space="preserve">Project to build equipment at </w:t>
      </w:r>
      <w:r w:rsidRPr="00224C39">
        <w:t>socio</w:t>
      </w:r>
      <w:r>
        <w:t>-</w:t>
      </w:r>
      <w:r w:rsidR="00770B6C">
        <w:t>educational centres for women and children;</w:t>
      </w:r>
    </w:p>
    <w:p w:rsidR="00770B6C" w:rsidRDefault="00224C39" w:rsidP="00224C39">
      <w:pPr>
        <w:pStyle w:val="SingleTxt"/>
        <w:tabs>
          <w:tab w:val="right" w:pos="1685"/>
        </w:tabs>
        <w:ind w:left="1742" w:hanging="475"/>
      </w:pPr>
      <w:r>
        <w:tab/>
        <w:t>▪</w:t>
      </w:r>
      <w:r w:rsidR="00770B6C">
        <w:tab/>
        <w:t>Projects in support of women</w:t>
      </w:r>
      <w:r w:rsidR="001E33E4">
        <w:t>’</w:t>
      </w:r>
      <w:r w:rsidR="00770B6C">
        <w:t>s health and project to support improvement of the status of women and gender equity (PAASFEG) funded by UNFPA for the period 2002-2007;</w:t>
      </w:r>
    </w:p>
    <w:p w:rsidR="00770B6C" w:rsidRDefault="00224C39" w:rsidP="00224C39">
      <w:pPr>
        <w:pStyle w:val="SingleTxt"/>
        <w:tabs>
          <w:tab w:val="right" w:pos="1685"/>
        </w:tabs>
        <w:ind w:left="1742" w:hanging="475"/>
      </w:pPr>
      <w:r>
        <w:tab/>
        <w:t>▪</w:t>
      </w:r>
      <w:r w:rsidR="00770B6C">
        <w:tab/>
        <w:t>Joint United Nations support programme for the promotion of human and gender rights (PCDHG);</w:t>
      </w:r>
    </w:p>
    <w:p w:rsidR="00770B6C" w:rsidRDefault="00224C39" w:rsidP="00224C39">
      <w:pPr>
        <w:pStyle w:val="SingleTxt"/>
        <w:tabs>
          <w:tab w:val="right" w:pos="1685"/>
        </w:tabs>
        <w:ind w:left="1742" w:hanging="475"/>
      </w:pPr>
      <w:r>
        <w:tab/>
        <w:t>▪</w:t>
      </w:r>
      <w:r w:rsidR="00770B6C">
        <w:tab/>
        <w:t>Project on equality between the sexes (PROJES);</w:t>
      </w:r>
    </w:p>
    <w:p w:rsidR="00770B6C" w:rsidRDefault="00224C39" w:rsidP="00224C39">
      <w:pPr>
        <w:pStyle w:val="SingleTxt"/>
        <w:tabs>
          <w:tab w:val="right" w:pos="1685"/>
        </w:tabs>
        <w:ind w:left="1742" w:hanging="475"/>
      </w:pPr>
      <w:r>
        <w:tab/>
        <w:t>▪</w:t>
      </w:r>
      <w:r w:rsidR="00770B6C">
        <w:tab/>
        <w:t>Human rights gender equity programme (PDHEG);</w:t>
      </w:r>
    </w:p>
    <w:p w:rsidR="00770B6C" w:rsidRDefault="00224C39" w:rsidP="00224C39">
      <w:pPr>
        <w:pStyle w:val="SingleTxt"/>
        <w:tabs>
          <w:tab w:val="right" w:pos="1685"/>
        </w:tabs>
        <w:ind w:left="1742" w:hanging="475"/>
      </w:pPr>
      <w:r>
        <w:tab/>
        <w:t>▪</w:t>
      </w:r>
      <w:r w:rsidR="00770B6C">
        <w:tab/>
        <w:t>Project for the development of multi-functional platforms;</w:t>
      </w:r>
    </w:p>
    <w:p w:rsidR="00770B6C" w:rsidRDefault="00224C39" w:rsidP="00224C39">
      <w:pPr>
        <w:pStyle w:val="SingleTxt"/>
        <w:tabs>
          <w:tab w:val="right" w:pos="1685"/>
        </w:tabs>
        <w:ind w:left="1742" w:hanging="475"/>
      </w:pPr>
      <w:r>
        <w:tab/>
        <w:t>▪</w:t>
      </w:r>
      <w:r w:rsidR="00770B6C">
        <w:tab/>
        <w:t>Micro-credit project for promotion of entrepreneurship among women and young people;</w:t>
      </w:r>
    </w:p>
    <w:p w:rsidR="00770B6C" w:rsidRDefault="00224C39" w:rsidP="00224C39">
      <w:pPr>
        <w:pStyle w:val="SingleTxt"/>
        <w:tabs>
          <w:tab w:val="right" w:pos="1685"/>
        </w:tabs>
        <w:ind w:left="1742" w:hanging="475"/>
      </w:pPr>
      <w:r>
        <w:tab/>
        <w:t>▪</w:t>
      </w:r>
      <w:r w:rsidR="00770B6C">
        <w:tab/>
        <w:t>Capacity-building project for women economic actors by Spanish cooperation in the framework of NEPAD, 2008;</w:t>
      </w:r>
    </w:p>
    <w:p w:rsidR="00770B6C" w:rsidRDefault="00224C39" w:rsidP="00224C39">
      <w:pPr>
        <w:pStyle w:val="SingleTxt"/>
        <w:tabs>
          <w:tab w:val="right" w:pos="1685"/>
        </w:tabs>
        <w:ind w:left="1742" w:hanging="475"/>
      </w:pPr>
      <w:r>
        <w:lastRenderedPageBreak/>
        <w:tab/>
        <w:t>▪</w:t>
      </w:r>
      <w:r w:rsidR="00770B6C">
        <w:tab/>
        <w:t>Capacity-building programme for women</w:t>
      </w:r>
      <w:r w:rsidR="001E33E4">
        <w:t>’</w:t>
      </w:r>
      <w:r w:rsidR="00770B6C">
        <w:t>s organizations (RECOFEM), funded by ACBF (phase 1: 2005-2009; phase 2: 2009-2013);</w:t>
      </w:r>
    </w:p>
    <w:p w:rsidR="00770B6C" w:rsidRDefault="00224C39" w:rsidP="00224C39">
      <w:pPr>
        <w:pStyle w:val="SingleTxt"/>
        <w:tabs>
          <w:tab w:val="right" w:pos="1685"/>
        </w:tabs>
        <w:ind w:left="1742" w:hanging="475"/>
      </w:pPr>
      <w:r>
        <w:tab/>
        <w:t>▪</w:t>
      </w:r>
      <w:r w:rsidR="00770B6C">
        <w:tab/>
      </w:r>
      <w:r w:rsidR="001E33E4">
        <w:t>“</w:t>
      </w:r>
      <w:r w:rsidR="00770B6C">
        <w:t>Layidu Wari</w:t>
      </w:r>
      <w:r w:rsidR="001E33E4">
        <w:t>”</w:t>
      </w:r>
      <w:r w:rsidR="00770B6C">
        <w:t xml:space="preserve"> project in support of women</w:t>
      </w:r>
      <w:r w:rsidR="001E33E4">
        <w:t>’</w:t>
      </w:r>
      <w:r w:rsidR="00770B6C">
        <w:t>s economic activities, 2004;</w:t>
      </w:r>
    </w:p>
    <w:p w:rsidR="00770B6C" w:rsidRDefault="00224C39" w:rsidP="00224C39">
      <w:pPr>
        <w:pStyle w:val="SingleTxt"/>
        <w:tabs>
          <w:tab w:val="right" w:pos="1685"/>
        </w:tabs>
        <w:ind w:left="1742" w:hanging="475"/>
      </w:pPr>
      <w:r>
        <w:tab/>
        <w:t>▪</w:t>
      </w:r>
      <w:r w:rsidR="00770B6C">
        <w:tab/>
        <w:t>Support for improvement of living conditions of the poor and of vulnerable sectors through decentralized communities: PAACVP –Tonka;</w:t>
      </w:r>
    </w:p>
    <w:p w:rsidR="00770B6C" w:rsidRDefault="00224C39" w:rsidP="00224C39">
      <w:pPr>
        <w:pStyle w:val="SingleTxt"/>
        <w:tabs>
          <w:tab w:val="right" w:pos="1685"/>
        </w:tabs>
        <w:ind w:left="1742" w:hanging="475"/>
      </w:pPr>
      <w:r>
        <w:tab/>
        <w:t>▪</w:t>
      </w:r>
      <w:r w:rsidR="00770B6C">
        <w:tab/>
        <w:t>Project for vegetable gardening through the support programme for sustainable development and livestock-breeding in western Sahel (PADESO);</w:t>
      </w:r>
    </w:p>
    <w:p w:rsidR="005E1F07" w:rsidRDefault="00224C39" w:rsidP="00224C39">
      <w:pPr>
        <w:pStyle w:val="SingleTxt"/>
        <w:tabs>
          <w:tab w:val="right" w:pos="1685"/>
        </w:tabs>
        <w:ind w:left="1742" w:hanging="475"/>
      </w:pPr>
      <w:r>
        <w:tab/>
        <w:t>▪</w:t>
      </w:r>
      <w:r w:rsidR="00770B6C">
        <w:tab/>
        <w:t>Implementation of integrated programmes and projects for women in livestock breeding (</w:t>
      </w:r>
      <w:r w:rsidR="00770B6C" w:rsidRPr="00224C39">
        <w:rPr>
          <w:i/>
        </w:rPr>
        <w:t xml:space="preserve">Sahelian goats in Guera and </w:t>
      </w:r>
      <w:r w:rsidR="001E33E4" w:rsidRPr="00224C39">
        <w:rPr>
          <w:i/>
        </w:rPr>
        <w:t>“</w:t>
      </w:r>
      <w:r w:rsidR="00770B6C" w:rsidRPr="00224C39">
        <w:rPr>
          <w:i/>
        </w:rPr>
        <w:t>wassa chiè</w:t>
      </w:r>
      <w:r w:rsidR="001E33E4" w:rsidRPr="00224C39">
        <w:rPr>
          <w:i/>
        </w:rPr>
        <w:t>”</w:t>
      </w:r>
      <w:r w:rsidR="00770B6C">
        <w:t>)</w:t>
      </w:r>
      <w:r w:rsidR="008E61F1">
        <w:t>.</w:t>
      </w:r>
    </w:p>
    <w:p w:rsidR="005E1F07" w:rsidRDefault="00770B6C" w:rsidP="00770B6C">
      <w:pPr>
        <w:pStyle w:val="SingleTxt"/>
      </w:pPr>
      <w:r>
        <w:t>158.</w:t>
      </w:r>
      <w:r w:rsidR="004124C0">
        <w:tab/>
      </w:r>
      <w:r>
        <w:t>These various initiatives h</w:t>
      </w:r>
      <w:r w:rsidR="00224C39">
        <w:t>ave considerably improved socio</w:t>
      </w:r>
      <w:r>
        <w:t>economic conditions for women in general and rural women in particular.</w:t>
      </w:r>
    </w:p>
    <w:p w:rsidR="00224C39" w:rsidRPr="00224C39" w:rsidRDefault="00224C39" w:rsidP="00224C39">
      <w:pPr>
        <w:pStyle w:val="SingleTxt"/>
        <w:spacing w:after="0" w:line="120" w:lineRule="exact"/>
        <w:rPr>
          <w:sz w:val="10"/>
        </w:rPr>
      </w:pPr>
    </w:p>
    <w:p w:rsidR="00770B6C" w:rsidRDefault="004124C0" w:rsidP="00224C39">
      <w:pPr>
        <w:pStyle w:val="H23"/>
        <w:ind w:right="1260"/>
      </w:pPr>
      <w:r>
        <w:tab/>
        <w:t>(</w:t>
      </w:r>
      <w:r w:rsidR="00770B6C">
        <w:t>b)</w:t>
      </w:r>
      <w:r>
        <w:tab/>
      </w:r>
      <w:r w:rsidR="00770B6C">
        <w:t>Rural women and social security programmes</w:t>
      </w:r>
    </w:p>
    <w:p w:rsidR="00224C39" w:rsidRPr="00224C39" w:rsidRDefault="00224C39" w:rsidP="00224C39">
      <w:pPr>
        <w:pStyle w:val="SingleTxt"/>
        <w:spacing w:after="0" w:line="120" w:lineRule="exact"/>
        <w:rPr>
          <w:sz w:val="10"/>
        </w:rPr>
      </w:pPr>
    </w:p>
    <w:p w:rsidR="005E1F07" w:rsidRDefault="00770B6C" w:rsidP="00770B6C">
      <w:pPr>
        <w:pStyle w:val="SingleTxt"/>
      </w:pPr>
      <w:r>
        <w:t>159.</w:t>
      </w:r>
      <w:r w:rsidR="004124C0">
        <w:tab/>
      </w:r>
      <w:r>
        <w:t>There is no social protection regime especially for rural women, but in 2009 legislative and regulatory measures were taken to strengthen social protection in Mali, including:</w:t>
      </w:r>
    </w:p>
    <w:p w:rsidR="00770B6C" w:rsidRDefault="00224C39" w:rsidP="00224C39">
      <w:pPr>
        <w:pStyle w:val="SingleTxt"/>
        <w:tabs>
          <w:tab w:val="right" w:pos="1685"/>
        </w:tabs>
        <w:ind w:left="1742" w:hanging="475"/>
      </w:pPr>
      <w:r>
        <w:tab/>
        <w:t>▪</w:t>
      </w:r>
      <w:r w:rsidR="00770B6C">
        <w:tab/>
        <w:t>Law No</w:t>
      </w:r>
      <w:r>
        <w:t>.</w:t>
      </w:r>
      <w:r w:rsidR="00770B6C">
        <w:t xml:space="preserve"> 09_030 of 27 July 2009 introducing a medical care scheme. This law enables a woman who has no personal entitlement to any medical coverage to benefit from the medical care assistance scheme;</w:t>
      </w:r>
    </w:p>
    <w:p w:rsidR="005E1F07" w:rsidRDefault="00224C39" w:rsidP="00224C39">
      <w:pPr>
        <w:pStyle w:val="SingleTxt"/>
        <w:tabs>
          <w:tab w:val="right" w:pos="1685"/>
        </w:tabs>
        <w:ind w:left="1742" w:hanging="475"/>
      </w:pPr>
      <w:r>
        <w:tab/>
        <w:t>▪</w:t>
      </w:r>
      <w:r w:rsidR="00770B6C">
        <w:tab/>
        <w:t>Law No. 09_015 of 26 June 2009 introducing mandatory health insurance.</w:t>
      </w:r>
      <w:r w:rsidR="005E03D8">
        <w:t xml:space="preserve"> </w:t>
      </w:r>
      <w:r w:rsidR="00770B6C">
        <w:t xml:space="preserve">This legislation allows the coverage of </w:t>
      </w:r>
      <w:r w:rsidR="0000254B">
        <w:t>health-care</w:t>
      </w:r>
      <w:r w:rsidR="00770B6C">
        <w:t xml:space="preserve"> costs associated with illness and maternity for the insured and their dependents. So a woman can benefit personally or also as a dependent relative of an insured.</w:t>
      </w:r>
    </w:p>
    <w:p w:rsidR="005E1F07" w:rsidRDefault="00770B6C" w:rsidP="00770B6C">
      <w:pPr>
        <w:pStyle w:val="SingleTxt"/>
      </w:pPr>
      <w:r>
        <w:t>160.</w:t>
      </w:r>
      <w:r w:rsidR="004124C0">
        <w:tab/>
      </w:r>
      <w:r>
        <w:t>Rural women are included among the beneficiaries of these measures even if they are not expressly referred to in them.</w:t>
      </w:r>
    </w:p>
    <w:p w:rsidR="00224C39" w:rsidRPr="00224C39" w:rsidRDefault="00224C39" w:rsidP="00224C39">
      <w:pPr>
        <w:pStyle w:val="SingleTxt"/>
        <w:spacing w:after="0" w:line="120" w:lineRule="exact"/>
        <w:rPr>
          <w:sz w:val="10"/>
        </w:rPr>
      </w:pPr>
    </w:p>
    <w:p w:rsidR="005E1F07" w:rsidRDefault="004124C0" w:rsidP="00224C39">
      <w:pPr>
        <w:pStyle w:val="H23"/>
        <w:ind w:right="1260"/>
      </w:pPr>
      <w:r>
        <w:tab/>
        <w:t>(</w:t>
      </w:r>
      <w:r w:rsidR="00224C39">
        <w:t>c</w:t>
      </w:r>
      <w:r w:rsidR="00770B6C">
        <w:t>)</w:t>
      </w:r>
      <w:r w:rsidR="00770B6C">
        <w:tab/>
        <w:t>Information, education and training of rural women</w:t>
      </w:r>
    </w:p>
    <w:p w:rsidR="00224C39" w:rsidRPr="00224C39" w:rsidRDefault="00224C39" w:rsidP="00224C39">
      <w:pPr>
        <w:pStyle w:val="SingleTxt"/>
        <w:spacing w:after="0" w:line="120" w:lineRule="exact"/>
        <w:rPr>
          <w:sz w:val="10"/>
        </w:rPr>
      </w:pPr>
    </w:p>
    <w:p w:rsidR="005E1F07" w:rsidRDefault="00770B6C" w:rsidP="00770B6C">
      <w:pPr>
        <w:pStyle w:val="SingleTxt"/>
      </w:pPr>
      <w:r w:rsidRPr="00224C39">
        <w:rPr>
          <w:b/>
        </w:rPr>
        <w:t>In the area of education</w:t>
      </w:r>
      <w:r>
        <w:t>, the illiteracy rate remains generally very high, especially for women (83 per cent) and for rural women (92 per cent).</w:t>
      </w:r>
    </w:p>
    <w:p w:rsidR="005E1F07" w:rsidRDefault="00770B6C" w:rsidP="00770B6C">
      <w:pPr>
        <w:pStyle w:val="SingleTxt"/>
      </w:pPr>
      <w:r>
        <w:t>161.</w:t>
      </w:r>
      <w:r w:rsidR="004124C0">
        <w:tab/>
      </w:r>
      <w:r>
        <w:t>As a result, a ministry in charge of literacy and national languages has existed in the governmental nomenclature since 2007.</w:t>
      </w:r>
    </w:p>
    <w:p w:rsidR="005E1F07" w:rsidRDefault="00770B6C" w:rsidP="00770B6C">
      <w:pPr>
        <w:pStyle w:val="SingleTxt"/>
      </w:pPr>
      <w:r>
        <w:t>162.</w:t>
      </w:r>
      <w:r w:rsidR="004124C0">
        <w:tab/>
      </w:r>
      <w:r>
        <w:t>To implement the policy of promoting literacy and the national languages, many activities have been conducted, including:</w:t>
      </w:r>
    </w:p>
    <w:p w:rsidR="00770B6C" w:rsidRDefault="004124C0" w:rsidP="00224C39">
      <w:pPr>
        <w:pStyle w:val="SingleTxt"/>
        <w:tabs>
          <w:tab w:val="right" w:pos="1685"/>
        </w:tabs>
        <w:ind w:left="1742" w:hanging="475"/>
      </w:pPr>
      <w:r>
        <w:tab/>
      </w:r>
      <w:r w:rsidR="00770B6C">
        <w:t>•</w:t>
      </w:r>
      <w:r w:rsidR="00770B6C">
        <w:tab/>
        <w:t>Creating literacy centres and establishing literacy programmes for women in all regions of the country and Bamako District;</w:t>
      </w:r>
    </w:p>
    <w:p w:rsidR="00770B6C" w:rsidRDefault="004124C0" w:rsidP="00224C39">
      <w:pPr>
        <w:pStyle w:val="SingleTxt"/>
        <w:tabs>
          <w:tab w:val="right" w:pos="1685"/>
        </w:tabs>
        <w:ind w:left="1742" w:hanging="475"/>
      </w:pPr>
      <w:r>
        <w:tab/>
      </w:r>
      <w:r w:rsidR="00770B6C">
        <w:t>•</w:t>
      </w:r>
      <w:r w:rsidR="00770B6C">
        <w:tab/>
        <w:t>Developing Women</w:t>
      </w:r>
      <w:r w:rsidR="001E33E4">
        <w:t>’</w:t>
      </w:r>
      <w:r w:rsidR="00770B6C">
        <w:t>s Learning Centres throughout the country.</w:t>
      </w:r>
      <w:r w:rsidR="005E03D8">
        <w:t xml:space="preserve"> </w:t>
      </w:r>
      <w:r w:rsidR="00770B6C">
        <w:t>There are now four, of which the three located in Kalanban coura, Bourem and Koutiala served 218 learners during the year 2007;</w:t>
      </w:r>
    </w:p>
    <w:p w:rsidR="00770B6C" w:rsidRDefault="004124C0" w:rsidP="00224C39">
      <w:pPr>
        <w:pStyle w:val="SingleTxt"/>
        <w:tabs>
          <w:tab w:val="right" w:pos="1685"/>
        </w:tabs>
        <w:ind w:left="1742" w:hanging="475"/>
      </w:pPr>
      <w:r>
        <w:tab/>
      </w:r>
      <w:r w:rsidR="00770B6C">
        <w:t>•</w:t>
      </w:r>
      <w:r w:rsidR="00770B6C">
        <w:tab/>
        <w:t>Creation of Educational Outreach Centres and 1,811 Centres for Functional Literacy with 61,057 auditors enrolled (of whom 40 per cent are women), 3</w:t>
      </w:r>
      <w:r w:rsidR="008E61F1">
        <w:t>,</w:t>
      </w:r>
      <w:r w:rsidR="00770B6C">
        <w:t>343 moderators, of whom 46 per cent are women, and 24,050 newly literate, 24 per cent women, 2008;</w:t>
      </w:r>
    </w:p>
    <w:p w:rsidR="00770B6C" w:rsidRDefault="004124C0" w:rsidP="00224C39">
      <w:pPr>
        <w:pStyle w:val="SingleTxt"/>
        <w:tabs>
          <w:tab w:val="right" w:pos="1685"/>
        </w:tabs>
        <w:ind w:left="1742" w:hanging="475"/>
      </w:pPr>
      <w:r>
        <w:lastRenderedPageBreak/>
        <w:tab/>
      </w:r>
      <w:r w:rsidR="00770B6C">
        <w:t>•</w:t>
      </w:r>
      <w:r w:rsidR="00770B6C">
        <w:tab/>
        <w:t>As part of the implementation of the literacy programme, opening of 160 literacy centres throughout the country. Training of 251 instructors including 213 for neighbourhoods of Bamako District and 38 for military camps in Bamako, Kati and Koulikoro;</w:t>
      </w:r>
    </w:p>
    <w:p w:rsidR="00770B6C" w:rsidRDefault="004124C0" w:rsidP="00224C39">
      <w:pPr>
        <w:pStyle w:val="SingleTxt"/>
        <w:tabs>
          <w:tab w:val="right" w:pos="1685"/>
        </w:tabs>
        <w:ind w:left="1742" w:hanging="475"/>
      </w:pPr>
      <w:r>
        <w:tab/>
      </w:r>
      <w:r w:rsidR="00770B6C">
        <w:t>•</w:t>
      </w:r>
      <w:r w:rsidR="00770B6C">
        <w:tab/>
        <w:t>Opening of an alpha-management centre in 2009 by the Coordinating Organization for Women</w:t>
      </w:r>
      <w:r w:rsidR="001E33E4">
        <w:t>’</w:t>
      </w:r>
      <w:r w:rsidR="00770B6C">
        <w:t>s Associations and Organizations (CAFO);</w:t>
      </w:r>
    </w:p>
    <w:p w:rsidR="00770B6C" w:rsidRDefault="004124C0" w:rsidP="00224C39">
      <w:pPr>
        <w:pStyle w:val="SingleTxt"/>
        <w:tabs>
          <w:tab w:val="right" w:pos="1685"/>
        </w:tabs>
        <w:ind w:left="1742" w:hanging="475"/>
      </w:pPr>
      <w:r>
        <w:tab/>
      </w:r>
      <w:r w:rsidR="00770B6C">
        <w:t>•</w:t>
      </w:r>
      <w:r w:rsidR="00770B6C">
        <w:tab/>
        <w:t>Strengthening the Lassa centre for the training of women</w:t>
      </w:r>
      <w:r w:rsidR="005E03D8">
        <w:t xml:space="preserve"> </w:t>
      </w:r>
      <w:r w:rsidR="00770B6C">
        <w:t>through installation of new micro-projects;</w:t>
      </w:r>
    </w:p>
    <w:p w:rsidR="005E1F07" w:rsidRDefault="004124C0" w:rsidP="00224C39">
      <w:pPr>
        <w:pStyle w:val="SingleTxt"/>
        <w:tabs>
          <w:tab w:val="right" w:pos="1685"/>
        </w:tabs>
        <w:ind w:left="1742" w:hanging="475"/>
      </w:pPr>
      <w:r>
        <w:tab/>
      </w:r>
      <w:r w:rsidR="00770B6C">
        <w:t>•</w:t>
      </w:r>
      <w:r w:rsidR="00770B6C">
        <w:tab/>
        <w:t>Creation of 1,302 Centre for Education for Development in 2008 with 31,747 learners (49 per cent girls) and 1,363 educators (24 per cent women).</w:t>
      </w:r>
    </w:p>
    <w:p w:rsidR="00770B6C" w:rsidRDefault="00770B6C" w:rsidP="00770B6C">
      <w:pPr>
        <w:pStyle w:val="SingleTxt"/>
      </w:pPr>
      <w:r w:rsidRPr="00224C39">
        <w:rPr>
          <w:b/>
        </w:rPr>
        <w:t>In the area of training</w:t>
      </w:r>
      <w:r>
        <w:t>, several training sessions were held, especially on techniques of agricultural production, processing</w:t>
      </w:r>
      <w:r w:rsidR="005151E1">
        <w:t>/</w:t>
      </w:r>
      <w:r>
        <w:t>conservation, marketing of agro-forestry-pastoral products, advocacy, organizational management, leadership, etc.;</w:t>
      </w:r>
    </w:p>
    <w:p w:rsidR="00770B6C" w:rsidRDefault="004124C0" w:rsidP="00224C39">
      <w:pPr>
        <w:pStyle w:val="SingleTxt"/>
        <w:tabs>
          <w:tab w:val="right" w:pos="1685"/>
        </w:tabs>
        <w:ind w:left="1742" w:hanging="475"/>
      </w:pPr>
      <w:r>
        <w:tab/>
      </w:r>
      <w:r w:rsidR="00770B6C">
        <w:t>•</w:t>
      </w:r>
      <w:r w:rsidR="00770B6C">
        <w:tab/>
        <w:t xml:space="preserve">Vocational training in improved fattening techniques, tanning, production of hides and skins and </w:t>
      </w:r>
      <w:r w:rsidR="001E33E4">
        <w:t>“</w:t>
      </w:r>
      <w:r w:rsidR="00770B6C" w:rsidRPr="008E61F1">
        <w:rPr>
          <w:i/>
        </w:rPr>
        <w:t>wassa chie</w:t>
      </w:r>
      <w:r w:rsidR="001E33E4">
        <w:t>”</w:t>
      </w:r>
      <w:r w:rsidR="00770B6C">
        <w:t xml:space="preserve"> chicken farming; </w:t>
      </w:r>
    </w:p>
    <w:p w:rsidR="00770B6C" w:rsidRDefault="004124C0" w:rsidP="00224C39">
      <w:pPr>
        <w:pStyle w:val="SingleTxt"/>
        <w:tabs>
          <w:tab w:val="right" w:pos="1685"/>
        </w:tabs>
        <w:ind w:left="1742" w:hanging="475"/>
      </w:pPr>
      <w:r>
        <w:tab/>
      </w:r>
      <w:r w:rsidR="00770B6C">
        <w:t>•</w:t>
      </w:r>
      <w:r w:rsidR="00770B6C">
        <w:tab/>
        <w:t>Training in artisanal fish farming of members of fishermen</w:t>
      </w:r>
      <w:r w:rsidR="001E33E4">
        <w:t>’</w:t>
      </w:r>
      <w:r w:rsidR="00770B6C">
        <w:t>s and fish farmers</w:t>
      </w:r>
      <w:r w:rsidR="001E33E4">
        <w:t>’</w:t>
      </w:r>
      <w:r w:rsidR="00770B6C">
        <w:t xml:space="preserve"> associations;</w:t>
      </w:r>
    </w:p>
    <w:p w:rsidR="005E1F07" w:rsidRDefault="004124C0" w:rsidP="00224C39">
      <w:pPr>
        <w:pStyle w:val="SingleTxt"/>
        <w:tabs>
          <w:tab w:val="right" w:pos="1685"/>
        </w:tabs>
        <w:ind w:left="1742" w:hanging="475"/>
      </w:pPr>
      <w:r>
        <w:tab/>
      </w:r>
      <w:r w:rsidR="00770B6C">
        <w:t>•</w:t>
      </w:r>
      <w:r w:rsidR="00770B6C">
        <w:tab/>
        <w:t>Training women in techniques of production and conservation of fisheries products and aquaculture products.</w:t>
      </w:r>
    </w:p>
    <w:p w:rsidR="005E1F07" w:rsidRDefault="00770B6C" w:rsidP="00770B6C">
      <w:pPr>
        <w:pStyle w:val="SingleTxt"/>
      </w:pPr>
      <w:r w:rsidRPr="00224C39">
        <w:rPr>
          <w:b/>
        </w:rPr>
        <w:t>In the area of information</w:t>
      </w:r>
      <w:r>
        <w:t>, the Demographic and Health Survey of 2006 indicates that nearly 25 per cent of women have no access to any of the media, compared to 31 per cent for rural women; the extension of national coverage by the creation of new entities (233 radio stations in 2008 compared to 178 in 2006) has improved the rate. Several local radio broadcasters, including rural stations, have arisen in the country.</w:t>
      </w:r>
    </w:p>
    <w:p w:rsidR="005E1F07" w:rsidRDefault="00770B6C" w:rsidP="00770B6C">
      <w:pPr>
        <w:pStyle w:val="SingleTxt"/>
      </w:pPr>
      <w:r>
        <w:t>163.</w:t>
      </w:r>
      <w:r w:rsidR="004124C0">
        <w:tab/>
      </w:r>
      <w:r>
        <w:t>Also, national television is increasingly reaching into rural areas.</w:t>
      </w:r>
    </w:p>
    <w:p w:rsidR="005E1F07" w:rsidRDefault="00770B6C" w:rsidP="00770B6C">
      <w:pPr>
        <w:pStyle w:val="SingleTxt"/>
      </w:pPr>
      <w:r>
        <w:t>164.</w:t>
      </w:r>
      <w:r w:rsidR="004124C0">
        <w:tab/>
      </w:r>
      <w:r>
        <w:t>Local news and communication centres (centres locaux d</w:t>
      </w:r>
      <w:r w:rsidR="001E33E4">
        <w:t>’</w:t>
      </w:r>
      <w:r>
        <w:t>information et de communication</w:t>
      </w:r>
      <w:r w:rsidR="00A275F0">
        <w:t xml:space="preserve"> — </w:t>
      </w:r>
      <w:r>
        <w:t>CLIC) have been created.</w:t>
      </w:r>
    </w:p>
    <w:p w:rsidR="00224C39" w:rsidRPr="00224C39" w:rsidRDefault="00224C39" w:rsidP="00224C39">
      <w:pPr>
        <w:pStyle w:val="SingleTxt"/>
        <w:spacing w:after="0" w:line="120" w:lineRule="exact"/>
        <w:rPr>
          <w:sz w:val="10"/>
        </w:rPr>
      </w:pPr>
    </w:p>
    <w:p w:rsidR="00770B6C" w:rsidRDefault="00224C39" w:rsidP="00224C39">
      <w:pPr>
        <w:pStyle w:val="H23"/>
        <w:ind w:right="1260"/>
      </w:pPr>
      <w:r>
        <w:tab/>
      </w:r>
      <w:r w:rsidR="004124C0">
        <w:t>(</w:t>
      </w:r>
      <w:r w:rsidR="00770B6C">
        <w:t>d)</w:t>
      </w:r>
      <w:r w:rsidR="004124C0">
        <w:tab/>
      </w:r>
      <w:r w:rsidR="00770B6C">
        <w:t>Rural women</w:t>
      </w:r>
      <w:r w:rsidR="001E33E4">
        <w:t>’</w:t>
      </w:r>
      <w:r w:rsidR="00770B6C">
        <w:t>s organizations</w:t>
      </w:r>
    </w:p>
    <w:p w:rsidR="00224C39" w:rsidRPr="00224C39" w:rsidRDefault="00224C39" w:rsidP="00224C39">
      <w:pPr>
        <w:pStyle w:val="SingleTxt"/>
        <w:spacing w:after="0" w:line="120" w:lineRule="exact"/>
        <w:rPr>
          <w:sz w:val="10"/>
        </w:rPr>
      </w:pPr>
    </w:p>
    <w:p w:rsidR="005E1F07" w:rsidRDefault="00770B6C" w:rsidP="00770B6C">
      <w:pPr>
        <w:pStyle w:val="SingleTxt"/>
      </w:pPr>
      <w:r>
        <w:t>165.</w:t>
      </w:r>
      <w:r w:rsidR="004124C0">
        <w:tab/>
      </w:r>
      <w:r>
        <w:t>According to the Educational Outreach Centre study on rights of women and children conducted by the Ministry for the Advancement of Women, Children and Families in 2008, 54 per cent of rural women belong to an association.</w:t>
      </w:r>
    </w:p>
    <w:p w:rsidR="005E1F07" w:rsidRDefault="00770B6C" w:rsidP="00770B6C">
      <w:pPr>
        <w:pStyle w:val="SingleTxt"/>
      </w:pPr>
      <w:r>
        <w:t>166.</w:t>
      </w:r>
      <w:r w:rsidR="004124C0">
        <w:tab/>
      </w:r>
      <w:r>
        <w:t>Generally speaking, there are two kinds of women</w:t>
      </w:r>
      <w:r w:rsidR="001E33E4">
        <w:t>’</w:t>
      </w:r>
      <w:r>
        <w:t>s organizations: traditional and formal. The traditional sorts of organization represent the survival of a communitarian organizational structure handed down from past generations, while the formal sorts of organization are part of the overall system of associations and cooperatives. Rural women, because they are illiterate and lack information, have difficulty adapting to the rigid legal framework that governs the establishment, structure and functioning of these formal organizations.</w:t>
      </w:r>
    </w:p>
    <w:p w:rsidR="005E1F07" w:rsidRDefault="00770B6C" w:rsidP="00770B6C">
      <w:pPr>
        <w:pStyle w:val="SingleTxt"/>
      </w:pPr>
      <w:r>
        <w:t>167.</w:t>
      </w:r>
      <w:r w:rsidR="004124C0">
        <w:tab/>
      </w:r>
      <w:r>
        <w:t>The various formal women</w:t>
      </w:r>
      <w:r w:rsidR="001E33E4">
        <w:t>’</w:t>
      </w:r>
      <w:r>
        <w:t>s organizations that exist in rural areas comprise groups, associations, cooperatives and even economic interest groups (GIEs). All of these organizations are found throughout the country.</w:t>
      </w:r>
    </w:p>
    <w:p w:rsidR="005E1F07" w:rsidRPr="00CD75D2" w:rsidRDefault="00770B6C" w:rsidP="00770B6C">
      <w:pPr>
        <w:pStyle w:val="SingleTxt"/>
        <w:rPr>
          <w:spacing w:val="2"/>
        </w:rPr>
      </w:pPr>
      <w:r>
        <w:lastRenderedPageBreak/>
        <w:t>168.</w:t>
      </w:r>
      <w:r w:rsidR="004124C0">
        <w:tab/>
      </w:r>
      <w:r w:rsidRPr="00CD75D2">
        <w:rPr>
          <w:spacing w:val="2"/>
        </w:rPr>
        <w:t>Since 2004, the Government of Mali through the Ministry for the Advancement of Women, Children and Families has worked in partnership with the Permanent Assembly of Chambers of Agriculture (APCAM) to help rural women establish the National Federation of Rural Women (FENAFER) and affiliated rural women</w:t>
      </w:r>
      <w:r w:rsidR="001E33E4" w:rsidRPr="00CD75D2">
        <w:rPr>
          <w:spacing w:val="2"/>
        </w:rPr>
        <w:t>’</w:t>
      </w:r>
      <w:r w:rsidRPr="00CD75D2">
        <w:rPr>
          <w:spacing w:val="2"/>
        </w:rPr>
        <w:t>s vocational associations (ASPROFER).</w:t>
      </w:r>
      <w:r w:rsidR="005E03D8" w:rsidRPr="00CD75D2">
        <w:rPr>
          <w:spacing w:val="2"/>
        </w:rPr>
        <w:t xml:space="preserve"> </w:t>
      </w:r>
      <w:r w:rsidRPr="00CD75D2">
        <w:rPr>
          <w:spacing w:val="2"/>
        </w:rPr>
        <w:t>This association has a headquarters in Bamako, bylaws and rules of procedure.</w:t>
      </w:r>
      <w:r w:rsidR="005E03D8" w:rsidRPr="00CD75D2">
        <w:rPr>
          <w:spacing w:val="2"/>
        </w:rPr>
        <w:t xml:space="preserve"> </w:t>
      </w:r>
      <w:r w:rsidRPr="00CD75D2">
        <w:rPr>
          <w:spacing w:val="2"/>
        </w:rPr>
        <w:t>The organs of governance comprise a national bureau and local bureaux.</w:t>
      </w:r>
      <w:r w:rsidR="005E03D8" w:rsidRPr="00CD75D2">
        <w:rPr>
          <w:spacing w:val="2"/>
        </w:rPr>
        <w:t xml:space="preserve"> </w:t>
      </w:r>
      <w:r w:rsidRPr="00CD75D2">
        <w:rPr>
          <w:spacing w:val="2"/>
        </w:rPr>
        <w:t>The federation works closely with APCAM and represents rural women at national, regional and international meetings concerning rural women. This enables them to participate and keep abreast of issues of concern to them.</w:t>
      </w:r>
    </w:p>
    <w:p w:rsidR="00224C39" w:rsidRPr="00224C39" w:rsidRDefault="00224C39" w:rsidP="00224C39">
      <w:pPr>
        <w:pStyle w:val="SingleTxt"/>
        <w:spacing w:after="0" w:line="120" w:lineRule="exact"/>
        <w:rPr>
          <w:sz w:val="10"/>
        </w:rPr>
      </w:pPr>
    </w:p>
    <w:p w:rsidR="00770B6C" w:rsidRPr="00224C39" w:rsidRDefault="00224C39" w:rsidP="00224C39">
      <w:pPr>
        <w:pStyle w:val="H23"/>
        <w:ind w:right="1260"/>
        <w:rPr>
          <w:b w:val="0"/>
        </w:rPr>
      </w:pPr>
      <w:r>
        <w:tab/>
      </w:r>
      <w:r w:rsidRPr="00224C39">
        <w:rPr>
          <w:b w:val="0"/>
        </w:rPr>
        <w:tab/>
      </w:r>
      <w:r w:rsidR="00770B6C" w:rsidRPr="00224C39">
        <w:rPr>
          <w:b w:val="0"/>
        </w:rPr>
        <w:t>Table 15</w:t>
      </w:r>
    </w:p>
    <w:p w:rsidR="00770B6C" w:rsidRDefault="00224C39" w:rsidP="00224C39">
      <w:pPr>
        <w:pStyle w:val="H23"/>
        <w:ind w:right="1260"/>
      </w:pPr>
      <w:r>
        <w:tab/>
      </w:r>
      <w:r>
        <w:tab/>
      </w:r>
      <w:r w:rsidR="00770B6C">
        <w:t>Heads of farm establishments by sex</w:t>
      </w:r>
    </w:p>
    <w:p w:rsidR="00224C39" w:rsidRPr="00224C39" w:rsidRDefault="00224C39" w:rsidP="00224C3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2"/>
        <w:gridCol w:w="2443"/>
        <w:gridCol w:w="2443"/>
      </w:tblGrid>
      <w:tr w:rsidR="00224C39" w:rsidRPr="00224C39" w:rsidTr="00224C39">
        <w:trPr>
          <w:tblHeader/>
        </w:trPr>
        <w:tc>
          <w:tcPr>
            <w:tcW w:w="2442" w:type="dxa"/>
            <w:tcBorders>
              <w:top w:val="single" w:sz="4" w:space="0" w:color="auto"/>
              <w:bottom w:val="single" w:sz="12" w:space="0" w:color="auto"/>
            </w:tcBorders>
            <w:shd w:val="clear" w:color="auto" w:fill="auto"/>
            <w:vAlign w:val="bottom"/>
          </w:tcPr>
          <w:p w:rsidR="00224C39" w:rsidRPr="00224C39" w:rsidRDefault="00224C39" w:rsidP="00224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24C39">
              <w:rPr>
                <w:i/>
                <w:sz w:val="14"/>
              </w:rPr>
              <w:t>Sex</w:t>
            </w:r>
          </w:p>
        </w:tc>
        <w:tc>
          <w:tcPr>
            <w:tcW w:w="2443" w:type="dxa"/>
            <w:tcBorders>
              <w:top w:val="single" w:sz="4" w:space="0" w:color="auto"/>
              <w:bottom w:val="single" w:sz="12" w:space="0" w:color="auto"/>
            </w:tcBorders>
            <w:shd w:val="clear" w:color="auto" w:fill="auto"/>
            <w:vAlign w:val="bottom"/>
          </w:tcPr>
          <w:p w:rsidR="00224C39" w:rsidRPr="00224C39" w:rsidRDefault="00224C39" w:rsidP="00224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24C39">
              <w:rPr>
                <w:i/>
                <w:sz w:val="14"/>
              </w:rPr>
              <w:t>2010-2011</w:t>
            </w:r>
          </w:p>
        </w:tc>
        <w:tc>
          <w:tcPr>
            <w:tcW w:w="2443" w:type="dxa"/>
            <w:tcBorders>
              <w:top w:val="single" w:sz="4" w:space="0" w:color="auto"/>
              <w:bottom w:val="single" w:sz="12" w:space="0" w:color="auto"/>
            </w:tcBorders>
            <w:shd w:val="clear" w:color="auto" w:fill="auto"/>
            <w:vAlign w:val="bottom"/>
          </w:tcPr>
          <w:p w:rsidR="00224C39" w:rsidRPr="00224C39" w:rsidRDefault="00224C39" w:rsidP="00224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24C39">
              <w:rPr>
                <w:i/>
                <w:sz w:val="14"/>
              </w:rPr>
              <w:t>2011-2012</w:t>
            </w:r>
          </w:p>
        </w:tc>
      </w:tr>
      <w:tr w:rsidR="00224C39" w:rsidRPr="00224C39" w:rsidTr="00224C39">
        <w:trPr>
          <w:trHeight w:hRule="exact" w:val="115"/>
          <w:tblHeader/>
        </w:trPr>
        <w:tc>
          <w:tcPr>
            <w:tcW w:w="2442" w:type="dxa"/>
            <w:tcBorders>
              <w:top w:val="single" w:sz="12" w:space="0" w:color="auto"/>
            </w:tcBorders>
            <w:shd w:val="clear" w:color="auto" w:fill="auto"/>
            <w:vAlign w:val="bottom"/>
          </w:tcPr>
          <w:p w:rsidR="00224C39" w:rsidRPr="00224C39" w:rsidRDefault="00224C39" w:rsidP="00224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3" w:type="dxa"/>
            <w:tcBorders>
              <w:top w:val="single" w:sz="12" w:space="0" w:color="auto"/>
            </w:tcBorders>
            <w:shd w:val="clear" w:color="auto" w:fill="auto"/>
            <w:vAlign w:val="bottom"/>
          </w:tcPr>
          <w:p w:rsidR="00224C39" w:rsidRPr="00224C39" w:rsidRDefault="00224C39" w:rsidP="00224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2443" w:type="dxa"/>
            <w:tcBorders>
              <w:top w:val="single" w:sz="12" w:space="0" w:color="auto"/>
            </w:tcBorders>
            <w:shd w:val="clear" w:color="auto" w:fill="auto"/>
            <w:vAlign w:val="bottom"/>
          </w:tcPr>
          <w:p w:rsidR="00224C39" w:rsidRPr="00224C39" w:rsidRDefault="00224C39" w:rsidP="00224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224C39" w:rsidRPr="00224C39" w:rsidTr="00224C39">
        <w:tc>
          <w:tcPr>
            <w:tcW w:w="2442" w:type="dxa"/>
            <w:shd w:val="clear" w:color="auto" w:fill="auto"/>
            <w:vAlign w:val="bottom"/>
          </w:tcPr>
          <w:p w:rsidR="00224C39" w:rsidRPr="00224C39" w:rsidRDefault="00224C39" w:rsidP="00CD75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4C39">
              <w:rPr>
                <w:sz w:val="17"/>
              </w:rPr>
              <w:t>Men</w:t>
            </w:r>
          </w:p>
        </w:tc>
        <w:tc>
          <w:tcPr>
            <w:tcW w:w="2443" w:type="dxa"/>
            <w:shd w:val="clear" w:color="auto" w:fill="auto"/>
            <w:vAlign w:val="bottom"/>
          </w:tcPr>
          <w:p w:rsidR="00224C39" w:rsidRPr="00224C39" w:rsidRDefault="00224C39" w:rsidP="00CD75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24C39">
              <w:rPr>
                <w:sz w:val="17"/>
              </w:rPr>
              <w:t>97.8</w:t>
            </w:r>
          </w:p>
        </w:tc>
        <w:tc>
          <w:tcPr>
            <w:tcW w:w="2443" w:type="dxa"/>
            <w:shd w:val="clear" w:color="auto" w:fill="auto"/>
            <w:vAlign w:val="bottom"/>
          </w:tcPr>
          <w:p w:rsidR="00224C39" w:rsidRPr="00224C39" w:rsidRDefault="00224C39" w:rsidP="00CD75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24C39">
              <w:rPr>
                <w:sz w:val="17"/>
              </w:rPr>
              <w:t>97.9</w:t>
            </w:r>
          </w:p>
        </w:tc>
      </w:tr>
      <w:tr w:rsidR="00224C39" w:rsidRPr="00224C39" w:rsidTr="0068086F">
        <w:tc>
          <w:tcPr>
            <w:tcW w:w="2442" w:type="dxa"/>
            <w:tcBorders>
              <w:bottom w:val="single" w:sz="4" w:space="0" w:color="auto"/>
            </w:tcBorders>
            <w:shd w:val="clear" w:color="auto" w:fill="auto"/>
            <w:vAlign w:val="bottom"/>
          </w:tcPr>
          <w:p w:rsidR="00224C39" w:rsidRPr="00224C39" w:rsidRDefault="00224C39" w:rsidP="006808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224C39">
              <w:rPr>
                <w:sz w:val="17"/>
              </w:rPr>
              <w:t>Women</w:t>
            </w:r>
          </w:p>
        </w:tc>
        <w:tc>
          <w:tcPr>
            <w:tcW w:w="2443" w:type="dxa"/>
            <w:tcBorders>
              <w:bottom w:val="single" w:sz="4" w:space="0" w:color="auto"/>
            </w:tcBorders>
            <w:shd w:val="clear" w:color="auto" w:fill="auto"/>
            <w:vAlign w:val="bottom"/>
          </w:tcPr>
          <w:p w:rsidR="00224C39" w:rsidRPr="00224C39" w:rsidRDefault="00224C39" w:rsidP="006808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24C39">
              <w:rPr>
                <w:sz w:val="17"/>
              </w:rPr>
              <w:t>2.2</w:t>
            </w:r>
          </w:p>
        </w:tc>
        <w:tc>
          <w:tcPr>
            <w:tcW w:w="2443" w:type="dxa"/>
            <w:tcBorders>
              <w:bottom w:val="single" w:sz="4" w:space="0" w:color="auto"/>
            </w:tcBorders>
            <w:shd w:val="clear" w:color="auto" w:fill="auto"/>
            <w:vAlign w:val="bottom"/>
          </w:tcPr>
          <w:p w:rsidR="00224C39" w:rsidRPr="00224C39" w:rsidRDefault="00224C39" w:rsidP="006808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24C39">
              <w:rPr>
                <w:sz w:val="17"/>
              </w:rPr>
              <w:t>2.1</w:t>
            </w:r>
          </w:p>
        </w:tc>
      </w:tr>
      <w:tr w:rsidR="00224C39" w:rsidRPr="0068086F" w:rsidTr="0068086F">
        <w:tc>
          <w:tcPr>
            <w:tcW w:w="2442" w:type="dxa"/>
            <w:tcBorders>
              <w:top w:val="single" w:sz="4" w:space="0" w:color="auto"/>
              <w:bottom w:val="single" w:sz="12" w:space="0" w:color="auto"/>
            </w:tcBorders>
            <w:shd w:val="clear" w:color="auto" w:fill="auto"/>
            <w:vAlign w:val="bottom"/>
          </w:tcPr>
          <w:p w:rsidR="00224C39" w:rsidRPr="0068086F" w:rsidRDefault="0068086F" w:rsidP="006808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68086F">
              <w:rPr>
                <w:b/>
                <w:sz w:val="17"/>
              </w:rPr>
              <w:tab/>
            </w:r>
            <w:r w:rsidR="00224C39" w:rsidRPr="0068086F">
              <w:rPr>
                <w:b/>
                <w:sz w:val="17"/>
              </w:rPr>
              <w:t>Total</w:t>
            </w:r>
          </w:p>
        </w:tc>
        <w:tc>
          <w:tcPr>
            <w:tcW w:w="2443" w:type="dxa"/>
            <w:tcBorders>
              <w:top w:val="single" w:sz="4" w:space="0" w:color="auto"/>
              <w:bottom w:val="single" w:sz="12" w:space="0" w:color="auto"/>
            </w:tcBorders>
            <w:shd w:val="clear" w:color="auto" w:fill="auto"/>
            <w:vAlign w:val="bottom"/>
          </w:tcPr>
          <w:p w:rsidR="00224C39" w:rsidRPr="0068086F" w:rsidRDefault="00224C39" w:rsidP="006808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68086F">
              <w:rPr>
                <w:b/>
                <w:sz w:val="17"/>
              </w:rPr>
              <w:t>100.0</w:t>
            </w:r>
          </w:p>
        </w:tc>
        <w:tc>
          <w:tcPr>
            <w:tcW w:w="2443" w:type="dxa"/>
            <w:tcBorders>
              <w:top w:val="single" w:sz="4" w:space="0" w:color="auto"/>
              <w:bottom w:val="single" w:sz="12" w:space="0" w:color="auto"/>
            </w:tcBorders>
            <w:shd w:val="clear" w:color="auto" w:fill="auto"/>
            <w:vAlign w:val="bottom"/>
          </w:tcPr>
          <w:p w:rsidR="00224C39" w:rsidRPr="0068086F" w:rsidRDefault="00224C39" w:rsidP="006808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68086F">
              <w:rPr>
                <w:b/>
                <w:sz w:val="17"/>
              </w:rPr>
              <w:t>100.0</w:t>
            </w:r>
          </w:p>
        </w:tc>
      </w:tr>
    </w:tbl>
    <w:p w:rsidR="00224C39" w:rsidRPr="00224C39" w:rsidRDefault="00224C39" w:rsidP="00224C39">
      <w:pPr>
        <w:pStyle w:val="SingleTxt"/>
        <w:spacing w:after="0" w:line="120" w:lineRule="exact"/>
        <w:rPr>
          <w:sz w:val="10"/>
        </w:rPr>
      </w:pPr>
    </w:p>
    <w:p w:rsidR="005E1F07" w:rsidRPr="008E61F1" w:rsidRDefault="00224C39" w:rsidP="00224C39">
      <w:pPr>
        <w:pStyle w:val="FootnoteText"/>
        <w:tabs>
          <w:tab w:val="clear" w:pos="418"/>
          <w:tab w:val="right" w:pos="1476"/>
          <w:tab w:val="left" w:pos="1548"/>
          <w:tab w:val="right" w:pos="1836"/>
          <w:tab w:val="left" w:pos="1908"/>
        </w:tabs>
        <w:ind w:left="1548" w:right="1267" w:hanging="288"/>
        <w:rPr>
          <w:spacing w:val="4"/>
        </w:rPr>
      </w:pPr>
      <w:r>
        <w:tab/>
      </w:r>
      <w:r w:rsidR="00770B6C" w:rsidRPr="00A61064">
        <w:rPr>
          <w:i/>
          <w:spacing w:val="4"/>
        </w:rPr>
        <w:t>Source</w:t>
      </w:r>
      <w:r w:rsidR="00770B6C" w:rsidRPr="00A61064">
        <w:rPr>
          <w:spacing w:val="4"/>
        </w:rPr>
        <w:t>:</w:t>
      </w:r>
      <w:r w:rsidR="00770B6C" w:rsidRPr="008E61F1">
        <w:rPr>
          <w:i/>
          <w:spacing w:val="4"/>
        </w:rPr>
        <w:t xml:space="preserve"> CPS/SDR Rural Development Sector, Current Agricultural Survey 2010-2011, 2011-2012</w:t>
      </w:r>
      <w:r w:rsidRPr="008E61F1">
        <w:rPr>
          <w:spacing w:val="4"/>
        </w:rPr>
        <w:t>.</w:t>
      </w:r>
    </w:p>
    <w:p w:rsidR="00224C39" w:rsidRPr="00224C39" w:rsidRDefault="00224C39" w:rsidP="00224C39">
      <w:pPr>
        <w:pStyle w:val="SingleTxt"/>
        <w:spacing w:after="0" w:line="120" w:lineRule="exact"/>
        <w:rPr>
          <w:sz w:val="10"/>
        </w:rPr>
      </w:pPr>
    </w:p>
    <w:p w:rsidR="00224C39" w:rsidRPr="00224C39" w:rsidRDefault="00224C39" w:rsidP="00224C39">
      <w:pPr>
        <w:pStyle w:val="SingleTxt"/>
        <w:spacing w:after="0" w:line="120" w:lineRule="exact"/>
        <w:rPr>
          <w:sz w:val="10"/>
        </w:rPr>
      </w:pPr>
    </w:p>
    <w:p w:rsidR="005E1F07" w:rsidRDefault="00224C39" w:rsidP="00224C39">
      <w:pPr>
        <w:pStyle w:val="H23"/>
        <w:ind w:right="1260"/>
      </w:pPr>
      <w:r>
        <w:tab/>
      </w:r>
      <w:r w:rsidR="004124C0">
        <w:t>(</w:t>
      </w:r>
      <w:r w:rsidR="00770B6C">
        <w:t>e)</w:t>
      </w:r>
      <w:r w:rsidR="004124C0">
        <w:tab/>
      </w:r>
      <w:r w:rsidR="00770B6C">
        <w:t>Rural women</w:t>
      </w:r>
      <w:r w:rsidR="001E33E4">
        <w:t>’</w:t>
      </w:r>
      <w:r w:rsidR="00770B6C">
        <w:t>s participation in community activities</w:t>
      </w:r>
    </w:p>
    <w:p w:rsidR="00224C39" w:rsidRPr="00224C39" w:rsidRDefault="00224C39" w:rsidP="00224C39">
      <w:pPr>
        <w:pStyle w:val="SingleTxt"/>
        <w:spacing w:after="0" w:line="120" w:lineRule="exact"/>
        <w:rPr>
          <w:sz w:val="10"/>
        </w:rPr>
      </w:pPr>
    </w:p>
    <w:p w:rsidR="005E1F07" w:rsidRDefault="00770B6C" w:rsidP="00770B6C">
      <w:pPr>
        <w:pStyle w:val="SingleTxt"/>
      </w:pPr>
      <w:r>
        <w:t>169.</w:t>
      </w:r>
      <w:r w:rsidR="004124C0">
        <w:tab/>
      </w:r>
      <w:r w:rsidRPr="00CD75D2">
        <w:rPr>
          <w:spacing w:val="2"/>
        </w:rPr>
        <w:t>The decentralization to which Mali has been firmly committed since 1994 has afforded women many opportunities for full participation in political, social and economic affairs. It has enabled women to appreciate the importance of participating in public and political affairs and given them the opportunity to assume political leadership (municipal councillors and aldermen). This is reflected in the number of women standing for election and being elected in the elections of 2004 and 2009 in rural communities. Out of 9 women mayors, 7 were elected in rural communities, i.e. 77.77 per cent. On matters of women and conservation, women are strongly involved in pursuing the use of improved stoves utilizing less firewood.</w:t>
      </w:r>
      <w:r w:rsidR="005E03D8" w:rsidRPr="00CD75D2">
        <w:rPr>
          <w:spacing w:val="2"/>
        </w:rPr>
        <w:t xml:space="preserve"> </w:t>
      </w:r>
      <w:r w:rsidRPr="00CD75D2">
        <w:rPr>
          <w:spacing w:val="2"/>
        </w:rPr>
        <w:t>They are also taking the lead in fighting desertification through the fixation of dunes (work for food) in the northern part of the country</w:t>
      </w:r>
      <w:r>
        <w:t>.</w:t>
      </w:r>
    </w:p>
    <w:p w:rsidR="00224C39" w:rsidRPr="00224C39" w:rsidRDefault="00224C39" w:rsidP="00224C39">
      <w:pPr>
        <w:pStyle w:val="SingleTxt"/>
        <w:spacing w:after="0" w:line="120" w:lineRule="exact"/>
        <w:rPr>
          <w:sz w:val="10"/>
        </w:rPr>
      </w:pPr>
    </w:p>
    <w:p w:rsidR="005E1F07" w:rsidRDefault="004124C0" w:rsidP="00224C39">
      <w:pPr>
        <w:pStyle w:val="H23"/>
        <w:ind w:right="1260"/>
      </w:pPr>
      <w:r>
        <w:tab/>
        <w:t>(</w:t>
      </w:r>
      <w:r w:rsidR="00770B6C">
        <w:t>f)</w:t>
      </w:r>
      <w:r>
        <w:tab/>
      </w:r>
      <w:r w:rsidR="00770B6C">
        <w:t>Rural women and access to factors and means of production (land, credit, equipment, etc.)</w:t>
      </w:r>
    </w:p>
    <w:p w:rsidR="00224C39" w:rsidRPr="00224C39" w:rsidRDefault="00224C39" w:rsidP="00224C39">
      <w:pPr>
        <w:pStyle w:val="SingleTxt"/>
        <w:spacing w:after="0" w:line="120" w:lineRule="exact"/>
        <w:rPr>
          <w:sz w:val="10"/>
        </w:rPr>
      </w:pPr>
    </w:p>
    <w:p w:rsidR="005E1F07" w:rsidRPr="00CD75D2" w:rsidRDefault="00770B6C" w:rsidP="00770B6C">
      <w:pPr>
        <w:pStyle w:val="SingleTxt"/>
        <w:rPr>
          <w:spacing w:val="2"/>
        </w:rPr>
      </w:pPr>
      <w:r>
        <w:t>170.</w:t>
      </w:r>
      <w:r w:rsidR="004124C0">
        <w:tab/>
      </w:r>
      <w:r w:rsidRPr="00CD75D2">
        <w:rPr>
          <w:spacing w:val="2"/>
        </w:rPr>
        <w:t>Law 06-045 AN</w:t>
      </w:r>
      <w:r w:rsidR="001E33E4" w:rsidRPr="00CD75D2">
        <w:rPr>
          <w:spacing w:val="2"/>
        </w:rPr>
        <w:t>-</w:t>
      </w:r>
      <w:r w:rsidRPr="00CD75D2">
        <w:rPr>
          <w:spacing w:val="2"/>
        </w:rPr>
        <w:t>RM of 5 September 2006 concerning the Agricultural Guidance Act constitutes a major stride in the area of rural development, particularly for the advancement of rural women.</w:t>
      </w:r>
      <w:r w:rsidR="005E03D8" w:rsidRPr="00CD75D2">
        <w:rPr>
          <w:spacing w:val="2"/>
        </w:rPr>
        <w:t xml:space="preserve"> </w:t>
      </w:r>
      <w:r w:rsidRPr="00CD75D2">
        <w:rPr>
          <w:spacing w:val="2"/>
        </w:rPr>
        <w:t>Its article 8 provides that the agricultural development policy seeks to ensure promotion of women and men in the agricultural sector with respect for equity, especially in the rural setting.</w:t>
      </w:r>
      <w:r w:rsidR="005E03D8" w:rsidRPr="00CD75D2">
        <w:rPr>
          <w:spacing w:val="2"/>
        </w:rPr>
        <w:t xml:space="preserve"> </w:t>
      </w:r>
      <w:r w:rsidRPr="00CD75D2">
        <w:rPr>
          <w:spacing w:val="2"/>
        </w:rPr>
        <w:t>Article 24 provides that the State shall promote the establishment of young people, women and vulnerable groups as farmers, especially by encouraging their access to factors of production and developing specific technical or financial support mechanisms. Article 45 provides that the State shall encourage equity between women and men in the rural setting, especially in farming.</w:t>
      </w:r>
      <w:r w:rsidR="005E03D8" w:rsidRPr="00CD75D2">
        <w:rPr>
          <w:spacing w:val="2"/>
        </w:rPr>
        <w:t xml:space="preserve"> </w:t>
      </w:r>
      <w:r w:rsidRPr="00CD75D2">
        <w:rPr>
          <w:spacing w:val="2"/>
        </w:rPr>
        <w:t>Article 83 provides that the State will ensure equitable access to agricultural land ownership by different categories of farmers and agricultural operators.</w:t>
      </w:r>
      <w:r w:rsidR="005E03D8" w:rsidRPr="00CD75D2">
        <w:rPr>
          <w:spacing w:val="2"/>
        </w:rPr>
        <w:t xml:space="preserve"> </w:t>
      </w:r>
      <w:r w:rsidRPr="00CD75D2">
        <w:rPr>
          <w:spacing w:val="2"/>
        </w:rPr>
        <w:t>To that end, the State will facilitate access by growing numbers of farm operators, especially young people and women, to animal and motorized traction.</w:t>
      </w:r>
    </w:p>
    <w:p w:rsidR="00770B6C" w:rsidRPr="00CD75D2" w:rsidRDefault="00E52F4C" w:rsidP="00E52F4C">
      <w:pPr>
        <w:pStyle w:val="H23"/>
        <w:ind w:right="1260"/>
        <w:rPr>
          <w:b w:val="0"/>
        </w:rPr>
      </w:pPr>
      <w:r>
        <w:lastRenderedPageBreak/>
        <w:tab/>
      </w:r>
      <w:r w:rsidRPr="00CD75D2">
        <w:rPr>
          <w:b w:val="0"/>
        </w:rPr>
        <w:tab/>
      </w:r>
      <w:r w:rsidR="00770B6C" w:rsidRPr="00CD75D2">
        <w:rPr>
          <w:b w:val="0"/>
        </w:rPr>
        <w:t>Table 16</w:t>
      </w:r>
    </w:p>
    <w:p w:rsidR="00770B6C" w:rsidRDefault="00E52F4C" w:rsidP="00E52F4C">
      <w:pPr>
        <w:pStyle w:val="H23"/>
        <w:ind w:right="1260"/>
      </w:pPr>
      <w:r>
        <w:tab/>
      </w:r>
      <w:r>
        <w:tab/>
      </w:r>
      <w:r w:rsidR="00770B6C">
        <w:t>Distribution of land parcels by sex of owner and by region, 2011-2012 (in %)</w:t>
      </w:r>
    </w:p>
    <w:p w:rsidR="00770B6C" w:rsidRPr="00E52F4C" w:rsidRDefault="00770B6C" w:rsidP="00E52F4C">
      <w:pPr>
        <w:pStyle w:val="SingleTxt"/>
        <w:spacing w:after="0" w:line="200" w:lineRule="exact"/>
        <w:rPr>
          <w:i/>
          <w:sz w:val="14"/>
          <w:szCs w:val="14"/>
        </w:rPr>
      </w:pPr>
      <w:r w:rsidRPr="00E52F4C">
        <w:rPr>
          <w:i/>
          <w:sz w:val="14"/>
          <w:szCs w:val="14"/>
        </w:rPr>
        <w:t>Unit: number and percentage</w:t>
      </w:r>
    </w:p>
    <w:p w:rsidR="00E52F4C" w:rsidRPr="00E52F4C" w:rsidRDefault="00E52F4C" w:rsidP="00E52F4C">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3"/>
        <w:gridCol w:w="891"/>
        <w:gridCol w:w="891"/>
        <w:gridCol w:w="72"/>
        <w:gridCol w:w="819"/>
        <w:gridCol w:w="891"/>
        <w:gridCol w:w="63"/>
        <w:gridCol w:w="828"/>
        <w:gridCol w:w="891"/>
      </w:tblGrid>
      <w:tr w:rsidR="00CD75D2" w:rsidRPr="00B31E94" w:rsidTr="00CD75D2">
        <w:trPr>
          <w:tblHeader/>
        </w:trPr>
        <w:tc>
          <w:tcPr>
            <w:tcW w:w="1973" w:type="dxa"/>
            <w:vMerge w:val="restart"/>
            <w:tcBorders>
              <w:top w:val="single" w:sz="4"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firstLine="0"/>
              <w:rPr>
                <w:i/>
                <w:sz w:val="14"/>
              </w:rPr>
            </w:pPr>
            <w:r w:rsidRPr="00B31E94">
              <w:rPr>
                <w:i/>
                <w:sz w:val="14"/>
              </w:rPr>
              <w:t>Region</w:t>
            </w:r>
          </w:p>
        </w:tc>
        <w:tc>
          <w:tcPr>
            <w:tcW w:w="3564" w:type="dxa"/>
            <w:gridSpan w:val="5"/>
            <w:tcBorders>
              <w:top w:val="single" w:sz="4" w:space="0" w:color="auto"/>
              <w:bottom w:val="single" w:sz="4" w:space="0" w:color="auto"/>
            </w:tcBorders>
            <w:shd w:val="clear" w:color="auto" w:fill="auto"/>
            <w:vAlign w:val="bottom"/>
          </w:tcPr>
          <w:p w:rsidR="00CD75D2" w:rsidRPr="00B31E94" w:rsidRDefault="00CD75D2" w:rsidP="00CD75D2">
            <w:pPr>
              <w:pStyle w:val="FootnoteText"/>
              <w:tabs>
                <w:tab w:val="clear" w:pos="418"/>
                <w:tab w:val="right" w:pos="1476"/>
                <w:tab w:val="left" w:pos="1548"/>
                <w:tab w:val="right" w:pos="1836"/>
                <w:tab w:val="left" w:pos="1908"/>
              </w:tabs>
              <w:spacing w:before="81" w:after="81" w:line="160" w:lineRule="exact"/>
              <w:ind w:left="0" w:right="43" w:hanging="288"/>
              <w:jc w:val="center"/>
              <w:rPr>
                <w:i/>
                <w:sz w:val="14"/>
              </w:rPr>
            </w:pPr>
            <w:r w:rsidRPr="00B31E94">
              <w:rPr>
                <w:i/>
                <w:sz w:val="14"/>
              </w:rPr>
              <w:t>Sex</w:t>
            </w:r>
          </w:p>
        </w:tc>
        <w:tc>
          <w:tcPr>
            <w:tcW w:w="63" w:type="dxa"/>
            <w:tcBorders>
              <w:top w:val="single" w:sz="4"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hanging="288"/>
              <w:jc w:val="right"/>
              <w:rPr>
                <w:i/>
                <w:sz w:val="14"/>
              </w:rPr>
            </w:pPr>
          </w:p>
        </w:tc>
        <w:tc>
          <w:tcPr>
            <w:tcW w:w="1719" w:type="dxa"/>
            <w:gridSpan w:val="2"/>
            <w:vMerge w:val="restart"/>
            <w:tcBorders>
              <w:top w:val="single" w:sz="4" w:space="0" w:color="auto"/>
              <w:bottom w:val="single" w:sz="4" w:space="0" w:color="auto"/>
            </w:tcBorders>
            <w:shd w:val="clear" w:color="auto" w:fill="auto"/>
            <w:vAlign w:val="bottom"/>
          </w:tcPr>
          <w:p w:rsidR="00CD75D2" w:rsidRPr="00B31E94" w:rsidRDefault="00CD75D2" w:rsidP="00CD75D2">
            <w:pPr>
              <w:pStyle w:val="FootnoteText"/>
              <w:tabs>
                <w:tab w:val="right" w:pos="1476"/>
                <w:tab w:val="left" w:pos="1548"/>
                <w:tab w:val="right" w:pos="1836"/>
                <w:tab w:val="left" w:pos="1908"/>
              </w:tabs>
              <w:spacing w:before="81" w:after="81" w:line="160" w:lineRule="exact"/>
              <w:ind w:left="0" w:right="43" w:hanging="288"/>
              <w:jc w:val="center"/>
              <w:rPr>
                <w:i/>
                <w:sz w:val="14"/>
              </w:rPr>
            </w:pPr>
            <w:r w:rsidRPr="00B31E94">
              <w:rPr>
                <w:i/>
                <w:sz w:val="14"/>
              </w:rPr>
              <w:t>Total</w:t>
            </w:r>
          </w:p>
        </w:tc>
      </w:tr>
      <w:tr w:rsidR="00CD75D2" w:rsidRPr="00B31E94" w:rsidTr="00CD75D2">
        <w:trPr>
          <w:tblHeader/>
        </w:trPr>
        <w:tc>
          <w:tcPr>
            <w:tcW w:w="1973" w:type="dxa"/>
            <w:vMerge/>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firstLine="0"/>
              <w:rPr>
                <w:i/>
                <w:sz w:val="14"/>
              </w:rPr>
            </w:pPr>
          </w:p>
        </w:tc>
        <w:tc>
          <w:tcPr>
            <w:tcW w:w="1782" w:type="dxa"/>
            <w:gridSpan w:val="2"/>
            <w:tcBorders>
              <w:top w:val="single" w:sz="4" w:space="0" w:color="auto"/>
              <w:bottom w:val="single" w:sz="4" w:space="0" w:color="auto"/>
            </w:tcBorders>
            <w:shd w:val="clear" w:color="auto" w:fill="auto"/>
            <w:vAlign w:val="bottom"/>
          </w:tcPr>
          <w:p w:rsidR="00CD75D2" w:rsidRPr="00B31E94" w:rsidRDefault="00CD75D2" w:rsidP="00CD75D2">
            <w:pPr>
              <w:pStyle w:val="FootnoteText"/>
              <w:tabs>
                <w:tab w:val="clear" w:pos="418"/>
                <w:tab w:val="right" w:pos="1476"/>
                <w:tab w:val="left" w:pos="1548"/>
                <w:tab w:val="right" w:pos="1836"/>
                <w:tab w:val="left" w:pos="1908"/>
              </w:tabs>
              <w:spacing w:before="81" w:after="81" w:line="160" w:lineRule="exact"/>
              <w:ind w:left="0" w:right="43" w:hanging="288"/>
              <w:jc w:val="center"/>
              <w:rPr>
                <w:i/>
                <w:sz w:val="14"/>
              </w:rPr>
            </w:pPr>
            <w:r w:rsidRPr="00B31E94">
              <w:rPr>
                <w:i/>
                <w:sz w:val="14"/>
              </w:rPr>
              <w:t>Men</w:t>
            </w:r>
          </w:p>
        </w:tc>
        <w:tc>
          <w:tcPr>
            <w:tcW w:w="72" w:type="dxa"/>
            <w:tcBorders>
              <w:top w:val="single" w:sz="4"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hanging="288"/>
              <w:jc w:val="right"/>
              <w:rPr>
                <w:i/>
                <w:sz w:val="14"/>
              </w:rPr>
            </w:pPr>
          </w:p>
        </w:tc>
        <w:tc>
          <w:tcPr>
            <w:tcW w:w="1710" w:type="dxa"/>
            <w:gridSpan w:val="2"/>
            <w:tcBorders>
              <w:top w:val="single" w:sz="4" w:space="0" w:color="auto"/>
              <w:bottom w:val="single" w:sz="4" w:space="0" w:color="auto"/>
            </w:tcBorders>
            <w:shd w:val="clear" w:color="auto" w:fill="auto"/>
            <w:vAlign w:val="bottom"/>
          </w:tcPr>
          <w:p w:rsidR="00CD75D2" w:rsidRPr="00B31E94" w:rsidRDefault="00CD75D2" w:rsidP="00CD75D2">
            <w:pPr>
              <w:pStyle w:val="FootnoteText"/>
              <w:tabs>
                <w:tab w:val="clear" w:pos="418"/>
                <w:tab w:val="right" w:pos="1476"/>
                <w:tab w:val="left" w:pos="1548"/>
                <w:tab w:val="right" w:pos="1836"/>
                <w:tab w:val="left" w:pos="1908"/>
              </w:tabs>
              <w:spacing w:before="81" w:after="81" w:line="160" w:lineRule="exact"/>
              <w:ind w:left="0" w:right="43" w:hanging="288"/>
              <w:jc w:val="center"/>
              <w:rPr>
                <w:i/>
                <w:sz w:val="14"/>
              </w:rPr>
            </w:pPr>
            <w:r w:rsidRPr="00B31E94">
              <w:rPr>
                <w:i/>
                <w:sz w:val="14"/>
              </w:rPr>
              <w:t>Women</w:t>
            </w:r>
          </w:p>
        </w:tc>
        <w:tc>
          <w:tcPr>
            <w:tcW w:w="63" w:type="dxa"/>
            <w:shd w:val="clear" w:color="auto" w:fill="auto"/>
            <w:vAlign w:val="bottom"/>
          </w:tcPr>
          <w:p w:rsidR="00CD75D2" w:rsidRPr="00CD75D2" w:rsidRDefault="00CD75D2" w:rsidP="00CD75D2">
            <w:pPr>
              <w:pStyle w:val="FootnoteText"/>
              <w:tabs>
                <w:tab w:val="clear" w:pos="418"/>
                <w:tab w:val="right" w:pos="1476"/>
                <w:tab w:val="left" w:pos="1548"/>
                <w:tab w:val="right" w:pos="1836"/>
                <w:tab w:val="left" w:pos="1908"/>
              </w:tabs>
              <w:spacing w:before="81" w:after="81" w:line="160" w:lineRule="exact"/>
              <w:ind w:left="0" w:right="43" w:hanging="288"/>
              <w:jc w:val="center"/>
              <w:rPr>
                <w:sz w:val="14"/>
              </w:rPr>
            </w:pPr>
          </w:p>
        </w:tc>
        <w:tc>
          <w:tcPr>
            <w:tcW w:w="1719" w:type="dxa"/>
            <w:gridSpan w:val="2"/>
            <w:vMerge/>
            <w:tcBorders>
              <w:bottom w:val="single" w:sz="4" w:space="0" w:color="auto"/>
            </w:tcBorders>
            <w:shd w:val="clear" w:color="auto" w:fill="auto"/>
            <w:vAlign w:val="bottom"/>
          </w:tcPr>
          <w:p w:rsidR="00CD75D2" w:rsidRPr="00B31E94" w:rsidRDefault="00CD75D2" w:rsidP="00CD75D2">
            <w:pPr>
              <w:pStyle w:val="FootnoteText"/>
              <w:tabs>
                <w:tab w:val="clear" w:pos="418"/>
                <w:tab w:val="right" w:pos="1476"/>
                <w:tab w:val="left" w:pos="1548"/>
                <w:tab w:val="right" w:pos="1836"/>
                <w:tab w:val="left" w:pos="1908"/>
              </w:tabs>
              <w:spacing w:before="81" w:after="81" w:line="160" w:lineRule="exact"/>
              <w:ind w:left="0" w:right="43" w:hanging="288"/>
              <w:jc w:val="center"/>
              <w:rPr>
                <w:i/>
                <w:sz w:val="14"/>
              </w:rPr>
            </w:pPr>
          </w:p>
        </w:tc>
      </w:tr>
      <w:tr w:rsidR="00CD75D2" w:rsidRPr="00B31E94" w:rsidTr="00CD75D2">
        <w:trPr>
          <w:tblHeader/>
        </w:trPr>
        <w:tc>
          <w:tcPr>
            <w:tcW w:w="1973" w:type="dxa"/>
            <w:vMerge/>
            <w:tcBorders>
              <w:bottom w:val="single" w:sz="12"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firstLine="0"/>
              <w:rPr>
                <w:i/>
                <w:sz w:val="14"/>
              </w:rPr>
            </w:pPr>
          </w:p>
        </w:tc>
        <w:tc>
          <w:tcPr>
            <w:tcW w:w="891" w:type="dxa"/>
            <w:tcBorders>
              <w:top w:val="single" w:sz="4" w:space="0" w:color="auto"/>
              <w:bottom w:val="single" w:sz="12"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hanging="288"/>
              <w:jc w:val="right"/>
              <w:rPr>
                <w:i/>
                <w:sz w:val="14"/>
              </w:rPr>
            </w:pPr>
            <w:r w:rsidRPr="00B31E94">
              <w:rPr>
                <w:i/>
                <w:sz w:val="14"/>
              </w:rPr>
              <w:t>Number</w:t>
            </w:r>
          </w:p>
        </w:tc>
        <w:tc>
          <w:tcPr>
            <w:tcW w:w="891" w:type="dxa"/>
            <w:tcBorders>
              <w:top w:val="single" w:sz="4" w:space="0" w:color="auto"/>
              <w:bottom w:val="single" w:sz="12"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hanging="288"/>
              <w:jc w:val="right"/>
              <w:rPr>
                <w:i/>
                <w:sz w:val="14"/>
              </w:rPr>
            </w:pPr>
            <w:r>
              <w:rPr>
                <w:i/>
                <w:sz w:val="14"/>
              </w:rPr>
              <w:t>%</w:t>
            </w:r>
          </w:p>
        </w:tc>
        <w:tc>
          <w:tcPr>
            <w:tcW w:w="891" w:type="dxa"/>
            <w:gridSpan w:val="2"/>
            <w:tcBorders>
              <w:bottom w:val="single" w:sz="12"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hanging="288"/>
              <w:jc w:val="right"/>
              <w:rPr>
                <w:i/>
                <w:sz w:val="14"/>
              </w:rPr>
            </w:pPr>
            <w:r w:rsidRPr="00B31E94">
              <w:rPr>
                <w:i/>
                <w:sz w:val="14"/>
              </w:rPr>
              <w:t>Number</w:t>
            </w:r>
          </w:p>
        </w:tc>
        <w:tc>
          <w:tcPr>
            <w:tcW w:w="891" w:type="dxa"/>
            <w:tcBorders>
              <w:bottom w:val="single" w:sz="12"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hanging="288"/>
              <w:jc w:val="right"/>
              <w:rPr>
                <w:i/>
                <w:sz w:val="14"/>
              </w:rPr>
            </w:pPr>
            <w:r>
              <w:rPr>
                <w:i/>
                <w:sz w:val="14"/>
              </w:rPr>
              <w:t>%</w:t>
            </w:r>
          </w:p>
        </w:tc>
        <w:tc>
          <w:tcPr>
            <w:tcW w:w="891" w:type="dxa"/>
            <w:gridSpan w:val="2"/>
            <w:tcBorders>
              <w:bottom w:val="single" w:sz="12"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hanging="288"/>
              <w:jc w:val="right"/>
              <w:rPr>
                <w:i/>
                <w:sz w:val="14"/>
              </w:rPr>
            </w:pPr>
            <w:r>
              <w:rPr>
                <w:i/>
                <w:sz w:val="14"/>
              </w:rPr>
              <w:t>Number</w:t>
            </w:r>
          </w:p>
        </w:tc>
        <w:tc>
          <w:tcPr>
            <w:tcW w:w="891" w:type="dxa"/>
            <w:tcBorders>
              <w:bottom w:val="single" w:sz="12" w:space="0" w:color="auto"/>
            </w:tcBorders>
            <w:shd w:val="clear" w:color="auto" w:fill="auto"/>
            <w:vAlign w:val="bottom"/>
          </w:tcPr>
          <w:p w:rsidR="00CD75D2" w:rsidRPr="00B31E94" w:rsidRDefault="00CD75D2" w:rsidP="00B31E94">
            <w:pPr>
              <w:pStyle w:val="FootnoteText"/>
              <w:tabs>
                <w:tab w:val="clear" w:pos="418"/>
                <w:tab w:val="right" w:pos="1476"/>
                <w:tab w:val="left" w:pos="1548"/>
                <w:tab w:val="right" w:pos="1836"/>
                <w:tab w:val="left" w:pos="1908"/>
              </w:tabs>
              <w:spacing w:before="81" w:after="81" w:line="160" w:lineRule="exact"/>
              <w:ind w:left="0" w:right="43" w:hanging="288"/>
              <w:jc w:val="right"/>
              <w:rPr>
                <w:i/>
                <w:sz w:val="14"/>
              </w:rPr>
            </w:pPr>
            <w:r>
              <w:rPr>
                <w:i/>
                <w:sz w:val="14"/>
              </w:rPr>
              <w:t>%</w:t>
            </w:r>
          </w:p>
        </w:tc>
      </w:tr>
      <w:tr w:rsidR="00B31E94" w:rsidRPr="00B31E94" w:rsidTr="00B31E94">
        <w:trPr>
          <w:trHeight w:hRule="exact" w:val="115"/>
          <w:tblHeader/>
        </w:trPr>
        <w:tc>
          <w:tcPr>
            <w:tcW w:w="1973" w:type="dxa"/>
            <w:tcBorders>
              <w:top w:val="single" w:sz="12" w:space="0" w:color="auto"/>
            </w:tcBorders>
            <w:shd w:val="clear" w:color="auto" w:fill="auto"/>
            <w:vAlign w:val="bottom"/>
          </w:tcPr>
          <w:p w:rsidR="00B31E94" w:rsidRPr="00B31E94" w:rsidRDefault="00B31E94"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ind w:left="0" w:right="43" w:firstLine="0"/>
            </w:pPr>
          </w:p>
        </w:tc>
        <w:tc>
          <w:tcPr>
            <w:tcW w:w="891" w:type="dxa"/>
            <w:tcBorders>
              <w:top w:val="single" w:sz="12" w:space="0" w:color="auto"/>
            </w:tcBorders>
            <w:shd w:val="clear" w:color="auto" w:fill="auto"/>
            <w:vAlign w:val="bottom"/>
          </w:tcPr>
          <w:p w:rsidR="00B31E94" w:rsidRPr="00B31E94" w:rsidRDefault="00B31E94"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ind w:left="0" w:right="43" w:hanging="288"/>
              <w:jc w:val="right"/>
            </w:pPr>
          </w:p>
        </w:tc>
        <w:tc>
          <w:tcPr>
            <w:tcW w:w="891" w:type="dxa"/>
            <w:tcBorders>
              <w:top w:val="single" w:sz="12" w:space="0" w:color="auto"/>
            </w:tcBorders>
            <w:shd w:val="clear" w:color="auto" w:fill="auto"/>
            <w:vAlign w:val="bottom"/>
          </w:tcPr>
          <w:p w:rsidR="00B31E94" w:rsidRPr="00B31E94" w:rsidRDefault="00B31E94"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ind w:left="0" w:right="43" w:hanging="288"/>
              <w:jc w:val="right"/>
            </w:pPr>
          </w:p>
        </w:tc>
        <w:tc>
          <w:tcPr>
            <w:tcW w:w="891" w:type="dxa"/>
            <w:gridSpan w:val="2"/>
            <w:tcBorders>
              <w:top w:val="single" w:sz="12" w:space="0" w:color="auto"/>
            </w:tcBorders>
            <w:shd w:val="clear" w:color="auto" w:fill="auto"/>
            <w:vAlign w:val="bottom"/>
          </w:tcPr>
          <w:p w:rsidR="00B31E94" w:rsidRPr="00B31E94" w:rsidRDefault="00B31E94"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ind w:left="0" w:right="43" w:hanging="288"/>
              <w:jc w:val="right"/>
            </w:pPr>
          </w:p>
        </w:tc>
        <w:tc>
          <w:tcPr>
            <w:tcW w:w="891" w:type="dxa"/>
            <w:tcBorders>
              <w:top w:val="single" w:sz="12" w:space="0" w:color="auto"/>
            </w:tcBorders>
            <w:shd w:val="clear" w:color="auto" w:fill="auto"/>
            <w:vAlign w:val="bottom"/>
          </w:tcPr>
          <w:p w:rsidR="00B31E94" w:rsidRPr="00B31E94" w:rsidRDefault="00B31E94"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ind w:left="0" w:right="43" w:hanging="288"/>
              <w:jc w:val="right"/>
            </w:pPr>
          </w:p>
        </w:tc>
        <w:tc>
          <w:tcPr>
            <w:tcW w:w="891" w:type="dxa"/>
            <w:gridSpan w:val="2"/>
            <w:tcBorders>
              <w:top w:val="single" w:sz="12" w:space="0" w:color="auto"/>
            </w:tcBorders>
            <w:shd w:val="clear" w:color="auto" w:fill="auto"/>
            <w:vAlign w:val="bottom"/>
          </w:tcPr>
          <w:p w:rsidR="00B31E94" w:rsidRPr="00B31E94" w:rsidRDefault="00B31E94"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ind w:left="0" w:right="43" w:hanging="288"/>
              <w:jc w:val="right"/>
            </w:pPr>
          </w:p>
        </w:tc>
        <w:tc>
          <w:tcPr>
            <w:tcW w:w="891" w:type="dxa"/>
            <w:tcBorders>
              <w:top w:val="single" w:sz="12" w:space="0" w:color="auto"/>
            </w:tcBorders>
            <w:shd w:val="clear" w:color="auto" w:fill="auto"/>
            <w:vAlign w:val="bottom"/>
          </w:tcPr>
          <w:p w:rsidR="00B31E94" w:rsidRPr="00B31E94" w:rsidRDefault="00B31E94"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ind w:left="0" w:right="43" w:hanging="288"/>
              <w:jc w:val="right"/>
            </w:pPr>
          </w:p>
        </w:tc>
      </w:tr>
      <w:tr w:rsidR="00E52F4C" w:rsidRPr="00B31E94" w:rsidTr="00B31E94">
        <w:tc>
          <w:tcPr>
            <w:tcW w:w="1973"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firstLine="0"/>
            </w:pPr>
            <w:r w:rsidRPr="00B31E94">
              <w:t>Kayes</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196</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96.4</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45</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3.6</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241</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100.0</w:t>
            </w:r>
          </w:p>
        </w:tc>
      </w:tr>
      <w:tr w:rsidR="00E52F4C" w:rsidRPr="00B31E94" w:rsidTr="00B31E94">
        <w:tc>
          <w:tcPr>
            <w:tcW w:w="1973"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firstLine="0"/>
            </w:pPr>
            <w:r w:rsidRPr="00B31E94">
              <w:t>Koulikoro</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020</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98.0</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21</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2.0</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041</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100.0</w:t>
            </w:r>
          </w:p>
        </w:tc>
      </w:tr>
      <w:tr w:rsidR="00E52F4C" w:rsidRPr="00B31E94" w:rsidTr="00B31E94">
        <w:tc>
          <w:tcPr>
            <w:tcW w:w="1973"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firstLine="0"/>
            </w:pPr>
            <w:r w:rsidRPr="00B31E94">
              <w:t>Sikasso</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076</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98.7</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14</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1.3</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090</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100.0</w:t>
            </w:r>
          </w:p>
        </w:tc>
      </w:tr>
      <w:tr w:rsidR="00E52F4C" w:rsidRPr="00B31E94" w:rsidTr="00B31E94">
        <w:tc>
          <w:tcPr>
            <w:tcW w:w="1973"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firstLine="0"/>
            </w:pPr>
            <w:r w:rsidRPr="00B31E94">
              <w:t>Ségou</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127</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98.7</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15</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1.3</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142</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100.0</w:t>
            </w:r>
          </w:p>
        </w:tc>
      </w:tr>
      <w:tr w:rsidR="00E52F4C" w:rsidRPr="00B31E94" w:rsidTr="00B31E94">
        <w:tc>
          <w:tcPr>
            <w:tcW w:w="1973"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firstLine="0"/>
            </w:pPr>
            <w:r w:rsidRPr="00B31E94">
              <w:t>Mopti</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327</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97.4</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36</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2.6</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w:t>
            </w:r>
            <w:r w:rsidR="00CD75D2">
              <w:t xml:space="preserve"> </w:t>
            </w:r>
            <w:r w:rsidRPr="00B31E94">
              <w:t>363</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100.0</w:t>
            </w:r>
          </w:p>
        </w:tc>
      </w:tr>
      <w:tr w:rsidR="00E52F4C" w:rsidRPr="00B31E94" w:rsidTr="00B31E94">
        <w:tc>
          <w:tcPr>
            <w:tcW w:w="1973"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firstLine="0"/>
            </w:pPr>
            <w:r w:rsidRPr="00B31E94">
              <w:t>Tombouctou</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531</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99.4</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3</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0.6</w:t>
            </w:r>
          </w:p>
        </w:tc>
        <w:tc>
          <w:tcPr>
            <w:tcW w:w="891" w:type="dxa"/>
            <w:gridSpan w:val="2"/>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534</w:t>
            </w:r>
          </w:p>
        </w:tc>
        <w:tc>
          <w:tcPr>
            <w:tcW w:w="891" w:type="dxa"/>
            <w:shd w:val="clear" w:color="auto" w:fill="auto"/>
            <w:vAlign w:val="bottom"/>
          </w:tcPr>
          <w:p w:rsidR="00E52F4C" w:rsidRPr="00B31E94"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B31E94">
              <w:t>100.0</w:t>
            </w:r>
          </w:p>
        </w:tc>
      </w:tr>
      <w:tr w:rsidR="00E52F4C" w:rsidRPr="000125DB" w:rsidTr="00B31E94">
        <w:tc>
          <w:tcPr>
            <w:tcW w:w="1973" w:type="dxa"/>
            <w:tcBorders>
              <w:bottom w:val="single" w:sz="12" w:space="0" w:color="auto"/>
            </w:tcBorders>
            <w:shd w:val="clear" w:color="auto" w:fill="auto"/>
            <w:vAlign w:val="bottom"/>
          </w:tcPr>
          <w:p w:rsidR="00E52F4C" w:rsidRPr="000125DB"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firstLine="0"/>
            </w:pPr>
            <w:r w:rsidRPr="000125DB">
              <w:t>Gao</w:t>
            </w:r>
          </w:p>
        </w:tc>
        <w:tc>
          <w:tcPr>
            <w:tcW w:w="891" w:type="dxa"/>
            <w:tcBorders>
              <w:bottom w:val="single" w:sz="12" w:space="0" w:color="auto"/>
            </w:tcBorders>
            <w:shd w:val="clear" w:color="auto" w:fill="auto"/>
            <w:vAlign w:val="bottom"/>
          </w:tcPr>
          <w:p w:rsidR="00E52F4C" w:rsidRPr="000125DB"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0125DB">
              <w:t>233</w:t>
            </w:r>
          </w:p>
        </w:tc>
        <w:tc>
          <w:tcPr>
            <w:tcW w:w="891" w:type="dxa"/>
            <w:tcBorders>
              <w:bottom w:val="single" w:sz="12" w:space="0" w:color="auto"/>
            </w:tcBorders>
            <w:shd w:val="clear" w:color="auto" w:fill="auto"/>
            <w:vAlign w:val="bottom"/>
          </w:tcPr>
          <w:p w:rsidR="00E52F4C" w:rsidRPr="000125DB"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0125DB">
              <w:t>98.7</w:t>
            </w:r>
          </w:p>
        </w:tc>
        <w:tc>
          <w:tcPr>
            <w:tcW w:w="891" w:type="dxa"/>
            <w:gridSpan w:val="2"/>
            <w:tcBorders>
              <w:bottom w:val="single" w:sz="12" w:space="0" w:color="auto"/>
            </w:tcBorders>
            <w:shd w:val="clear" w:color="auto" w:fill="auto"/>
            <w:vAlign w:val="bottom"/>
          </w:tcPr>
          <w:p w:rsidR="00E52F4C" w:rsidRPr="000125DB"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0125DB">
              <w:t>3</w:t>
            </w:r>
          </w:p>
        </w:tc>
        <w:tc>
          <w:tcPr>
            <w:tcW w:w="891" w:type="dxa"/>
            <w:tcBorders>
              <w:bottom w:val="single" w:sz="12" w:space="0" w:color="auto"/>
            </w:tcBorders>
            <w:shd w:val="clear" w:color="auto" w:fill="auto"/>
            <w:vAlign w:val="bottom"/>
          </w:tcPr>
          <w:p w:rsidR="00E52F4C" w:rsidRPr="000125DB"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0125DB">
              <w:t>1.3</w:t>
            </w:r>
          </w:p>
        </w:tc>
        <w:tc>
          <w:tcPr>
            <w:tcW w:w="891" w:type="dxa"/>
            <w:gridSpan w:val="2"/>
            <w:tcBorders>
              <w:bottom w:val="single" w:sz="12" w:space="0" w:color="auto"/>
            </w:tcBorders>
            <w:shd w:val="clear" w:color="auto" w:fill="auto"/>
            <w:vAlign w:val="bottom"/>
          </w:tcPr>
          <w:p w:rsidR="00E52F4C" w:rsidRPr="000125DB"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0125DB">
              <w:t>236</w:t>
            </w:r>
          </w:p>
        </w:tc>
        <w:tc>
          <w:tcPr>
            <w:tcW w:w="891" w:type="dxa"/>
            <w:tcBorders>
              <w:bottom w:val="single" w:sz="12" w:space="0" w:color="auto"/>
            </w:tcBorders>
            <w:shd w:val="clear" w:color="auto" w:fill="auto"/>
            <w:vAlign w:val="bottom"/>
          </w:tcPr>
          <w:p w:rsidR="00E52F4C" w:rsidRPr="000125DB" w:rsidRDefault="00E52F4C" w:rsidP="00B31E94">
            <w:pPr>
              <w:pStyle w:val="FootnoteText"/>
              <w:tabs>
                <w:tab w:val="clear" w:pos="418"/>
                <w:tab w:val="left" w:pos="288"/>
                <w:tab w:val="left" w:pos="576"/>
                <w:tab w:val="left" w:pos="864"/>
                <w:tab w:val="left" w:pos="1152"/>
                <w:tab w:val="right" w:pos="1476"/>
                <w:tab w:val="left" w:pos="1548"/>
                <w:tab w:val="right" w:pos="1836"/>
                <w:tab w:val="left" w:pos="1908"/>
              </w:tabs>
              <w:spacing w:before="40" w:after="40" w:line="200" w:lineRule="exact"/>
              <w:ind w:left="0" w:right="43" w:hanging="288"/>
              <w:jc w:val="right"/>
            </w:pPr>
            <w:r w:rsidRPr="000125DB">
              <w:t>100.0</w:t>
            </w:r>
          </w:p>
        </w:tc>
      </w:tr>
    </w:tbl>
    <w:p w:rsidR="00B31E94" w:rsidRPr="00B31E94" w:rsidRDefault="00B31E94" w:rsidP="00B31E94">
      <w:pPr>
        <w:pStyle w:val="SingleTxt"/>
        <w:spacing w:after="0" w:line="120" w:lineRule="exact"/>
        <w:rPr>
          <w:sz w:val="10"/>
        </w:rPr>
      </w:pPr>
    </w:p>
    <w:p w:rsidR="005E1F07" w:rsidRDefault="00B31E94" w:rsidP="00B31E94">
      <w:pPr>
        <w:pStyle w:val="FootnoteText"/>
        <w:tabs>
          <w:tab w:val="clear" w:pos="418"/>
          <w:tab w:val="right" w:pos="1476"/>
          <w:tab w:val="left" w:pos="1548"/>
          <w:tab w:val="right" w:pos="1836"/>
          <w:tab w:val="left" w:pos="1908"/>
        </w:tabs>
        <w:ind w:left="1548" w:right="1267" w:hanging="288"/>
      </w:pPr>
      <w:r>
        <w:tab/>
      </w:r>
      <w:r w:rsidR="00770B6C" w:rsidRPr="00A61064">
        <w:rPr>
          <w:i/>
        </w:rPr>
        <w:t>Source</w:t>
      </w:r>
      <w:r w:rsidR="00770B6C" w:rsidRPr="00A61064">
        <w:t>:</w:t>
      </w:r>
      <w:r w:rsidR="00770B6C" w:rsidRPr="00B31E94">
        <w:rPr>
          <w:i/>
        </w:rPr>
        <w:t xml:space="preserve"> CPS/SDR Rural Development Sector, Current Agricultural Survey, 2011-2012</w:t>
      </w:r>
      <w:r>
        <w:t>.</w:t>
      </w:r>
    </w:p>
    <w:p w:rsidR="00B31E94" w:rsidRPr="00B31E94" w:rsidRDefault="00B31E94" w:rsidP="00B31E94">
      <w:pPr>
        <w:pStyle w:val="SingleTxt"/>
        <w:spacing w:after="0" w:line="120" w:lineRule="exact"/>
        <w:rPr>
          <w:sz w:val="10"/>
        </w:rPr>
      </w:pPr>
    </w:p>
    <w:p w:rsidR="00B31E94" w:rsidRPr="00B31E94" w:rsidRDefault="00B31E94" w:rsidP="00B31E94">
      <w:pPr>
        <w:pStyle w:val="SingleTxt"/>
        <w:spacing w:after="0" w:line="120" w:lineRule="exact"/>
        <w:rPr>
          <w:sz w:val="10"/>
        </w:rPr>
      </w:pPr>
    </w:p>
    <w:p w:rsidR="005E1F07" w:rsidRDefault="00770B6C" w:rsidP="00770B6C">
      <w:pPr>
        <w:pStyle w:val="SingleTxt"/>
      </w:pPr>
      <w:r>
        <w:t>171.</w:t>
      </w:r>
      <w:r w:rsidR="004124C0">
        <w:tab/>
      </w:r>
      <w:r>
        <w:t>In 2011-2012, the proportion of women having access to land ownership was highest in Kayes, with 3.6 per cent, compared with only 0.6 per cent in Tombouctou and 1.3 per cent in Sikasso, Ségou and Gao. That rate is relatively low, which means that women have scant access to ownership of land in Mali, despite the policy measures adopted favouring women such as the Agricultural Guidance Act, which reserves part (10 per cent) of all land developed for women and young people.</w:t>
      </w:r>
    </w:p>
    <w:p w:rsidR="00B31E94" w:rsidRPr="00B31E94" w:rsidRDefault="00B31E94" w:rsidP="00B31E94">
      <w:pPr>
        <w:pStyle w:val="SingleTxt"/>
        <w:spacing w:after="0" w:line="120" w:lineRule="exact"/>
        <w:rPr>
          <w:sz w:val="10"/>
        </w:rPr>
      </w:pPr>
    </w:p>
    <w:p w:rsidR="00770B6C" w:rsidRPr="00CD75D2" w:rsidRDefault="00B31E94" w:rsidP="00B31E94">
      <w:pPr>
        <w:pStyle w:val="H23"/>
        <w:ind w:right="1260"/>
        <w:rPr>
          <w:b w:val="0"/>
        </w:rPr>
      </w:pPr>
      <w:r>
        <w:tab/>
      </w:r>
      <w:r>
        <w:tab/>
      </w:r>
      <w:r w:rsidR="00770B6C" w:rsidRPr="00CD75D2">
        <w:rPr>
          <w:b w:val="0"/>
        </w:rPr>
        <w:t>Table 17</w:t>
      </w:r>
    </w:p>
    <w:p w:rsidR="00770B6C" w:rsidRDefault="00B31E94" w:rsidP="00B31E94">
      <w:pPr>
        <w:pStyle w:val="H23"/>
        <w:ind w:right="1260"/>
      </w:pPr>
      <w:r>
        <w:tab/>
      </w:r>
      <w:r>
        <w:tab/>
      </w:r>
      <w:r w:rsidR="00770B6C">
        <w:t xml:space="preserve">Distribution of cultivated land in % by type </w:t>
      </w:r>
      <w:r>
        <w:t>of crop and sex of parcel owner</w:t>
      </w:r>
    </w:p>
    <w:p w:rsidR="00B31E94" w:rsidRPr="00B31E94" w:rsidRDefault="00B31E94" w:rsidP="00B31E9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3"/>
        <w:gridCol w:w="952"/>
        <w:gridCol w:w="953"/>
        <w:gridCol w:w="66"/>
        <w:gridCol w:w="886"/>
        <w:gridCol w:w="953"/>
        <w:gridCol w:w="69"/>
        <w:gridCol w:w="883"/>
        <w:gridCol w:w="953"/>
      </w:tblGrid>
      <w:tr w:rsidR="00CD75D2" w:rsidRPr="00B31E94" w:rsidTr="00CD75D2">
        <w:trPr>
          <w:tblHeader/>
        </w:trPr>
        <w:tc>
          <w:tcPr>
            <w:tcW w:w="1613" w:type="dxa"/>
            <w:vMerge w:val="restart"/>
            <w:tcBorders>
              <w:top w:val="single" w:sz="4" w:space="0" w:color="auto"/>
            </w:tcBorders>
            <w:shd w:val="clear" w:color="auto" w:fill="auto"/>
            <w:vAlign w:val="bottom"/>
          </w:tcPr>
          <w:p w:rsidR="00CD75D2" w:rsidRPr="00B31E94" w:rsidRDefault="00CD75D2" w:rsidP="00B31E94">
            <w:pPr>
              <w:pStyle w:val="SingleTxt"/>
              <w:spacing w:before="81" w:after="81" w:line="160" w:lineRule="exact"/>
              <w:ind w:left="0" w:right="40"/>
              <w:rPr>
                <w:i/>
                <w:sz w:val="14"/>
              </w:rPr>
            </w:pPr>
            <w:r w:rsidRPr="00CD75D2">
              <w:rPr>
                <w:i/>
                <w:sz w:val="14"/>
              </w:rPr>
              <w:t>Crop</w:t>
            </w:r>
          </w:p>
        </w:tc>
        <w:tc>
          <w:tcPr>
            <w:tcW w:w="1905" w:type="dxa"/>
            <w:gridSpan w:val="2"/>
            <w:tcBorders>
              <w:top w:val="single" w:sz="4" w:space="0" w:color="auto"/>
              <w:bottom w:val="single" w:sz="4" w:space="0" w:color="auto"/>
            </w:tcBorders>
            <w:shd w:val="clear" w:color="auto" w:fill="auto"/>
            <w:vAlign w:val="bottom"/>
          </w:tcPr>
          <w:p w:rsidR="00CD75D2" w:rsidRPr="00B31E94" w:rsidRDefault="00CD75D2" w:rsidP="00CD75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B31E94">
              <w:rPr>
                <w:i/>
                <w:sz w:val="14"/>
              </w:rPr>
              <w:t>2004-2005</w:t>
            </w:r>
          </w:p>
        </w:tc>
        <w:tc>
          <w:tcPr>
            <w:tcW w:w="66" w:type="dxa"/>
            <w:tcBorders>
              <w:top w:val="single" w:sz="4" w:space="0" w:color="auto"/>
            </w:tcBorders>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839" w:type="dxa"/>
            <w:gridSpan w:val="2"/>
            <w:tcBorders>
              <w:top w:val="single" w:sz="4" w:space="0" w:color="auto"/>
              <w:bottom w:val="single" w:sz="4" w:space="0" w:color="auto"/>
            </w:tcBorders>
            <w:shd w:val="clear" w:color="auto" w:fill="auto"/>
            <w:vAlign w:val="bottom"/>
          </w:tcPr>
          <w:p w:rsidR="00CD75D2" w:rsidRPr="00B31E94" w:rsidRDefault="00CD75D2" w:rsidP="00CD75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B31E94">
              <w:rPr>
                <w:i/>
                <w:sz w:val="14"/>
              </w:rPr>
              <w:t>2006-2007</w:t>
            </w:r>
          </w:p>
        </w:tc>
        <w:tc>
          <w:tcPr>
            <w:tcW w:w="69" w:type="dxa"/>
            <w:tcBorders>
              <w:top w:val="single" w:sz="4" w:space="0" w:color="auto"/>
            </w:tcBorders>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836" w:type="dxa"/>
            <w:gridSpan w:val="2"/>
            <w:tcBorders>
              <w:top w:val="single" w:sz="4" w:space="0" w:color="auto"/>
              <w:bottom w:val="single" w:sz="4" w:space="0" w:color="auto"/>
            </w:tcBorders>
            <w:shd w:val="clear" w:color="auto" w:fill="auto"/>
            <w:vAlign w:val="bottom"/>
          </w:tcPr>
          <w:p w:rsidR="00CD75D2" w:rsidRPr="00B31E94" w:rsidRDefault="00CD75D2" w:rsidP="00CD75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B31E94">
              <w:rPr>
                <w:i/>
                <w:sz w:val="14"/>
              </w:rPr>
              <w:t>2008-2009</w:t>
            </w:r>
          </w:p>
        </w:tc>
      </w:tr>
      <w:tr w:rsidR="00CD75D2" w:rsidRPr="00B31E94" w:rsidTr="00CD75D2">
        <w:trPr>
          <w:tblHeader/>
        </w:trPr>
        <w:tc>
          <w:tcPr>
            <w:tcW w:w="1613" w:type="dxa"/>
            <w:vMerge/>
            <w:shd w:val="clear" w:color="auto" w:fill="auto"/>
            <w:vAlign w:val="bottom"/>
          </w:tcPr>
          <w:p w:rsidR="00CD75D2" w:rsidRPr="00B31E94" w:rsidRDefault="00CD75D2" w:rsidP="00B31E94">
            <w:pPr>
              <w:pStyle w:val="SingleTxt"/>
              <w:spacing w:before="81" w:after="81" w:line="160" w:lineRule="exact"/>
              <w:ind w:left="0" w:right="40"/>
              <w:rPr>
                <w:i/>
                <w:sz w:val="14"/>
              </w:rPr>
            </w:pPr>
          </w:p>
        </w:tc>
        <w:tc>
          <w:tcPr>
            <w:tcW w:w="1905" w:type="dxa"/>
            <w:gridSpan w:val="2"/>
            <w:tcBorders>
              <w:top w:val="single" w:sz="4" w:space="0" w:color="auto"/>
              <w:bottom w:val="single" w:sz="4" w:space="0" w:color="auto"/>
            </w:tcBorders>
            <w:shd w:val="clear" w:color="auto" w:fill="auto"/>
            <w:vAlign w:val="bottom"/>
          </w:tcPr>
          <w:p w:rsidR="00CD75D2" w:rsidRPr="00B31E94" w:rsidRDefault="00CD75D2" w:rsidP="00CD75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B31E94">
              <w:rPr>
                <w:i/>
                <w:sz w:val="14"/>
              </w:rPr>
              <w:t>Sex of parcel owner</w:t>
            </w:r>
          </w:p>
        </w:tc>
        <w:tc>
          <w:tcPr>
            <w:tcW w:w="66" w:type="dxa"/>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839" w:type="dxa"/>
            <w:gridSpan w:val="2"/>
            <w:tcBorders>
              <w:top w:val="single" w:sz="4" w:space="0" w:color="auto"/>
              <w:bottom w:val="single" w:sz="4" w:space="0" w:color="auto"/>
            </w:tcBorders>
            <w:shd w:val="clear" w:color="auto" w:fill="auto"/>
            <w:vAlign w:val="bottom"/>
          </w:tcPr>
          <w:p w:rsidR="00CD75D2" w:rsidRPr="00B31E94" w:rsidRDefault="00CD75D2" w:rsidP="00CD75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B31E94">
              <w:rPr>
                <w:i/>
                <w:sz w:val="14"/>
              </w:rPr>
              <w:t>Sex of parcel owner</w:t>
            </w:r>
          </w:p>
        </w:tc>
        <w:tc>
          <w:tcPr>
            <w:tcW w:w="69" w:type="dxa"/>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836" w:type="dxa"/>
            <w:gridSpan w:val="2"/>
            <w:tcBorders>
              <w:top w:val="single" w:sz="4" w:space="0" w:color="auto"/>
              <w:bottom w:val="single" w:sz="4" w:space="0" w:color="auto"/>
            </w:tcBorders>
            <w:shd w:val="clear" w:color="auto" w:fill="auto"/>
            <w:vAlign w:val="bottom"/>
          </w:tcPr>
          <w:p w:rsidR="00CD75D2" w:rsidRPr="00B31E94" w:rsidRDefault="00CD75D2" w:rsidP="00A610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B31E94">
              <w:rPr>
                <w:i/>
                <w:sz w:val="14"/>
              </w:rPr>
              <w:t>Sex of parcel owner</w:t>
            </w:r>
          </w:p>
        </w:tc>
      </w:tr>
      <w:tr w:rsidR="00CD75D2" w:rsidRPr="00B31E94" w:rsidTr="00CD75D2">
        <w:trPr>
          <w:tblHeader/>
        </w:trPr>
        <w:tc>
          <w:tcPr>
            <w:tcW w:w="1613" w:type="dxa"/>
            <w:vMerge/>
            <w:tcBorders>
              <w:bottom w:val="single" w:sz="12" w:space="0" w:color="auto"/>
            </w:tcBorders>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52" w:type="dxa"/>
            <w:tcBorders>
              <w:top w:val="single" w:sz="4" w:space="0" w:color="auto"/>
              <w:bottom w:val="single" w:sz="12" w:space="0" w:color="auto"/>
            </w:tcBorders>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D75D2">
              <w:rPr>
                <w:i/>
                <w:sz w:val="14"/>
              </w:rPr>
              <w:t>Men</w:t>
            </w:r>
          </w:p>
        </w:tc>
        <w:tc>
          <w:tcPr>
            <w:tcW w:w="953" w:type="dxa"/>
            <w:tcBorders>
              <w:top w:val="single" w:sz="4" w:space="0" w:color="auto"/>
              <w:bottom w:val="single" w:sz="12" w:space="0" w:color="auto"/>
            </w:tcBorders>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D75D2">
              <w:rPr>
                <w:i/>
                <w:sz w:val="14"/>
              </w:rPr>
              <w:t>Women</w:t>
            </w:r>
          </w:p>
        </w:tc>
        <w:tc>
          <w:tcPr>
            <w:tcW w:w="952" w:type="dxa"/>
            <w:gridSpan w:val="2"/>
            <w:tcBorders>
              <w:bottom w:val="single" w:sz="12" w:space="0" w:color="auto"/>
            </w:tcBorders>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D75D2">
              <w:rPr>
                <w:i/>
                <w:sz w:val="14"/>
              </w:rPr>
              <w:t>Men</w:t>
            </w:r>
          </w:p>
        </w:tc>
        <w:tc>
          <w:tcPr>
            <w:tcW w:w="953" w:type="dxa"/>
            <w:tcBorders>
              <w:bottom w:val="single" w:sz="12" w:space="0" w:color="auto"/>
            </w:tcBorders>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D75D2">
              <w:rPr>
                <w:i/>
                <w:sz w:val="14"/>
              </w:rPr>
              <w:t>Women</w:t>
            </w:r>
          </w:p>
        </w:tc>
        <w:tc>
          <w:tcPr>
            <w:tcW w:w="952" w:type="dxa"/>
            <w:gridSpan w:val="2"/>
            <w:tcBorders>
              <w:bottom w:val="single" w:sz="12" w:space="0" w:color="auto"/>
            </w:tcBorders>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D75D2">
              <w:rPr>
                <w:i/>
                <w:sz w:val="14"/>
              </w:rPr>
              <w:t>Men</w:t>
            </w:r>
          </w:p>
        </w:tc>
        <w:tc>
          <w:tcPr>
            <w:tcW w:w="953" w:type="dxa"/>
            <w:tcBorders>
              <w:bottom w:val="single" w:sz="12" w:space="0" w:color="auto"/>
            </w:tcBorders>
            <w:shd w:val="clear" w:color="auto" w:fill="auto"/>
            <w:vAlign w:val="bottom"/>
          </w:tcPr>
          <w:p w:rsidR="00CD75D2" w:rsidRPr="00B31E94" w:rsidRDefault="00CD75D2"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D75D2">
              <w:rPr>
                <w:i/>
                <w:sz w:val="14"/>
              </w:rPr>
              <w:t>Women</w:t>
            </w:r>
          </w:p>
        </w:tc>
      </w:tr>
      <w:tr w:rsidR="00B31E94" w:rsidRPr="00B31E94" w:rsidTr="00B31E94">
        <w:trPr>
          <w:trHeight w:hRule="exact" w:val="115"/>
          <w:tblHeader/>
        </w:trPr>
        <w:tc>
          <w:tcPr>
            <w:tcW w:w="1613" w:type="dxa"/>
            <w:tcBorders>
              <w:top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52" w:type="dxa"/>
            <w:tcBorders>
              <w:top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53" w:type="dxa"/>
            <w:tcBorders>
              <w:top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52" w:type="dxa"/>
            <w:gridSpan w:val="2"/>
            <w:tcBorders>
              <w:top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53" w:type="dxa"/>
            <w:tcBorders>
              <w:top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52" w:type="dxa"/>
            <w:gridSpan w:val="2"/>
            <w:tcBorders>
              <w:top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53" w:type="dxa"/>
            <w:tcBorders>
              <w:top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Millet</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97.7%</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2.3%</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98.2%</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1.8%</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97.8%</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2.2%</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Sorghum</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97.6%</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2.4%</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97.9%</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2.1%</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98.7%</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1.3%</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Rice</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95.7%</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4.3%</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82.5%</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17.5%</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94.4%</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5.6%</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Maize</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98.2%</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1.8%</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97.7%</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2.3%</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99.1%</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0.9%</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Fonio</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82.9%</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17.1%</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67.8%</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32.2%</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89.9%</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10.1%</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Potato</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91.8%</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8.2%</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97.6%</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2.4%</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99.9%</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0.1%</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Manioc</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100.0%</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99.8%</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0.2%</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100.0%</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Taro</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100.0%</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0.0%</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0.0%</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1.8%</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98.2%</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Cowpea</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86.4%</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13.6%</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96.2%</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3.8%</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88.1%</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11.9%</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Peanut</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61.6%</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38.4%</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56.2%</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43.8%</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47.8%</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52.2%</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Voandzou</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76.9%</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23.1%</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56.9%</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43.1%</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84.6%</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15.4%</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Soya</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99.6%</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0.4%</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94.4%</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5.6%</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91.1%</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8.9%</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Sesame</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90.7%</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9.3%</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80.2%</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19.8%</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90.0%</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10.0%</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Ginger</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100.0%</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0.0%</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0.0%</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53.6%</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46.4%</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lastRenderedPageBreak/>
              <w:t>Pimento</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96.8%</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3.2%</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96.0%</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4.0%</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67.9%</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32.1%</w:t>
            </w:r>
          </w:p>
        </w:tc>
      </w:tr>
      <w:tr w:rsidR="00B31E94" w:rsidRPr="00B31E94" w:rsidTr="00B31E94">
        <w:tc>
          <w:tcPr>
            <w:tcW w:w="161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Okra</w:t>
            </w:r>
          </w:p>
        </w:tc>
        <w:tc>
          <w:tcPr>
            <w:tcW w:w="952"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30.5%</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69.5%</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23.4%</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76.6%</w:t>
            </w:r>
          </w:p>
        </w:tc>
        <w:tc>
          <w:tcPr>
            <w:tcW w:w="952" w:type="dxa"/>
            <w:gridSpan w:val="2"/>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49.9%</w:t>
            </w:r>
          </w:p>
        </w:tc>
        <w:tc>
          <w:tcPr>
            <w:tcW w:w="953" w:type="dxa"/>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50.1%</w:t>
            </w:r>
          </w:p>
        </w:tc>
      </w:tr>
      <w:tr w:rsidR="00B31E94" w:rsidRPr="00B31E94" w:rsidTr="00B31E94">
        <w:tc>
          <w:tcPr>
            <w:tcW w:w="1613" w:type="dxa"/>
            <w:tcBorders>
              <w:bottom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1E94">
              <w:rPr>
                <w:sz w:val="17"/>
              </w:rPr>
              <w:t>Watermelon</w:t>
            </w:r>
          </w:p>
        </w:tc>
        <w:tc>
          <w:tcPr>
            <w:tcW w:w="952" w:type="dxa"/>
            <w:tcBorders>
              <w:bottom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100.0%</w:t>
            </w:r>
          </w:p>
        </w:tc>
        <w:tc>
          <w:tcPr>
            <w:tcW w:w="953" w:type="dxa"/>
            <w:tcBorders>
              <w:bottom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w:t>
            </w:r>
          </w:p>
        </w:tc>
        <w:tc>
          <w:tcPr>
            <w:tcW w:w="952" w:type="dxa"/>
            <w:gridSpan w:val="2"/>
            <w:tcBorders>
              <w:bottom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97.2%</w:t>
            </w:r>
          </w:p>
        </w:tc>
        <w:tc>
          <w:tcPr>
            <w:tcW w:w="953" w:type="dxa"/>
            <w:tcBorders>
              <w:bottom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2.8%</w:t>
            </w:r>
          </w:p>
        </w:tc>
        <w:tc>
          <w:tcPr>
            <w:tcW w:w="952" w:type="dxa"/>
            <w:gridSpan w:val="2"/>
            <w:tcBorders>
              <w:bottom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99.5%</w:t>
            </w:r>
          </w:p>
        </w:tc>
        <w:tc>
          <w:tcPr>
            <w:tcW w:w="953" w:type="dxa"/>
            <w:tcBorders>
              <w:bottom w:val="single" w:sz="12" w:space="0" w:color="auto"/>
            </w:tcBorders>
            <w:shd w:val="clear" w:color="auto" w:fill="auto"/>
            <w:vAlign w:val="bottom"/>
          </w:tcPr>
          <w:p w:rsidR="00B31E94" w:rsidRPr="00B31E94" w:rsidRDefault="00B31E94" w:rsidP="00B31E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31E94">
              <w:rPr>
                <w:sz w:val="17"/>
              </w:rPr>
              <w:t>0.5%</w:t>
            </w:r>
          </w:p>
        </w:tc>
      </w:tr>
    </w:tbl>
    <w:p w:rsidR="00B31E94" w:rsidRPr="00B31E94" w:rsidRDefault="00B31E94" w:rsidP="00B31E94">
      <w:pPr>
        <w:pStyle w:val="SingleTxt"/>
        <w:spacing w:after="0" w:line="120" w:lineRule="exact"/>
        <w:rPr>
          <w:sz w:val="10"/>
        </w:rPr>
      </w:pPr>
    </w:p>
    <w:p w:rsidR="005E1F07" w:rsidRDefault="00B31E94" w:rsidP="00B31E94">
      <w:pPr>
        <w:pStyle w:val="FootnoteText"/>
        <w:tabs>
          <w:tab w:val="clear" w:pos="418"/>
          <w:tab w:val="right" w:pos="1476"/>
          <w:tab w:val="left" w:pos="1548"/>
          <w:tab w:val="right" w:pos="1836"/>
          <w:tab w:val="left" w:pos="1908"/>
        </w:tabs>
        <w:ind w:left="1548" w:right="1267" w:hanging="288"/>
      </w:pPr>
      <w:r>
        <w:tab/>
      </w:r>
      <w:r w:rsidR="00770B6C" w:rsidRPr="00A61064">
        <w:rPr>
          <w:i/>
        </w:rPr>
        <w:t>Source</w:t>
      </w:r>
      <w:r w:rsidR="00770B6C" w:rsidRPr="00A61064">
        <w:t>:</w:t>
      </w:r>
      <w:r w:rsidR="00770B6C" w:rsidRPr="00B31E94">
        <w:rPr>
          <w:i/>
        </w:rPr>
        <w:t xml:space="preserve"> Statistical Planning Unit, Rural Development, Agricultural Survey 2008-2009</w:t>
      </w:r>
      <w:r w:rsidR="00770B6C">
        <w:t>.</w:t>
      </w:r>
    </w:p>
    <w:p w:rsidR="00B31E94" w:rsidRPr="00B31E94" w:rsidRDefault="00B31E94" w:rsidP="00B31E94">
      <w:pPr>
        <w:pStyle w:val="SingleTxt"/>
        <w:spacing w:after="0" w:line="120" w:lineRule="exact"/>
        <w:rPr>
          <w:sz w:val="10"/>
        </w:rPr>
      </w:pPr>
    </w:p>
    <w:p w:rsidR="00B31E94" w:rsidRPr="00B31E94" w:rsidRDefault="00B31E94" w:rsidP="00B31E94">
      <w:pPr>
        <w:pStyle w:val="SingleTxt"/>
        <w:spacing w:after="0" w:line="120" w:lineRule="exact"/>
        <w:rPr>
          <w:sz w:val="10"/>
        </w:rPr>
      </w:pPr>
    </w:p>
    <w:p w:rsidR="00770B6C" w:rsidRPr="00CE627D" w:rsidRDefault="00CE627D" w:rsidP="00CE627D">
      <w:pPr>
        <w:pStyle w:val="H23"/>
        <w:ind w:right="1260"/>
        <w:rPr>
          <w:b w:val="0"/>
        </w:rPr>
      </w:pPr>
      <w:r>
        <w:tab/>
      </w:r>
      <w:r w:rsidRPr="00CE627D">
        <w:rPr>
          <w:b w:val="0"/>
        </w:rPr>
        <w:tab/>
      </w:r>
      <w:r w:rsidR="00770B6C" w:rsidRPr="00CE627D">
        <w:rPr>
          <w:b w:val="0"/>
        </w:rPr>
        <w:t>Table 18</w:t>
      </w:r>
    </w:p>
    <w:p w:rsidR="005E1F07" w:rsidRDefault="00CE627D" w:rsidP="00CE627D">
      <w:pPr>
        <w:pStyle w:val="H23"/>
        <w:ind w:right="1260"/>
      </w:pPr>
      <w:r>
        <w:tab/>
      </w:r>
      <w:r>
        <w:tab/>
      </w:r>
      <w:r w:rsidR="00770B6C">
        <w:t>Distribution of cultivated land by type of management, sex of parcel owner, and region (in %)</w:t>
      </w:r>
    </w:p>
    <w:p w:rsidR="00CE627D" w:rsidRPr="00CE627D" w:rsidRDefault="00CE627D" w:rsidP="00CE627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91"/>
        <w:gridCol w:w="783"/>
        <w:gridCol w:w="909"/>
        <w:gridCol w:w="909"/>
        <w:gridCol w:w="63"/>
        <w:gridCol w:w="846"/>
        <w:gridCol w:w="909"/>
        <w:gridCol w:w="81"/>
        <w:gridCol w:w="828"/>
        <w:gridCol w:w="909"/>
      </w:tblGrid>
      <w:tr w:rsidR="006A6F37" w:rsidRPr="006A6F37" w:rsidTr="006A6F37">
        <w:trPr>
          <w:tblHeader/>
        </w:trPr>
        <w:tc>
          <w:tcPr>
            <w:tcW w:w="1091" w:type="dxa"/>
            <w:vMerge w:val="restart"/>
            <w:tcBorders>
              <w:top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A6F37">
              <w:rPr>
                <w:i/>
                <w:sz w:val="14"/>
              </w:rPr>
              <w:t>Region</w:t>
            </w:r>
          </w:p>
        </w:tc>
        <w:tc>
          <w:tcPr>
            <w:tcW w:w="783" w:type="dxa"/>
            <w:vMerge w:val="restart"/>
            <w:tcBorders>
              <w:top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r w:rsidRPr="006A6F37">
              <w:rPr>
                <w:i/>
                <w:sz w:val="14"/>
              </w:rPr>
              <w:t>Sex of parcel owner</w:t>
            </w:r>
          </w:p>
        </w:tc>
        <w:tc>
          <w:tcPr>
            <w:tcW w:w="1818" w:type="dxa"/>
            <w:gridSpan w:val="2"/>
            <w:tcBorders>
              <w:top w:val="single" w:sz="4" w:space="0" w:color="auto"/>
              <w:bottom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6A6F37">
              <w:rPr>
                <w:i/>
                <w:sz w:val="14"/>
              </w:rPr>
              <w:t>2004-2005</w:t>
            </w:r>
          </w:p>
        </w:tc>
        <w:tc>
          <w:tcPr>
            <w:tcW w:w="63" w:type="dxa"/>
            <w:tcBorders>
              <w:top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755" w:type="dxa"/>
            <w:gridSpan w:val="2"/>
            <w:tcBorders>
              <w:top w:val="single" w:sz="4" w:space="0" w:color="auto"/>
              <w:bottom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6A6F37">
              <w:rPr>
                <w:i/>
                <w:sz w:val="14"/>
              </w:rPr>
              <w:t>2006-2007</w:t>
            </w:r>
          </w:p>
        </w:tc>
        <w:tc>
          <w:tcPr>
            <w:tcW w:w="81" w:type="dxa"/>
            <w:tcBorders>
              <w:top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737" w:type="dxa"/>
            <w:gridSpan w:val="2"/>
            <w:tcBorders>
              <w:top w:val="single" w:sz="4" w:space="0" w:color="auto"/>
              <w:bottom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6A6F37">
              <w:rPr>
                <w:i/>
                <w:sz w:val="14"/>
              </w:rPr>
              <w:t>2008-2009</w:t>
            </w:r>
          </w:p>
        </w:tc>
      </w:tr>
      <w:tr w:rsidR="006A6F37" w:rsidRPr="006A6F37" w:rsidTr="006A6F37">
        <w:trPr>
          <w:tblHeader/>
        </w:trPr>
        <w:tc>
          <w:tcPr>
            <w:tcW w:w="1091" w:type="dxa"/>
            <w:vMerge/>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783" w:type="dxa"/>
            <w:vMerge/>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p>
        </w:tc>
        <w:tc>
          <w:tcPr>
            <w:tcW w:w="1818" w:type="dxa"/>
            <w:gridSpan w:val="2"/>
            <w:tcBorders>
              <w:top w:val="single" w:sz="4" w:space="0" w:color="auto"/>
              <w:bottom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A6F37">
              <w:rPr>
                <w:i/>
                <w:sz w:val="14"/>
              </w:rPr>
              <w:t>Type of management</w:t>
            </w:r>
          </w:p>
        </w:tc>
        <w:tc>
          <w:tcPr>
            <w:tcW w:w="6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755" w:type="dxa"/>
            <w:gridSpan w:val="2"/>
            <w:tcBorders>
              <w:top w:val="single" w:sz="4" w:space="0" w:color="auto"/>
              <w:bottom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A6F37">
              <w:rPr>
                <w:i/>
                <w:sz w:val="14"/>
              </w:rPr>
              <w:t>Type of management</w:t>
            </w:r>
          </w:p>
        </w:tc>
        <w:tc>
          <w:tcPr>
            <w:tcW w:w="8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737" w:type="dxa"/>
            <w:gridSpan w:val="2"/>
            <w:tcBorders>
              <w:top w:val="single" w:sz="4" w:space="0" w:color="auto"/>
              <w:bottom w:val="single" w:sz="4"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A6F37">
              <w:rPr>
                <w:i/>
                <w:sz w:val="14"/>
              </w:rPr>
              <w:t>Type of management</w:t>
            </w:r>
          </w:p>
        </w:tc>
      </w:tr>
      <w:tr w:rsidR="006A6F37" w:rsidRPr="006A6F37" w:rsidTr="006A6F37">
        <w:trPr>
          <w:tblHeader/>
        </w:trPr>
        <w:tc>
          <w:tcPr>
            <w:tcW w:w="1091" w:type="dxa"/>
            <w:vMerge/>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783" w:type="dxa"/>
            <w:vMerge/>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p>
        </w:tc>
        <w:tc>
          <w:tcPr>
            <w:tcW w:w="909" w:type="dxa"/>
            <w:tcBorders>
              <w:top w:val="single" w:sz="4" w:space="0" w:color="auto"/>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A6F37">
              <w:rPr>
                <w:i/>
                <w:sz w:val="14"/>
              </w:rPr>
              <w:t>Collective</w:t>
            </w:r>
          </w:p>
        </w:tc>
        <w:tc>
          <w:tcPr>
            <w:tcW w:w="909" w:type="dxa"/>
            <w:tcBorders>
              <w:top w:val="single" w:sz="4" w:space="0" w:color="auto"/>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A6F37">
              <w:rPr>
                <w:i/>
                <w:sz w:val="14"/>
              </w:rPr>
              <w:t>Individual</w:t>
            </w:r>
          </w:p>
        </w:tc>
        <w:tc>
          <w:tcPr>
            <w:tcW w:w="909" w:type="dxa"/>
            <w:gridSpan w:val="2"/>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A6F37">
              <w:rPr>
                <w:i/>
                <w:sz w:val="14"/>
              </w:rPr>
              <w:t>Collective</w:t>
            </w:r>
          </w:p>
        </w:tc>
        <w:tc>
          <w:tcPr>
            <w:tcW w:w="909" w:type="dxa"/>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A6F37">
              <w:rPr>
                <w:i/>
                <w:sz w:val="14"/>
              </w:rPr>
              <w:t>Individual</w:t>
            </w:r>
          </w:p>
        </w:tc>
        <w:tc>
          <w:tcPr>
            <w:tcW w:w="909" w:type="dxa"/>
            <w:gridSpan w:val="2"/>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A6F37">
              <w:rPr>
                <w:i/>
                <w:sz w:val="14"/>
              </w:rPr>
              <w:t>Collective</w:t>
            </w:r>
          </w:p>
        </w:tc>
        <w:tc>
          <w:tcPr>
            <w:tcW w:w="909" w:type="dxa"/>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A6F37">
              <w:rPr>
                <w:i/>
                <w:sz w:val="14"/>
              </w:rPr>
              <w:t>Individual</w:t>
            </w:r>
          </w:p>
        </w:tc>
      </w:tr>
      <w:tr w:rsidR="006A6F37" w:rsidRPr="006A6F37" w:rsidTr="006A6F37">
        <w:trPr>
          <w:trHeight w:hRule="exact" w:val="115"/>
          <w:tblHeader/>
        </w:trPr>
        <w:tc>
          <w:tcPr>
            <w:tcW w:w="1091" w:type="dxa"/>
            <w:tcBorders>
              <w:top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83" w:type="dxa"/>
            <w:tcBorders>
              <w:top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rPr>
            </w:pPr>
          </w:p>
        </w:tc>
        <w:tc>
          <w:tcPr>
            <w:tcW w:w="909" w:type="dxa"/>
            <w:tcBorders>
              <w:top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09" w:type="dxa"/>
            <w:tcBorders>
              <w:top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09" w:type="dxa"/>
            <w:gridSpan w:val="2"/>
            <w:tcBorders>
              <w:top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09" w:type="dxa"/>
            <w:tcBorders>
              <w:top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09" w:type="dxa"/>
            <w:gridSpan w:val="2"/>
            <w:tcBorders>
              <w:top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09" w:type="dxa"/>
            <w:tcBorders>
              <w:top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A6F37">
              <w:rPr>
                <w:sz w:val="17"/>
              </w:rPr>
              <w:t>Kayes</w:t>
            </w: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87.9%</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12.1%</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94.2%</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5.8%</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81.3%</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18.7%</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Women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14.3%</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85.7%</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92.0%</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3.5%</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96.5%</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A6F37">
              <w:rPr>
                <w:sz w:val="17"/>
              </w:rPr>
              <w:t>Koulikoro</w:t>
            </w: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87.2%</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12.8%</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92.0%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8.0%</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93.1%</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6.9%</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Women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13.2%</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86.8%</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9.2%</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90.8%</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6.5%</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93.5%</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A6F37">
              <w:rPr>
                <w:sz w:val="17"/>
              </w:rPr>
              <w:t>Sikasso</w:t>
            </w: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93.0%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7.0%</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97.3%</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2.7%</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97.1%</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2.9%</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Women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25.0%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75.0%</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5.8%</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94.2%</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10.8%</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89.2%</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A6F37">
              <w:rPr>
                <w:sz w:val="17"/>
              </w:rPr>
              <w:t>Ségou</w:t>
            </w: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95.0%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5.0%</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95.8%</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4.2%</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97.0%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3.0%</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Women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59.2%</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40.8%</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59.7%</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40.3%</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17.4%</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82.6%</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A6F37">
              <w:rPr>
                <w:sz w:val="17"/>
              </w:rPr>
              <w:t>Mopti</w:t>
            </w: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93.3%</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6.7%</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91.9%</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8.1%</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92.0%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8.0%</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Women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20.8%</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79.2%</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6.6%</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93.4%</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33.8%</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66.2%</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A6F37">
              <w:rPr>
                <w:sz w:val="17"/>
              </w:rPr>
              <w:t>Tombouctou</w:t>
            </w: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95.5%</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4.5%</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100.0%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98.7%</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1.3%</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Women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100.0%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100.0%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100.0%</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A6F37">
              <w:rPr>
                <w:sz w:val="17"/>
              </w:rPr>
              <w:t>Gao</w:t>
            </w: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99.2%</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0.8%</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94.6%</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5.4%</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84.7%</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15.3%</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Women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97.1%</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2.9%</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99.4%</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0.6%</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92.9%</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7.1%</w:t>
            </w:r>
          </w:p>
        </w:tc>
      </w:tr>
      <w:tr w:rsidR="006A6F37" w:rsidRPr="006A6F37" w:rsidTr="006A6F37">
        <w:tc>
          <w:tcPr>
            <w:tcW w:w="1091"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A6F37">
              <w:rPr>
                <w:sz w:val="17"/>
              </w:rPr>
              <w:t>Bamako</w:t>
            </w:r>
          </w:p>
        </w:tc>
        <w:tc>
          <w:tcPr>
            <w:tcW w:w="783"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Men</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91.8%</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8.2%</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c>
          <w:tcPr>
            <w:tcW w:w="909" w:type="dxa"/>
            <w:gridSpan w:val="2"/>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c>
          <w:tcPr>
            <w:tcW w:w="909" w:type="dxa"/>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r>
      <w:tr w:rsidR="006A6F37" w:rsidRPr="006A6F37" w:rsidTr="006A6F37">
        <w:tc>
          <w:tcPr>
            <w:tcW w:w="1091" w:type="dxa"/>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783" w:type="dxa"/>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6A6F37">
              <w:rPr>
                <w:sz w:val="17"/>
              </w:rPr>
              <w:t>Women</w:t>
            </w:r>
          </w:p>
        </w:tc>
        <w:tc>
          <w:tcPr>
            <w:tcW w:w="909" w:type="dxa"/>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90.4%</w:t>
            </w:r>
          </w:p>
        </w:tc>
        <w:tc>
          <w:tcPr>
            <w:tcW w:w="909" w:type="dxa"/>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9.6%</w:t>
            </w:r>
          </w:p>
        </w:tc>
        <w:tc>
          <w:tcPr>
            <w:tcW w:w="909" w:type="dxa"/>
            <w:gridSpan w:val="2"/>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c>
          <w:tcPr>
            <w:tcW w:w="909" w:type="dxa"/>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c>
          <w:tcPr>
            <w:tcW w:w="909" w:type="dxa"/>
            <w:gridSpan w:val="2"/>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c>
          <w:tcPr>
            <w:tcW w:w="909" w:type="dxa"/>
            <w:tcBorders>
              <w:bottom w:val="single" w:sz="12" w:space="0" w:color="auto"/>
            </w:tcBorders>
            <w:shd w:val="clear" w:color="auto" w:fill="auto"/>
            <w:vAlign w:val="bottom"/>
          </w:tcPr>
          <w:p w:rsidR="006A6F37" w:rsidRPr="006A6F37" w:rsidRDefault="006A6F37" w:rsidP="006A6F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A6F37">
              <w:rPr>
                <w:sz w:val="17"/>
              </w:rPr>
              <w:t>.</w:t>
            </w:r>
          </w:p>
        </w:tc>
      </w:tr>
    </w:tbl>
    <w:p w:rsidR="00CE627D" w:rsidRPr="00CE627D" w:rsidRDefault="00CE627D" w:rsidP="00CE627D">
      <w:pPr>
        <w:pStyle w:val="SingleTxt"/>
        <w:spacing w:after="0" w:line="120" w:lineRule="exact"/>
        <w:rPr>
          <w:sz w:val="10"/>
        </w:rPr>
      </w:pPr>
    </w:p>
    <w:p w:rsidR="005E1F07" w:rsidRDefault="00CE627D" w:rsidP="00CE627D">
      <w:pPr>
        <w:pStyle w:val="FootnoteText"/>
        <w:tabs>
          <w:tab w:val="clear" w:pos="418"/>
          <w:tab w:val="right" w:pos="1476"/>
          <w:tab w:val="left" w:pos="1548"/>
          <w:tab w:val="right" w:pos="1836"/>
          <w:tab w:val="left" w:pos="1908"/>
        </w:tabs>
        <w:ind w:left="1548" w:right="1267" w:hanging="288"/>
      </w:pPr>
      <w:r>
        <w:tab/>
      </w:r>
      <w:r w:rsidR="00770B6C" w:rsidRPr="00A61064">
        <w:rPr>
          <w:i/>
        </w:rPr>
        <w:t>Source</w:t>
      </w:r>
      <w:r w:rsidR="00770B6C" w:rsidRPr="00A61064">
        <w:t xml:space="preserve">: </w:t>
      </w:r>
      <w:r w:rsidR="00770B6C" w:rsidRPr="00CE627D">
        <w:rPr>
          <w:i/>
        </w:rPr>
        <w:t>CPS/SDR Rural Development Sector, Current Agricultural Survey, 2008-2009</w:t>
      </w:r>
      <w:r>
        <w:t>.</w:t>
      </w:r>
      <w:r w:rsidR="005E03D8">
        <w:t xml:space="preserve"> </w:t>
      </w:r>
    </w:p>
    <w:p w:rsidR="00CE627D" w:rsidRPr="00CE627D" w:rsidRDefault="00CE627D" w:rsidP="00CE627D">
      <w:pPr>
        <w:pStyle w:val="SingleTxt"/>
        <w:spacing w:after="0" w:line="120" w:lineRule="exact"/>
        <w:rPr>
          <w:sz w:val="10"/>
        </w:rPr>
      </w:pPr>
    </w:p>
    <w:p w:rsidR="00CE627D" w:rsidRPr="00CE627D" w:rsidRDefault="00CE627D" w:rsidP="00CE627D">
      <w:pPr>
        <w:pStyle w:val="SingleTxt"/>
        <w:spacing w:after="0" w:line="120" w:lineRule="exact"/>
        <w:rPr>
          <w:sz w:val="10"/>
        </w:rPr>
      </w:pPr>
    </w:p>
    <w:p w:rsidR="009640EB" w:rsidRDefault="009640EB">
      <w:pPr>
        <w:suppressAutoHyphens w:val="0"/>
        <w:spacing w:line="240" w:lineRule="auto"/>
        <w:rPr>
          <w:b/>
          <w:spacing w:val="2"/>
        </w:rPr>
      </w:pPr>
      <w:r>
        <w:br w:type="page"/>
      </w:r>
    </w:p>
    <w:p w:rsidR="00770B6C" w:rsidRPr="006A6F37" w:rsidRDefault="006A6F37" w:rsidP="006A6F37">
      <w:pPr>
        <w:pStyle w:val="H23"/>
        <w:ind w:right="1260"/>
        <w:rPr>
          <w:b w:val="0"/>
        </w:rPr>
      </w:pPr>
      <w:r>
        <w:lastRenderedPageBreak/>
        <w:tab/>
      </w:r>
      <w:r w:rsidRPr="006A6F37">
        <w:rPr>
          <w:b w:val="0"/>
        </w:rPr>
        <w:tab/>
      </w:r>
      <w:r w:rsidR="00770B6C" w:rsidRPr="006A6F37">
        <w:rPr>
          <w:b w:val="0"/>
        </w:rPr>
        <w:t>Table 19</w:t>
      </w:r>
    </w:p>
    <w:p w:rsidR="00770B6C" w:rsidRDefault="006A6F37" w:rsidP="006A6F37">
      <w:pPr>
        <w:pStyle w:val="H23"/>
        <w:ind w:right="1260"/>
      </w:pPr>
      <w:r>
        <w:tab/>
      </w:r>
      <w:r>
        <w:tab/>
      </w:r>
      <w:r w:rsidR="00770B6C">
        <w:t>Distribution of cultivated land on average by sex of parcel owner and by region (in hectares)</w:t>
      </w:r>
    </w:p>
    <w:p w:rsidR="006A6F37" w:rsidRPr="006A6F37" w:rsidRDefault="006A6F37" w:rsidP="006A6F3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3"/>
        <w:gridCol w:w="892"/>
        <w:gridCol w:w="893"/>
        <w:gridCol w:w="78"/>
        <w:gridCol w:w="814"/>
        <w:gridCol w:w="893"/>
        <w:gridCol w:w="75"/>
        <w:gridCol w:w="817"/>
        <w:gridCol w:w="893"/>
      </w:tblGrid>
      <w:tr w:rsidR="009640EB" w:rsidRPr="009640EB" w:rsidTr="009640EB">
        <w:trPr>
          <w:tblHeader/>
        </w:trPr>
        <w:tc>
          <w:tcPr>
            <w:tcW w:w="1973" w:type="dxa"/>
            <w:vMerge w:val="restart"/>
            <w:tcBorders>
              <w:top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rPr>
                <w:i/>
                <w:sz w:val="14"/>
              </w:rPr>
            </w:pPr>
            <w:r w:rsidRPr="009640EB">
              <w:rPr>
                <w:i/>
                <w:sz w:val="14"/>
              </w:rPr>
              <w:t>Region</w:t>
            </w:r>
          </w:p>
        </w:tc>
        <w:tc>
          <w:tcPr>
            <w:tcW w:w="1785" w:type="dxa"/>
            <w:gridSpan w:val="2"/>
            <w:tcBorders>
              <w:top w:val="single" w:sz="4" w:space="0" w:color="auto"/>
              <w:bottom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rPr>
            </w:pPr>
            <w:r w:rsidRPr="009640EB">
              <w:rPr>
                <w:i/>
                <w:sz w:val="14"/>
              </w:rPr>
              <w:t>2004-2005</w:t>
            </w:r>
          </w:p>
        </w:tc>
        <w:tc>
          <w:tcPr>
            <w:tcW w:w="78" w:type="dxa"/>
            <w:tcBorders>
              <w:top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p>
        </w:tc>
        <w:tc>
          <w:tcPr>
            <w:tcW w:w="1707" w:type="dxa"/>
            <w:gridSpan w:val="2"/>
            <w:tcBorders>
              <w:top w:val="single" w:sz="4" w:space="0" w:color="auto"/>
              <w:bottom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rPr>
            </w:pPr>
            <w:r w:rsidRPr="009640EB">
              <w:rPr>
                <w:i/>
                <w:sz w:val="14"/>
              </w:rPr>
              <w:t>2006-2007</w:t>
            </w:r>
          </w:p>
        </w:tc>
        <w:tc>
          <w:tcPr>
            <w:tcW w:w="75" w:type="dxa"/>
            <w:tcBorders>
              <w:top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p>
        </w:tc>
        <w:tc>
          <w:tcPr>
            <w:tcW w:w="1710" w:type="dxa"/>
            <w:gridSpan w:val="2"/>
            <w:tcBorders>
              <w:top w:val="single" w:sz="4" w:space="0" w:color="auto"/>
              <w:bottom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rPr>
            </w:pPr>
            <w:r w:rsidRPr="009640EB">
              <w:rPr>
                <w:i/>
                <w:sz w:val="14"/>
              </w:rPr>
              <w:t>2008-2009</w:t>
            </w:r>
          </w:p>
        </w:tc>
      </w:tr>
      <w:tr w:rsidR="009640EB" w:rsidRPr="009640EB" w:rsidTr="009640EB">
        <w:trPr>
          <w:tblHeader/>
        </w:trPr>
        <w:tc>
          <w:tcPr>
            <w:tcW w:w="1973" w:type="dxa"/>
            <w:vMerge/>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rPr>
                <w:i/>
                <w:sz w:val="14"/>
              </w:rPr>
            </w:pPr>
          </w:p>
        </w:tc>
        <w:tc>
          <w:tcPr>
            <w:tcW w:w="1785" w:type="dxa"/>
            <w:gridSpan w:val="2"/>
            <w:tcBorders>
              <w:top w:val="single" w:sz="4" w:space="0" w:color="auto"/>
              <w:bottom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rPr>
            </w:pPr>
            <w:r w:rsidRPr="009640EB">
              <w:rPr>
                <w:i/>
                <w:sz w:val="14"/>
              </w:rPr>
              <w:t>Sex of parcel owner</w:t>
            </w:r>
          </w:p>
        </w:tc>
        <w:tc>
          <w:tcPr>
            <w:tcW w:w="78"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p>
        </w:tc>
        <w:tc>
          <w:tcPr>
            <w:tcW w:w="1707" w:type="dxa"/>
            <w:gridSpan w:val="2"/>
            <w:tcBorders>
              <w:top w:val="single" w:sz="4" w:space="0" w:color="auto"/>
              <w:bottom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rPr>
            </w:pPr>
            <w:r w:rsidRPr="009640EB">
              <w:rPr>
                <w:i/>
                <w:sz w:val="14"/>
              </w:rPr>
              <w:t>Sex of parcel owner</w:t>
            </w:r>
          </w:p>
        </w:tc>
        <w:tc>
          <w:tcPr>
            <w:tcW w:w="75"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p>
        </w:tc>
        <w:tc>
          <w:tcPr>
            <w:tcW w:w="1710" w:type="dxa"/>
            <w:gridSpan w:val="2"/>
            <w:tcBorders>
              <w:top w:val="single" w:sz="4" w:space="0" w:color="auto"/>
              <w:bottom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rPr>
            </w:pPr>
            <w:r w:rsidRPr="009640EB">
              <w:rPr>
                <w:i/>
                <w:sz w:val="14"/>
              </w:rPr>
              <w:t>Sex of parcel owner</w:t>
            </w:r>
          </w:p>
        </w:tc>
      </w:tr>
      <w:tr w:rsidR="009640EB" w:rsidRPr="009640EB" w:rsidTr="009640EB">
        <w:trPr>
          <w:tblHeader/>
        </w:trPr>
        <w:tc>
          <w:tcPr>
            <w:tcW w:w="1973" w:type="dxa"/>
            <w:vMerge/>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rPr>
                <w:i/>
                <w:sz w:val="14"/>
              </w:rPr>
            </w:pPr>
          </w:p>
        </w:tc>
        <w:tc>
          <w:tcPr>
            <w:tcW w:w="892" w:type="dxa"/>
            <w:tcBorders>
              <w:top w:val="single" w:sz="4" w:space="0" w:color="auto"/>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sidRPr="009640EB">
              <w:rPr>
                <w:i/>
                <w:sz w:val="14"/>
              </w:rPr>
              <w:t>Men</w:t>
            </w:r>
          </w:p>
        </w:tc>
        <w:tc>
          <w:tcPr>
            <w:tcW w:w="893" w:type="dxa"/>
            <w:tcBorders>
              <w:top w:val="single" w:sz="4" w:space="0" w:color="auto"/>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sidRPr="009640EB">
              <w:rPr>
                <w:i/>
                <w:sz w:val="14"/>
              </w:rPr>
              <w:t>Women</w:t>
            </w:r>
          </w:p>
        </w:tc>
        <w:tc>
          <w:tcPr>
            <w:tcW w:w="892" w:type="dxa"/>
            <w:gridSpan w:val="2"/>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sidRPr="009640EB">
              <w:rPr>
                <w:i/>
                <w:sz w:val="14"/>
              </w:rPr>
              <w:t>Men</w:t>
            </w:r>
          </w:p>
        </w:tc>
        <w:tc>
          <w:tcPr>
            <w:tcW w:w="893" w:type="dxa"/>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sidRPr="009640EB">
              <w:rPr>
                <w:i/>
                <w:sz w:val="14"/>
              </w:rPr>
              <w:t>Women</w:t>
            </w:r>
          </w:p>
        </w:tc>
        <w:tc>
          <w:tcPr>
            <w:tcW w:w="892" w:type="dxa"/>
            <w:gridSpan w:val="2"/>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sidRPr="009640EB">
              <w:rPr>
                <w:i/>
                <w:sz w:val="14"/>
              </w:rPr>
              <w:t>Men</w:t>
            </w:r>
          </w:p>
        </w:tc>
        <w:tc>
          <w:tcPr>
            <w:tcW w:w="893" w:type="dxa"/>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sidRPr="009640EB">
              <w:rPr>
                <w:i/>
                <w:sz w:val="14"/>
              </w:rPr>
              <w:t>Women</w:t>
            </w:r>
          </w:p>
        </w:tc>
      </w:tr>
      <w:tr w:rsidR="009640EB" w:rsidRPr="009640EB" w:rsidTr="009640EB">
        <w:trPr>
          <w:trHeight w:hRule="exact" w:val="115"/>
          <w:tblHeader/>
        </w:trPr>
        <w:tc>
          <w:tcPr>
            <w:tcW w:w="1973" w:type="dxa"/>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92" w:type="dxa"/>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3" w:type="dxa"/>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2" w:type="dxa"/>
            <w:gridSpan w:val="2"/>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3" w:type="dxa"/>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2" w:type="dxa"/>
            <w:gridSpan w:val="2"/>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93" w:type="dxa"/>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9640EB" w:rsidRPr="009640EB" w:rsidTr="009640EB">
        <w:tc>
          <w:tcPr>
            <w:tcW w:w="197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Kayes</w:t>
            </w:r>
          </w:p>
        </w:tc>
        <w:tc>
          <w:tcPr>
            <w:tcW w:w="892"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1.13</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0.47</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0.98</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0.50</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1.27</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0.53</w:t>
            </w:r>
          </w:p>
        </w:tc>
      </w:tr>
      <w:tr w:rsidR="009640EB" w:rsidRPr="009640EB" w:rsidTr="009640EB">
        <w:tc>
          <w:tcPr>
            <w:tcW w:w="197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Koulikoro</w:t>
            </w:r>
          </w:p>
        </w:tc>
        <w:tc>
          <w:tcPr>
            <w:tcW w:w="892"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1.43</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0.57</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1.32</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0.66</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1.54</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0.46</w:t>
            </w:r>
          </w:p>
        </w:tc>
      </w:tr>
      <w:tr w:rsidR="009640EB" w:rsidRPr="009640EB" w:rsidTr="009640EB">
        <w:tc>
          <w:tcPr>
            <w:tcW w:w="197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Sikasso</w:t>
            </w:r>
          </w:p>
        </w:tc>
        <w:tc>
          <w:tcPr>
            <w:tcW w:w="892"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1.60</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0.37</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1.44</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0.57</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1.45</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0.37</w:t>
            </w:r>
          </w:p>
        </w:tc>
      </w:tr>
      <w:tr w:rsidR="009640EB" w:rsidRPr="009640EB" w:rsidTr="009640EB">
        <w:tc>
          <w:tcPr>
            <w:tcW w:w="197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Ségou</w:t>
            </w:r>
          </w:p>
        </w:tc>
        <w:tc>
          <w:tcPr>
            <w:tcW w:w="892"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2.04</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0.72</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1.42</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0.53</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1.52</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0.36</w:t>
            </w:r>
          </w:p>
        </w:tc>
      </w:tr>
      <w:tr w:rsidR="009640EB" w:rsidRPr="009640EB" w:rsidTr="009640EB">
        <w:tc>
          <w:tcPr>
            <w:tcW w:w="197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Mopti</w:t>
            </w:r>
          </w:p>
        </w:tc>
        <w:tc>
          <w:tcPr>
            <w:tcW w:w="892"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1.44</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0.40</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1.31</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0.50</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1.76</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0.55</w:t>
            </w:r>
          </w:p>
        </w:tc>
      </w:tr>
      <w:tr w:rsidR="009640EB" w:rsidRPr="009640EB" w:rsidTr="009640EB">
        <w:tc>
          <w:tcPr>
            <w:tcW w:w="197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Tombouctou</w:t>
            </w:r>
          </w:p>
        </w:tc>
        <w:tc>
          <w:tcPr>
            <w:tcW w:w="892"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1.16</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1.08</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0.94</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0.39</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0.94</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0.67</w:t>
            </w:r>
          </w:p>
        </w:tc>
      </w:tr>
      <w:tr w:rsidR="009640EB" w:rsidRPr="009640EB" w:rsidTr="009640EB">
        <w:tc>
          <w:tcPr>
            <w:tcW w:w="197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Gao</w:t>
            </w:r>
          </w:p>
        </w:tc>
        <w:tc>
          <w:tcPr>
            <w:tcW w:w="892"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1.08</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0.45</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0.58</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0.31</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0.64</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0.14</w:t>
            </w:r>
          </w:p>
        </w:tc>
      </w:tr>
      <w:tr w:rsidR="009640EB" w:rsidRPr="009640EB" w:rsidTr="009640EB">
        <w:tc>
          <w:tcPr>
            <w:tcW w:w="197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Bamako</w:t>
            </w:r>
          </w:p>
        </w:tc>
        <w:tc>
          <w:tcPr>
            <w:tcW w:w="892"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0.57</w:t>
            </w: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0.24</w:t>
            </w: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p>
        </w:tc>
        <w:tc>
          <w:tcPr>
            <w:tcW w:w="892" w:type="dxa"/>
            <w:gridSpan w:val="2"/>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p>
        </w:tc>
        <w:tc>
          <w:tcPr>
            <w:tcW w:w="893" w:type="dxa"/>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p>
        </w:tc>
      </w:tr>
      <w:tr w:rsidR="009640EB" w:rsidRPr="009640EB" w:rsidTr="009640EB">
        <w:tc>
          <w:tcPr>
            <w:tcW w:w="1973" w:type="dxa"/>
            <w:tcBorders>
              <w:bottom w:val="single" w:sz="12" w:space="0" w:color="auto"/>
            </w:tcBorders>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Total</w:t>
            </w:r>
          </w:p>
        </w:tc>
        <w:tc>
          <w:tcPr>
            <w:tcW w:w="892" w:type="dxa"/>
            <w:tcBorders>
              <w:bottom w:val="single" w:sz="12" w:space="0" w:color="auto"/>
            </w:tcBorders>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1.53</w:t>
            </w:r>
          </w:p>
        </w:tc>
        <w:tc>
          <w:tcPr>
            <w:tcW w:w="893" w:type="dxa"/>
            <w:tcBorders>
              <w:bottom w:val="single" w:sz="12" w:space="0" w:color="auto"/>
            </w:tcBorders>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0.47</w:t>
            </w:r>
          </w:p>
        </w:tc>
        <w:tc>
          <w:tcPr>
            <w:tcW w:w="892" w:type="dxa"/>
            <w:gridSpan w:val="2"/>
            <w:tcBorders>
              <w:bottom w:val="single" w:sz="12" w:space="0" w:color="auto"/>
            </w:tcBorders>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1.28</w:t>
            </w:r>
          </w:p>
        </w:tc>
        <w:tc>
          <w:tcPr>
            <w:tcW w:w="893" w:type="dxa"/>
            <w:tcBorders>
              <w:bottom w:val="single" w:sz="12" w:space="0" w:color="auto"/>
            </w:tcBorders>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0.55</w:t>
            </w:r>
          </w:p>
        </w:tc>
        <w:tc>
          <w:tcPr>
            <w:tcW w:w="892" w:type="dxa"/>
            <w:gridSpan w:val="2"/>
            <w:tcBorders>
              <w:bottom w:val="single" w:sz="12" w:space="0" w:color="auto"/>
            </w:tcBorders>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1.47</w:t>
            </w:r>
          </w:p>
        </w:tc>
        <w:tc>
          <w:tcPr>
            <w:tcW w:w="893" w:type="dxa"/>
            <w:tcBorders>
              <w:bottom w:val="single" w:sz="12" w:space="0" w:color="auto"/>
            </w:tcBorders>
            <w:shd w:val="clear" w:color="auto" w:fill="auto"/>
            <w:vAlign w:val="bottom"/>
          </w:tcPr>
          <w:p w:rsidR="006A6F37" w:rsidRPr="009640EB" w:rsidRDefault="006A6F37"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0.47</w:t>
            </w:r>
          </w:p>
        </w:tc>
      </w:tr>
    </w:tbl>
    <w:p w:rsidR="009640EB" w:rsidRPr="009640EB" w:rsidRDefault="009640EB" w:rsidP="009640EB">
      <w:pPr>
        <w:pStyle w:val="SingleTxt"/>
        <w:spacing w:after="0" w:line="120" w:lineRule="exact"/>
        <w:rPr>
          <w:sz w:val="10"/>
        </w:rPr>
      </w:pPr>
    </w:p>
    <w:p w:rsidR="009640EB" w:rsidRDefault="009640EB" w:rsidP="009640EB">
      <w:pPr>
        <w:pStyle w:val="FootnoteText"/>
        <w:tabs>
          <w:tab w:val="clear" w:pos="418"/>
          <w:tab w:val="right" w:pos="1476"/>
          <w:tab w:val="left" w:pos="1548"/>
          <w:tab w:val="right" w:pos="1836"/>
          <w:tab w:val="left" w:pos="1908"/>
        </w:tabs>
        <w:spacing w:line="200" w:lineRule="exact"/>
        <w:ind w:left="1555" w:right="1267" w:hanging="288"/>
      </w:pPr>
      <w:r>
        <w:tab/>
      </w:r>
      <w:r w:rsidR="00770B6C" w:rsidRPr="00F27688">
        <w:rPr>
          <w:i/>
        </w:rPr>
        <w:t>Source:</w:t>
      </w:r>
      <w:r w:rsidR="00770B6C" w:rsidRPr="009640EB">
        <w:rPr>
          <w:i/>
        </w:rPr>
        <w:t xml:space="preserve"> CPS/SDR Rural Development Sector, Current Agricultural Survey, 2008-2009</w:t>
      </w:r>
      <w:r>
        <w:t>.</w:t>
      </w:r>
    </w:p>
    <w:p w:rsidR="009640EB" w:rsidRPr="009640EB" w:rsidRDefault="009640EB" w:rsidP="009640EB">
      <w:pPr>
        <w:pStyle w:val="FootnoteText"/>
        <w:tabs>
          <w:tab w:val="clear" w:pos="418"/>
          <w:tab w:val="right" w:pos="1476"/>
          <w:tab w:val="left" w:pos="1548"/>
          <w:tab w:val="right" w:pos="1836"/>
          <w:tab w:val="left" w:pos="1908"/>
        </w:tabs>
        <w:spacing w:line="100" w:lineRule="exact"/>
        <w:ind w:left="1555" w:right="1267" w:hanging="288"/>
        <w:rPr>
          <w:sz w:val="10"/>
        </w:rPr>
      </w:pPr>
    </w:p>
    <w:p w:rsidR="009640EB" w:rsidRPr="009640EB" w:rsidRDefault="009640EB" w:rsidP="009640EB">
      <w:pPr>
        <w:pStyle w:val="FootnoteText"/>
        <w:tabs>
          <w:tab w:val="clear" w:pos="418"/>
          <w:tab w:val="right" w:pos="1476"/>
          <w:tab w:val="left" w:pos="1548"/>
          <w:tab w:val="right" w:pos="1836"/>
          <w:tab w:val="left" w:pos="1908"/>
        </w:tabs>
        <w:spacing w:line="100" w:lineRule="exact"/>
        <w:ind w:left="1555" w:right="1267" w:hanging="288"/>
        <w:rPr>
          <w:sz w:val="10"/>
        </w:rPr>
      </w:pPr>
    </w:p>
    <w:p w:rsidR="005E1F07" w:rsidRDefault="00770B6C" w:rsidP="009640EB">
      <w:pPr>
        <w:pStyle w:val="SingleTxt"/>
        <w:spacing w:line="240" w:lineRule="auto"/>
      </w:pPr>
      <w:r>
        <w:t>172.</w:t>
      </w:r>
      <w:r w:rsidR="004124C0">
        <w:tab/>
      </w:r>
      <w:r>
        <w:t>With regard to the amount of land farmed, it appears that men are farming, on average, three times as much land as women.</w:t>
      </w:r>
      <w:r w:rsidR="005E03D8">
        <w:t xml:space="preserve"> </w:t>
      </w:r>
      <w:r>
        <w:t>This is the case in all the regions, although the difference narrows slightly in Tombouctou.</w:t>
      </w:r>
    </w:p>
    <w:p w:rsidR="009640EB" w:rsidRPr="009640EB" w:rsidRDefault="009640EB" w:rsidP="009640EB">
      <w:pPr>
        <w:pStyle w:val="SingleTxt"/>
        <w:spacing w:after="0" w:line="120" w:lineRule="exact"/>
        <w:rPr>
          <w:sz w:val="10"/>
        </w:rPr>
      </w:pPr>
    </w:p>
    <w:p w:rsidR="00770B6C" w:rsidRPr="009640EB" w:rsidRDefault="009640EB" w:rsidP="009640EB">
      <w:pPr>
        <w:pStyle w:val="H23"/>
        <w:ind w:right="1260"/>
        <w:rPr>
          <w:b w:val="0"/>
        </w:rPr>
      </w:pPr>
      <w:r w:rsidRPr="009640EB">
        <w:rPr>
          <w:b w:val="0"/>
        </w:rPr>
        <w:tab/>
      </w:r>
      <w:r w:rsidRPr="009640EB">
        <w:rPr>
          <w:b w:val="0"/>
        </w:rPr>
        <w:tab/>
      </w:r>
      <w:r w:rsidR="00770B6C" w:rsidRPr="009640EB">
        <w:rPr>
          <w:b w:val="0"/>
        </w:rPr>
        <w:t>Table 20</w:t>
      </w:r>
    </w:p>
    <w:p w:rsidR="00770B6C" w:rsidRDefault="009640EB" w:rsidP="009640EB">
      <w:pPr>
        <w:pStyle w:val="H23"/>
        <w:ind w:right="1260"/>
      </w:pPr>
      <w:r>
        <w:tab/>
      </w:r>
      <w:r>
        <w:tab/>
      </w:r>
      <w:r w:rsidR="00770B6C">
        <w:t>Distribution of farm equipment by sex of owner, 2008-2009</w:t>
      </w:r>
    </w:p>
    <w:p w:rsidR="009640EB" w:rsidRPr="009640EB" w:rsidRDefault="009640EB" w:rsidP="009640E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3"/>
        <w:gridCol w:w="1361"/>
        <w:gridCol w:w="1361"/>
        <w:gridCol w:w="68"/>
        <w:gridCol w:w="1293"/>
        <w:gridCol w:w="1362"/>
      </w:tblGrid>
      <w:tr w:rsidR="009640EB" w:rsidRPr="009640EB" w:rsidTr="009640EB">
        <w:trPr>
          <w:tblHeader/>
        </w:trPr>
        <w:tc>
          <w:tcPr>
            <w:tcW w:w="1883" w:type="dxa"/>
            <w:vMerge w:val="restart"/>
            <w:tcBorders>
              <w:top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640EB">
              <w:rPr>
                <w:i/>
                <w:sz w:val="14"/>
              </w:rPr>
              <w:t>Type of equipment</w:t>
            </w:r>
          </w:p>
        </w:tc>
        <w:tc>
          <w:tcPr>
            <w:tcW w:w="2722" w:type="dxa"/>
            <w:gridSpan w:val="2"/>
            <w:tcBorders>
              <w:top w:val="single" w:sz="4" w:space="0" w:color="auto"/>
              <w:bottom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640EB">
              <w:rPr>
                <w:i/>
                <w:sz w:val="14"/>
              </w:rPr>
              <w:t>Owner</w:t>
            </w:r>
          </w:p>
        </w:tc>
        <w:tc>
          <w:tcPr>
            <w:tcW w:w="68" w:type="dxa"/>
            <w:tcBorders>
              <w:top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2655" w:type="dxa"/>
            <w:gridSpan w:val="2"/>
            <w:tcBorders>
              <w:top w:val="single" w:sz="4" w:space="0" w:color="auto"/>
              <w:bottom w:val="single" w:sz="4"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640EB">
              <w:rPr>
                <w:i/>
                <w:sz w:val="14"/>
              </w:rPr>
              <w:t>Co-owner</w:t>
            </w:r>
          </w:p>
        </w:tc>
      </w:tr>
      <w:tr w:rsidR="009640EB" w:rsidRPr="009640EB" w:rsidTr="009640EB">
        <w:trPr>
          <w:tblHeader/>
        </w:trPr>
        <w:tc>
          <w:tcPr>
            <w:tcW w:w="1883" w:type="dxa"/>
            <w:vMerge/>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361" w:type="dxa"/>
            <w:tcBorders>
              <w:top w:val="single" w:sz="4" w:space="0" w:color="auto"/>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640EB">
              <w:rPr>
                <w:i/>
                <w:sz w:val="14"/>
              </w:rPr>
              <w:t>Men</w:t>
            </w:r>
          </w:p>
        </w:tc>
        <w:tc>
          <w:tcPr>
            <w:tcW w:w="1361" w:type="dxa"/>
            <w:tcBorders>
              <w:top w:val="single" w:sz="4" w:space="0" w:color="auto"/>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640EB">
              <w:rPr>
                <w:i/>
                <w:sz w:val="14"/>
              </w:rPr>
              <w:t>Women</w:t>
            </w:r>
          </w:p>
        </w:tc>
        <w:tc>
          <w:tcPr>
            <w:tcW w:w="1361" w:type="dxa"/>
            <w:gridSpan w:val="2"/>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640EB">
              <w:rPr>
                <w:i/>
                <w:sz w:val="14"/>
              </w:rPr>
              <w:t>Men</w:t>
            </w:r>
          </w:p>
        </w:tc>
        <w:tc>
          <w:tcPr>
            <w:tcW w:w="1362" w:type="dxa"/>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640EB">
              <w:rPr>
                <w:i/>
                <w:sz w:val="14"/>
              </w:rPr>
              <w:t>Women</w:t>
            </w:r>
          </w:p>
        </w:tc>
      </w:tr>
      <w:tr w:rsidR="009640EB" w:rsidRPr="009640EB" w:rsidTr="009640EB">
        <w:trPr>
          <w:trHeight w:hRule="exact" w:val="115"/>
          <w:tblHeader/>
        </w:trPr>
        <w:tc>
          <w:tcPr>
            <w:tcW w:w="1883" w:type="dxa"/>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361" w:type="dxa"/>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61" w:type="dxa"/>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61" w:type="dxa"/>
            <w:gridSpan w:val="2"/>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62" w:type="dxa"/>
            <w:tcBorders>
              <w:top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Grinder</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69</w:t>
            </w:r>
            <w:r>
              <w:rPr>
                <w:sz w:val="17"/>
              </w:rPr>
              <w:t xml:space="preserve"> </w:t>
            </w:r>
            <w:r w:rsidRPr="009640EB">
              <w:rPr>
                <w:sz w:val="17"/>
              </w:rPr>
              <w:t>822</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5</w:t>
            </w:r>
            <w:r>
              <w:rPr>
                <w:sz w:val="17"/>
              </w:rPr>
              <w:t xml:space="preserve"> </w:t>
            </w:r>
            <w:r w:rsidRPr="009640EB">
              <w:rPr>
                <w:sz w:val="17"/>
              </w:rPr>
              <w:t>581</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Rototiller</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7</w:t>
            </w:r>
            <w:r>
              <w:rPr>
                <w:sz w:val="17"/>
              </w:rPr>
              <w:t xml:space="preserve"> </w:t>
            </w:r>
            <w:r w:rsidRPr="009640EB">
              <w:rPr>
                <w:sz w:val="17"/>
              </w:rPr>
              <w:t>759</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156</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Combine</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171</w:t>
            </w:r>
            <w:r>
              <w:rPr>
                <w:sz w:val="17"/>
              </w:rPr>
              <w:t xml:space="preserve"> </w:t>
            </w:r>
            <w:r w:rsidRPr="009640EB">
              <w:rPr>
                <w:sz w:val="17"/>
              </w:rPr>
              <w:t>215</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963</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13</w:t>
            </w:r>
            <w:r>
              <w:rPr>
                <w:sz w:val="17"/>
              </w:rPr>
              <w:t xml:space="preserve"> </w:t>
            </w:r>
            <w:r w:rsidRPr="009640EB">
              <w:rPr>
                <w:sz w:val="17"/>
              </w:rPr>
              <w:t>909</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Plough</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740</w:t>
            </w:r>
            <w:r>
              <w:rPr>
                <w:sz w:val="17"/>
              </w:rPr>
              <w:t xml:space="preserve"> </w:t>
            </w:r>
            <w:r w:rsidRPr="009640EB">
              <w:rPr>
                <w:sz w:val="17"/>
              </w:rPr>
              <w:t>820</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11033</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87</w:t>
            </w:r>
            <w:r>
              <w:rPr>
                <w:sz w:val="17"/>
              </w:rPr>
              <w:t xml:space="preserve"> </w:t>
            </w:r>
            <w:r w:rsidRPr="009640EB">
              <w:rPr>
                <w:sz w:val="17"/>
              </w:rPr>
              <w:t>675</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284</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Backhoe</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704</w:t>
            </w:r>
            <w:r>
              <w:rPr>
                <w:sz w:val="17"/>
              </w:rPr>
              <w:t xml:space="preserve"> </w:t>
            </w:r>
            <w:r w:rsidRPr="009640EB">
              <w:rPr>
                <w:sz w:val="17"/>
              </w:rPr>
              <w:t>056</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18768</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30</w:t>
            </w:r>
            <w:r>
              <w:rPr>
                <w:sz w:val="17"/>
              </w:rPr>
              <w:t xml:space="preserve"> </w:t>
            </w:r>
            <w:r w:rsidRPr="009640EB">
              <w:rPr>
                <w:sz w:val="17"/>
              </w:rPr>
              <w:t>438</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Seeder</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219</w:t>
            </w:r>
            <w:r>
              <w:rPr>
                <w:sz w:val="17"/>
              </w:rPr>
              <w:t xml:space="preserve"> </w:t>
            </w:r>
            <w:r w:rsidRPr="009640EB">
              <w:rPr>
                <w:sz w:val="17"/>
              </w:rPr>
              <w:t>871</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1930</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19</w:t>
            </w:r>
            <w:r>
              <w:rPr>
                <w:sz w:val="17"/>
              </w:rPr>
              <w:t xml:space="preserve"> </w:t>
            </w:r>
            <w:r w:rsidRPr="009640EB">
              <w:rPr>
                <w:sz w:val="17"/>
              </w:rPr>
              <w:t>448</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Harrow</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114</w:t>
            </w:r>
            <w:r>
              <w:rPr>
                <w:sz w:val="17"/>
              </w:rPr>
              <w:t xml:space="preserve"> </w:t>
            </w:r>
            <w:r w:rsidRPr="009640EB">
              <w:rPr>
                <w:sz w:val="17"/>
              </w:rPr>
              <w:t>664</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213</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3</w:t>
            </w:r>
            <w:r>
              <w:rPr>
                <w:sz w:val="17"/>
              </w:rPr>
              <w:t xml:space="preserve"> </w:t>
            </w:r>
            <w:r w:rsidRPr="009640EB">
              <w:rPr>
                <w:sz w:val="17"/>
              </w:rPr>
              <w:t>960</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Handcart</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246</w:t>
            </w:r>
            <w:r>
              <w:rPr>
                <w:sz w:val="17"/>
              </w:rPr>
              <w:t xml:space="preserve"> </w:t>
            </w:r>
            <w:r w:rsidRPr="009640EB">
              <w:rPr>
                <w:sz w:val="17"/>
              </w:rPr>
              <w:t>815</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2546</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41</w:t>
            </w:r>
            <w:r>
              <w:rPr>
                <w:sz w:val="17"/>
              </w:rPr>
              <w:t xml:space="preserve"> </w:t>
            </w:r>
            <w:r w:rsidRPr="009640EB">
              <w:rPr>
                <w:sz w:val="17"/>
              </w:rPr>
              <w:t>395</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Processing machine</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67</w:t>
            </w:r>
            <w:r>
              <w:rPr>
                <w:sz w:val="17"/>
              </w:rPr>
              <w:t xml:space="preserve"> </w:t>
            </w:r>
            <w:r w:rsidRPr="009640EB">
              <w:rPr>
                <w:sz w:val="17"/>
              </w:rPr>
              <w:t>129</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8</w:t>
            </w:r>
            <w:r>
              <w:rPr>
                <w:sz w:val="17"/>
              </w:rPr>
              <w:t xml:space="preserve"> </w:t>
            </w:r>
            <w:r w:rsidRPr="009640EB">
              <w:rPr>
                <w:sz w:val="17"/>
              </w:rPr>
              <w:t>631</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Improved hive</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65</w:t>
            </w:r>
            <w:r>
              <w:rPr>
                <w:sz w:val="17"/>
              </w:rPr>
              <w:t xml:space="preserve"> </w:t>
            </w:r>
            <w:r w:rsidRPr="009640EB">
              <w:rPr>
                <w:sz w:val="17"/>
              </w:rPr>
              <w:t>122</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647</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Traditional hive</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15</w:t>
            </w:r>
            <w:r>
              <w:rPr>
                <w:sz w:val="17"/>
              </w:rPr>
              <w:t xml:space="preserve"> </w:t>
            </w:r>
            <w:r w:rsidRPr="009640EB">
              <w:rPr>
                <w:sz w:val="17"/>
              </w:rPr>
              <w:t>317</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76</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Rice huller</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820</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Maize sheller</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w:t>
            </w:r>
            <w:r>
              <w:rPr>
                <w:sz w:val="17"/>
              </w:rPr>
              <w:t xml:space="preserve"> </w:t>
            </w:r>
            <w:r w:rsidRPr="009640EB">
              <w:rPr>
                <w:sz w:val="17"/>
              </w:rPr>
              <w:t>181</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Rice thresher</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Millet thresher</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14</w:t>
            </w:r>
            <w:r>
              <w:rPr>
                <w:sz w:val="17"/>
              </w:rPr>
              <w:t xml:space="preserve"> </w:t>
            </w:r>
            <w:r w:rsidRPr="009640EB">
              <w:rPr>
                <w:sz w:val="17"/>
              </w:rPr>
              <w:t>995</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1</w:t>
            </w:r>
            <w:r>
              <w:rPr>
                <w:sz w:val="17"/>
              </w:rPr>
              <w:t xml:space="preserve"> </w:t>
            </w:r>
            <w:r w:rsidRPr="009640EB">
              <w:rPr>
                <w:sz w:val="17"/>
              </w:rPr>
              <w:t>158</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Motorized unit</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2</w:t>
            </w:r>
            <w:r>
              <w:rPr>
                <w:sz w:val="17"/>
              </w:rPr>
              <w:t xml:space="preserve"> </w:t>
            </w:r>
            <w:r w:rsidRPr="009640EB">
              <w:rPr>
                <w:sz w:val="17"/>
              </w:rPr>
              <w:t>674</w:t>
            </w:r>
          </w:p>
        </w:tc>
        <w:tc>
          <w:tcPr>
            <w:tcW w:w="1361"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1" w:type="dxa"/>
            <w:gridSpan w:val="2"/>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535</w:t>
            </w:r>
          </w:p>
        </w:tc>
        <w:tc>
          <w:tcPr>
            <w:tcW w:w="1362" w:type="dxa"/>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r w:rsidR="009640EB" w:rsidRPr="009640EB" w:rsidTr="009640EB">
        <w:tc>
          <w:tcPr>
            <w:tcW w:w="1883" w:type="dxa"/>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0"/>
              <w:rPr>
                <w:sz w:val="17"/>
              </w:rPr>
            </w:pPr>
            <w:r w:rsidRPr="009640EB">
              <w:rPr>
                <w:sz w:val="17"/>
              </w:rPr>
              <w:t>Manual pump</w:t>
            </w:r>
          </w:p>
        </w:tc>
        <w:tc>
          <w:tcPr>
            <w:tcW w:w="1361" w:type="dxa"/>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783</w:t>
            </w:r>
          </w:p>
        </w:tc>
        <w:tc>
          <w:tcPr>
            <w:tcW w:w="1361" w:type="dxa"/>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1" w:type="dxa"/>
            <w:gridSpan w:val="2"/>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c>
          <w:tcPr>
            <w:tcW w:w="1362" w:type="dxa"/>
            <w:tcBorders>
              <w:bottom w:val="single" w:sz="12" w:space="0" w:color="auto"/>
            </w:tcBorders>
            <w:shd w:val="clear" w:color="auto" w:fill="auto"/>
            <w:vAlign w:val="bottom"/>
          </w:tcPr>
          <w:p w:rsidR="009640EB" w:rsidRPr="009640EB" w:rsidRDefault="009640EB" w:rsidP="009640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jc w:val="right"/>
              <w:rPr>
                <w:sz w:val="17"/>
              </w:rPr>
            </w:pPr>
            <w:r w:rsidRPr="009640EB">
              <w:rPr>
                <w:sz w:val="17"/>
              </w:rPr>
              <w:t>0</w:t>
            </w:r>
          </w:p>
        </w:tc>
      </w:tr>
    </w:tbl>
    <w:p w:rsidR="009640EB" w:rsidRPr="009640EB" w:rsidRDefault="009640EB" w:rsidP="009640EB">
      <w:pPr>
        <w:pStyle w:val="FootnoteText"/>
        <w:tabs>
          <w:tab w:val="clear" w:pos="418"/>
          <w:tab w:val="right" w:pos="1476"/>
          <w:tab w:val="left" w:pos="1548"/>
          <w:tab w:val="right" w:pos="1836"/>
          <w:tab w:val="left" w:pos="1908"/>
        </w:tabs>
        <w:spacing w:line="120" w:lineRule="exact"/>
        <w:ind w:left="1548" w:right="1267" w:hanging="288"/>
        <w:rPr>
          <w:sz w:val="10"/>
        </w:rPr>
      </w:pPr>
    </w:p>
    <w:p w:rsidR="009640EB" w:rsidRDefault="00770B6C" w:rsidP="009640EB">
      <w:pPr>
        <w:pStyle w:val="FootnoteText"/>
        <w:tabs>
          <w:tab w:val="clear" w:pos="418"/>
          <w:tab w:val="right" w:pos="1476"/>
          <w:tab w:val="left" w:pos="1548"/>
          <w:tab w:val="right" w:pos="1836"/>
          <w:tab w:val="left" w:pos="1908"/>
        </w:tabs>
        <w:ind w:left="1548" w:right="1267" w:hanging="288"/>
      </w:pPr>
      <w:r w:rsidRPr="00F27688">
        <w:rPr>
          <w:i/>
        </w:rPr>
        <w:t>Source:</w:t>
      </w:r>
      <w:r w:rsidRPr="009640EB">
        <w:rPr>
          <w:i/>
        </w:rPr>
        <w:t xml:space="preserve"> CPS/SDR Rural Development Sector, Current Agricultural Survey, 2008-2009</w:t>
      </w:r>
      <w:r w:rsidR="009640EB">
        <w:t>.</w:t>
      </w:r>
    </w:p>
    <w:p w:rsidR="005E1F07" w:rsidRDefault="00770B6C" w:rsidP="00770B6C">
      <w:pPr>
        <w:pStyle w:val="SingleTxt"/>
      </w:pPr>
      <w:r>
        <w:lastRenderedPageBreak/>
        <w:t>173.</w:t>
      </w:r>
      <w:r w:rsidR="004124C0">
        <w:tab/>
      </w:r>
      <w:r>
        <w:t>It may be noted that the implements most widely used by rural women are ploughs, mule-drawn hoes, handcarts and seeders.</w:t>
      </w:r>
      <w:r w:rsidR="005E03D8">
        <w:t xml:space="preserve"> </w:t>
      </w:r>
      <w:r>
        <w:t>Men are the main owners of large items such as threshers, shellers, hullers, motorized units and pumps.</w:t>
      </w:r>
      <w:r w:rsidR="005E03D8">
        <w:t xml:space="preserve"> </w:t>
      </w:r>
      <w:r>
        <w:t>In addition to the equipment referred to in the table, a programme distributing tractors on loan has made it possible to for rural women to be better equipped.</w:t>
      </w:r>
      <w:r w:rsidR="005E03D8">
        <w:t xml:space="preserve"> </w:t>
      </w:r>
      <w:r>
        <w:t>Of the 375 tractors distributed in 2008, 39 went to women, i.e. a proportion of 10 per cent.</w:t>
      </w:r>
    </w:p>
    <w:p w:rsidR="005E1F07" w:rsidRPr="009640EB" w:rsidRDefault="00770B6C" w:rsidP="00770B6C">
      <w:pPr>
        <w:pStyle w:val="SingleTxt"/>
        <w:rPr>
          <w:spacing w:val="2"/>
        </w:rPr>
      </w:pPr>
      <w:r>
        <w:t>174.</w:t>
      </w:r>
      <w:r w:rsidR="004124C0">
        <w:tab/>
      </w:r>
      <w:r w:rsidRPr="009640EB">
        <w:rPr>
          <w:spacing w:val="2"/>
        </w:rPr>
        <w:t>Also, of the 275 tractors distributed by the Ministry of Agriculture, 8 per cent were allocated to women, i.e. 22 women beneficiaries, of whom 3 were in Kayes, one in Koulikoro, 2 in Sikasso, 6 in Ségou, 3 in Mopti, 2 in Tombouctou and 5 in Bamako.</w:t>
      </w:r>
    </w:p>
    <w:p w:rsidR="005E1F07" w:rsidRDefault="00770B6C" w:rsidP="00770B6C">
      <w:pPr>
        <w:pStyle w:val="SingleTxt"/>
      </w:pPr>
      <w:r>
        <w:t>175.</w:t>
      </w:r>
      <w:r w:rsidR="004124C0">
        <w:tab/>
      </w:r>
      <w:r>
        <w:t>Regarding grants made by the Youth Employment Agency (APEJ</w:t>
      </w:r>
      <w:r w:rsidR="00A275F0">
        <w:t xml:space="preserve"> — </w:t>
      </w:r>
      <w:r>
        <w:t>Agence pour l</w:t>
      </w:r>
      <w:r w:rsidR="001E33E4">
        <w:t>’</w:t>
      </w:r>
      <w:r>
        <w:t>Emploi des Jeunes), there were 17 women out of 100 beneficiaries, including 2 women in Kayes, 4 in Koulikoro, 3 in Sikasso, 2 in Ségou, 2 in Mopti, 1 in Tombouctou, 1 in Gao and 2</w:t>
      </w:r>
      <w:r w:rsidR="005E03D8">
        <w:t xml:space="preserve"> </w:t>
      </w:r>
      <w:r>
        <w:t>in the district of Bamako.</w:t>
      </w:r>
    </w:p>
    <w:p w:rsidR="009640EB" w:rsidRPr="009640EB" w:rsidRDefault="009640EB" w:rsidP="009640EB">
      <w:pPr>
        <w:pStyle w:val="SingleTxt"/>
        <w:spacing w:after="0" w:line="120" w:lineRule="exact"/>
        <w:rPr>
          <w:sz w:val="10"/>
        </w:rPr>
      </w:pPr>
    </w:p>
    <w:p w:rsidR="00770B6C" w:rsidRPr="009640EB" w:rsidRDefault="009640EB" w:rsidP="009640EB">
      <w:pPr>
        <w:pStyle w:val="H23"/>
        <w:ind w:right="1260"/>
        <w:rPr>
          <w:b w:val="0"/>
        </w:rPr>
      </w:pPr>
      <w:r>
        <w:tab/>
      </w:r>
      <w:r>
        <w:tab/>
      </w:r>
      <w:r w:rsidR="00770B6C" w:rsidRPr="009640EB">
        <w:rPr>
          <w:b w:val="0"/>
        </w:rPr>
        <w:t>Table 21</w:t>
      </w:r>
    </w:p>
    <w:p w:rsidR="00770B6C" w:rsidRDefault="009640EB" w:rsidP="009640EB">
      <w:pPr>
        <w:pStyle w:val="H23"/>
        <w:ind w:right="1260"/>
      </w:pPr>
      <w:r>
        <w:tab/>
      </w:r>
      <w:r>
        <w:tab/>
      </w:r>
      <w:r w:rsidR="00770B6C">
        <w:t>Distribution of draft animals by sex of owner, 2008-2009</w:t>
      </w:r>
    </w:p>
    <w:p w:rsidR="009640EB" w:rsidRPr="009640EB" w:rsidRDefault="009640EB" w:rsidP="009640E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93"/>
        <w:gridCol w:w="1383"/>
        <w:gridCol w:w="1384"/>
        <w:gridCol w:w="86"/>
        <w:gridCol w:w="1298"/>
        <w:gridCol w:w="1384"/>
      </w:tblGrid>
      <w:tr w:rsidR="00A61064" w:rsidRPr="00B47E31" w:rsidTr="00B47E31">
        <w:trPr>
          <w:tblHeader/>
        </w:trPr>
        <w:tc>
          <w:tcPr>
            <w:tcW w:w="1793" w:type="dxa"/>
            <w:vMerge w:val="restart"/>
            <w:tcBorders>
              <w:top w:val="single" w:sz="4" w:space="0" w:color="auto"/>
            </w:tcBorders>
            <w:shd w:val="clear" w:color="auto" w:fill="auto"/>
            <w:vAlign w:val="bottom"/>
          </w:tcPr>
          <w:p w:rsidR="00A61064" w:rsidRPr="00B47E31" w:rsidRDefault="00A61064"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47E31">
              <w:rPr>
                <w:i/>
                <w:sz w:val="14"/>
              </w:rPr>
              <w:t>Types</w:t>
            </w:r>
          </w:p>
        </w:tc>
        <w:tc>
          <w:tcPr>
            <w:tcW w:w="2767" w:type="dxa"/>
            <w:gridSpan w:val="2"/>
            <w:tcBorders>
              <w:top w:val="single" w:sz="4" w:space="0" w:color="auto"/>
              <w:bottom w:val="single" w:sz="4" w:space="0" w:color="auto"/>
            </w:tcBorders>
            <w:shd w:val="clear" w:color="auto" w:fill="auto"/>
            <w:vAlign w:val="bottom"/>
          </w:tcPr>
          <w:p w:rsidR="00A61064" w:rsidRPr="00B47E31" w:rsidRDefault="00A61064"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B47E31">
              <w:rPr>
                <w:i/>
                <w:sz w:val="14"/>
              </w:rPr>
              <w:t>Owner</w:t>
            </w:r>
          </w:p>
        </w:tc>
        <w:tc>
          <w:tcPr>
            <w:tcW w:w="86" w:type="dxa"/>
            <w:tcBorders>
              <w:top w:val="single" w:sz="4" w:space="0" w:color="auto"/>
            </w:tcBorders>
            <w:shd w:val="clear" w:color="auto" w:fill="auto"/>
            <w:vAlign w:val="bottom"/>
          </w:tcPr>
          <w:p w:rsidR="00A61064" w:rsidRPr="00B47E31" w:rsidRDefault="00A61064"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2682" w:type="dxa"/>
            <w:gridSpan w:val="2"/>
            <w:tcBorders>
              <w:top w:val="single" w:sz="4" w:space="0" w:color="auto"/>
              <w:bottom w:val="single" w:sz="4" w:space="0" w:color="auto"/>
            </w:tcBorders>
            <w:shd w:val="clear" w:color="auto" w:fill="auto"/>
            <w:vAlign w:val="bottom"/>
          </w:tcPr>
          <w:p w:rsidR="00A61064" w:rsidRPr="00B47E31" w:rsidRDefault="00A61064"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B47E31">
              <w:rPr>
                <w:i/>
                <w:sz w:val="14"/>
              </w:rPr>
              <w:t>Co-owner</w:t>
            </w:r>
          </w:p>
        </w:tc>
      </w:tr>
      <w:tr w:rsidR="00A61064" w:rsidRPr="00B47E31" w:rsidTr="00B47E31">
        <w:trPr>
          <w:tblHeader/>
        </w:trPr>
        <w:tc>
          <w:tcPr>
            <w:tcW w:w="1793" w:type="dxa"/>
            <w:vMerge/>
            <w:tcBorders>
              <w:bottom w:val="single" w:sz="12" w:space="0" w:color="auto"/>
            </w:tcBorders>
            <w:shd w:val="clear" w:color="auto" w:fill="auto"/>
            <w:vAlign w:val="bottom"/>
          </w:tcPr>
          <w:p w:rsidR="00A61064" w:rsidRPr="00B47E31" w:rsidRDefault="00A61064"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383" w:type="dxa"/>
            <w:tcBorders>
              <w:top w:val="single" w:sz="4" w:space="0" w:color="auto"/>
              <w:bottom w:val="single" w:sz="12" w:space="0" w:color="auto"/>
            </w:tcBorders>
            <w:shd w:val="clear" w:color="auto" w:fill="auto"/>
            <w:vAlign w:val="bottom"/>
          </w:tcPr>
          <w:p w:rsidR="00A61064" w:rsidRPr="00B47E31" w:rsidRDefault="00A61064"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B47E31">
              <w:rPr>
                <w:i/>
                <w:sz w:val="14"/>
              </w:rPr>
              <w:t>Men</w:t>
            </w:r>
          </w:p>
        </w:tc>
        <w:tc>
          <w:tcPr>
            <w:tcW w:w="1384" w:type="dxa"/>
            <w:tcBorders>
              <w:top w:val="single" w:sz="4" w:space="0" w:color="auto"/>
              <w:bottom w:val="single" w:sz="12" w:space="0" w:color="auto"/>
            </w:tcBorders>
            <w:shd w:val="clear" w:color="auto" w:fill="auto"/>
            <w:vAlign w:val="bottom"/>
          </w:tcPr>
          <w:p w:rsidR="00A61064" w:rsidRPr="00B47E31" w:rsidRDefault="00A61064"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B47E31">
              <w:rPr>
                <w:i/>
                <w:sz w:val="14"/>
              </w:rPr>
              <w:t>Women</w:t>
            </w:r>
          </w:p>
        </w:tc>
        <w:tc>
          <w:tcPr>
            <w:tcW w:w="1384" w:type="dxa"/>
            <w:gridSpan w:val="2"/>
            <w:tcBorders>
              <w:bottom w:val="single" w:sz="12" w:space="0" w:color="auto"/>
            </w:tcBorders>
            <w:shd w:val="clear" w:color="auto" w:fill="auto"/>
            <w:vAlign w:val="bottom"/>
          </w:tcPr>
          <w:p w:rsidR="00A61064" w:rsidRPr="00B47E31" w:rsidRDefault="00A61064"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B47E31">
              <w:rPr>
                <w:i/>
                <w:sz w:val="14"/>
              </w:rPr>
              <w:t>Men</w:t>
            </w:r>
          </w:p>
        </w:tc>
        <w:tc>
          <w:tcPr>
            <w:tcW w:w="1384" w:type="dxa"/>
            <w:tcBorders>
              <w:bottom w:val="single" w:sz="12" w:space="0" w:color="auto"/>
            </w:tcBorders>
            <w:shd w:val="clear" w:color="auto" w:fill="auto"/>
            <w:vAlign w:val="bottom"/>
          </w:tcPr>
          <w:p w:rsidR="00A61064" w:rsidRPr="00B47E31" w:rsidRDefault="00A61064"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B47E31">
              <w:rPr>
                <w:i/>
                <w:sz w:val="14"/>
              </w:rPr>
              <w:t>Women</w:t>
            </w:r>
          </w:p>
        </w:tc>
      </w:tr>
      <w:tr w:rsidR="00B47E31" w:rsidRPr="00B47E31" w:rsidTr="00B47E31">
        <w:trPr>
          <w:trHeight w:hRule="exact" w:val="115"/>
          <w:tblHeader/>
        </w:trPr>
        <w:tc>
          <w:tcPr>
            <w:tcW w:w="1793" w:type="dxa"/>
            <w:tcBorders>
              <w:top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383" w:type="dxa"/>
            <w:tcBorders>
              <w:top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84" w:type="dxa"/>
            <w:tcBorders>
              <w:top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84" w:type="dxa"/>
            <w:gridSpan w:val="2"/>
            <w:tcBorders>
              <w:top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84" w:type="dxa"/>
            <w:tcBorders>
              <w:top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47E31" w:rsidRPr="00B47E31" w:rsidTr="00B47E31">
        <w:tc>
          <w:tcPr>
            <w:tcW w:w="1793"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47E31">
              <w:rPr>
                <w:sz w:val="17"/>
              </w:rPr>
              <w:t>Oxen</w:t>
            </w:r>
          </w:p>
        </w:tc>
        <w:tc>
          <w:tcPr>
            <w:tcW w:w="1383"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1</w:t>
            </w:r>
            <w:r>
              <w:rPr>
                <w:sz w:val="17"/>
              </w:rPr>
              <w:t xml:space="preserve"> </w:t>
            </w:r>
            <w:r w:rsidRPr="00B47E31">
              <w:rPr>
                <w:sz w:val="17"/>
              </w:rPr>
              <w:t>250</w:t>
            </w:r>
            <w:r>
              <w:rPr>
                <w:sz w:val="17"/>
              </w:rPr>
              <w:t xml:space="preserve"> </w:t>
            </w:r>
            <w:r w:rsidRPr="00B47E31">
              <w:rPr>
                <w:sz w:val="17"/>
              </w:rPr>
              <w:t>367</w:t>
            </w:r>
          </w:p>
        </w:tc>
        <w:tc>
          <w:tcPr>
            <w:tcW w:w="1384"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14</w:t>
            </w:r>
            <w:r>
              <w:rPr>
                <w:sz w:val="17"/>
              </w:rPr>
              <w:t xml:space="preserve"> </w:t>
            </w:r>
            <w:r w:rsidRPr="00B47E31">
              <w:rPr>
                <w:sz w:val="17"/>
              </w:rPr>
              <w:t>760</w:t>
            </w:r>
          </w:p>
        </w:tc>
        <w:tc>
          <w:tcPr>
            <w:tcW w:w="1384" w:type="dxa"/>
            <w:gridSpan w:val="2"/>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159</w:t>
            </w:r>
            <w:r>
              <w:rPr>
                <w:sz w:val="17"/>
              </w:rPr>
              <w:t xml:space="preserve"> </w:t>
            </w:r>
            <w:r w:rsidRPr="00B47E31">
              <w:rPr>
                <w:sz w:val="17"/>
              </w:rPr>
              <w:t>498</w:t>
            </w:r>
          </w:p>
        </w:tc>
        <w:tc>
          <w:tcPr>
            <w:tcW w:w="1384"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156</w:t>
            </w:r>
          </w:p>
        </w:tc>
      </w:tr>
      <w:tr w:rsidR="00B47E31" w:rsidRPr="00B47E31" w:rsidTr="00B47E31">
        <w:tc>
          <w:tcPr>
            <w:tcW w:w="1793"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47E31">
              <w:rPr>
                <w:sz w:val="17"/>
              </w:rPr>
              <w:t>Mules</w:t>
            </w:r>
          </w:p>
        </w:tc>
        <w:tc>
          <w:tcPr>
            <w:tcW w:w="1383"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548</w:t>
            </w:r>
            <w:r>
              <w:rPr>
                <w:sz w:val="17"/>
              </w:rPr>
              <w:t xml:space="preserve"> </w:t>
            </w:r>
            <w:r w:rsidRPr="00B47E31">
              <w:rPr>
                <w:sz w:val="17"/>
              </w:rPr>
              <w:t>500</w:t>
            </w:r>
          </w:p>
        </w:tc>
        <w:tc>
          <w:tcPr>
            <w:tcW w:w="1384"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11</w:t>
            </w:r>
            <w:r>
              <w:rPr>
                <w:sz w:val="17"/>
              </w:rPr>
              <w:t xml:space="preserve"> </w:t>
            </w:r>
            <w:r w:rsidRPr="00B47E31">
              <w:rPr>
                <w:sz w:val="17"/>
              </w:rPr>
              <w:t>876</w:t>
            </w:r>
          </w:p>
        </w:tc>
        <w:tc>
          <w:tcPr>
            <w:tcW w:w="1384" w:type="dxa"/>
            <w:gridSpan w:val="2"/>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29</w:t>
            </w:r>
            <w:r>
              <w:rPr>
                <w:sz w:val="17"/>
              </w:rPr>
              <w:t xml:space="preserve"> </w:t>
            </w:r>
            <w:r w:rsidRPr="00B47E31">
              <w:rPr>
                <w:sz w:val="17"/>
              </w:rPr>
              <w:t>736</w:t>
            </w:r>
          </w:p>
        </w:tc>
        <w:tc>
          <w:tcPr>
            <w:tcW w:w="1384"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0</w:t>
            </w:r>
          </w:p>
        </w:tc>
      </w:tr>
      <w:tr w:rsidR="00B47E31" w:rsidRPr="00B47E31" w:rsidTr="00B47E31">
        <w:tc>
          <w:tcPr>
            <w:tcW w:w="1793"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47E31">
              <w:rPr>
                <w:sz w:val="17"/>
              </w:rPr>
              <w:t>Horses</w:t>
            </w:r>
          </w:p>
        </w:tc>
        <w:tc>
          <w:tcPr>
            <w:tcW w:w="1383"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50</w:t>
            </w:r>
            <w:r>
              <w:rPr>
                <w:sz w:val="17"/>
              </w:rPr>
              <w:t xml:space="preserve"> </w:t>
            </w:r>
            <w:r w:rsidRPr="00B47E31">
              <w:rPr>
                <w:sz w:val="17"/>
              </w:rPr>
              <w:t>366</w:t>
            </w:r>
          </w:p>
        </w:tc>
        <w:tc>
          <w:tcPr>
            <w:tcW w:w="1384"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715</w:t>
            </w:r>
          </w:p>
        </w:tc>
        <w:tc>
          <w:tcPr>
            <w:tcW w:w="1384" w:type="dxa"/>
            <w:gridSpan w:val="2"/>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2</w:t>
            </w:r>
            <w:r>
              <w:rPr>
                <w:sz w:val="17"/>
              </w:rPr>
              <w:t xml:space="preserve"> </w:t>
            </w:r>
            <w:r w:rsidRPr="00B47E31">
              <w:rPr>
                <w:sz w:val="17"/>
              </w:rPr>
              <w:t>545</w:t>
            </w:r>
          </w:p>
        </w:tc>
        <w:tc>
          <w:tcPr>
            <w:tcW w:w="1384" w:type="dxa"/>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0</w:t>
            </w:r>
          </w:p>
        </w:tc>
      </w:tr>
      <w:tr w:rsidR="00B47E31" w:rsidRPr="00B47E31" w:rsidTr="00B47E31">
        <w:tc>
          <w:tcPr>
            <w:tcW w:w="1793" w:type="dxa"/>
            <w:tcBorders>
              <w:bottom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47E31">
              <w:rPr>
                <w:sz w:val="17"/>
              </w:rPr>
              <w:t>Camels</w:t>
            </w:r>
          </w:p>
        </w:tc>
        <w:tc>
          <w:tcPr>
            <w:tcW w:w="1383" w:type="dxa"/>
            <w:tcBorders>
              <w:bottom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318</w:t>
            </w:r>
            <w:r>
              <w:rPr>
                <w:sz w:val="17"/>
              </w:rPr>
              <w:t xml:space="preserve"> </w:t>
            </w:r>
            <w:r w:rsidRPr="00B47E31">
              <w:rPr>
                <w:sz w:val="17"/>
              </w:rPr>
              <w:t>299</w:t>
            </w:r>
          </w:p>
        </w:tc>
        <w:tc>
          <w:tcPr>
            <w:tcW w:w="1384" w:type="dxa"/>
            <w:tcBorders>
              <w:bottom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5</w:t>
            </w:r>
            <w:r>
              <w:rPr>
                <w:sz w:val="17"/>
              </w:rPr>
              <w:t xml:space="preserve"> </w:t>
            </w:r>
            <w:r w:rsidRPr="00B47E31">
              <w:rPr>
                <w:sz w:val="17"/>
              </w:rPr>
              <w:t>072</w:t>
            </w:r>
          </w:p>
        </w:tc>
        <w:tc>
          <w:tcPr>
            <w:tcW w:w="1384" w:type="dxa"/>
            <w:gridSpan w:val="2"/>
            <w:tcBorders>
              <w:bottom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22</w:t>
            </w:r>
            <w:r>
              <w:rPr>
                <w:sz w:val="17"/>
              </w:rPr>
              <w:t xml:space="preserve"> </w:t>
            </w:r>
            <w:r w:rsidRPr="00B47E31">
              <w:rPr>
                <w:sz w:val="17"/>
              </w:rPr>
              <w:t>105</w:t>
            </w:r>
          </w:p>
        </w:tc>
        <w:tc>
          <w:tcPr>
            <w:tcW w:w="1384" w:type="dxa"/>
            <w:tcBorders>
              <w:bottom w:val="single" w:sz="12" w:space="0" w:color="auto"/>
            </w:tcBorders>
            <w:shd w:val="clear" w:color="auto" w:fill="auto"/>
            <w:vAlign w:val="bottom"/>
          </w:tcPr>
          <w:p w:rsidR="00B47E31" w:rsidRPr="00B47E31" w:rsidRDefault="00B47E31" w:rsidP="00B47E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B47E31">
              <w:rPr>
                <w:sz w:val="17"/>
              </w:rPr>
              <w:t>0</w:t>
            </w:r>
          </w:p>
        </w:tc>
      </w:tr>
    </w:tbl>
    <w:p w:rsidR="00B47E31" w:rsidRPr="00B47E31" w:rsidRDefault="00B47E31" w:rsidP="00B47E31">
      <w:pPr>
        <w:pStyle w:val="SingleTxt"/>
        <w:spacing w:after="0" w:line="120" w:lineRule="exact"/>
        <w:rPr>
          <w:sz w:val="10"/>
        </w:rPr>
      </w:pPr>
    </w:p>
    <w:p w:rsidR="005E1F07" w:rsidRDefault="00B47E31" w:rsidP="00B47E31">
      <w:pPr>
        <w:pStyle w:val="FootnoteText"/>
        <w:tabs>
          <w:tab w:val="clear" w:pos="418"/>
          <w:tab w:val="right" w:pos="1476"/>
          <w:tab w:val="left" w:pos="1548"/>
          <w:tab w:val="right" w:pos="1836"/>
          <w:tab w:val="left" w:pos="1908"/>
        </w:tabs>
        <w:ind w:left="1548" w:right="1267" w:hanging="288"/>
      </w:pPr>
      <w:r>
        <w:tab/>
      </w:r>
      <w:r w:rsidR="00770B6C" w:rsidRPr="00F27688">
        <w:rPr>
          <w:i/>
        </w:rPr>
        <w:t>Source:</w:t>
      </w:r>
      <w:r w:rsidR="00770B6C" w:rsidRPr="00B47E31">
        <w:rPr>
          <w:i/>
        </w:rPr>
        <w:t xml:space="preserve"> CPS/SDR Rural Development Sector, Current Agricultural Survey, 2008-2009</w:t>
      </w:r>
      <w:r>
        <w:t>.</w:t>
      </w:r>
      <w:r w:rsidR="005E03D8">
        <w:t xml:space="preserve"> </w:t>
      </w:r>
      <w:bookmarkStart w:id="1" w:name="_GoBack"/>
      <w:bookmarkEnd w:id="1"/>
    </w:p>
    <w:p w:rsidR="009640EB" w:rsidRDefault="009640EB" w:rsidP="009640EB">
      <w:pPr>
        <w:pStyle w:val="SingleTxt"/>
        <w:spacing w:after="0" w:line="120" w:lineRule="exact"/>
        <w:rPr>
          <w:sz w:val="10"/>
        </w:rPr>
      </w:pPr>
    </w:p>
    <w:p w:rsidR="00B47E31" w:rsidRPr="009640EB" w:rsidRDefault="00B47E31" w:rsidP="009640EB">
      <w:pPr>
        <w:pStyle w:val="SingleTxt"/>
        <w:spacing w:after="0" w:line="120" w:lineRule="exact"/>
        <w:rPr>
          <w:sz w:val="10"/>
        </w:rPr>
      </w:pPr>
    </w:p>
    <w:p w:rsidR="00770B6C" w:rsidRDefault="009640EB" w:rsidP="009640EB">
      <w:pPr>
        <w:pStyle w:val="H23"/>
        <w:ind w:right="1260"/>
      </w:pPr>
      <w:r>
        <w:tab/>
      </w:r>
      <w:r w:rsidR="004124C0">
        <w:t>(</w:t>
      </w:r>
      <w:r w:rsidR="00770B6C">
        <w:t>g)</w:t>
      </w:r>
      <w:r w:rsidR="004124C0">
        <w:tab/>
      </w:r>
      <w:r w:rsidR="00770B6C">
        <w:t>Improvement of living conditions</w:t>
      </w:r>
    </w:p>
    <w:p w:rsidR="009640EB" w:rsidRPr="009640EB" w:rsidRDefault="009640EB" w:rsidP="009640EB">
      <w:pPr>
        <w:pStyle w:val="SingleTxt"/>
        <w:spacing w:after="0" w:line="120" w:lineRule="exact"/>
        <w:rPr>
          <w:sz w:val="10"/>
        </w:rPr>
      </w:pPr>
    </w:p>
    <w:p w:rsidR="005E1F07" w:rsidRDefault="00770B6C" w:rsidP="00770B6C">
      <w:pPr>
        <w:pStyle w:val="SingleTxt"/>
      </w:pPr>
      <w:r>
        <w:t>176.</w:t>
      </w:r>
      <w:r w:rsidR="004124C0">
        <w:tab/>
      </w:r>
      <w:r>
        <w:t xml:space="preserve">In order to improve the situation of women, the Government, through the Ministry for the Advancement of Women, Children and Families (MPFEF) and its development partners, has launched strategies to help women by providing them with equipment and training that will be useful in their day-to-day activities. The overall objective of this policy is to lighten the burden of household chores so that women can devote time to production and development. </w:t>
      </w:r>
    </w:p>
    <w:p w:rsidR="009640EB" w:rsidRPr="009640EB" w:rsidRDefault="009640EB" w:rsidP="009640EB">
      <w:pPr>
        <w:pStyle w:val="SingleTxt"/>
        <w:spacing w:after="0" w:line="120" w:lineRule="exact"/>
        <w:rPr>
          <w:sz w:val="10"/>
        </w:rPr>
      </w:pPr>
    </w:p>
    <w:p w:rsidR="00770B6C" w:rsidRDefault="009640EB" w:rsidP="009640EB">
      <w:pPr>
        <w:pStyle w:val="H23"/>
        <w:ind w:right="1260"/>
      </w:pPr>
      <w:r>
        <w:tab/>
      </w:r>
      <w:r>
        <w:tab/>
      </w:r>
      <w:r w:rsidR="00770B6C">
        <w:t xml:space="preserve">Equipment </w:t>
      </w:r>
    </w:p>
    <w:p w:rsidR="009640EB" w:rsidRPr="009640EB" w:rsidRDefault="009640EB" w:rsidP="009640EB">
      <w:pPr>
        <w:pStyle w:val="SingleTxt"/>
        <w:spacing w:after="0" w:line="120" w:lineRule="exact"/>
        <w:rPr>
          <w:sz w:val="10"/>
        </w:rPr>
      </w:pPr>
    </w:p>
    <w:p w:rsidR="00770B6C" w:rsidRPr="00B47E31" w:rsidRDefault="009640EB" w:rsidP="00B47E31">
      <w:pPr>
        <w:pStyle w:val="H4"/>
        <w:ind w:right="1260"/>
        <w:rPr>
          <w:u w:val="single"/>
        </w:rPr>
      </w:pPr>
      <w:r>
        <w:tab/>
      </w:r>
      <w:r>
        <w:tab/>
      </w:r>
      <w:r w:rsidR="00770B6C" w:rsidRPr="00B47E31">
        <w:rPr>
          <w:u w:val="single"/>
        </w:rPr>
        <w:t>The programme to develop multifunctional platforms</w:t>
      </w:r>
    </w:p>
    <w:p w:rsidR="009640EB" w:rsidRPr="009640EB" w:rsidRDefault="009640EB" w:rsidP="009640EB">
      <w:pPr>
        <w:pStyle w:val="SingleTxt"/>
        <w:spacing w:after="0" w:line="120" w:lineRule="exact"/>
        <w:rPr>
          <w:sz w:val="10"/>
        </w:rPr>
      </w:pPr>
    </w:p>
    <w:p w:rsidR="005E1F07" w:rsidRDefault="00770B6C" w:rsidP="00770B6C">
      <w:pPr>
        <w:pStyle w:val="SingleTxt"/>
      </w:pPr>
      <w:r>
        <w:t>177.</w:t>
      </w:r>
      <w:r w:rsidR="004124C0">
        <w:tab/>
      </w:r>
      <w:r>
        <w:t>The platform is a true rural development instrument that can contribute to reaching at least five of the Millennium Development Goals (No. 1, 2, 3, 4, 7). A multifunctional platform consists of a diesel motor that can be connected to different modules which are mainly machines for processing agricultural products, for generating electricity for various purposes, and above all to supply small community water and electricity networks.</w:t>
      </w:r>
    </w:p>
    <w:p w:rsidR="005E1F07" w:rsidRDefault="00770B6C" w:rsidP="00770B6C">
      <w:pPr>
        <w:pStyle w:val="SingleTxt"/>
      </w:pPr>
      <w:r>
        <w:t>178.</w:t>
      </w:r>
      <w:r w:rsidR="004124C0">
        <w:tab/>
      </w:r>
      <w:r>
        <w:t xml:space="preserve">In December 2005, the Government of Mali adopted a programme to equip 1,500 villages, for a total cost of 15 billion CFA francs, funded mainly by the Government of Mali, UNDP, the Bill and Melinda Gates Foundation, and other </w:t>
      </w:r>
      <w:r>
        <w:lastRenderedPageBreak/>
        <w:t>partners. Platforms are installed only at the request of a village women</w:t>
      </w:r>
      <w:r w:rsidR="001E33E4">
        <w:t>’</w:t>
      </w:r>
      <w:r w:rsidR="00B47E31">
        <w:t>s association.</w:t>
      </w:r>
    </w:p>
    <w:p w:rsidR="005E1F07" w:rsidRDefault="00770B6C" w:rsidP="00770B6C">
      <w:pPr>
        <w:pStyle w:val="SingleTxt"/>
      </w:pPr>
      <w:r>
        <w:t>179.</w:t>
      </w:r>
      <w:r w:rsidR="004124C0">
        <w:tab/>
      </w:r>
      <w:r>
        <w:t>Between August 2008 and March 2010, 200 platforms were placed in service, enabling 300,000 women small farmers to diversify and increase their in</w:t>
      </w:r>
      <w:r w:rsidR="00B47E31">
        <w:t>come.</w:t>
      </w:r>
    </w:p>
    <w:p w:rsidR="00B47E31" w:rsidRPr="00B47E31" w:rsidRDefault="00B47E31" w:rsidP="00B47E31">
      <w:pPr>
        <w:pStyle w:val="SingleTxt"/>
        <w:spacing w:after="0" w:line="120" w:lineRule="exact"/>
        <w:rPr>
          <w:sz w:val="10"/>
        </w:rPr>
      </w:pPr>
    </w:p>
    <w:p w:rsidR="005E1F07" w:rsidRPr="00B47E31" w:rsidRDefault="00B47E31" w:rsidP="00B47E31">
      <w:pPr>
        <w:pStyle w:val="H4"/>
        <w:ind w:right="1260"/>
        <w:rPr>
          <w:u w:val="single"/>
        </w:rPr>
      </w:pPr>
      <w:r>
        <w:tab/>
      </w:r>
      <w:r>
        <w:tab/>
      </w:r>
      <w:r w:rsidR="00770B6C" w:rsidRPr="00B47E31">
        <w:rPr>
          <w:u w:val="single"/>
        </w:rPr>
        <w:t>The programme of construction of training, production and apprenticeship centres for women in rural communities and regional capitals</w:t>
      </w:r>
    </w:p>
    <w:p w:rsidR="00B47E31" w:rsidRPr="00B47E31" w:rsidRDefault="00B47E31" w:rsidP="00B47E31">
      <w:pPr>
        <w:pStyle w:val="SingleTxt"/>
        <w:spacing w:after="0" w:line="120" w:lineRule="exact"/>
        <w:rPr>
          <w:sz w:val="10"/>
        </w:rPr>
      </w:pPr>
    </w:p>
    <w:p w:rsidR="005E1F07" w:rsidRDefault="00770B6C" w:rsidP="00770B6C">
      <w:pPr>
        <w:pStyle w:val="SingleTxt"/>
      </w:pPr>
      <w:r>
        <w:t>180.</w:t>
      </w:r>
      <w:r w:rsidR="004124C0">
        <w:tab/>
      </w:r>
      <w:r>
        <w:t>This programme began in 2002, making possible the following construction projects:</w:t>
      </w:r>
    </w:p>
    <w:p w:rsidR="00770B6C" w:rsidRDefault="004124C0" w:rsidP="00B47E31">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770B6C">
        <w:t>•</w:t>
      </w:r>
      <w:r w:rsidR="00770B6C">
        <w:tab/>
        <w:t>Construction of 24 women</w:t>
      </w:r>
      <w:r w:rsidR="001E33E4">
        <w:t>’</w:t>
      </w:r>
      <w:r w:rsidR="00770B6C">
        <w:t>s self-help centres, from 2002 to 2006: Kayes-di, Faraba Nyafala, Naréna, Kati, Djidjè, Kignan, Fourou, Soungoumba, Cinzana Gare, Korienzé, Hondouboumou, Gao and Yirimadio;</w:t>
      </w:r>
    </w:p>
    <w:p w:rsidR="00770B6C" w:rsidRDefault="004124C0" w:rsidP="00B47E31">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3B6D0E">
        <w:t>•</w:t>
      </w:r>
      <w:r w:rsidR="003B6D0E">
        <w:tab/>
        <w:t>From 2007 to 2010: Kéniéba, Youwarou, Tominian, Koro, Bankass, Teninkou, Bla, Goundam, Rharous, Bourem;</w:t>
      </w:r>
    </w:p>
    <w:p w:rsidR="00770B6C" w:rsidRDefault="004124C0" w:rsidP="00B47E31">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770B6C">
        <w:t>•</w:t>
      </w:r>
      <w:r w:rsidR="00770B6C">
        <w:tab/>
        <w:t>Construction of 10 shelters for women and children.</w:t>
      </w:r>
      <w:r w:rsidR="005E03D8">
        <w:t xml:space="preserve"> </w:t>
      </w:r>
      <w:r w:rsidR="00770B6C">
        <w:t>Construction of shea processing units in Dioila in 2005, Sikasso in 2006, Kemeni and Ségou in 2007, Loulouni, and Bancoumana in 2008, San in 2009 and one other unit under construction in Kita;</w:t>
      </w:r>
    </w:p>
    <w:p w:rsidR="00770B6C" w:rsidRDefault="004124C0" w:rsidP="00B47E31">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770B6C">
        <w:t>•</w:t>
      </w:r>
      <w:r w:rsidR="00770B6C">
        <w:tab/>
      </w:r>
      <w:r w:rsidR="00770B6C" w:rsidRPr="00B47E31">
        <w:rPr>
          <w:spacing w:val="2"/>
        </w:rPr>
        <w:t xml:space="preserve">Construction of small shea processing units known as </w:t>
      </w:r>
      <w:r w:rsidR="001E33E4" w:rsidRPr="00B47E31">
        <w:rPr>
          <w:spacing w:val="2"/>
        </w:rPr>
        <w:t>“</w:t>
      </w:r>
      <w:r w:rsidR="00770B6C" w:rsidRPr="00B47E31">
        <w:rPr>
          <w:i/>
          <w:spacing w:val="2"/>
        </w:rPr>
        <w:t>cases à karité</w:t>
      </w:r>
      <w:r w:rsidR="001E33E4" w:rsidRPr="00B47E31">
        <w:rPr>
          <w:spacing w:val="2"/>
        </w:rPr>
        <w:t>”</w:t>
      </w:r>
      <w:r w:rsidR="00770B6C" w:rsidRPr="00B47E31">
        <w:rPr>
          <w:spacing w:val="2"/>
        </w:rPr>
        <w:t xml:space="preserve"> (</w:t>
      </w:r>
      <w:r w:rsidR="001E33E4" w:rsidRPr="00B47E31">
        <w:rPr>
          <w:spacing w:val="2"/>
        </w:rPr>
        <w:t>“</w:t>
      </w:r>
      <w:r w:rsidR="00770B6C" w:rsidRPr="00B47E31">
        <w:rPr>
          <w:spacing w:val="2"/>
        </w:rPr>
        <w:t>shea huts</w:t>
      </w:r>
      <w:r w:rsidR="001E33E4" w:rsidRPr="00B47E31">
        <w:rPr>
          <w:spacing w:val="2"/>
        </w:rPr>
        <w:t>”</w:t>
      </w:r>
      <w:r w:rsidR="00770B6C" w:rsidRPr="00B47E31">
        <w:rPr>
          <w:spacing w:val="2"/>
        </w:rPr>
        <w:t>) in 2009 (2 in San and Bla, 5 in Yorosso);</w:t>
      </w:r>
    </w:p>
    <w:p w:rsidR="00770B6C" w:rsidRDefault="004124C0" w:rsidP="00B47E31">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770B6C">
        <w:t>•</w:t>
      </w:r>
      <w:r w:rsidR="00770B6C">
        <w:tab/>
        <w:t>Construction of a unit for processing of hides and leather in Mopti;</w:t>
      </w:r>
    </w:p>
    <w:p w:rsidR="005E1F07" w:rsidRDefault="004124C0" w:rsidP="00B47E31">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770B6C">
        <w:t>•</w:t>
      </w:r>
      <w:r w:rsidR="00770B6C">
        <w:tab/>
      </w:r>
      <w:r w:rsidR="00770B6C" w:rsidRPr="00B47E31">
        <w:rPr>
          <w:spacing w:val="2"/>
        </w:rPr>
        <w:t>Start-up of integrated projects in the area of agriculture: pourghère (</w:t>
      </w:r>
      <w:r w:rsidR="00770B6C" w:rsidRPr="00B47E31">
        <w:rPr>
          <w:i/>
          <w:spacing w:val="2"/>
        </w:rPr>
        <w:t>jatropha curcas</w:t>
      </w:r>
      <w:r w:rsidR="00770B6C" w:rsidRPr="00B47E31">
        <w:rPr>
          <w:spacing w:val="2"/>
        </w:rPr>
        <w:t>), improved baobab, henna.</w:t>
      </w:r>
    </w:p>
    <w:p w:rsidR="00B47E31" w:rsidRPr="00B47E31" w:rsidRDefault="00B47E31" w:rsidP="00B47E31">
      <w:pPr>
        <w:pStyle w:val="SingleTxt"/>
        <w:spacing w:after="0" w:line="120" w:lineRule="exact"/>
        <w:rPr>
          <w:sz w:val="10"/>
        </w:rPr>
      </w:pPr>
    </w:p>
    <w:p w:rsidR="00770B6C" w:rsidRDefault="00B47E31" w:rsidP="00B47E31">
      <w:pPr>
        <w:pStyle w:val="H23"/>
        <w:ind w:right="1260"/>
      </w:pPr>
      <w:r>
        <w:tab/>
      </w:r>
      <w:r>
        <w:tab/>
      </w:r>
      <w:r w:rsidR="00770B6C">
        <w:t>Access to drinking water:</w:t>
      </w:r>
    </w:p>
    <w:p w:rsidR="00B47E31" w:rsidRPr="00B47E31" w:rsidRDefault="00B47E31" w:rsidP="00B47E31">
      <w:pPr>
        <w:pStyle w:val="SingleTxt"/>
        <w:spacing w:after="0" w:line="120" w:lineRule="exact"/>
        <w:rPr>
          <w:sz w:val="10"/>
        </w:rPr>
      </w:pPr>
    </w:p>
    <w:p w:rsidR="005E1F07" w:rsidRDefault="00770B6C" w:rsidP="00770B6C">
      <w:pPr>
        <w:pStyle w:val="SingleTxt"/>
      </w:pPr>
      <w:r>
        <w:t>181.</w:t>
      </w:r>
      <w:r w:rsidR="004124C0">
        <w:tab/>
      </w:r>
      <w:r>
        <w:t>Since 2004, as part of efforts to reach the MDGs, Mali has adopted a water resources map and a National Plan for Access to Drinking Water 2004-2015, together with programmed investments of 400 billion CFA francs.</w:t>
      </w:r>
    </w:p>
    <w:p w:rsidR="005E1F07" w:rsidRDefault="00770B6C" w:rsidP="00770B6C">
      <w:pPr>
        <w:pStyle w:val="SingleTxt"/>
      </w:pPr>
      <w:r>
        <w:t>182.</w:t>
      </w:r>
      <w:r w:rsidR="004124C0">
        <w:tab/>
      </w:r>
      <w:r>
        <w:t>In February of 2006 the Government of Mali adopted a National Water Policy whose aim is to contribute to the continuous development of the country by providing appropriate solutions to problems relating to water, with respect for sustainable management of water resources.</w:t>
      </w:r>
    </w:p>
    <w:p w:rsidR="00770B6C" w:rsidRDefault="00770B6C" w:rsidP="00770B6C">
      <w:pPr>
        <w:pStyle w:val="SingleTxt"/>
      </w:pPr>
      <w:r>
        <w:t>183.</w:t>
      </w:r>
      <w:r w:rsidR="004124C0">
        <w:tab/>
      </w:r>
      <w:r>
        <w:t>The following projects were carried out in that perspective in 2008:</w:t>
      </w:r>
    </w:p>
    <w:p w:rsidR="00770B6C" w:rsidRDefault="004124C0" w:rsidP="00B47E31">
      <w:pPr>
        <w:pStyle w:val="SingleTxt"/>
        <w:tabs>
          <w:tab w:val="right" w:pos="1685"/>
        </w:tabs>
        <w:ind w:left="1742" w:hanging="475"/>
      </w:pPr>
      <w:r>
        <w:tab/>
      </w:r>
      <w:r w:rsidR="00770B6C">
        <w:t>•</w:t>
      </w:r>
      <w:r w:rsidR="00770B6C">
        <w:tab/>
        <w:t>Completion of 683 wells and bore-holes equipped with manual pumps, and reconditioning of 371 others;</w:t>
      </w:r>
    </w:p>
    <w:p w:rsidR="00770B6C" w:rsidRDefault="004124C0" w:rsidP="00B47E31">
      <w:pPr>
        <w:pStyle w:val="SingleTxt"/>
        <w:tabs>
          <w:tab w:val="right" w:pos="1685"/>
        </w:tabs>
        <w:ind w:left="1742" w:hanging="475"/>
      </w:pPr>
      <w:r>
        <w:tab/>
      </w:r>
      <w:r w:rsidR="00770B6C">
        <w:t>•</w:t>
      </w:r>
      <w:r w:rsidR="00770B6C">
        <w:tab/>
        <w:t>Completion of 27 water supply systems for 531 hydrants, including 60 in rural locations;</w:t>
      </w:r>
    </w:p>
    <w:p w:rsidR="00770B6C" w:rsidRDefault="004124C0" w:rsidP="00B47E31">
      <w:pPr>
        <w:pStyle w:val="SingleTxt"/>
        <w:tabs>
          <w:tab w:val="right" w:pos="1685"/>
        </w:tabs>
        <w:ind w:left="1742" w:hanging="475"/>
      </w:pPr>
      <w:r>
        <w:tab/>
      </w:r>
      <w:r w:rsidR="00770B6C">
        <w:t>•</w:t>
      </w:r>
      <w:r w:rsidR="00770B6C">
        <w:tab/>
        <w:t>Formalization of 57 decisions to transfer jurisdiction to 57 communities;</w:t>
      </w:r>
    </w:p>
    <w:p w:rsidR="00770B6C" w:rsidRDefault="004124C0" w:rsidP="00B47E31">
      <w:pPr>
        <w:pStyle w:val="SingleTxt"/>
        <w:tabs>
          <w:tab w:val="right" w:pos="1685"/>
        </w:tabs>
        <w:ind w:left="1742" w:hanging="475"/>
      </w:pPr>
      <w:r>
        <w:tab/>
      </w:r>
      <w:r w:rsidR="00770B6C">
        <w:t>•</w:t>
      </w:r>
      <w:r w:rsidR="00770B6C">
        <w:tab/>
        <w:t>Formation of 262 Communes in the framework of implementing the transfer of jurisdiction;</w:t>
      </w:r>
    </w:p>
    <w:p w:rsidR="005E1F07" w:rsidRDefault="004124C0" w:rsidP="00B47E31">
      <w:pPr>
        <w:pStyle w:val="SingleTxt"/>
        <w:tabs>
          <w:tab w:val="right" w:pos="1685"/>
        </w:tabs>
        <w:ind w:left="1742" w:hanging="475"/>
      </w:pPr>
      <w:r>
        <w:tab/>
      </w:r>
      <w:r w:rsidR="00770B6C">
        <w:t>•</w:t>
      </w:r>
      <w:r w:rsidR="00770B6C">
        <w:tab/>
        <w:t>Establishment of 13 local water committees in the framework of implementing Integrated Water Resources Management.</w:t>
      </w:r>
    </w:p>
    <w:p w:rsidR="005E1F07" w:rsidRDefault="00770B6C" w:rsidP="00770B6C">
      <w:pPr>
        <w:pStyle w:val="SingleTxt"/>
      </w:pPr>
      <w:r>
        <w:lastRenderedPageBreak/>
        <w:t>184.</w:t>
      </w:r>
      <w:r w:rsidR="004124C0">
        <w:tab/>
      </w:r>
      <w:r>
        <w:t>In addition to these achievements, the National Programme of Rural Infrastructure during the period 2002-2008 completed 800 bore-holes and refurbished 500 wells and 800 pumps. There is therefore an increase in the number of villages with at least one modern water source.</w:t>
      </w:r>
      <w:r w:rsidR="005E03D8">
        <w:t xml:space="preserve"> </w:t>
      </w:r>
      <w:r>
        <w:t>The number has increased from 10,349 in 2008 to 10,503 in 2009</w:t>
      </w:r>
    </w:p>
    <w:p w:rsidR="005E1F07" w:rsidRDefault="00770B6C" w:rsidP="00770B6C">
      <w:pPr>
        <w:pStyle w:val="SingleTxt"/>
      </w:pPr>
      <w:r>
        <w:t>185.</w:t>
      </w:r>
      <w:r w:rsidR="004124C0">
        <w:tab/>
      </w:r>
      <w:r>
        <w:t>These efforts have made it possible to improve the indicators for access to drinking water.</w:t>
      </w:r>
    </w:p>
    <w:p w:rsidR="00B47E31" w:rsidRPr="00B47E31" w:rsidRDefault="00B47E31" w:rsidP="00B47E31">
      <w:pPr>
        <w:pStyle w:val="SingleTxt"/>
        <w:spacing w:after="0" w:line="120" w:lineRule="exact"/>
        <w:rPr>
          <w:sz w:val="10"/>
        </w:rPr>
      </w:pPr>
    </w:p>
    <w:p w:rsidR="00770B6C" w:rsidRDefault="00B47E31" w:rsidP="00B47E31">
      <w:pPr>
        <w:pStyle w:val="H23"/>
        <w:ind w:right="1260"/>
      </w:pPr>
      <w:r>
        <w:tab/>
      </w:r>
      <w:r>
        <w:tab/>
      </w:r>
      <w:r w:rsidR="00770B6C">
        <w:t>Access to habitat</w:t>
      </w:r>
    </w:p>
    <w:p w:rsidR="00B47E31" w:rsidRPr="00B47E31" w:rsidRDefault="00B47E31" w:rsidP="00B47E31">
      <w:pPr>
        <w:pStyle w:val="SingleTxt"/>
        <w:spacing w:after="0" w:line="120" w:lineRule="exact"/>
        <w:rPr>
          <w:sz w:val="10"/>
        </w:rPr>
      </w:pPr>
    </w:p>
    <w:p w:rsidR="005E1F07" w:rsidRDefault="00770B6C" w:rsidP="00770B6C">
      <w:pPr>
        <w:pStyle w:val="SingleTxt"/>
      </w:pPr>
      <w:r>
        <w:t>186.</w:t>
      </w:r>
      <w:r w:rsidR="004124C0">
        <w:tab/>
      </w:r>
      <w:r>
        <w:t>The system of inheritance does not favour women, which places them at a disadvantage with regard to access to housing.</w:t>
      </w:r>
      <w:r w:rsidR="005E03D8">
        <w:t xml:space="preserve"> </w:t>
      </w:r>
      <w:r>
        <w:t>Despite this situation, it can be observed that affordable housing is increasingly appearing in rural areas and women are benefiting from it (assisted housing situation).</w:t>
      </w:r>
    </w:p>
    <w:p w:rsidR="00B47E31" w:rsidRPr="00B47E31" w:rsidRDefault="00B47E31" w:rsidP="00B47E31">
      <w:pPr>
        <w:pStyle w:val="SingleTxt"/>
        <w:spacing w:after="0" w:line="120" w:lineRule="exact"/>
        <w:rPr>
          <w:sz w:val="10"/>
        </w:rPr>
      </w:pPr>
    </w:p>
    <w:p w:rsidR="00770B6C" w:rsidRDefault="00B47E31" w:rsidP="00B47E31">
      <w:pPr>
        <w:pStyle w:val="H23"/>
        <w:ind w:right="1260"/>
      </w:pPr>
      <w:r>
        <w:tab/>
      </w:r>
      <w:r>
        <w:tab/>
      </w:r>
      <w:r w:rsidR="00770B6C">
        <w:t>Access to electricity</w:t>
      </w:r>
    </w:p>
    <w:p w:rsidR="00B47E31" w:rsidRPr="00B47E31" w:rsidRDefault="00B47E31" w:rsidP="00B47E31">
      <w:pPr>
        <w:pStyle w:val="SingleTxt"/>
        <w:spacing w:after="0" w:line="120" w:lineRule="exact"/>
        <w:rPr>
          <w:sz w:val="10"/>
        </w:rPr>
      </w:pPr>
    </w:p>
    <w:p w:rsidR="005E1F07" w:rsidRDefault="00770B6C" w:rsidP="00770B6C">
      <w:pPr>
        <w:pStyle w:val="SingleTxt"/>
      </w:pPr>
      <w:r>
        <w:t>187.</w:t>
      </w:r>
      <w:r w:rsidR="004124C0">
        <w:tab/>
      </w:r>
      <w:r>
        <w:t>The country</w:t>
      </w:r>
      <w:r w:rsidR="001E33E4">
        <w:t>’</w:t>
      </w:r>
      <w:r>
        <w:t xml:space="preserve">s political authorities, through the energy policy, are seeking to contribute to sustainable development through the provision of widely affordable energy services produced at low cost and conducive to </w:t>
      </w:r>
      <w:r w:rsidR="00224C39" w:rsidRPr="00224C39">
        <w:t>socio</w:t>
      </w:r>
      <w:r>
        <w:t>economic activities. In 2006 this aim took the form of adoption by the Government of a National Energy Policy. In that spirit, the Biofuels Strategy was adopted and the National Biofuels Agency was established in 2008.</w:t>
      </w:r>
    </w:p>
    <w:p w:rsidR="00B47E31" w:rsidRPr="00B47E31" w:rsidRDefault="00B47E31" w:rsidP="00B47E31">
      <w:pPr>
        <w:pStyle w:val="SingleTxt"/>
        <w:spacing w:after="0" w:line="120" w:lineRule="exact"/>
        <w:rPr>
          <w:sz w:val="10"/>
        </w:rPr>
      </w:pPr>
    </w:p>
    <w:p w:rsidR="00770B6C" w:rsidRDefault="00B47E31" w:rsidP="00B47E31">
      <w:pPr>
        <w:pStyle w:val="H23"/>
        <w:ind w:right="1260"/>
      </w:pPr>
      <w:r>
        <w:tab/>
      </w:r>
      <w:r>
        <w:tab/>
      </w:r>
      <w:r w:rsidR="00770B6C">
        <w:t>Achievements in the area of domestic energy:</w:t>
      </w:r>
    </w:p>
    <w:p w:rsidR="00B47E31" w:rsidRPr="00B47E31" w:rsidRDefault="00B47E31" w:rsidP="00B47E31">
      <w:pPr>
        <w:pStyle w:val="SingleTxt"/>
        <w:spacing w:after="0" w:line="120" w:lineRule="exact"/>
        <w:rPr>
          <w:sz w:val="10"/>
        </w:rPr>
      </w:pPr>
    </w:p>
    <w:p w:rsidR="00770B6C" w:rsidRDefault="004124C0" w:rsidP="00B47E31">
      <w:pPr>
        <w:pStyle w:val="SingleTxt"/>
        <w:tabs>
          <w:tab w:val="right" w:pos="1685"/>
        </w:tabs>
        <w:ind w:left="1742" w:hanging="475"/>
      </w:pPr>
      <w:r>
        <w:tab/>
      </w:r>
      <w:r w:rsidR="00770B6C">
        <w:t>•</w:t>
      </w:r>
      <w:r w:rsidR="00770B6C">
        <w:tab/>
        <w:t>More than 318,000 improved wood stoves in 2007;</w:t>
      </w:r>
    </w:p>
    <w:p w:rsidR="00770B6C" w:rsidRDefault="00B47E31" w:rsidP="00B47E31">
      <w:pPr>
        <w:pStyle w:val="SingleTxt"/>
        <w:tabs>
          <w:tab w:val="right" w:pos="1685"/>
        </w:tabs>
        <w:ind w:left="1742" w:hanging="475"/>
      </w:pPr>
      <w:r>
        <w:tab/>
      </w:r>
      <w:r w:rsidR="00770B6C">
        <w:t>•</w:t>
      </w:r>
      <w:r w:rsidR="00770B6C">
        <w:tab/>
        <w:t>Approximately 22,500 gas stoves in 2007;</w:t>
      </w:r>
    </w:p>
    <w:p w:rsidR="005E1F07" w:rsidRDefault="00B47E31" w:rsidP="00B47E31">
      <w:pPr>
        <w:pStyle w:val="SingleTxt"/>
        <w:tabs>
          <w:tab w:val="right" w:pos="1685"/>
        </w:tabs>
        <w:ind w:left="1742" w:hanging="475"/>
      </w:pPr>
      <w:r>
        <w:tab/>
      </w:r>
      <w:r w:rsidR="00770B6C">
        <w:t>•</w:t>
      </w:r>
      <w:r w:rsidR="00770B6C">
        <w:tab/>
        <w:t>More than 3,000 oil stoves imported and placed on the market, constituting genuine growth.</w:t>
      </w:r>
    </w:p>
    <w:p w:rsidR="00B47E31" w:rsidRPr="00B47E31" w:rsidRDefault="00B47E31" w:rsidP="00B47E31">
      <w:pPr>
        <w:pStyle w:val="SingleTxt"/>
        <w:spacing w:after="0" w:line="120" w:lineRule="exact"/>
        <w:rPr>
          <w:sz w:val="10"/>
        </w:rPr>
      </w:pPr>
    </w:p>
    <w:p w:rsidR="005E1F07" w:rsidRDefault="00B47E31" w:rsidP="00B47E31">
      <w:pPr>
        <w:pStyle w:val="H23"/>
        <w:ind w:right="1260"/>
      </w:pPr>
      <w:r>
        <w:tab/>
      </w:r>
      <w:r>
        <w:tab/>
      </w:r>
      <w:r w:rsidR="00770B6C">
        <w:t>Achievements in the area of rural electrification</w:t>
      </w:r>
    </w:p>
    <w:p w:rsidR="00B47E31" w:rsidRPr="00B47E31" w:rsidRDefault="00B47E31" w:rsidP="00B47E31">
      <w:pPr>
        <w:pStyle w:val="SingleTxt"/>
        <w:spacing w:after="0" w:line="120" w:lineRule="exact"/>
        <w:rPr>
          <w:sz w:val="10"/>
        </w:rPr>
      </w:pPr>
    </w:p>
    <w:p w:rsidR="005E1F07" w:rsidRDefault="00770B6C" w:rsidP="00770B6C">
      <w:pPr>
        <w:pStyle w:val="SingleTxt"/>
      </w:pPr>
      <w:r>
        <w:t>188.</w:t>
      </w:r>
      <w:r w:rsidR="004124C0">
        <w:tab/>
      </w:r>
      <w:r>
        <w:t>It should be noted that from 2007 to 2009 the number of rural subscribers doubled, although the need is immense.</w:t>
      </w:r>
    </w:p>
    <w:p w:rsidR="005E1F07" w:rsidRDefault="00770B6C" w:rsidP="00770B6C">
      <w:pPr>
        <w:pStyle w:val="SingleTxt"/>
      </w:pPr>
      <w:r>
        <w:t>189.</w:t>
      </w:r>
      <w:r w:rsidR="004124C0">
        <w:tab/>
      </w:r>
      <w:r>
        <w:t>As from 2009, there were 133 people benefiting from a light source, compared with 125 previously.</w:t>
      </w:r>
      <w:r w:rsidR="005E03D8">
        <w:t xml:space="preserve"> </w:t>
      </w:r>
      <w:r>
        <w:t xml:space="preserve">This new standard was established following a survey entitled </w:t>
      </w:r>
      <w:r w:rsidR="001E33E4">
        <w:t>“</w:t>
      </w:r>
      <w:r>
        <w:t>Survey of impacts of the project on domestic energy and access to basic services in rural areas under the living conditions of beneficiary populations</w:t>
      </w:r>
      <w:r w:rsidR="008F4CE3">
        <w:t xml:space="preserve"> — </w:t>
      </w:r>
      <w:r>
        <w:t>Provision of electric service component</w:t>
      </w:r>
      <w:r w:rsidR="001E33E4">
        <w:t>”</w:t>
      </w:r>
      <w:r>
        <w:t xml:space="preserve"> commissioned by the Malian Agency for Energy Development and Rural Electrification (Agence Malienne pour le Développement de l</w:t>
      </w:r>
      <w:r w:rsidR="001E33E4">
        <w:t>’</w:t>
      </w:r>
      <w:r>
        <w:t>Energie et de l</w:t>
      </w:r>
      <w:r w:rsidR="001E33E4">
        <w:t>’</w:t>
      </w:r>
      <w:r>
        <w:t>Electrification Rurale</w:t>
      </w:r>
      <w:r w:rsidR="008F4CE3">
        <w:t xml:space="preserve"> — </w:t>
      </w:r>
      <w:r>
        <w:t xml:space="preserve">AMADER) whose final report was issued in February 2010. </w:t>
      </w:r>
    </w:p>
    <w:p w:rsidR="00B47E31" w:rsidRPr="00B47E31" w:rsidRDefault="00B47E31" w:rsidP="00B47E31">
      <w:pPr>
        <w:pStyle w:val="SingleTxt"/>
        <w:spacing w:after="0" w:line="120" w:lineRule="exact"/>
        <w:rPr>
          <w:sz w:val="10"/>
        </w:rPr>
      </w:pPr>
    </w:p>
    <w:p w:rsidR="00770B6C" w:rsidRDefault="00B47E31" w:rsidP="00B47E31">
      <w:pPr>
        <w:pStyle w:val="H23"/>
        <w:ind w:right="1260"/>
      </w:pPr>
      <w:r>
        <w:tab/>
      </w:r>
      <w:r>
        <w:tab/>
      </w:r>
      <w:r w:rsidR="001E33E4">
        <w:t>Environment</w:t>
      </w:r>
      <w:r w:rsidR="00770B6C">
        <w:t>/sanitation</w:t>
      </w:r>
    </w:p>
    <w:p w:rsidR="00B47E31" w:rsidRPr="00B47E31" w:rsidRDefault="00B47E31" w:rsidP="00B47E31">
      <w:pPr>
        <w:pStyle w:val="SingleTxt"/>
        <w:spacing w:after="0" w:line="120" w:lineRule="exact"/>
        <w:rPr>
          <w:sz w:val="10"/>
        </w:rPr>
      </w:pPr>
    </w:p>
    <w:p w:rsidR="005E1F07" w:rsidRDefault="00770B6C" w:rsidP="00770B6C">
      <w:pPr>
        <w:pStyle w:val="SingleTxt"/>
      </w:pPr>
      <w:r>
        <w:t>190.</w:t>
      </w:r>
      <w:r w:rsidR="004124C0">
        <w:tab/>
      </w:r>
      <w:r>
        <w:t>The National Environment Protection Policy (PNPE) adopted in 1998 provides the guidance framework for effective and sustainable environmental management and planning. It is accompanied by an environmental action plan (Plan d</w:t>
      </w:r>
      <w:r w:rsidR="001E33E4">
        <w:t>’</w:t>
      </w:r>
      <w:r>
        <w:t>actions environnementales</w:t>
      </w:r>
      <w:r w:rsidR="00A275F0">
        <w:t xml:space="preserve"> — </w:t>
      </w:r>
      <w:r>
        <w:t>PNAE) comprising 9 cross-cutting programmes of action (Programmes d</w:t>
      </w:r>
      <w:r w:rsidR="001E33E4">
        <w:t>’</w:t>
      </w:r>
      <w:r>
        <w:t>actions Nationaux transversaux</w:t>
      </w:r>
      <w:r w:rsidR="00A275F0">
        <w:t xml:space="preserve"> — </w:t>
      </w:r>
      <w:r>
        <w:t>PAN).</w:t>
      </w:r>
    </w:p>
    <w:p w:rsidR="005E1F07" w:rsidRDefault="00770B6C" w:rsidP="00770B6C">
      <w:pPr>
        <w:pStyle w:val="SingleTxt"/>
      </w:pPr>
      <w:r>
        <w:lastRenderedPageBreak/>
        <w:t>191.</w:t>
      </w:r>
      <w:r w:rsidR="004124C0">
        <w:tab/>
      </w:r>
      <w:r>
        <w:t>Its implementation should lead to providing a significant response to fundamental questions concerning the fight against desertification, ensuring food security, and combating poverty, which constitute constraints that need to be removed in order to ensure lasting socioeconomic development for Mali.</w:t>
      </w:r>
    </w:p>
    <w:p w:rsidR="005E1F07" w:rsidRDefault="00770B6C" w:rsidP="00770B6C">
      <w:pPr>
        <w:pStyle w:val="SingleTxt"/>
      </w:pPr>
      <w:r>
        <w:t>192.</w:t>
      </w:r>
      <w:r w:rsidR="004124C0">
        <w:tab/>
      </w:r>
      <w:r>
        <w:t>With respect to environment and sanitation, the following should be noted:</w:t>
      </w:r>
    </w:p>
    <w:p w:rsidR="00770B6C" w:rsidRDefault="004124C0" w:rsidP="00B47E31">
      <w:pPr>
        <w:pStyle w:val="SingleTxt"/>
        <w:tabs>
          <w:tab w:val="right" w:pos="1685"/>
        </w:tabs>
        <w:ind w:left="1742" w:hanging="475"/>
      </w:pPr>
      <w:r>
        <w:tab/>
      </w:r>
      <w:r w:rsidR="00770B6C">
        <w:t>•</w:t>
      </w:r>
      <w:r w:rsidR="00770B6C">
        <w:tab/>
        <w:t>Improvement of 3,089 family bathrooms and 128 public bathrooms;</w:t>
      </w:r>
    </w:p>
    <w:p w:rsidR="00770B6C" w:rsidRDefault="004124C0" w:rsidP="00B47E31">
      <w:pPr>
        <w:pStyle w:val="SingleTxt"/>
        <w:tabs>
          <w:tab w:val="right" w:pos="1685"/>
        </w:tabs>
        <w:ind w:left="1742" w:hanging="475"/>
      </w:pPr>
      <w:r>
        <w:tab/>
      </w:r>
      <w:r w:rsidR="00770B6C">
        <w:t>•</w:t>
      </w:r>
      <w:r w:rsidR="00770B6C">
        <w:tab/>
        <w:t>Construction of 960 drain-trap washing basins;</w:t>
      </w:r>
    </w:p>
    <w:p w:rsidR="005E1F07" w:rsidRDefault="004124C0" w:rsidP="00B47E31">
      <w:pPr>
        <w:pStyle w:val="SingleTxt"/>
        <w:tabs>
          <w:tab w:val="right" w:pos="1685"/>
        </w:tabs>
        <w:ind w:left="1742" w:hanging="475"/>
      </w:pPr>
      <w:r>
        <w:tab/>
      </w:r>
      <w:r w:rsidR="00770B6C">
        <w:t>•</w:t>
      </w:r>
      <w:r w:rsidR="00770B6C">
        <w:tab/>
        <w:t>Finalizing of 17 km of collectors and gutters.</w:t>
      </w:r>
    </w:p>
    <w:p w:rsidR="005E1F07" w:rsidRPr="00B47E31" w:rsidRDefault="00770B6C" w:rsidP="00770B6C">
      <w:pPr>
        <w:pStyle w:val="SingleTxt"/>
        <w:rPr>
          <w:spacing w:val="2"/>
        </w:rPr>
      </w:pPr>
      <w:r>
        <w:t>193.</w:t>
      </w:r>
      <w:r w:rsidR="004124C0">
        <w:tab/>
      </w:r>
      <w:r w:rsidRPr="00B47E31">
        <w:rPr>
          <w:spacing w:val="2"/>
        </w:rPr>
        <w:t>Women take active part in water management and sanitation. Indeed, they account for 1/5 of the members of local water committees, 32 per cent of members of Rural Drinking Water Supply and Sanitation Committees, 40 per cent of the members of water-point committees of Koulikoro and 30 per cent of those of Sikasso.</w:t>
      </w:r>
    </w:p>
    <w:p w:rsidR="005E1F07" w:rsidRDefault="00770B6C" w:rsidP="00770B6C">
      <w:pPr>
        <w:pStyle w:val="SingleTxt"/>
      </w:pPr>
      <w:r>
        <w:t>194.</w:t>
      </w:r>
      <w:r w:rsidR="004124C0">
        <w:tab/>
      </w:r>
      <w:r>
        <w:t>With regard to sanitation and hygiene, the percentage of the population enjoying access to adequate sanitation and hygiene facilities is 23 per cent in 2008.</w:t>
      </w:r>
    </w:p>
    <w:p w:rsidR="005E1F07" w:rsidRDefault="00770B6C" w:rsidP="00770B6C">
      <w:pPr>
        <w:pStyle w:val="SingleTxt"/>
      </w:pPr>
      <w:r>
        <w:t>195.</w:t>
      </w:r>
      <w:r w:rsidR="004124C0">
        <w:tab/>
      </w:r>
      <w:r>
        <w:t>Thus, more than three quarters of the population does not have an adequate sanitation and hygiene system, which constitutes a health problem, especially for women, who constitute more than half of the population.</w:t>
      </w:r>
    </w:p>
    <w:p w:rsidR="00B47E31" w:rsidRPr="00B47E31" w:rsidRDefault="00B47E31" w:rsidP="00B47E31">
      <w:pPr>
        <w:pStyle w:val="SingleTxt"/>
        <w:spacing w:after="0" w:line="120" w:lineRule="exact"/>
        <w:rPr>
          <w:sz w:val="10"/>
        </w:rPr>
      </w:pPr>
    </w:p>
    <w:p w:rsidR="005E1F07" w:rsidRDefault="00B47E31" w:rsidP="00B47E31">
      <w:pPr>
        <w:pStyle w:val="H23"/>
        <w:ind w:right="1260"/>
      </w:pPr>
      <w:r>
        <w:tab/>
      </w:r>
      <w:r>
        <w:tab/>
      </w:r>
      <w:r w:rsidR="00770B6C">
        <w:t>Development of roads and transport; impact on rural women</w:t>
      </w:r>
    </w:p>
    <w:p w:rsidR="00B47E31" w:rsidRPr="00B47E31" w:rsidRDefault="00B47E31" w:rsidP="00B47E31">
      <w:pPr>
        <w:pStyle w:val="SingleTxt"/>
        <w:spacing w:after="0" w:line="120" w:lineRule="exact"/>
        <w:rPr>
          <w:sz w:val="10"/>
        </w:rPr>
      </w:pPr>
    </w:p>
    <w:p w:rsidR="005E1F07" w:rsidRDefault="00770B6C" w:rsidP="00770B6C">
      <w:pPr>
        <w:pStyle w:val="SingleTxt"/>
      </w:pPr>
      <w:r>
        <w:t>196.</w:t>
      </w:r>
      <w:r w:rsidR="004124C0">
        <w:tab/>
      </w:r>
      <w:r w:rsidRPr="00B47E31">
        <w:rPr>
          <w:spacing w:val="2"/>
        </w:rPr>
        <w:t>During the period 2002 to 2011 several roads were paved, including 512 km of rural roads between 2002 and 2008 by the National Rural Infrastructure Programme (PNIR)</w:t>
      </w:r>
      <w:r w:rsidR="00DD173B" w:rsidRPr="00B47E31">
        <w:rPr>
          <w:spacing w:val="2"/>
        </w:rPr>
        <w:t>.</w:t>
      </w:r>
      <w:r w:rsidR="008E61F1">
        <w:rPr>
          <w:rStyle w:val="FootnoteReference"/>
        </w:rPr>
        <w:footnoteReference w:id="3"/>
      </w:r>
      <w:r w:rsidR="005E03D8" w:rsidRPr="00B47E31">
        <w:rPr>
          <w:spacing w:val="2"/>
        </w:rPr>
        <w:t xml:space="preserve"> </w:t>
      </w:r>
      <w:r w:rsidRPr="00B47E31">
        <w:rPr>
          <w:spacing w:val="2"/>
        </w:rPr>
        <w:t>In 2008 there was road construction in Kati-Kita (60 km), Bamako-Naréna (17 km) and roads to the secondary cities of Djeli, Tominian and Sofara (56 km) linking to the main paved road network, Sekokoto-Bafing (8 km), as well as roads between Kita-Toukoto-Bafoulabé (50 km) and Dioro-Farakoumassa (26 km). Surveys were also done for the Bafoulabé bridge and the third Bamako</w:t>
      </w:r>
      <w:r>
        <w:t xml:space="preserve"> bridge.</w:t>
      </w:r>
    </w:p>
    <w:p w:rsidR="005E1F07" w:rsidRDefault="00770B6C" w:rsidP="00770B6C">
      <w:pPr>
        <w:pStyle w:val="SingleTxt"/>
      </w:pPr>
      <w:r>
        <w:t>197.</w:t>
      </w:r>
      <w:r w:rsidR="004124C0">
        <w:tab/>
      </w:r>
      <w:r>
        <w:t>The construction of these roads has helped to facilitate the movement of rural populations, including rural women and their trade in goods and services with the nearby urban centres. These roads facilitate women</w:t>
      </w:r>
      <w:r w:rsidR="001E33E4">
        <w:t>’</w:t>
      </w:r>
      <w:r>
        <w:t>s access to health centres, reducing mortality from diseases and complications of pregnancy.</w:t>
      </w:r>
    </w:p>
    <w:p w:rsidR="00B47E31" w:rsidRPr="00B47E31" w:rsidRDefault="00B47E31" w:rsidP="00B47E31">
      <w:pPr>
        <w:pStyle w:val="SingleTxt"/>
        <w:spacing w:after="0" w:line="120" w:lineRule="exact"/>
        <w:rPr>
          <w:sz w:val="10"/>
        </w:rPr>
      </w:pPr>
    </w:p>
    <w:p w:rsidR="00770B6C" w:rsidRDefault="00B47E31" w:rsidP="00B47E31">
      <w:pPr>
        <w:pStyle w:val="H23"/>
        <w:ind w:right="1260"/>
      </w:pPr>
      <w:r>
        <w:tab/>
      </w:r>
      <w:r>
        <w:tab/>
      </w:r>
      <w:r w:rsidR="00770B6C">
        <w:t>Transport:</w:t>
      </w:r>
    </w:p>
    <w:p w:rsidR="00B47E31" w:rsidRPr="00B47E31" w:rsidRDefault="00B47E31" w:rsidP="00B47E31">
      <w:pPr>
        <w:pStyle w:val="SingleTxt"/>
        <w:spacing w:after="0" w:line="120" w:lineRule="exact"/>
        <w:rPr>
          <w:sz w:val="10"/>
        </w:rPr>
      </w:pPr>
    </w:p>
    <w:p w:rsidR="005E1F07" w:rsidRDefault="00770B6C" w:rsidP="00770B6C">
      <w:pPr>
        <w:pStyle w:val="SingleTxt"/>
      </w:pPr>
      <w:r>
        <w:t>198.</w:t>
      </w:r>
      <w:r w:rsidR="001E33E4">
        <w:tab/>
      </w:r>
      <w:r>
        <w:t>The transport sector, comprising mainly rail, river and rural road transport, contributes significantly to growth of cross-border trade, in which women are the leading stakeholders, dealing mainly in fish, loincloths, and agro-food products.</w:t>
      </w:r>
      <w:r w:rsidR="005E03D8">
        <w:t xml:space="preserve"> </w:t>
      </w:r>
      <w:r>
        <w:t>Internally, it enables the movement of vegetable-garden and farm products from rural areas in Kayes and Koulikoro to the District.</w:t>
      </w:r>
      <w:r w:rsidR="005E03D8">
        <w:t xml:space="preserve"> </w:t>
      </w:r>
      <w:r>
        <w:t>Increasingly, rural women have other means of transport such as carts, donkeys, canoes, etc. which encourage rural trade, especially by mean</w:t>
      </w:r>
      <w:r w:rsidR="00B47E31">
        <w:t>s of country fairs and markets.</w:t>
      </w:r>
    </w:p>
    <w:p w:rsidR="00B47E31" w:rsidRPr="00B47E31" w:rsidRDefault="00B47E31" w:rsidP="00B47E31">
      <w:pPr>
        <w:pStyle w:val="SingleTxt"/>
        <w:spacing w:after="0" w:line="120" w:lineRule="exact"/>
        <w:rPr>
          <w:sz w:val="10"/>
        </w:rPr>
      </w:pPr>
    </w:p>
    <w:p w:rsidR="00B47E31" w:rsidRPr="00B47E31" w:rsidRDefault="00B47E31" w:rsidP="00B47E31">
      <w:pPr>
        <w:pStyle w:val="SingleTxt"/>
        <w:spacing w:after="0" w:line="120" w:lineRule="exact"/>
        <w:rPr>
          <w:sz w:val="10"/>
        </w:rPr>
      </w:pPr>
    </w:p>
    <w:p w:rsidR="005E1F07" w:rsidRDefault="00B47E31" w:rsidP="00B47E31">
      <w:pPr>
        <w:pStyle w:val="H1"/>
        <w:ind w:right="1260"/>
      </w:pPr>
      <w:r>
        <w:lastRenderedPageBreak/>
        <w:tab/>
      </w:r>
      <w:r>
        <w:tab/>
        <w:t xml:space="preserve">Article </w:t>
      </w:r>
      <w:r w:rsidR="00770B6C">
        <w:t xml:space="preserve">15: Equality of men and women before the law and in </w:t>
      </w:r>
      <w:r>
        <w:br/>
      </w:r>
      <w:r w:rsidR="00770B6C">
        <w:t>civil matters</w:t>
      </w:r>
    </w:p>
    <w:p w:rsidR="00B47E31" w:rsidRPr="00B47E31" w:rsidRDefault="00B47E31" w:rsidP="00B47E31">
      <w:pPr>
        <w:pStyle w:val="SingleTxt"/>
        <w:keepNext/>
        <w:keepLines/>
        <w:spacing w:after="0" w:line="120" w:lineRule="exact"/>
        <w:rPr>
          <w:sz w:val="10"/>
        </w:rPr>
      </w:pPr>
    </w:p>
    <w:p w:rsidR="00B47E31" w:rsidRPr="00B47E31" w:rsidRDefault="00B47E31" w:rsidP="00B47E31">
      <w:pPr>
        <w:pStyle w:val="SingleTxt"/>
        <w:keepNext/>
        <w:keepLines/>
        <w:spacing w:after="0" w:line="120" w:lineRule="exact"/>
        <w:rPr>
          <w:sz w:val="10"/>
        </w:rPr>
      </w:pPr>
    </w:p>
    <w:p w:rsidR="005E1F07" w:rsidRDefault="00770B6C" w:rsidP="00B47E31">
      <w:pPr>
        <w:pStyle w:val="SingleTxt"/>
        <w:keepNext/>
        <w:keepLines/>
      </w:pPr>
      <w:r>
        <w:t>199.</w:t>
      </w:r>
      <w:r w:rsidR="001E33E4">
        <w:tab/>
      </w:r>
      <w:r>
        <w:t xml:space="preserve">Judicial assistance in Mali is governed by Law </w:t>
      </w:r>
      <w:r w:rsidR="004124C0">
        <w:t xml:space="preserve">No. </w:t>
      </w:r>
      <w:r>
        <w:t xml:space="preserve">01-082 of 24/08/2001 and decree </w:t>
      </w:r>
      <w:r w:rsidR="004124C0">
        <w:t xml:space="preserve">No. </w:t>
      </w:r>
      <w:r>
        <w:t>06-02/PRM of 06/10/06.</w:t>
      </w:r>
      <w:r w:rsidR="005E03D8">
        <w:t xml:space="preserve"> </w:t>
      </w:r>
    </w:p>
    <w:p w:rsidR="005E1F07" w:rsidRDefault="00770B6C" w:rsidP="00770B6C">
      <w:pPr>
        <w:pStyle w:val="SingleTxt"/>
      </w:pPr>
      <w:r>
        <w:t>200.</w:t>
      </w:r>
      <w:r w:rsidR="001E33E4">
        <w:tab/>
      </w:r>
      <w:r>
        <w:t>Legal aid is provided at legal clinics and serves to support women who find themselves in legal difficulties.</w:t>
      </w:r>
    </w:p>
    <w:p w:rsidR="00770B6C" w:rsidRDefault="00770B6C" w:rsidP="00770B6C">
      <w:pPr>
        <w:pStyle w:val="SingleTxt"/>
      </w:pPr>
      <w:r>
        <w:t>201.</w:t>
      </w:r>
      <w:r w:rsidR="001E33E4">
        <w:tab/>
      </w:r>
      <w:r>
        <w:t>However, there are obstacles, such as:</w:t>
      </w:r>
    </w:p>
    <w:p w:rsidR="00770B6C" w:rsidRDefault="00B47E31" w:rsidP="00C41B79">
      <w:pPr>
        <w:pStyle w:val="SingleTxt"/>
        <w:tabs>
          <w:tab w:val="right" w:pos="1685"/>
        </w:tabs>
        <w:ind w:left="1742" w:hanging="475"/>
      </w:pPr>
      <w:r>
        <w:tab/>
      </w:r>
      <w:r w:rsidR="00C41B79">
        <w:t>▪</w:t>
      </w:r>
      <w:r w:rsidR="00770B6C">
        <w:tab/>
        <w:t>Administrative slowness and high legal costs;</w:t>
      </w:r>
    </w:p>
    <w:p w:rsidR="00770B6C" w:rsidRDefault="00B47E31" w:rsidP="00C41B79">
      <w:pPr>
        <w:pStyle w:val="SingleTxt"/>
        <w:tabs>
          <w:tab w:val="right" w:pos="1685"/>
        </w:tabs>
        <w:ind w:left="1742" w:hanging="475"/>
      </w:pPr>
      <w:r>
        <w:tab/>
      </w:r>
      <w:r w:rsidR="00C41B79">
        <w:t>▪</w:t>
      </w:r>
      <w:r w:rsidR="00770B6C">
        <w:tab/>
        <w:t>Bad faith by certain judicial actors and court officers who are not sensitive to gender and women</w:t>
      </w:r>
      <w:r w:rsidR="001E33E4">
        <w:t>’</w:t>
      </w:r>
      <w:r w:rsidR="00770B6C">
        <w:t>s rights;</w:t>
      </w:r>
    </w:p>
    <w:p w:rsidR="00770B6C" w:rsidRDefault="00B47E31" w:rsidP="00C41B79">
      <w:pPr>
        <w:pStyle w:val="SingleTxt"/>
        <w:tabs>
          <w:tab w:val="right" w:pos="1685"/>
        </w:tabs>
        <w:ind w:left="1742" w:hanging="475"/>
      </w:pPr>
      <w:r>
        <w:tab/>
        <w:t>▪</w:t>
      </w:r>
      <w:r w:rsidR="00770B6C">
        <w:tab/>
        <w:t>Insufficient information about legal instruments relating to women</w:t>
      </w:r>
      <w:r w:rsidR="001E33E4">
        <w:t>’</w:t>
      </w:r>
      <w:r w:rsidR="00770B6C">
        <w:t>s rights;</w:t>
      </w:r>
    </w:p>
    <w:p w:rsidR="005E1F07" w:rsidRPr="00C41B79" w:rsidRDefault="00B47E31" w:rsidP="00C41B79">
      <w:pPr>
        <w:pStyle w:val="SingleTxt"/>
        <w:tabs>
          <w:tab w:val="right" w:pos="1685"/>
        </w:tabs>
        <w:ind w:left="1742" w:hanging="475"/>
        <w:rPr>
          <w:spacing w:val="2"/>
        </w:rPr>
      </w:pPr>
      <w:r>
        <w:tab/>
        <w:t>▪</w:t>
      </w:r>
      <w:r w:rsidR="00770B6C">
        <w:tab/>
      </w:r>
      <w:r w:rsidR="00770B6C" w:rsidRPr="00C41B79">
        <w:rPr>
          <w:spacing w:val="2"/>
        </w:rPr>
        <w:t>The difficult conditions under which judicial personnel perform their duties, etc.</w:t>
      </w:r>
    </w:p>
    <w:p w:rsidR="005E1F07" w:rsidRDefault="00770B6C" w:rsidP="00770B6C">
      <w:pPr>
        <w:pStyle w:val="SingleTxt"/>
      </w:pPr>
      <w:r>
        <w:t>202.</w:t>
      </w:r>
      <w:r w:rsidR="001E33E4">
        <w:tab/>
      </w:r>
      <w:r>
        <w:t>The Constitution enshrines the principle of equality of men and women before the law.</w:t>
      </w:r>
      <w:r w:rsidR="005E03D8">
        <w:t xml:space="preserve"> </w:t>
      </w:r>
      <w:r>
        <w:t>However, Mali has not yet adopted legislation on certain matters, such as access to land and management of succession.</w:t>
      </w:r>
      <w:r w:rsidR="005E03D8">
        <w:t xml:space="preserve"> </w:t>
      </w:r>
      <w:r>
        <w:t>In such matters, the parties are referred to customary law.</w:t>
      </w:r>
      <w:r w:rsidR="005E03D8">
        <w:t xml:space="preserve"> </w:t>
      </w:r>
      <w:r>
        <w:t>For example, ordinance no. 02-02/PRM of 22/03/2000 containing the Property Code recognizes custom as grounds for giving access to property.</w:t>
      </w:r>
    </w:p>
    <w:p w:rsidR="005E1F07" w:rsidRDefault="00770B6C" w:rsidP="00770B6C">
      <w:pPr>
        <w:pStyle w:val="SingleTxt"/>
      </w:pPr>
      <w:r>
        <w:t>203.</w:t>
      </w:r>
      <w:r w:rsidR="001E33E4">
        <w:tab/>
      </w:r>
      <w:r>
        <w:t>Law 06-045 of 5 September 2006 concerning the Agricultural Guidance Act, adopted on 16 August 2006, provides that agricultural development policy aims to encourage men and women living in a spirit of equity in rural and urban settings.</w:t>
      </w:r>
      <w:r w:rsidR="005E03D8">
        <w:t xml:space="preserve"> </w:t>
      </w:r>
      <w:r>
        <w:t>It enshrines the right to food security for all in the context of the goal of food sovereignty.</w:t>
      </w:r>
      <w:r w:rsidR="005E03D8">
        <w:t xml:space="preserve"> </w:t>
      </w:r>
      <w:r>
        <w:t>The Agricultural Guidance Act prescribes the principle of equal access to land by men and women under the same conditions.</w:t>
      </w:r>
      <w:r w:rsidR="005E03D8">
        <w:t xml:space="preserve"> </w:t>
      </w:r>
      <w:r>
        <w:t>Mali also has a policy of promotion of women</w:t>
      </w:r>
      <w:r w:rsidR="001E33E4">
        <w:t>’</w:t>
      </w:r>
      <w:r>
        <w:t>s rights.</w:t>
      </w:r>
      <w:r w:rsidR="005E03D8">
        <w:t xml:space="preserve"> </w:t>
      </w:r>
      <w:r>
        <w:t>It implemented an action plan covering the period 2002 to 2006.</w:t>
      </w:r>
      <w:r w:rsidR="005E03D8">
        <w:t xml:space="preserve"> </w:t>
      </w:r>
      <w:r>
        <w:t>It has adopted a national policy document on gender advancement, the National Gender Policy adopted in 2010, containing strategic measures for the advancement of the rights of women and girls.</w:t>
      </w:r>
    </w:p>
    <w:p w:rsidR="00C41B79" w:rsidRPr="00C41B79" w:rsidRDefault="00C41B79" w:rsidP="00C41B79">
      <w:pPr>
        <w:pStyle w:val="SingleTxt"/>
        <w:spacing w:after="0" w:line="120" w:lineRule="exact"/>
        <w:rPr>
          <w:sz w:val="10"/>
        </w:rPr>
      </w:pPr>
    </w:p>
    <w:p w:rsidR="00770B6C" w:rsidRDefault="00C41B79" w:rsidP="00C41B79">
      <w:pPr>
        <w:pStyle w:val="H23"/>
        <w:ind w:right="1260"/>
      </w:pPr>
      <w:r>
        <w:tab/>
      </w:r>
      <w:r>
        <w:tab/>
      </w:r>
      <w:r w:rsidR="00770B6C">
        <w:t>Legal aid for women</w:t>
      </w:r>
      <w:r w:rsidR="001E33E4">
        <w:t>’</w:t>
      </w:r>
      <w:r w:rsidR="00770B6C">
        <w:t>s access to justice</w:t>
      </w:r>
    </w:p>
    <w:p w:rsidR="00C41B79" w:rsidRPr="00C41B79" w:rsidRDefault="00C41B79" w:rsidP="00C41B79">
      <w:pPr>
        <w:pStyle w:val="SingleTxt"/>
        <w:spacing w:after="0" w:line="120" w:lineRule="exact"/>
        <w:rPr>
          <w:sz w:val="10"/>
        </w:rPr>
      </w:pPr>
    </w:p>
    <w:p w:rsidR="005E1F07" w:rsidRDefault="00770B6C" w:rsidP="00770B6C">
      <w:pPr>
        <w:pStyle w:val="SingleTxt"/>
      </w:pPr>
      <w:r>
        <w:t>204</w:t>
      </w:r>
      <w:r w:rsidR="001E33E4">
        <w:t>.</w:t>
      </w:r>
      <w:r w:rsidR="001E33E4">
        <w:tab/>
      </w:r>
      <w:r>
        <w:t>With respect to legal aid for access to justice by women and children, the institutional machinery includes:</w:t>
      </w:r>
    </w:p>
    <w:p w:rsidR="00770B6C" w:rsidRDefault="00C41B79" w:rsidP="00C41B79">
      <w:pPr>
        <w:pStyle w:val="SingleTxt"/>
        <w:tabs>
          <w:tab w:val="right" w:pos="1685"/>
        </w:tabs>
        <w:ind w:left="1742" w:hanging="475"/>
      </w:pPr>
      <w:r>
        <w:tab/>
      </w:r>
      <w:r w:rsidR="00770B6C">
        <w:t>•</w:t>
      </w:r>
      <w:r w:rsidR="00770B6C">
        <w:tab/>
        <w:t>Legal clinics;</w:t>
      </w:r>
    </w:p>
    <w:p w:rsidR="00770B6C" w:rsidRDefault="00C41B79" w:rsidP="00C41B79">
      <w:pPr>
        <w:pStyle w:val="SingleTxt"/>
        <w:tabs>
          <w:tab w:val="right" w:pos="1685"/>
        </w:tabs>
        <w:ind w:left="1742" w:hanging="475"/>
      </w:pPr>
      <w:r>
        <w:tab/>
      </w:r>
      <w:r w:rsidR="00770B6C">
        <w:t>•</w:t>
      </w:r>
      <w:r w:rsidR="00770B6C">
        <w:tab/>
        <w:t>Legal aid centres have been created and are operating (Kayes1, Koulikoro 1, Mopti 1, Bamako 2, Ségou 1, Gao 1 Tombouctou 1);</w:t>
      </w:r>
    </w:p>
    <w:p w:rsidR="005E1F07" w:rsidRDefault="00C41B79" w:rsidP="00C41B79">
      <w:pPr>
        <w:pStyle w:val="SingleTxt"/>
        <w:tabs>
          <w:tab w:val="right" w:pos="1685"/>
        </w:tabs>
        <w:ind w:left="1742" w:hanging="475"/>
      </w:pPr>
      <w:r>
        <w:tab/>
      </w:r>
      <w:r w:rsidR="00770B6C">
        <w:t>•</w:t>
      </w:r>
      <w:r w:rsidR="00770B6C">
        <w:tab/>
        <w:t>Paralegals are also being trained</w:t>
      </w:r>
      <w:r>
        <w:t>.</w:t>
      </w:r>
    </w:p>
    <w:p w:rsidR="005E1F07" w:rsidRPr="00C41B79" w:rsidRDefault="00770B6C" w:rsidP="00770B6C">
      <w:pPr>
        <w:pStyle w:val="SingleTxt"/>
        <w:rPr>
          <w:spacing w:val="2"/>
        </w:rPr>
      </w:pPr>
      <w:r>
        <w:t>205.</w:t>
      </w:r>
      <w:r w:rsidR="001E33E4">
        <w:tab/>
      </w:r>
      <w:r w:rsidRPr="00C41B79">
        <w:rPr>
          <w:spacing w:val="2"/>
        </w:rPr>
        <w:t>Some of the legal clinics are staffed by associations for the defence of women</w:t>
      </w:r>
      <w:r w:rsidR="001E33E4" w:rsidRPr="00C41B79">
        <w:rPr>
          <w:spacing w:val="2"/>
        </w:rPr>
        <w:t>’</w:t>
      </w:r>
      <w:r w:rsidRPr="00C41B79">
        <w:rPr>
          <w:spacing w:val="2"/>
        </w:rPr>
        <w:t>s and children</w:t>
      </w:r>
      <w:r w:rsidR="001E33E4" w:rsidRPr="00C41B79">
        <w:rPr>
          <w:spacing w:val="2"/>
        </w:rPr>
        <w:t>’</w:t>
      </w:r>
      <w:r w:rsidRPr="00C41B79">
        <w:rPr>
          <w:spacing w:val="2"/>
        </w:rPr>
        <w:t>s rights, such as Association Jeunesse Mali (AJM) (Mali Youth Association); WILDAF (Women in Law and Development in Africa); Groupe pivot: droit et citoyenneté des femmes (Law and Citizenship Women</w:t>
      </w:r>
      <w:r w:rsidR="001E33E4" w:rsidRPr="00C41B79">
        <w:rPr>
          <w:spacing w:val="2"/>
        </w:rPr>
        <w:t>’</w:t>
      </w:r>
      <w:r w:rsidRPr="00C41B79">
        <w:rPr>
          <w:spacing w:val="2"/>
        </w:rPr>
        <w:t>s Group); Association for Progress and Defence of Malian Women</w:t>
      </w:r>
      <w:r w:rsidR="001E33E4" w:rsidRPr="00C41B79">
        <w:rPr>
          <w:spacing w:val="2"/>
        </w:rPr>
        <w:t>’</w:t>
      </w:r>
      <w:r w:rsidRPr="00C41B79">
        <w:rPr>
          <w:spacing w:val="2"/>
        </w:rPr>
        <w:t>s Rights (Association pour le progrès et la défense des droits des femmes maliennes); Coordinating Organization for Women</w:t>
      </w:r>
      <w:r w:rsidR="001E33E4" w:rsidRPr="00C41B79">
        <w:rPr>
          <w:spacing w:val="2"/>
        </w:rPr>
        <w:t>’</w:t>
      </w:r>
      <w:r w:rsidRPr="00C41B79">
        <w:rPr>
          <w:spacing w:val="2"/>
        </w:rPr>
        <w:t>s Associations and Organizations in Mali (CAFO).</w:t>
      </w:r>
    </w:p>
    <w:p w:rsidR="005E1F07" w:rsidRDefault="00770B6C" w:rsidP="00770B6C">
      <w:pPr>
        <w:pStyle w:val="SingleTxt"/>
      </w:pPr>
      <w:r>
        <w:lastRenderedPageBreak/>
        <w:t>206.</w:t>
      </w:r>
      <w:r w:rsidR="001E33E4">
        <w:tab/>
      </w:r>
      <w:r>
        <w:t>There have been major advances in the area of human rights, including:</w:t>
      </w:r>
    </w:p>
    <w:p w:rsidR="00770B6C" w:rsidRDefault="001E33E4" w:rsidP="00C41B79">
      <w:pPr>
        <w:pStyle w:val="SingleTxt"/>
        <w:tabs>
          <w:tab w:val="right" w:pos="1685"/>
        </w:tabs>
        <w:ind w:left="1742" w:hanging="475"/>
      </w:pPr>
      <w:r>
        <w:tab/>
      </w:r>
      <w:r w:rsidR="00770B6C">
        <w:t>•</w:t>
      </w:r>
      <w:r w:rsidR="00770B6C">
        <w:tab/>
        <w:t>A joint programme for protection and promotion of human rights and gender rights, which has been addressed in several human rights trainings events;</w:t>
      </w:r>
    </w:p>
    <w:p w:rsidR="00770B6C" w:rsidRDefault="001E33E4" w:rsidP="00C41B79">
      <w:pPr>
        <w:pStyle w:val="SingleTxt"/>
        <w:tabs>
          <w:tab w:val="right" w:pos="1685"/>
        </w:tabs>
        <w:ind w:left="1742" w:hanging="475"/>
      </w:pPr>
      <w:r>
        <w:tab/>
      </w:r>
      <w:r w:rsidR="00770B6C">
        <w:t>•</w:t>
      </w:r>
      <w:r w:rsidR="00770B6C">
        <w:tab/>
        <w:t>Creation and operation of a national human rights commission;</w:t>
      </w:r>
    </w:p>
    <w:p w:rsidR="00770B6C" w:rsidRDefault="001E33E4" w:rsidP="00C41B79">
      <w:pPr>
        <w:pStyle w:val="SingleTxt"/>
        <w:tabs>
          <w:tab w:val="right" w:pos="1685"/>
        </w:tabs>
        <w:ind w:left="1742" w:hanging="475"/>
      </w:pPr>
      <w:r>
        <w:tab/>
      </w:r>
      <w:r w:rsidR="00770B6C">
        <w:t>•</w:t>
      </w:r>
      <w:r w:rsidR="00770B6C">
        <w:tab/>
        <w:t>Institutionalization of the Forum for Democratic Discussion (Espace d</w:t>
      </w:r>
      <w:r>
        <w:t>’</w:t>
      </w:r>
      <w:r w:rsidR="00770B6C">
        <w:t>Interpellation Démocratique</w:t>
      </w:r>
      <w:r w:rsidR="008F4CE3">
        <w:t xml:space="preserve"> — </w:t>
      </w:r>
      <w:r w:rsidR="00770B6C">
        <w:t>EID);</w:t>
      </w:r>
    </w:p>
    <w:p w:rsidR="00770B6C" w:rsidRDefault="001E33E4" w:rsidP="00C41B79">
      <w:pPr>
        <w:pStyle w:val="SingleTxt"/>
        <w:tabs>
          <w:tab w:val="right" w:pos="1685"/>
        </w:tabs>
        <w:ind w:left="1742" w:hanging="475"/>
      </w:pPr>
      <w:r>
        <w:tab/>
      </w:r>
      <w:r w:rsidR="00770B6C">
        <w:t>•</w:t>
      </w:r>
      <w:r w:rsidR="00770B6C">
        <w:tab/>
        <w:t>Presentation of the first and second reports under the Universal Periodic Review;</w:t>
      </w:r>
    </w:p>
    <w:p w:rsidR="005E1F07" w:rsidRDefault="001E33E4" w:rsidP="00C41B79">
      <w:pPr>
        <w:pStyle w:val="SingleTxt"/>
        <w:tabs>
          <w:tab w:val="right" w:pos="1685"/>
        </w:tabs>
        <w:ind w:left="1742" w:hanging="475"/>
      </w:pPr>
      <w:r>
        <w:tab/>
      </w:r>
      <w:r w:rsidR="00770B6C">
        <w:t>•</w:t>
      </w:r>
      <w:r w:rsidR="00770B6C">
        <w:tab/>
        <w:t>Intervention of counsel at the inquiry stage.</w:t>
      </w:r>
    </w:p>
    <w:p w:rsidR="00C41B79" w:rsidRPr="00C41B79" w:rsidRDefault="00C41B79" w:rsidP="00C41B79">
      <w:pPr>
        <w:pStyle w:val="SingleTxt"/>
        <w:tabs>
          <w:tab w:val="right" w:pos="1685"/>
        </w:tabs>
        <w:spacing w:after="0" w:line="120" w:lineRule="exact"/>
        <w:ind w:left="1742" w:hanging="475"/>
        <w:rPr>
          <w:sz w:val="10"/>
        </w:rPr>
      </w:pPr>
    </w:p>
    <w:p w:rsidR="005E1F07" w:rsidRDefault="001E33E4" w:rsidP="00C41B79">
      <w:pPr>
        <w:pStyle w:val="H23"/>
        <w:ind w:right="1260"/>
      </w:pPr>
      <w:r>
        <w:tab/>
      </w:r>
      <w:r w:rsidR="00770B6C">
        <w:tab/>
        <w:t>JUSTICE</w:t>
      </w:r>
    </w:p>
    <w:p w:rsidR="00C41B79" w:rsidRPr="00C41B79" w:rsidRDefault="00C41B79" w:rsidP="00C41B79">
      <w:pPr>
        <w:pStyle w:val="SingleTxt"/>
        <w:spacing w:after="0" w:line="120" w:lineRule="exact"/>
        <w:rPr>
          <w:sz w:val="10"/>
        </w:rPr>
      </w:pPr>
    </w:p>
    <w:p w:rsidR="005E1F07" w:rsidRDefault="00770B6C" w:rsidP="00770B6C">
      <w:pPr>
        <w:pStyle w:val="SingleTxt"/>
      </w:pPr>
      <w:r>
        <w:t>207.</w:t>
      </w:r>
      <w:r w:rsidR="001E33E4">
        <w:tab/>
      </w:r>
      <w:r>
        <w:t>With regard to access to justice, there is no discrimination between men and women.</w:t>
      </w:r>
    </w:p>
    <w:p w:rsidR="005E1F07" w:rsidRDefault="00770B6C" w:rsidP="00770B6C">
      <w:pPr>
        <w:pStyle w:val="SingleTxt"/>
      </w:pPr>
      <w:r>
        <w:t>208.</w:t>
      </w:r>
      <w:r w:rsidR="001E33E4">
        <w:tab/>
      </w:r>
      <w:r>
        <w:t xml:space="preserve">Article 36 of the Marriage and Family Code provides that </w:t>
      </w:r>
      <w:r w:rsidR="001E33E4">
        <w:t>“</w:t>
      </w:r>
      <w:r>
        <w:t>A married woman shall possess full civil capacity; the exercise of that capacity shall be limited only by the marriage contract and by the law</w:t>
      </w:r>
      <w:r w:rsidR="001E33E4">
        <w:t>”</w:t>
      </w:r>
      <w:r w:rsidR="00C41B79">
        <w:t>.</w:t>
      </w:r>
    </w:p>
    <w:p w:rsidR="005E1F07" w:rsidRDefault="00770B6C" w:rsidP="00770B6C">
      <w:pPr>
        <w:pStyle w:val="SingleTxt"/>
      </w:pPr>
      <w:r>
        <w:t>209.</w:t>
      </w:r>
      <w:r w:rsidR="001E33E4">
        <w:tab/>
      </w:r>
      <w:r>
        <w:t>It should be noted, however, that few judges are able to systematically and directly refer to the Convention on the Elimination of Discrimination against Women in support of their decisions.</w:t>
      </w:r>
    </w:p>
    <w:p w:rsidR="005E1F07" w:rsidRDefault="00770B6C" w:rsidP="00770B6C">
      <w:pPr>
        <w:pStyle w:val="SingleTxt"/>
      </w:pPr>
      <w:r>
        <w:t>210.</w:t>
      </w:r>
      <w:r w:rsidR="001E33E4">
        <w:tab/>
      </w:r>
      <w:r>
        <w:t>It should be noted that women are faced with unwieldy judicial procedures, lack of information and assistance, and problems relating to court costs.</w:t>
      </w:r>
      <w:r w:rsidR="005E03D8">
        <w:t xml:space="preserve"> </w:t>
      </w:r>
      <w:r>
        <w:t>The amount of such costs is high in relation to the average citizen</w:t>
      </w:r>
      <w:r w:rsidR="001E33E4">
        <w:t>’</w:t>
      </w:r>
      <w:r>
        <w:t xml:space="preserve">s income, constituting an obstacle to justice for women without means. </w:t>
      </w:r>
    </w:p>
    <w:p w:rsidR="005E1F07" w:rsidRDefault="00770B6C" w:rsidP="00770B6C">
      <w:pPr>
        <w:pStyle w:val="SingleTxt"/>
      </w:pPr>
      <w:r>
        <w:t>211.</w:t>
      </w:r>
      <w:r w:rsidR="001E33E4">
        <w:tab/>
      </w:r>
      <w:r>
        <w:t>The establishment of legal aid services and a legal assistance fund for women will help to overcome these problems facing women in regard to legal proceedings.</w:t>
      </w:r>
    </w:p>
    <w:p w:rsidR="005E1F07" w:rsidRDefault="00770B6C" w:rsidP="00770B6C">
      <w:pPr>
        <w:pStyle w:val="SingleTxt"/>
      </w:pPr>
      <w:r>
        <w:t>212.</w:t>
      </w:r>
      <w:r w:rsidR="001E33E4">
        <w:tab/>
      </w:r>
      <w:r>
        <w:t>Article 5 of Mali</w:t>
      </w:r>
      <w:r w:rsidR="001E33E4">
        <w:t>’</w:t>
      </w:r>
      <w:r>
        <w:t>s Constitution recognizes the freedom of all citizens to come and go and their free choice of residence.</w:t>
      </w:r>
    </w:p>
    <w:p w:rsidR="00C41B79" w:rsidRPr="00C41B79" w:rsidRDefault="00C41B79" w:rsidP="00C41B79">
      <w:pPr>
        <w:pStyle w:val="SingleTxt"/>
        <w:spacing w:after="0" w:line="120" w:lineRule="exact"/>
        <w:rPr>
          <w:sz w:val="10"/>
        </w:rPr>
      </w:pPr>
    </w:p>
    <w:p w:rsidR="00C41B79" w:rsidRPr="00C41B79" w:rsidRDefault="00C41B79" w:rsidP="00C41B79">
      <w:pPr>
        <w:pStyle w:val="SingleTxt"/>
        <w:spacing w:after="0" w:line="120" w:lineRule="exact"/>
        <w:rPr>
          <w:sz w:val="10"/>
        </w:rPr>
      </w:pPr>
    </w:p>
    <w:p w:rsidR="005E1F07" w:rsidRDefault="00C41B79" w:rsidP="00C41B79">
      <w:pPr>
        <w:pStyle w:val="H1"/>
        <w:ind w:right="1260"/>
      </w:pPr>
      <w:r>
        <w:tab/>
      </w:r>
      <w:r>
        <w:tab/>
        <w:t xml:space="preserve">Article </w:t>
      </w:r>
      <w:r w:rsidR="00770B6C">
        <w:t>16: Equality in marriage under family law</w:t>
      </w:r>
    </w:p>
    <w:p w:rsidR="00C41B79" w:rsidRPr="00C41B79" w:rsidRDefault="00C41B79" w:rsidP="00C41B79">
      <w:pPr>
        <w:pStyle w:val="SingleTxt"/>
        <w:spacing w:after="0" w:line="120" w:lineRule="exact"/>
        <w:rPr>
          <w:sz w:val="10"/>
        </w:rPr>
      </w:pPr>
    </w:p>
    <w:p w:rsidR="00C41B79" w:rsidRPr="00C41B79" w:rsidRDefault="00C41B79" w:rsidP="00C41B79">
      <w:pPr>
        <w:pStyle w:val="SingleTxt"/>
        <w:spacing w:after="0" w:line="120" w:lineRule="exact"/>
        <w:rPr>
          <w:sz w:val="10"/>
        </w:rPr>
      </w:pPr>
    </w:p>
    <w:p w:rsidR="005E1F07" w:rsidRDefault="00770B6C" w:rsidP="00770B6C">
      <w:pPr>
        <w:pStyle w:val="SingleTxt"/>
      </w:pPr>
      <w:r>
        <w:t>213.</w:t>
      </w:r>
      <w:r w:rsidR="00C41B79">
        <w:tab/>
      </w:r>
      <w:r>
        <w:t xml:space="preserve">Under the law of Mali, Marriage may only be entered into with the free and full consent of the intending spouses. Consent is a condition </w:t>
      </w:r>
      <w:r w:rsidRPr="00C41B79">
        <w:rPr>
          <w:i/>
        </w:rPr>
        <w:t>sine qua non</w:t>
      </w:r>
      <w:r>
        <w:t xml:space="preserve"> of its validity.</w:t>
      </w:r>
      <w:r w:rsidR="005E03D8">
        <w:t xml:space="preserve"> </w:t>
      </w:r>
      <w:r>
        <w:t>Article 146 of the Civil Code confirms this provision.</w:t>
      </w:r>
    </w:p>
    <w:p w:rsidR="005E1F07" w:rsidRDefault="00770B6C" w:rsidP="00770B6C">
      <w:pPr>
        <w:pStyle w:val="SingleTxt"/>
      </w:pPr>
      <w:r>
        <w:t>214.</w:t>
      </w:r>
      <w:r w:rsidR="00C41B79">
        <w:tab/>
      </w:r>
      <w:r>
        <w:t>Article 10 of the Code of Marriage and Family provides that marriage must be formulated orally in the presence of the future spouses; it is entered into by signature or, failing this, by applying a fingerprint at the bottom of the document.</w:t>
      </w:r>
    </w:p>
    <w:p w:rsidR="005E1F07" w:rsidRDefault="00770B6C" w:rsidP="00770B6C">
      <w:pPr>
        <w:pStyle w:val="SingleTxt"/>
      </w:pPr>
      <w:r>
        <w:t>215.</w:t>
      </w:r>
      <w:r w:rsidR="00C41B79">
        <w:tab/>
      </w:r>
      <w:r>
        <w:t>Polygamy is provided for in the marriage code of Mali.</w:t>
      </w:r>
      <w:r w:rsidR="005E03D8">
        <w:t xml:space="preserve"> </w:t>
      </w:r>
      <w:r>
        <w:t>There are disparities in the areas of management and decision-making within the household, inheritance, divorce especially with regard to causes and effects, parental authority</w:t>
      </w:r>
      <w:r w:rsidR="005E03D8">
        <w:t xml:space="preserve"> </w:t>
      </w:r>
      <w:r w:rsidR="00A61064">
        <w:t xml:space="preserve">— </w:t>
      </w:r>
      <w:r>
        <w:t>all important considerations with regard to women</w:t>
      </w:r>
      <w:r w:rsidR="001E33E4">
        <w:t>’</w:t>
      </w:r>
      <w:r>
        <w:t>s rights.</w:t>
      </w:r>
    </w:p>
    <w:p w:rsidR="00C41B79" w:rsidRPr="00C41B79" w:rsidRDefault="00C41B79" w:rsidP="00C41B79">
      <w:pPr>
        <w:pStyle w:val="SingleTxt"/>
        <w:spacing w:after="0" w:line="120" w:lineRule="exact"/>
        <w:rPr>
          <w:sz w:val="10"/>
        </w:rPr>
      </w:pPr>
    </w:p>
    <w:p w:rsidR="00C41B79" w:rsidRPr="00C41B79" w:rsidRDefault="00C41B79" w:rsidP="00C41B79">
      <w:pPr>
        <w:pStyle w:val="SingleTxt"/>
        <w:spacing w:after="0" w:line="120" w:lineRule="exact"/>
        <w:rPr>
          <w:sz w:val="10"/>
        </w:rPr>
      </w:pPr>
    </w:p>
    <w:p w:rsidR="005E1F07" w:rsidRDefault="00C41B79" w:rsidP="00C41B79">
      <w:pPr>
        <w:pStyle w:val="H23"/>
        <w:ind w:right="1260"/>
      </w:pPr>
      <w:r>
        <w:lastRenderedPageBreak/>
        <w:tab/>
      </w:r>
      <w:r>
        <w:tab/>
      </w:r>
      <w:r w:rsidR="00770B6C">
        <w:t>EARLY MARRIAGE:</w:t>
      </w:r>
    </w:p>
    <w:p w:rsidR="00C41B79" w:rsidRPr="00C41B79" w:rsidRDefault="00C41B79" w:rsidP="00C41B79">
      <w:pPr>
        <w:pStyle w:val="SingleTxt"/>
        <w:keepNext/>
        <w:keepLines/>
        <w:spacing w:after="0" w:line="120" w:lineRule="exact"/>
        <w:rPr>
          <w:sz w:val="10"/>
        </w:rPr>
      </w:pPr>
    </w:p>
    <w:p w:rsidR="005E1F07" w:rsidRDefault="00770B6C" w:rsidP="00C41B79">
      <w:pPr>
        <w:pStyle w:val="SingleTxt"/>
        <w:keepNext/>
        <w:keepLines/>
      </w:pPr>
      <w:r>
        <w:t>216. In order to preserve the rights of young girls for their best interests and those of their family, the legislator has placed special emphasis on actions of prevention, management and follow-up of the negative consequences of forced and early marriages, with respect to negative consequences on reproductive health.</w:t>
      </w:r>
    </w:p>
    <w:p w:rsidR="005E1F07" w:rsidRDefault="00770B6C" w:rsidP="00770B6C">
      <w:pPr>
        <w:pStyle w:val="SingleTxt"/>
      </w:pPr>
      <w:r>
        <w:t>217.</w:t>
      </w:r>
      <w:r w:rsidR="001E33E4">
        <w:tab/>
      </w:r>
      <w:r>
        <w:t>Maternal mortality and infant mortality have declined significantly due to the improvement of health centres and more frequent use of them.</w:t>
      </w:r>
    </w:p>
    <w:p w:rsidR="005E1F07" w:rsidRDefault="00770B6C" w:rsidP="00770B6C">
      <w:pPr>
        <w:pStyle w:val="SingleTxt"/>
      </w:pPr>
      <w:r>
        <w:t>218.</w:t>
      </w:r>
      <w:r w:rsidR="001E33E4">
        <w:tab/>
      </w:r>
      <w:r>
        <w:t>Initiatives taken in the area of reproductive health have had positive impacts (caesarean sections are more frequent and are performed at no cost; comprehensive treatment of fistula).</w:t>
      </w:r>
      <w:r w:rsidR="005E03D8">
        <w:t xml:space="preserve"> </w:t>
      </w:r>
      <w:r>
        <w:t>Psycho-social or nutritional coverage for women victims of the consequences of early marriage is in the process of being introduced.</w:t>
      </w:r>
    </w:p>
    <w:p w:rsidR="005E1F07" w:rsidRDefault="00770B6C" w:rsidP="00770B6C">
      <w:pPr>
        <w:pStyle w:val="SingleTxt"/>
      </w:pPr>
      <w:r>
        <w:t>219.</w:t>
      </w:r>
      <w:r w:rsidR="001E33E4">
        <w:tab/>
      </w:r>
      <w:r>
        <w:t>The activities of most centres are focused on prevention and counselling.</w:t>
      </w:r>
    </w:p>
    <w:p w:rsidR="00770B6C" w:rsidRDefault="00770B6C" w:rsidP="00770B6C">
      <w:pPr>
        <w:pStyle w:val="SingleTxt"/>
      </w:pPr>
      <w:r>
        <w:t>220.</w:t>
      </w:r>
      <w:r w:rsidR="001E33E4">
        <w:tab/>
      </w:r>
      <w:r w:rsidRPr="00C41B79">
        <w:rPr>
          <w:b/>
        </w:rPr>
        <w:t>In the medical and legal areas</w:t>
      </w:r>
      <w:r>
        <w:t>: Awareness-raising workshops are being organized for community representatives and administrative and religious leaders on the frequency of early marriages and their consequences on reproductive health, and support is being extended to advocacy efforts for legislation aimed at better protecting the rights of young girls and women.</w:t>
      </w:r>
    </w:p>
    <w:p w:rsidR="00C41B79" w:rsidRPr="00C41B79" w:rsidRDefault="00C41B79" w:rsidP="00C41B79">
      <w:pPr>
        <w:pStyle w:val="SingleTxt"/>
        <w:spacing w:after="0" w:line="120" w:lineRule="exact"/>
        <w:rPr>
          <w:sz w:val="10"/>
        </w:rPr>
      </w:pPr>
    </w:p>
    <w:p w:rsidR="005E1F07" w:rsidRDefault="00770B6C" w:rsidP="00C41B79">
      <w:pPr>
        <w:pStyle w:val="H23"/>
        <w:ind w:right="1260"/>
      </w:pPr>
      <w:r>
        <w:tab/>
      </w:r>
      <w:r>
        <w:tab/>
        <w:t>Perception of reasons for early marriages:</w:t>
      </w:r>
    </w:p>
    <w:p w:rsidR="00C41B79" w:rsidRPr="00C41B79" w:rsidRDefault="00C41B79" w:rsidP="00C41B79">
      <w:pPr>
        <w:pStyle w:val="SingleTxt"/>
        <w:spacing w:after="0" w:line="120" w:lineRule="exact"/>
        <w:rPr>
          <w:sz w:val="10"/>
        </w:rPr>
      </w:pPr>
    </w:p>
    <w:p w:rsidR="00770B6C" w:rsidRDefault="00770B6C" w:rsidP="00770B6C">
      <w:pPr>
        <w:pStyle w:val="SingleTxt"/>
      </w:pPr>
      <w:r>
        <w:t>221.</w:t>
      </w:r>
      <w:r w:rsidR="001E33E4">
        <w:tab/>
      </w:r>
      <w:r>
        <w:t xml:space="preserve">The reasons most often adduced are of a </w:t>
      </w:r>
      <w:r w:rsidR="00224C39" w:rsidRPr="00224C39">
        <w:t>socio</w:t>
      </w:r>
      <w:r>
        <w:t>cultural character:</w:t>
      </w:r>
    </w:p>
    <w:p w:rsidR="00770B6C" w:rsidRDefault="001E33E4" w:rsidP="00224C39">
      <w:pPr>
        <w:pStyle w:val="SingleTxt"/>
        <w:tabs>
          <w:tab w:val="right" w:pos="1685"/>
        </w:tabs>
        <w:ind w:left="1742" w:hanging="475"/>
      </w:pPr>
      <w:r>
        <w:tab/>
      </w:r>
      <w:r w:rsidR="00770B6C">
        <w:t>•</w:t>
      </w:r>
      <w:r w:rsidR="00770B6C">
        <w:tab/>
        <w:t>Avoiding illegitimate pregnancies (marginalization of the girl);</w:t>
      </w:r>
    </w:p>
    <w:p w:rsidR="00770B6C" w:rsidRDefault="001E33E4" w:rsidP="00224C39">
      <w:pPr>
        <w:pStyle w:val="SingleTxt"/>
        <w:tabs>
          <w:tab w:val="right" w:pos="1685"/>
        </w:tabs>
        <w:ind w:left="1742" w:hanging="475"/>
      </w:pPr>
      <w:r>
        <w:tab/>
      </w:r>
      <w:r w:rsidR="00770B6C">
        <w:t>•</w:t>
      </w:r>
      <w:r w:rsidR="00770B6C">
        <w:tab/>
        <w:t>Better educating the girl (training the girl in her new domestic responsibilities in her in-laws</w:t>
      </w:r>
      <w:r>
        <w:t>’</w:t>
      </w:r>
      <w:r w:rsidR="00770B6C">
        <w:t xml:space="preserve"> family);</w:t>
      </w:r>
    </w:p>
    <w:p w:rsidR="00770B6C" w:rsidRDefault="001E33E4" w:rsidP="00224C39">
      <w:pPr>
        <w:pStyle w:val="SingleTxt"/>
        <w:tabs>
          <w:tab w:val="right" w:pos="1685"/>
        </w:tabs>
        <w:ind w:left="1742" w:hanging="475"/>
      </w:pPr>
      <w:r>
        <w:tab/>
      </w:r>
      <w:r w:rsidR="00770B6C">
        <w:t>•</w:t>
      </w:r>
      <w:r w:rsidR="00770B6C">
        <w:tab/>
        <w:t>Protecting the girl</w:t>
      </w:r>
      <w:r>
        <w:t>’</w:t>
      </w:r>
      <w:r w:rsidR="00770B6C">
        <w:t>s virginity (pre-conjugal virginity)</w:t>
      </w:r>
      <w:r w:rsidR="00E2088B">
        <w:t>;</w:t>
      </w:r>
      <w:r w:rsidR="00770B6C">
        <w:t xml:space="preserve"> </w:t>
      </w:r>
    </w:p>
    <w:p w:rsidR="00770B6C" w:rsidRDefault="001E33E4" w:rsidP="00224C39">
      <w:pPr>
        <w:pStyle w:val="SingleTxt"/>
        <w:tabs>
          <w:tab w:val="right" w:pos="1685"/>
        </w:tabs>
        <w:ind w:left="1742" w:hanging="475"/>
      </w:pPr>
      <w:r>
        <w:tab/>
      </w:r>
      <w:r w:rsidR="00770B6C">
        <w:t>•</w:t>
      </w:r>
      <w:r w:rsidR="00770B6C">
        <w:tab/>
        <w:t>The following may also be cited:</w:t>
      </w:r>
    </w:p>
    <w:p w:rsidR="00770B6C" w:rsidRDefault="001E33E4" w:rsidP="00C41B79">
      <w:pPr>
        <w:pStyle w:val="SingleTxt"/>
        <w:ind w:left="2016" w:hanging="749"/>
      </w:pPr>
      <w:r>
        <w:tab/>
      </w:r>
      <w:r w:rsidR="00C41B79">
        <w:tab/>
      </w:r>
      <w:r>
        <w:t>–</w:t>
      </w:r>
      <w:r>
        <w:tab/>
      </w:r>
      <w:r w:rsidR="00770B6C">
        <w:t>For sedentary people, lower costs;</w:t>
      </w:r>
    </w:p>
    <w:p w:rsidR="005E1F07" w:rsidRDefault="001E33E4" w:rsidP="00C41B79">
      <w:pPr>
        <w:pStyle w:val="SingleTxt"/>
        <w:ind w:left="2016" w:hanging="749"/>
      </w:pPr>
      <w:r>
        <w:tab/>
      </w:r>
      <w:r w:rsidR="00C41B79">
        <w:tab/>
      </w:r>
      <w:r>
        <w:t>–</w:t>
      </w:r>
      <w:r>
        <w:tab/>
      </w:r>
      <w:r w:rsidR="00770B6C">
        <w:t>For nomadic people, perpetuating the family line.</w:t>
      </w:r>
    </w:p>
    <w:p w:rsidR="00C41B79" w:rsidRPr="00C41B79" w:rsidRDefault="00C41B79" w:rsidP="00C41B79">
      <w:pPr>
        <w:pStyle w:val="SingleTxt"/>
        <w:tabs>
          <w:tab w:val="right" w:pos="1685"/>
        </w:tabs>
        <w:spacing w:after="0" w:line="120" w:lineRule="exact"/>
        <w:ind w:left="1742" w:hanging="475"/>
        <w:rPr>
          <w:sz w:val="10"/>
        </w:rPr>
      </w:pPr>
    </w:p>
    <w:p w:rsidR="005E1F07" w:rsidRDefault="00C41B79" w:rsidP="00C41B79">
      <w:pPr>
        <w:pStyle w:val="H23"/>
        <w:ind w:right="1260"/>
      </w:pPr>
      <w:r>
        <w:tab/>
      </w:r>
      <w:r>
        <w:tab/>
      </w:r>
      <w:r w:rsidR="00770B6C">
        <w:t>Perception of early marriages</w:t>
      </w:r>
      <w:r w:rsidR="001E33E4">
        <w:t>’</w:t>
      </w:r>
      <w:r w:rsidR="00770B6C">
        <w:t xml:space="preserve"> negative consequences for health:</w:t>
      </w:r>
    </w:p>
    <w:p w:rsidR="00C41B79" w:rsidRPr="00C41B79" w:rsidRDefault="00C41B79" w:rsidP="00C41B79">
      <w:pPr>
        <w:pStyle w:val="SingleTxt"/>
        <w:spacing w:after="0" w:line="120" w:lineRule="exact"/>
        <w:rPr>
          <w:sz w:val="10"/>
        </w:rPr>
      </w:pPr>
    </w:p>
    <w:p w:rsidR="00770B6C" w:rsidRDefault="001E33E4" w:rsidP="00224C39">
      <w:pPr>
        <w:pStyle w:val="SingleTxt"/>
        <w:tabs>
          <w:tab w:val="right" w:pos="1685"/>
        </w:tabs>
        <w:ind w:left="1742" w:hanging="475"/>
      </w:pPr>
      <w:r>
        <w:tab/>
      </w:r>
      <w:r w:rsidR="00770B6C">
        <w:t>•</w:t>
      </w:r>
      <w:r w:rsidR="00770B6C">
        <w:tab/>
        <w:t>Risk of infant and maternal mortality;</w:t>
      </w:r>
    </w:p>
    <w:p w:rsidR="00770B6C" w:rsidRDefault="001E33E4" w:rsidP="00224C39">
      <w:pPr>
        <w:pStyle w:val="SingleTxt"/>
        <w:tabs>
          <w:tab w:val="right" w:pos="1685"/>
        </w:tabs>
        <w:ind w:left="1742" w:hanging="475"/>
      </w:pPr>
      <w:r>
        <w:tab/>
      </w:r>
      <w:r w:rsidR="00770B6C">
        <w:t>•</w:t>
      </w:r>
      <w:r w:rsidR="00770B6C">
        <w:tab/>
        <w:t>Difficulties of labour (painful and long labour; obstetric risks such as dystocia, lacerations, traumatic injuries, vesico-vaginal fistula);</w:t>
      </w:r>
    </w:p>
    <w:p w:rsidR="005E1F07" w:rsidRDefault="001E33E4" w:rsidP="00224C39">
      <w:pPr>
        <w:pStyle w:val="SingleTxt"/>
        <w:tabs>
          <w:tab w:val="right" w:pos="1685"/>
        </w:tabs>
        <w:ind w:left="1742" w:hanging="475"/>
      </w:pPr>
      <w:r>
        <w:tab/>
      </w:r>
      <w:r w:rsidR="00770B6C">
        <w:t>•</w:t>
      </w:r>
      <w:r w:rsidR="00770B6C">
        <w:tab/>
        <w:t>Difficulties in sexual relations with the partner (laceration, physical and psychological trauma).</w:t>
      </w:r>
    </w:p>
    <w:p w:rsidR="005E1F07" w:rsidRDefault="00770B6C" w:rsidP="00770B6C">
      <w:pPr>
        <w:pStyle w:val="SingleTxt"/>
      </w:pPr>
      <w:r>
        <w:t>222.</w:t>
      </w:r>
      <w:r w:rsidR="001E33E4">
        <w:tab/>
      </w:r>
      <w:r>
        <w:t>The consequences of early marriage may be of a medical kind, namely unwanted pregnancies, pregnancies too early or too close together, risk of transmitting STDs or HIV/AIDS, spontaneous or provoked abortions, infertility, difficult or premature labour; low birth weight or even cerebral lesions in the newborn; maternal death or neonatal death; sexual dysfunctions (frigidity, vaginitis, uro-genital fistulas, traumas of all kinds, etc.). There are also other repercussions of early marriages that are no less important:</w:t>
      </w:r>
    </w:p>
    <w:p w:rsidR="00770B6C" w:rsidRDefault="00770B6C" w:rsidP="00770B6C">
      <w:pPr>
        <w:pStyle w:val="SingleTxt"/>
      </w:pPr>
      <w:r w:rsidRPr="00C41B79">
        <w:rPr>
          <w:b/>
        </w:rPr>
        <w:lastRenderedPageBreak/>
        <w:t>In educational terms</w:t>
      </w:r>
      <w:r>
        <w:t>: young girls leaving school, remaining unschooled or dropping out;</w:t>
      </w:r>
    </w:p>
    <w:p w:rsidR="005E1F07" w:rsidRDefault="00770B6C" w:rsidP="00770B6C">
      <w:pPr>
        <w:pStyle w:val="SingleTxt"/>
      </w:pPr>
      <w:r w:rsidRPr="00C41B79">
        <w:rPr>
          <w:b/>
        </w:rPr>
        <w:t>In social terms</w:t>
      </w:r>
      <w:r>
        <w:t>: deterioration of social relations with failed marriages, instability (multiple divorces, flight, home abandonment, single-mother households, stigmatization, rejection by the husband, family or even society, and finally suicide.</w:t>
      </w:r>
    </w:p>
    <w:p w:rsidR="00C41B79" w:rsidRPr="00C41B79" w:rsidRDefault="00C41B79" w:rsidP="00C41B79">
      <w:pPr>
        <w:pStyle w:val="SingleTxt"/>
        <w:spacing w:after="0" w:line="120" w:lineRule="exact"/>
        <w:rPr>
          <w:sz w:val="10"/>
        </w:rPr>
      </w:pPr>
    </w:p>
    <w:p w:rsidR="00770B6C" w:rsidRDefault="00C41B79" w:rsidP="00C41B79">
      <w:pPr>
        <w:pStyle w:val="H23"/>
        <w:ind w:right="1260"/>
      </w:pPr>
      <w:r>
        <w:tab/>
      </w:r>
      <w:r>
        <w:tab/>
      </w:r>
      <w:r w:rsidR="00770B6C">
        <w:t>Equality of men and women in marriage</w:t>
      </w:r>
    </w:p>
    <w:p w:rsidR="00C41B79" w:rsidRPr="00C41B79" w:rsidRDefault="00C41B79" w:rsidP="00C41B79">
      <w:pPr>
        <w:pStyle w:val="SingleTxt"/>
        <w:spacing w:after="0" w:line="120" w:lineRule="exact"/>
        <w:rPr>
          <w:sz w:val="10"/>
        </w:rPr>
      </w:pPr>
    </w:p>
    <w:p w:rsidR="005E1F07" w:rsidRDefault="00770B6C" w:rsidP="00770B6C">
      <w:pPr>
        <w:pStyle w:val="SingleTxt"/>
      </w:pPr>
      <w:r>
        <w:t>223.</w:t>
      </w:r>
      <w:r w:rsidR="001E33E4">
        <w:tab/>
      </w:r>
      <w:r>
        <w:t>The code of persons and the family contains important innovations:</w:t>
      </w:r>
    </w:p>
    <w:p w:rsidR="005E1F07" w:rsidRDefault="00770B6C" w:rsidP="00C41B79">
      <w:pPr>
        <w:pStyle w:val="SingleTxt"/>
        <w:ind w:left="1742"/>
      </w:pPr>
      <w:r>
        <w:t>The amount of dowry is set at the token sum of 15,000 CFA francs both for a young girl and for a woman already married.</w:t>
      </w:r>
      <w:r w:rsidR="005E03D8">
        <w:t xml:space="preserve"> </w:t>
      </w:r>
      <w:r>
        <w:t>It is not reimbursed in the event of divorce if the marriage has been consummated.</w:t>
      </w:r>
    </w:p>
    <w:p w:rsidR="005E1F07" w:rsidRDefault="00770B6C" w:rsidP="00C41B79">
      <w:pPr>
        <w:pStyle w:val="SingleTxt"/>
        <w:ind w:left="1742"/>
      </w:pPr>
      <w:r>
        <w:t>With regard to filiation, in addition to changes in terminology regarding adultery, incest and children born out of wedlock, the rules for establishing the paternity of children born out of wedlock (recognition, repudiation, justification) have been reviewed. Emphasis has been placed on the following:</w:t>
      </w:r>
    </w:p>
    <w:p w:rsidR="00770B6C" w:rsidRDefault="001E33E4" w:rsidP="003B6D0E">
      <w:pPr>
        <w:pStyle w:val="SingleTxt"/>
        <w:tabs>
          <w:tab w:val="clear" w:pos="1742"/>
          <w:tab w:val="right" w:pos="1685"/>
          <w:tab w:val="left" w:pos="1899"/>
        </w:tabs>
        <w:ind w:left="2016" w:hanging="749"/>
      </w:pPr>
      <w:r>
        <w:tab/>
      </w:r>
      <w:r w:rsidR="003B6D0E">
        <w:tab/>
      </w:r>
      <w:r w:rsidR="00770B6C">
        <w:t>•</w:t>
      </w:r>
      <w:r w:rsidR="00770B6C">
        <w:tab/>
        <w:t>Definition of engagement and reparations in the event of breaking of engagement due to fault;</w:t>
      </w:r>
    </w:p>
    <w:p w:rsidR="00770B6C" w:rsidRDefault="001E33E4" w:rsidP="003B6D0E">
      <w:pPr>
        <w:pStyle w:val="SingleTxt"/>
        <w:tabs>
          <w:tab w:val="clear" w:pos="1742"/>
          <w:tab w:val="right" w:pos="1685"/>
          <w:tab w:val="left" w:pos="1899"/>
        </w:tabs>
        <w:ind w:left="2016" w:hanging="749"/>
      </w:pPr>
      <w:r>
        <w:tab/>
      </w:r>
      <w:r w:rsidR="003B6D0E">
        <w:tab/>
      </w:r>
      <w:r w:rsidR="00770B6C">
        <w:t>•</w:t>
      </w:r>
      <w:r w:rsidR="00770B6C">
        <w:tab/>
        <w:t>Full legal capacity for women on a par with men within marriage;</w:t>
      </w:r>
    </w:p>
    <w:p w:rsidR="00770B6C" w:rsidRDefault="001E33E4" w:rsidP="003B6D0E">
      <w:pPr>
        <w:pStyle w:val="SingleTxt"/>
        <w:tabs>
          <w:tab w:val="clear" w:pos="1742"/>
          <w:tab w:val="right" w:pos="1685"/>
          <w:tab w:val="left" w:pos="1899"/>
        </w:tabs>
        <w:ind w:left="2016" w:hanging="749"/>
      </w:pPr>
      <w:r>
        <w:tab/>
      </w:r>
      <w:r w:rsidR="003B6D0E">
        <w:tab/>
      </w:r>
      <w:r w:rsidR="00770B6C">
        <w:t>•</w:t>
      </w:r>
      <w:r w:rsidR="00770B6C">
        <w:tab/>
        <w:t>In order to adapt the law to social reality, and for reasons of social justice, introduction of divorce and legal separation by mutual consent and of divorce by living separate and apart;</w:t>
      </w:r>
    </w:p>
    <w:p w:rsidR="00770B6C" w:rsidRDefault="001E33E4" w:rsidP="003B6D0E">
      <w:pPr>
        <w:pStyle w:val="SingleTxt"/>
        <w:tabs>
          <w:tab w:val="clear" w:pos="1742"/>
          <w:tab w:val="right" w:pos="1685"/>
          <w:tab w:val="left" w:pos="1899"/>
        </w:tabs>
        <w:ind w:left="2016" w:hanging="749"/>
      </w:pPr>
      <w:r>
        <w:tab/>
      </w:r>
      <w:r w:rsidR="003B6D0E">
        <w:tab/>
      </w:r>
      <w:r w:rsidR="00770B6C">
        <w:t>•</w:t>
      </w:r>
      <w:r w:rsidR="00770B6C">
        <w:tab/>
        <w:t xml:space="preserve">The concept of </w:t>
      </w:r>
      <w:r>
        <w:t>“</w:t>
      </w:r>
      <w:r w:rsidR="00770B6C">
        <w:t>parental authority</w:t>
      </w:r>
      <w:r>
        <w:t>”</w:t>
      </w:r>
      <w:r w:rsidR="00770B6C">
        <w:t xml:space="preserve"> has replaced that of </w:t>
      </w:r>
      <w:r>
        <w:t>“</w:t>
      </w:r>
      <w:r w:rsidR="00770B6C">
        <w:t>paternal power</w:t>
      </w:r>
      <w:r>
        <w:t>”</w:t>
      </w:r>
      <w:r w:rsidR="00770B6C">
        <w:t xml:space="preserve"> because it is more equitable and in keeping with the constitution as well as conventions and treaties, including the Convention on the Elimination of All Forms of Discrimination against Women;</w:t>
      </w:r>
    </w:p>
    <w:p w:rsidR="00770B6C" w:rsidRDefault="001E33E4" w:rsidP="003B6D0E">
      <w:pPr>
        <w:pStyle w:val="SingleTxt"/>
        <w:tabs>
          <w:tab w:val="clear" w:pos="1742"/>
          <w:tab w:val="right" w:pos="1685"/>
          <w:tab w:val="left" w:pos="1899"/>
        </w:tabs>
        <w:ind w:left="2016" w:hanging="749"/>
      </w:pPr>
      <w:r>
        <w:tab/>
      </w:r>
      <w:r w:rsidR="003B6D0E">
        <w:tab/>
      </w:r>
      <w:r w:rsidR="00770B6C">
        <w:t>•</w:t>
      </w:r>
      <w:r w:rsidR="00770B6C">
        <w:tab/>
        <w:t>Provisions regarding succession that give every person the right to decide while living, in writing, how his/her estate will be settled in keeping with religious or customary law if necessary. Failing the exercise of this right, provisions governing inheritance such as those of the current code are applied.</w:t>
      </w:r>
    </w:p>
    <w:p w:rsidR="00770B6C" w:rsidRDefault="001E33E4" w:rsidP="003B6D0E">
      <w:pPr>
        <w:pStyle w:val="SingleTxt"/>
        <w:tabs>
          <w:tab w:val="clear" w:pos="1742"/>
          <w:tab w:val="right" w:pos="1685"/>
          <w:tab w:val="left" w:pos="1899"/>
        </w:tabs>
        <w:ind w:left="2016" w:hanging="749"/>
      </w:pPr>
      <w:r>
        <w:tab/>
      </w:r>
      <w:r w:rsidR="003B6D0E">
        <w:tab/>
      </w:r>
      <w:r w:rsidR="00770B6C">
        <w:t>•</w:t>
      </w:r>
      <w:r w:rsidR="00770B6C">
        <w:tab/>
        <w:t>There has been a noteworthy improvement in the position of the surviving spouse, male or female.</w:t>
      </w:r>
      <w:r w:rsidR="005E03D8">
        <w:t xml:space="preserve"> </w:t>
      </w:r>
      <w:r w:rsidR="00770B6C">
        <w:t>Depending on the situation, that spouse may have partial or complete usufruct of the property, may receive one quarter or the whole of the estate, and at all events enjoys a right of occupancy in premises that were occupied at the time the succession opened and has a preferential right to the farmstead or business locale;</w:t>
      </w:r>
    </w:p>
    <w:p w:rsidR="00770B6C" w:rsidRDefault="001E33E4" w:rsidP="003B6D0E">
      <w:pPr>
        <w:pStyle w:val="SingleTxt"/>
        <w:tabs>
          <w:tab w:val="clear" w:pos="1742"/>
          <w:tab w:val="right" w:pos="1685"/>
          <w:tab w:val="left" w:pos="1899"/>
        </w:tabs>
        <w:ind w:left="2016" w:hanging="749"/>
      </w:pPr>
      <w:r>
        <w:tab/>
      </w:r>
      <w:r w:rsidR="00A61064">
        <w:tab/>
      </w:r>
      <w:r w:rsidR="00770B6C">
        <w:t>•</w:t>
      </w:r>
      <w:r w:rsidR="00770B6C">
        <w:tab/>
        <w:t>Introduction of the possibility for a woman to inherit land from her deceased husband;</w:t>
      </w:r>
    </w:p>
    <w:p w:rsidR="00770B6C" w:rsidRDefault="001E33E4" w:rsidP="003B6D0E">
      <w:pPr>
        <w:pStyle w:val="SingleTxt"/>
        <w:tabs>
          <w:tab w:val="clear" w:pos="1742"/>
          <w:tab w:val="right" w:pos="1685"/>
          <w:tab w:val="left" w:pos="1899"/>
        </w:tabs>
        <w:ind w:left="2016" w:hanging="749"/>
      </w:pPr>
      <w:r>
        <w:tab/>
      </w:r>
      <w:r w:rsidR="003B6D0E">
        <w:tab/>
      </w:r>
      <w:r w:rsidR="00770B6C">
        <w:t>•</w:t>
      </w:r>
      <w:r w:rsidR="00770B6C">
        <w:tab/>
        <w:t>The validity of a marriage now depends on the free consent of the spouses;</w:t>
      </w:r>
    </w:p>
    <w:p w:rsidR="00770B6C" w:rsidRDefault="001E33E4" w:rsidP="003B6D0E">
      <w:pPr>
        <w:pStyle w:val="SingleTxt"/>
        <w:tabs>
          <w:tab w:val="clear" w:pos="1742"/>
          <w:tab w:val="right" w:pos="1685"/>
          <w:tab w:val="left" w:pos="1899"/>
        </w:tabs>
        <w:ind w:left="2016" w:hanging="749"/>
      </w:pPr>
      <w:r>
        <w:tab/>
      </w:r>
      <w:r w:rsidR="003B6D0E">
        <w:tab/>
      </w:r>
      <w:r w:rsidR="00770B6C">
        <w:t>•</w:t>
      </w:r>
      <w:r w:rsidR="00770B6C">
        <w:tab/>
        <w:t>Any officer of the Civil Registry who performs an early marriage is subject to a sentence of imprisonment;</w:t>
      </w:r>
    </w:p>
    <w:p w:rsidR="005E1F07" w:rsidRDefault="001E33E4" w:rsidP="003B6D0E">
      <w:pPr>
        <w:pStyle w:val="SingleTxt"/>
        <w:tabs>
          <w:tab w:val="clear" w:pos="1742"/>
          <w:tab w:val="right" w:pos="1685"/>
          <w:tab w:val="left" w:pos="1899"/>
        </w:tabs>
        <w:ind w:left="2016" w:hanging="749"/>
      </w:pPr>
      <w:r>
        <w:lastRenderedPageBreak/>
        <w:tab/>
      </w:r>
      <w:r w:rsidR="003B6D0E">
        <w:tab/>
      </w:r>
      <w:r w:rsidR="00770B6C">
        <w:t>•</w:t>
      </w:r>
      <w:r w:rsidR="00770B6C">
        <w:tab/>
        <w:t>Recognition of the woman as head of household when the husband is absent for a prolonged period without justification, is missing, is under a banishment order (</w:t>
      </w:r>
      <w:r w:rsidR="00770B6C" w:rsidRPr="003B6D0E">
        <w:rPr>
          <w:i/>
        </w:rPr>
        <w:t>interdiction</w:t>
      </w:r>
      <w:r w:rsidR="00770B6C">
        <w:t>) or is not able to make known his will.</w:t>
      </w:r>
    </w:p>
    <w:p w:rsidR="005E1F07" w:rsidRDefault="00770B6C" w:rsidP="00770B6C">
      <w:pPr>
        <w:pStyle w:val="SingleTxt"/>
      </w:pPr>
      <w:r>
        <w:t>224.</w:t>
      </w:r>
      <w:r w:rsidR="001E33E4">
        <w:tab/>
      </w:r>
      <w:r>
        <w:t>All limitations on the exercise of parental rights by a surviving mother have been eliminated.</w:t>
      </w:r>
    </w:p>
    <w:p w:rsidR="005E1F07" w:rsidRDefault="00770B6C" w:rsidP="00770B6C">
      <w:pPr>
        <w:pStyle w:val="SingleTxt"/>
      </w:pPr>
      <w:r>
        <w:t>225.</w:t>
      </w:r>
      <w:r w:rsidR="001E33E4">
        <w:tab/>
      </w:r>
      <w:r>
        <w:t xml:space="preserve">Law No. </w:t>
      </w:r>
      <w:r w:rsidRPr="003B6D0E">
        <w:rPr>
          <w:b/>
        </w:rPr>
        <w:t>02-044 of 24/06/2002</w:t>
      </w:r>
      <w:r>
        <w:t xml:space="preserve"> on reproductive health provides that </w:t>
      </w:r>
      <w:r w:rsidR="001E33E4">
        <w:t>“</w:t>
      </w:r>
      <w:r>
        <w:t>men and women are equal in rights and dignity with regard to reproductive health</w:t>
      </w:r>
      <w:r w:rsidR="001E33E4">
        <w:t>”</w:t>
      </w:r>
      <w:r>
        <w:t xml:space="preserve"> (free choice of number of children, spacing of children).</w:t>
      </w:r>
    </w:p>
    <w:p w:rsidR="003B6D0E" w:rsidRPr="003B6D0E" w:rsidRDefault="003B6D0E" w:rsidP="003B6D0E">
      <w:pPr>
        <w:pStyle w:val="SingleTxt"/>
        <w:spacing w:after="0" w:line="120" w:lineRule="exact"/>
        <w:rPr>
          <w:sz w:val="10"/>
        </w:rPr>
      </w:pPr>
    </w:p>
    <w:p w:rsidR="005E1F07" w:rsidRDefault="00770B6C" w:rsidP="003B6D0E">
      <w:pPr>
        <w:pStyle w:val="H23"/>
        <w:ind w:right="1260"/>
      </w:pPr>
      <w:r>
        <w:tab/>
      </w:r>
      <w:r>
        <w:tab/>
        <w:t xml:space="preserve">CONCLUSION </w:t>
      </w:r>
    </w:p>
    <w:p w:rsidR="003B6D0E" w:rsidRPr="003B6D0E" w:rsidRDefault="003B6D0E" w:rsidP="003B6D0E">
      <w:pPr>
        <w:pStyle w:val="SingleTxt"/>
        <w:spacing w:after="0" w:line="120" w:lineRule="exact"/>
        <w:rPr>
          <w:sz w:val="10"/>
        </w:rPr>
      </w:pPr>
    </w:p>
    <w:p w:rsidR="005E1F07" w:rsidRDefault="00770B6C" w:rsidP="00770B6C">
      <w:pPr>
        <w:pStyle w:val="SingleTxt"/>
      </w:pPr>
      <w:r>
        <w:t>226.</w:t>
      </w:r>
      <w:r w:rsidR="001E33E4">
        <w:tab/>
      </w:r>
      <w:r>
        <w:t>It emerges from this report that for the reporting period 2006-2010 corresponding to the sixth and seventh combined reports of Mali, there has unquestionably been progress, especially with regard to improvement of living conditions of women (satisfaction of practical interests). In the rural setting, numerous groupings of women for social and economic purposes have improved their access to equipment, inputs, land and factors of production. Increasingly, women are organizing around agricultural/forestry/pastoral processing units and becoming involved in marketing through women</w:t>
      </w:r>
      <w:r w:rsidR="001E33E4">
        <w:t>’</w:t>
      </w:r>
      <w:r>
        <w:t>s and children</w:t>
      </w:r>
      <w:r w:rsidR="001E33E4">
        <w:t>’</w:t>
      </w:r>
      <w:r>
        <w:t>s centres (Maisons de la femme et de l</w:t>
      </w:r>
      <w:r w:rsidR="001E33E4">
        <w:t>’</w:t>
      </w:r>
      <w:r>
        <w:t>Enfant) and women</w:t>
      </w:r>
      <w:r w:rsidR="001E33E4">
        <w:t>’</w:t>
      </w:r>
      <w:r>
        <w:t>s self-help centres (Centres d</w:t>
      </w:r>
      <w:r w:rsidR="001E33E4">
        <w:t>’</w:t>
      </w:r>
      <w:r>
        <w:t xml:space="preserve">autopromotion des femmes). </w:t>
      </w:r>
    </w:p>
    <w:p w:rsidR="00770B6C" w:rsidRDefault="00770B6C" w:rsidP="00770B6C">
      <w:pPr>
        <w:pStyle w:val="SingleTxt"/>
      </w:pPr>
      <w:r>
        <w:t>227.</w:t>
      </w:r>
      <w:r w:rsidR="001E33E4">
        <w:tab/>
      </w:r>
      <w:r>
        <w:t xml:space="preserve">The Agricultural Guidance Act adopted by the Government in 2006 removes all legal barriers to access to land and use of land by women. Also, women must be represented in </w:t>
      </w:r>
      <w:r w:rsidR="008854F9">
        <w:t>policy</w:t>
      </w:r>
      <w:r>
        <w:t>making and management bodies locally and within the High Council of Agriculture (Conseil Supérieur de l</w:t>
      </w:r>
      <w:r w:rsidR="001E33E4">
        <w:t>’</w:t>
      </w:r>
      <w:r>
        <w:t>Agriculture). In addition, other actions have been taken that constitute decisive steps towards the promotion and effectiveness of women</w:t>
      </w:r>
      <w:r w:rsidR="001E33E4">
        <w:t>’</w:t>
      </w:r>
      <w:r>
        <w:t>s rights in Mali, in particular:</w:t>
      </w:r>
    </w:p>
    <w:p w:rsidR="00770B6C" w:rsidRDefault="00224C39" w:rsidP="00224C39">
      <w:pPr>
        <w:pStyle w:val="SingleTxt"/>
        <w:tabs>
          <w:tab w:val="right" w:pos="1685"/>
        </w:tabs>
        <w:ind w:left="1742" w:hanging="475"/>
      </w:pPr>
      <w:r>
        <w:tab/>
        <w:t>▪</w:t>
      </w:r>
      <w:r w:rsidR="00770B6C">
        <w:tab/>
        <w:t>Adoption and publication of the Individual and Family Code;</w:t>
      </w:r>
    </w:p>
    <w:p w:rsidR="005E1F07" w:rsidRDefault="00224C39" w:rsidP="00224C39">
      <w:pPr>
        <w:pStyle w:val="SingleTxt"/>
        <w:tabs>
          <w:tab w:val="right" w:pos="1685"/>
        </w:tabs>
        <w:ind w:left="1742" w:hanging="475"/>
      </w:pPr>
      <w:r>
        <w:tab/>
        <w:t>▪</w:t>
      </w:r>
      <w:r w:rsidR="00770B6C">
        <w:tab/>
        <w:t>Adoption of the National Gender Policy of Mali and implementation of its plan of action.</w:t>
      </w:r>
    </w:p>
    <w:p w:rsidR="005E1F07" w:rsidRDefault="00770B6C" w:rsidP="00770B6C">
      <w:pPr>
        <w:pStyle w:val="SingleTxt"/>
      </w:pPr>
      <w:r>
        <w:t>228.</w:t>
      </w:r>
      <w:r w:rsidR="001E33E4">
        <w:tab/>
      </w:r>
      <w:r>
        <w:t>However, despite this progress, disparities exist on the geographical plane (rural/urban) that should be corrected.</w:t>
      </w:r>
      <w:r w:rsidR="005E03D8">
        <w:t xml:space="preserve"> </w:t>
      </w:r>
      <w:r>
        <w:t>Otherwise, in terms of strategic interests, there has been little change in the status of women (strategic interests).</w:t>
      </w:r>
    </w:p>
    <w:p w:rsidR="005E1F07" w:rsidRDefault="00770B6C" w:rsidP="00770B6C">
      <w:pPr>
        <w:pStyle w:val="SingleTxt"/>
      </w:pPr>
      <w:r>
        <w:t>229.</w:t>
      </w:r>
      <w:r w:rsidR="001E33E4">
        <w:tab/>
      </w:r>
      <w:r>
        <w:t>Despite noteworthy strides in certain areas, especially in bolstering women</w:t>
      </w:r>
      <w:r w:rsidR="001E33E4">
        <w:t>’</w:t>
      </w:r>
      <w:r>
        <w:t xml:space="preserve">s participation in public life, access to decision-making positions in </w:t>
      </w:r>
      <w:r w:rsidR="008854F9">
        <w:t>policy</w:t>
      </w:r>
      <w:r>
        <w:t>making bodies and government generally falls short of expectations.</w:t>
      </w:r>
    </w:p>
    <w:p w:rsidR="009767EF" w:rsidRDefault="00770B6C" w:rsidP="00770B6C">
      <w:pPr>
        <w:pStyle w:val="SingleTxt"/>
      </w:pPr>
      <w:r>
        <w:t>230.</w:t>
      </w:r>
      <w:r w:rsidR="001E33E4">
        <w:tab/>
      </w:r>
      <w:r>
        <w:t>Women remain under-represented in the governance bodies of decentralized communities, especially in rural areas, despite the dynamic spirit shown by women</w:t>
      </w:r>
      <w:r w:rsidR="001E33E4">
        <w:t>’</w:t>
      </w:r>
      <w:r>
        <w:t>s social and economic organizations.</w:t>
      </w:r>
    </w:p>
    <w:p w:rsidR="003B6D0E" w:rsidRPr="00770B6C" w:rsidRDefault="003B6D0E" w:rsidP="00770B6C">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B6D0E" w:rsidRPr="00770B6C" w:rsidSect="009767EF">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5T16:47:00Z" w:initials="Start">
    <w:p w:rsidR="00EF56AC" w:rsidRDefault="00EF56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NO&gt;&gt;N1512368E&lt;&lt;ODS JOB NO&gt;&gt;</w:t>
      </w:r>
    </w:p>
    <w:p w:rsidR="00EF56AC" w:rsidRDefault="00EF56AC">
      <w:pPr>
        <w:pStyle w:val="CommentText"/>
      </w:pPr>
      <w:r>
        <w:t>&lt;&lt;ODS DOC SYMBOL1&gt;&gt;CEDAW/C/MLI/6-7&lt;&lt;ODS DOC SYMBOL1&gt;&gt;</w:t>
      </w:r>
    </w:p>
    <w:p w:rsidR="00EF56AC" w:rsidRDefault="00EF56A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AC" w:rsidRDefault="00EF56AC">
      <w:r>
        <w:separator/>
      </w:r>
    </w:p>
  </w:endnote>
  <w:endnote w:type="continuationSeparator" w:id="0">
    <w:p w:rsidR="00EF56AC" w:rsidRDefault="00E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F56AC" w:rsidTr="009767EF">
      <w:tc>
        <w:tcPr>
          <w:tcW w:w="5028" w:type="dxa"/>
          <w:shd w:val="clear" w:color="auto" w:fill="auto"/>
        </w:tcPr>
        <w:p w:rsidR="00EF56AC" w:rsidRPr="009767EF" w:rsidRDefault="00EF56AC" w:rsidP="009767E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3513">
            <w:rPr>
              <w:b w:val="0"/>
              <w:w w:val="103"/>
              <w:sz w:val="14"/>
            </w:rPr>
            <w:t>15-06738</w:t>
          </w:r>
          <w:r>
            <w:rPr>
              <w:b w:val="0"/>
              <w:w w:val="103"/>
              <w:sz w:val="14"/>
            </w:rPr>
            <w:fldChar w:fldCharType="end"/>
          </w:r>
        </w:p>
      </w:tc>
      <w:tc>
        <w:tcPr>
          <w:tcW w:w="5028" w:type="dxa"/>
          <w:shd w:val="clear" w:color="auto" w:fill="auto"/>
        </w:tcPr>
        <w:p w:rsidR="00EF56AC" w:rsidRPr="009767EF" w:rsidRDefault="00EF56AC" w:rsidP="009767EF">
          <w:pPr>
            <w:pStyle w:val="Footer"/>
            <w:rPr>
              <w:w w:val="103"/>
            </w:rPr>
          </w:pPr>
          <w:r>
            <w:rPr>
              <w:w w:val="103"/>
            </w:rPr>
            <w:fldChar w:fldCharType="begin"/>
          </w:r>
          <w:r>
            <w:rPr>
              <w:w w:val="103"/>
            </w:rPr>
            <w:instrText xml:space="preserve"> PAGE  \* Arabic  \* MERGEFORMAT </w:instrText>
          </w:r>
          <w:r>
            <w:rPr>
              <w:w w:val="103"/>
            </w:rPr>
            <w:fldChar w:fldCharType="separate"/>
          </w:r>
          <w:r w:rsidR="00573513">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3513">
            <w:rPr>
              <w:w w:val="103"/>
            </w:rPr>
            <w:t>54</w:t>
          </w:r>
          <w:r>
            <w:rPr>
              <w:w w:val="103"/>
            </w:rPr>
            <w:fldChar w:fldCharType="end"/>
          </w:r>
        </w:p>
      </w:tc>
    </w:tr>
  </w:tbl>
  <w:p w:rsidR="00EF56AC" w:rsidRPr="009767EF" w:rsidRDefault="00EF56AC" w:rsidP="00976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F56AC" w:rsidTr="009767EF">
      <w:tc>
        <w:tcPr>
          <w:tcW w:w="5028" w:type="dxa"/>
          <w:shd w:val="clear" w:color="auto" w:fill="auto"/>
        </w:tcPr>
        <w:p w:rsidR="00EF56AC" w:rsidRPr="009767EF" w:rsidRDefault="00EF56AC" w:rsidP="009767E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73513">
            <w:rPr>
              <w:w w:val="103"/>
            </w:rPr>
            <w:t>53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3513">
            <w:rPr>
              <w:w w:val="103"/>
            </w:rPr>
            <w:t>54</w:t>
          </w:r>
          <w:r>
            <w:rPr>
              <w:w w:val="103"/>
            </w:rPr>
            <w:fldChar w:fldCharType="end"/>
          </w:r>
        </w:p>
      </w:tc>
      <w:tc>
        <w:tcPr>
          <w:tcW w:w="5028" w:type="dxa"/>
          <w:shd w:val="clear" w:color="auto" w:fill="auto"/>
        </w:tcPr>
        <w:p w:rsidR="00EF56AC" w:rsidRPr="009767EF" w:rsidRDefault="00EF56AC" w:rsidP="009767E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3513">
            <w:rPr>
              <w:b w:val="0"/>
              <w:w w:val="103"/>
              <w:sz w:val="14"/>
            </w:rPr>
            <w:t>15-06738</w:t>
          </w:r>
          <w:r>
            <w:rPr>
              <w:b w:val="0"/>
              <w:w w:val="103"/>
              <w:sz w:val="14"/>
            </w:rPr>
            <w:fldChar w:fldCharType="end"/>
          </w:r>
        </w:p>
      </w:tc>
    </w:tr>
  </w:tbl>
  <w:p w:rsidR="00EF56AC" w:rsidRPr="009767EF" w:rsidRDefault="00EF56AC" w:rsidP="00976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EF56AC" w:rsidTr="009767EF">
      <w:tc>
        <w:tcPr>
          <w:tcW w:w="3801" w:type="dxa"/>
        </w:tcPr>
        <w:p w:rsidR="00EF56AC" w:rsidRDefault="00EF56AC" w:rsidP="009767EF">
          <w:pPr>
            <w:pStyle w:val="ReleaseDate"/>
          </w:pPr>
          <w:r>
            <w:rPr>
              <w:noProof/>
              <w:lang w:val="en-US"/>
            </w:rPr>
            <w:drawing>
              <wp:anchor distT="0" distB="0" distL="114300" distR="114300" simplePos="0" relativeHeight="251658240" behindDoc="0" locked="0" layoutInCell="1" allowOverlap="1" wp14:anchorId="124CB659" wp14:editId="23FC3034">
                <wp:simplePos x="0" y="0"/>
                <wp:positionH relativeFrom="column">
                  <wp:posOffset>5531150</wp:posOffset>
                </wp:positionH>
                <wp:positionV relativeFrom="paragraph">
                  <wp:posOffset>-369152</wp:posOffset>
                </wp:positionV>
                <wp:extent cx="694690" cy="694690"/>
                <wp:effectExtent l="0" t="0" r="0" b="0"/>
                <wp:wrapNone/>
                <wp:docPr id="3" name="Picture 3" descr="http://undocs.org/m2/QRCode2.ashx?DS=CEDAW/C/MLI/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LI/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329D8">
            <w:t>15-06738 (E)    12</w:t>
          </w:r>
          <w:r>
            <w:t>0615    160615</w:t>
          </w:r>
        </w:p>
        <w:p w:rsidR="00EF56AC" w:rsidRPr="009767EF" w:rsidRDefault="00EF56AC" w:rsidP="009767E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*1506738*</w:t>
          </w:r>
        </w:p>
      </w:tc>
      <w:tc>
        <w:tcPr>
          <w:tcW w:w="5028" w:type="dxa"/>
        </w:tcPr>
        <w:p w:rsidR="00EF56AC" w:rsidRDefault="00EF56AC" w:rsidP="009767EF">
          <w:pPr>
            <w:pStyle w:val="Footer"/>
            <w:jc w:val="right"/>
            <w:rPr>
              <w:b w:val="0"/>
              <w:sz w:val="20"/>
            </w:rPr>
          </w:pPr>
          <w:r>
            <w:rPr>
              <w:b w:val="0"/>
              <w:sz w:val="20"/>
            </w:rPr>
            <w:drawing>
              <wp:inline distT="0" distB="0" distL="0" distR="0" wp14:anchorId="1CD1F364" wp14:editId="3D72F52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F56AC" w:rsidRPr="009767EF" w:rsidRDefault="00EF56AC" w:rsidP="009767E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AC" w:rsidRPr="004746C4" w:rsidRDefault="00EF56AC" w:rsidP="004746C4">
      <w:pPr>
        <w:pStyle w:val="Footer"/>
        <w:spacing w:after="80"/>
        <w:ind w:left="792"/>
        <w:rPr>
          <w:sz w:val="16"/>
        </w:rPr>
      </w:pPr>
      <w:r w:rsidRPr="004746C4">
        <w:rPr>
          <w:sz w:val="16"/>
        </w:rPr>
        <w:t>__________________</w:t>
      </w:r>
    </w:p>
  </w:footnote>
  <w:footnote w:type="continuationSeparator" w:id="0">
    <w:p w:rsidR="00EF56AC" w:rsidRPr="004746C4" w:rsidRDefault="00EF56AC" w:rsidP="004746C4">
      <w:pPr>
        <w:pStyle w:val="Footer"/>
        <w:spacing w:after="80"/>
        <w:ind w:left="792"/>
        <w:rPr>
          <w:sz w:val="16"/>
        </w:rPr>
      </w:pPr>
      <w:r w:rsidRPr="004746C4">
        <w:rPr>
          <w:sz w:val="16"/>
        </w:rPr>
        <w:t>__________________</w:t>
      </w:r>
    </w:p>
  </w:footnote>
  <w:footnote w:id="1">
    <w:p w:rsidR="00EF56AC" w:rsidRPr="004746C4" w:rsidRDefault="00EF56AC" w:rsidP="004746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8854F9">
        <w:tab/>
      </w:r>
      <w:r w:rsidRPr="004746C4">
        <w:t xml:space="preserve">Report 3, 4 and 5, </w:t>
      </w:r>
      <w:hyperlink r:id="rId1" w:history="1">
        <w:r w:rsidRPr="008C3AFC">
          <w:rPr>
            <w:rStyle w:val="Hyperlink"/>
          </w:rPr>
          <w:t>CEDAW/C/MLI/2-5</w:t>
        </w:r>
      </w:hyperlink>
      <w:r>
        <w:t>.</w:t>
      </w:r>
    </w:p>
  </w:footnote>
  <w:footnote w:id="2">
    <w:p w:rsidR="00EF56AC" w:rsidRPr="00735662" w:rsidRDefault="00EF56AC" w:rsidP="007356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8854F9">
        <w:tab/>
      </w:r>
      <w:r w:rsidRPr="00735662">
        <w:t>According to the local health information system of the National Health Directorate.</w:t>
      </w:r>
    </w:p>
  </w:footnote>
  <w:footnote w:id="3">
    <w:p w:rsidR="00EF56AC" w:rsidRPr="008E61F1" w:rsidRDefault="00EF56AC" w:rsidP="008E61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8854F9">
        <w:tab/>
      </w:r>
      <w:r w:rsidRPr="008E61F1">
        <w:t>CPS/SDR (Rural Development Sector). 2009 catalogue of rural development projects and programmes, 2009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F56AC" w:rsidTr="009767EF">
      <w:trPr>
        <w:trHeight w:hRule="exact" w:val="864"/>
      </w:trPr>
      <w:tc>
        <w:tcPr>
          <w:tcW w:w="4838" w:type="dxa"/>
          <w:shd w:val="clear" w:color="auto" w:fill="auto"/>
          <w:vAlign w:val="bottom"/>
        </w:tcPr>
        <w:p w:rsidR="00EF56AC" w:rsidRPr="009767EF" w:rsidRDefault="00EF56AC" w:rsidP="009767EF">
          <w:pPr>
            <w:pStyle w:val="Header"/>
            <w:spacing w:after="80"/>
            <w:rPr>
              <w:b/>
            </w:rPr>
          </w:pPr>
          <w:r>
            <w:rPr>
              <w:b/>
            </w:rPr>
            <w:fldChar w:fldCharType="begin"/>
          </w:r>
          <w:r>
            <w:rPr>
              <w:b/>
            </w:rPr>
            <w:instrText xml:space="preserve"> DOCVARIABLE "sss1" \* MERGEFORMAT </w:instrText>
          </w:r>
          <w:r>
            <w:rPr>
              <w:b/>
            </w:rPr>
            <w:fldChar w:fldCharType="separate"/>
          </w:r>
          <w:r w:rsidR="00573513">
            <w:rPr>
              <w:b/>
            </w:rPr>
            <w:t>CEDAW/C/MLI/6-7</w:t>
          </w:r>
          <w:r>
            <w:rPr>
              <w:b/>
            </w:rPr>
            <w:fldChar w:fldCharType="end"/>
          </w:r>
        </w:p>
      </w:tc>
      <w:tc>
        <w:tcPr>
          <w:tcW w:w="5028" w:type="dxa"/>
          <w:shd w:val="clear" w:color="auto" w:fill="auto"/>
          <w:vAlign w:val="bottom"/>
        </w:tcPr>
        <w:p w:rsidR="00EF56AC" w:rsidRDefault="00EF56AC" w:rsidP="009767EF">
          <w:pPr>
            <w:pStyle w:val="Header"/>
          </w:pPr>
        </w:p>
      </w:tc>
    </w:tr>
  </w:tbl>
  <w:p w:rsidR="00EF56AC" w:rsidRPr="009767EF" w:rsidRDefault="00EF56AC" w:rsidP="00976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F56AC" w:rsidTr="009767EF">
      <w:trPr>
        <w:trHeight w:hRule="exact" w:val="864"/>
      </w:trPr>
      <w:tc>
        <w:tcPr>
          <w:tcW w:w="4838" w:type="dxa"/>
          <w:shd w:val="clear" w:color="auto" w:fill="auto"/>
          <w:vAlign w:val="bottom"/>
        </w:tcPr>
        <w:p w:rsidR="00EF56AC" w:rsidRDefault="00EF56AC" w:rsidP="009767EF">
          <w:pPr>
            <w:pStyle w:val="Header"/>
          </w:pPr>
        </w:p>
      </w:tc>
      <w:tc>
        <w:tcPr>
          <w:tcW w:w="5028" w:type="dxa"/>
          <w:shd w:val="clear" w:color="auto" w:fill="auto"/>
          <w:vAlign w:val="bottom"/>
        </w:tcPr>
        <w:p w:rsidR="00EF56AC" w:rsidRPr="009767EF" w:rsidRDefault="00EF56AC" w:rsidP="009767EF">
          <w:pPr>
            <w:pStyle w:val="Header"/>
            <w:spacing w:after="80"/>
            <w:jc w:val="right"/>
            <w:rPr>
              <w:b/>
            </w:rPr>
          </w:pPr>
          <w:r>
            <w:rPr>
              <w:b/>
            </w:rPr>
            <w:fldChar w:fldCharType="begin"/>
          </w:r>
          <w:r>
            <w:rPr>
              <w:b/>
            </w:rPr>
            <w:instrText xml:space="preserve"> DOCVARIABLE "sss1" \* MERGEFORMAT </w:instrText>
          </w:r>
          <w:r>
            <w:rPr>
              <w:b/>
            </w:rPr>
            <w:fldChar w:fldCharType="separate"/>
          </w:r>
          <w:r w:rsidR="00573513">
            <w:rPr>
              <w:b/>
            </w:rPr>
            <w:t>CEDAW/C/MLI/6-7</w:t>
          </w:r>
          <w:r>
            <w:rPr>
              <w:b/>
            </w:rPr>
            <w:fldChar w:fldCharType="end"/>
          </w:r>
        </w:p>
      </w:tc>
    </w:tr>
  </w:tbl>
  <w:p w:rsidR="00EF56AC" w:rsidRPr="009767EF" w:rsidRDefault="00EF56AC" w:rsidP="00976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F56AC" w:rsidTr="009767EF">
      <w:trPr>
        <w:trHeight w:hRule="exact" w:val="864"/>
      </w:trPr>
      <w:tc>
        <w:tcPr>
          <w:tcW w:w="1267" w:type="dxa"/>
          <w:tcBorders>
            <w:bottom w:val="single" w:sz="4" w:space="0" w:color="auto"/>
          </w:tcBorders>
          <w:shd w:val="clear" w:color="auto" w:fill="auto"/>
          <w:vAlign w:val="bottom"/>
        </w:tcPr>
        <w:p w:rsidR="00EF56AC" w:rsidRDefault="00EF56AC" w:rsidP="009767EF">
          <w:pPr>
            <w:pStyle w:val="Header"/>
            <w:spacing w:after="120"/>
          </w:pPr>
        </w:p>
      </w:tc>
      <w:tc>
        <w:tcPr>
          <w:tcW w:w="1872" w:type="dxa"/>
          <w:tcBorders>
            <w:bottom w:val="single" w:sz="4" w:space="0" w:color="auto"/>
          </w:tcBorders>
          <w:shd w:val="clear" w:color="auto" w:fill="auto"/>
          <w:vAlign w:val="bottom"/>
        </w:tcPr>
        <w:p w:rsidR="00EF56AC" w:rsidRPr="009767EF" w:rsidRDefault="00EF56AC" w:rsidP="009767E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F56AC" w:rsidRDefault="00EF56AC" w:rsidP="009767EF">
          <w:pPr>
            <w:pStyle w:val="Header"/>
            <w:spacing w:after="120"/>
          </w:pPr>
        </w:p>
      </w:tc>
      <w:tc>
        <w:tcPr>
          <w:tcW w:w="6523" w:type="dxa"/>
          <w:gridSpan w:val="4"/>
          <w:tcBorders>
            <w:bottom w:val="single" w:sz="4" w:space="0" w:color="auto"/>
          </w:tcBorders>
          <w:shd w:val="clear" w:color="auto" w:fill="auto"/>
          <w:vAlign w:val="bottom"/>
        </w:tcPr>
        <w:p w:rsidR="00EF56AC" w:rsidRPr="009767EF" w:rsidRDefault="00EF56AC" w:rsidP="009767EF">
          <w:pPr>
            <w:spacing w:after="80" w:line="240" w:lineRule="auto"/>
            <w:jc w:val="right"/>
            <w:rPr>
              <w:position w:val="-4"/>
            </w:rPr>
          </w:pPr>
          <w:r>
            <w:rPr>
              <w:position w:val="-4"/>
              <w:sz w:val="40"/>
            </w:rPr>
            <w:t>CEDAW</w:t>
          </w:r>
          <w:r>
            <w:rPr>
              <w:position w:val="-4"/>
            </w:rPr>
            <w:t>/C/MLI/6-7</w:t>
          </w:r>
        </w:p>
      </w:tc>
    </w:tr>
    <w:tr w:rsidR="00EF56AC" w:rsidRPr="009767EF" w:rsidTr="009767EF">
      <w:trPr>
        <w:gridAfter w:val="1"/>
        <w:wAfter w:w="28" w:type="dxa"/>
        <w:trHeight w:hRule="exact" w:val="2880"/>
      </w:trPr>
      <w:tc>
        <w:tcPr>
          <w:tcW w:w="1267" w:type="dxa"/>
          <w:tcBorders>
            <w:top w:val="single" w:sz="4" w:space="0" w:color="auto"/>
            <w:bottom w:val="single" w:sz="12" w:space="0" w:color="auto"/>
          </w:tcBorders>
          <w:shd w:val="clear" w:color="auto" w:fill="auto"/>
        </w:tcPr>
        <w:p w:rsidR="00EF56AC" w:rsidRPr="009767EF" w:rsidRDefault="00EF56AC" w:rsidP="009767EF">
          <w:pPr>
            <w:pStyle w:val="Header"/>
            <w:spacing w:before="109"/>
            <w:jc w:val="center"/>
          </w:pPr>
          <w:r>
            <w:t xml:space="preserve"> </w:t>
          </w:r>
          <w:r>
            <w:drawing>
              <wp:inline distT="0" distB="0" distL="0" distR="0" wp14:anchorId="490AC409" wp14:editId="3D0F62C3">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F56AC" w:rsidRPr="009767EF" w:rsidRDefault="00EF56AC" w:rsidP="009767E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EF56AC" w:rsidRPr="009767EF" w:rsidRDefault="00EF56AC" w:rsidP="009767EF">
          <w:pPr>
            <w:pStyle w:val="Header"/>
            <w:spacing w:before="109"/>
          </w:pPr>
        </w:p>
      </w:tc>
      <w:tc>
        <w:tcPr>
          <w:tcW w:w="3140" w:type="dxa"/>
          <w:tcBorders>
            <w:top w:val="single" w:sz="4" w:space="0" w:color="auto"/>
            <w:bottom w:val="single" w:sz="12" w:space="0" w:color="auto"/>
          </w:tcBorders>
          <w:shd w:val="clear" w:color="auto" w:fill="auto"/>
        </w:tcPr>
        <w:p w:rsidR="00EF56AC" w:rsidRDefault="00EF56AC" w:rsidP="009767EF">
          <w:pPr>
            <w:pStyle w:val="Distribution"/>
            <w:rPr>
              <w:color w:val="010000"/>
            </w:rPr>
          </w:pPr>
          <w:r>
            <w:rPr>
              <w:color w:val="010000"/>
            </w:rPr>
            <w:t>Distr.: General</w:t>
          </w:r>
        </w:p>
        <w:p w:rsidR="00EF56AC" w:rsidRDefault="00EF56AC" w:rsidP="009767EF">
          <w:pPr>
            <w:pStyle w:val="Publication"/>
            <w:rPr>
              <w:color w:val="010000"/>
            </w:rPr>
          </w:pPr>
          <w:r>
            <w:rPr>
              <w:color w:val="010000"/>
            </w:rPr>
            <w:t>28 April 2015</w:t>
          </w:r>
        </w:p>
        <w:p w:rsidR="00EF56AC" w:rsidRDefault="00EF56AC" w:rsidP="009767EF">
          <w:pPr>
            <w:rPr>
              <w:color w:val="010000"/>
            </w:rPr>
          </w:pPr>
          <w:r>
            <w:rPr>
              <w:color w:val="010000"/>
            </w:rPr>
            <w:t>English</w:t>
          </w:r>
        </w:p>
        <w:p w:rsidR="00EF56AC" w:rsidRDefault="00EF56AC" w:rsidP="009767EF">
          <w:pPr>
            <w:pStyle w:val="Original"/>
            <w:rPr>
              <w:color w:val="010000"/>
            </w:rPr>
          </w:pPr>
          <w:r>
            <w:rPr>
              <w:color w:val="010000"/>
            </w:rPr>
            <w:t>Original: French</w:t>
          </w:r>
        </w:p>
        <w:p w:rsidR="00EF56AC" w:rsidRPr="009767EF" w:rsidRDefault="00EF56AC" w:rsidP="009767EF"/>
      </w:tc>
    </w:tr>
  </w:tbl>
  <w:p w:rsidR="00EF56AC" w:rsidRPr="009767EF" w:rsidRDefault="00EF56AC" w:rsidP="009767E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576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6738*"/>
    <w:docVar w:name="CreationDt" w:val="15/06/2015 4:47: PM"/>
    <w:docVar w:name="DocCategory" w:val="Doc"/>
    <w:docVar w:name="DocType" w:val="Final"/>
    <w:docVar w:name="DutyStation" w:val="New York"/>
    <w:docVar w:name="FooterJN" w:val="15-06738"/>
    <w:docVar w:name="jobn" w:val="15-06738 (E)"/>
    <w:docVar w:name="jobnDT" w:val="15-06738 (E)   150615"/>
    <w:docVar w:name="jobnDTDT" w:val="15-06738 (E)   150615   150615"/>
    <w:docVar w:name="JobNo" w:val="1506738E"/>
    <w:docVar w:name="JobNo2" w:val="1512368E"/>
    <w:docVar w:name="LocalDrive" w:val="0"/>
    <w:docVar w:name="OandT" w:val=" "/>
    <w:docVar w:name="PaperSize" w:val="Letter"/>
    <w:docVar w:name="sss1" w:val="CEDAW/C/MLI/6-7"/>
    <w:docVar w:name="sss2" w:val="-"/>
    <w:docVar w:name="Symbol1" w:val="CEDAW/C/MLI/6-7"/>
    <w:docVar w:name="Symbol2" w:val="-"/>
  </w:docVars>
  <w:rsids>
    <w:rsidRoot w:val="00FD47E8"/>
    <w:rsid w:val="00001BC9"/>
    <w:rsid w:val="0000254B"/>
    <w:rsid w:val="0000301C"/>
    <w:rsid w:val="000044BD"/>
    <w:rsid w:val="00010CB2"/>
    <w:rsid w:val="000125DB"/>
    <w:rsid w:val="00013C9F"/>
    <w:rsid w:val="0001793F"/>
    <w:rsid w:val="00021540"/>
    <w:rsid w:val="000243C1"/>
    <w:rsid w:val="00024B08"/>
    <w:rsid w:val="00025848"/>
    <w:rsid w:val="0003242E"/>
    <w:rsid w:val="00041CAB"/>
    <w:rsid w:val="00051981"/>
    <w:rsid w:val="00051D6F"/>
    <w:rsid w:val="00054828"/>
    <w:rsid w:val="00057FD3"/>
    <w:rsid w:val="00060FB4"/>
    <w:rsid w:val="00062E0F"/>
    <w:rsid w:val="00072859"/>
    <w:rsid w:val="00073B00"/>
    <w:rsid w:val="00077DB0"/>
    <w:rsid w:val="00081CC0"/>
    <w:rsid w:val="0009142F"/>
    <w:rsid w:val="0009279F"/>
    <w:rsid w:val="000930EA"/>
    <w:rsid w:val="00096611"/>
    <w:rsid w:val="000A4D35"/>
    <w:rsid w:val="000A7E78"/>
    <w:rsid w:val="000B22F3"/>
    <w:rsid w:val="000B2AB1"/>
    <w:rsid w:val="000B6F32"/>
    <w:rsid w:val="000C30BC"/>
    <w:rsid w:val="000E3E97"/>
    <w:rsid w:val="000E4DB4"/>
    <w:rsid w:val="000E578F"/>
    <w:rsid w:val="000E6736"/>
    <w:rsid w:val="000E7174"/>
    <w:rsid w:val="000F0681"/>
    <w:rsid w:val="000F6E1A"/>
    <w:rsid w:val="00104C2F"/>
    <w:rsid w:val="00105C9B"/>
    <w:rsid w:val="00107D5F"/>
    <w:rsid w:val="0011241F"/>
    <w:rsid w:val="00113764"/>
    <w:rsid w:val="00114F9E"/>
    <w:rsid w:val="0011565A"/>
    <w:rsid w:val="0012032E"/>
    <w:rsid w:val="001208CF"/>
    <w:rsid w:val="00123D34"/>
    <w:rsid w:val="0012652C"/>
    <w:rsid w:val="00132F77"/>
    <w:rsid w:val="001344E6"/>
    <w:rsid w:val="00135DA1"/>
    <w:rsid w:val="00146E4B"/>
    <w:rsid w:val="001505B6"/>
    <w:rsid w:val="00154A7D"/>
    <w:rsid w:val="00163673"/>
    <w:rsid w:val="00164BCE"/>
    <w:rsid w:val="001652E9"/>
    <w:rsid w:val="001653FB"/>
    <w:rsid w:val="00166688"/>
    <w:rsid w:val="0017380E"/>
    <w:rsid w:val="001745C0"/>
    <w:rsid w:val="001809B5"/>
    <w:rsid w:val="00182B15"/>
    <w:rsid w:val="00184193"/>
    <w:rsid w:val="001917A6"/>
    <w:rsid w:val="0019245C"/>
    <w:rsid w:val="00192845"/>
    <w:rsid w:val="001936F0"/>
    <w:rsid w:val="00196A9E"/>
    <w:rsid w:val="00197346"/>
    <w:rsid w:val="001A077F"/>
    <w:rsid w:val="001A5D2D"/>
    <w:rsid w:val="001B071E"/>
    <w:rsid w:val="001B07C5"/>
    <w:rsid w:val="001B0B41"/>
    <w:rsid w:val="001B1926"/>
    <w:rsid w:val="001B1FD5"/>
    <w:rsid w:val="001B2AEA"/>
    <w:rsid w:val="001B3651"/>
    <w:rsid w:val="001B6CFE"/>
    <w:rsid w:val="001C0012"/>
    <w:rsid w:val="001C266D"/>
    <w:rsid w:val="001C26F7"/>
    <w:rsid w:val="001C7CC2"/>
    <w:rsid w:val="001D4790"/>
    <w:rsid w:val="001D7216"/>
    <w:rsid w:val="001E077C"/>
    <w:rsid w:val="001E0B55"/>
    <w:rsid w:val="001E33E4"/>
    <w:rsid w:val="001E4D56"/>
    <w:rsid w:val="001E5AE9"/>
    <w:rsid w:val="001E6CDB"/>
    <w:rsid w:val="001F2BDA"/>
    <w:rsid w:val="001F5FE7"/>
    <w:rsid w:val="001F670D"/>
    <w:rsid w:val="001F6818"/>
    <w:rsid w:val="001F6E66"/>
    <w:rsid w:val="001F7C50"/>
    <w:rsid w:val="001F7CCF"/>
    <w:rsid w:val="0020706D"/>
    <w:rsid w:val="00211F3F"/>
    <w:rsid w:val="00213104"/>
    <w:rsid w:val="002141E3"/>
    <w:rsid w:val="00223E81"/>
    <w:rsid w:val="00224C39"/>
    <w:rsid w:val="00225B63"/>
    <w:rsid w:val="00232F19"/>
    <w:rsid w:val="002346A6"/>
    <w:rsid w:val="00234C5B"/>
    <w:rsid w:val="00236DA6"/>
    <w:rsid w:val="00243655"/>
    <w:rsid w:val="002453F5"/>
    <w:rsid w:val="002508E9"/>
    <w:rsid w:val="00251A44"/>
    <w:rsid w:val="00254277"/>
    <w:rsid w:val="0025759D"/>
    <w:rsid w:val="00257651"/>
    <w:rsid w:val="00263986"/>
    <w:rsid w:val="00264279"/>
    <w:rsid w:val="002713B7"/>
    <w:rsid w:val="0027290F"/>
    <w:rsid w:val="00274B66"/>
    <w:rsid w:val="00275106"/>
    <w:rsid w:val="00275598"/>
    <w:rsid w:val="00276B79"/>
    <w:rsid w:val="00281885"/>
    <w:rsid w:val="00284AF2"/>
    <w:rsid w:val="002877DA"/>
    <w:rsid w:val="00296E6C"/>
    <w:rsid w:val="002A2A24"/>
    <w:rsid w:val="002A5739"/>
    <w:rsid w:val="002A5DBE"/>
    <w:rsid w:val="002B4B8E"/>
    <w:rsid w:val="002B649C"/>
    <w:rsid w:val="002B77DF"/>
    <w:rsid w:val="002C0552"/>
    <w:rsid w:val="002C12A1"/>
    <w:rsid w:val="002C1AC2"/>
    <w:rsid w:val="002D25CC"/>
    <w:rsid w:val="002D4228"/>
    <w:rsid w:val="002D4776"/>
    <w:rsid w:val="002E0A02"/>
    <w:rsid w:val="002E1C17"/>
    <w:rsid w:val="002F0531"/>
    <w:rsid w:val="00303242"/>
    <w:rsid w:val="00312D4B"/>
    <w:rsid w:val="00314F83"/>
    <w:rsid w:val="00316C23"/>
    <w:rsid w:val="00321A47"/>
    <w:rsid w:val="003245CB"/>
    <w:rsid w:val="003268E2"/>
    <w:rsid w:val="00326A29"/>
    <w:rsid w:val="0032749A"/>
    <w:rsid w:val="00327EBA"/>
    <w:rsid w:val="00332088"/>
    <w:rsid w:val="003345CC"/>
    <w:rsid w:val="00341AF8"/>
    <w:rsid w:val="003462C9"/>
    <w:rsid w:val="003466DC"/>
    <w:rsid w:val="00347DD3"/>
    <w:rsid w:val="00350876"/>
    <w:rsid w:val="00357AA1"/>
    <w:rsid w:val="00360288"/>
    <w:rsid w:val="00365017"/>
    <w:rsid w:val="003769DF"/>
    <w:rsid w:val="0037786A"/>
    <w:rsid w:val="00387FE0"/>
    <w:rsid w:val="003928D1"/>
    <w:rsid w:val="003A0C58"/>
    <w:rsid w:val="003A5087"/>
    <w:rsid w:val="003B0DE7"/>
    <w:rsid w:val="003B102B"/>
    <w:rsid w:val="003B20CD"/>
    <w:rsid w:val="003B6D0E"/>
    <w:rsid w:val="003C05E2"/>
    <w:rsid w:val="003C3A7D"/>
    <w:rsid w:val="003C43F7"/>
    <w:rsid w:val="003D7F08"/>
    <w:rsid w:val="003E0D98"/>
    <w:rsid w:val="003E5662"/>
    <w:rsid w:val="003E78BF"/>
    <w:rsid w:val="003F1E2B"/>
    <w:rsid w:val="003F49AB"/>
    <w:rsid w:val="003F4EDB"/>
    <w:rsid w:val="00401E19"/>
    <w:rsid w:val="00407301"/>
    <w:rsid w:val="00410A02"/>
    <w:rsid w:val="004124C0"/>
    <w:rsid w:val="00412ACF"/>
    <w:rsid w:val="00412FDF"/>
    <w:rsid w:val="00414F44"/>
    <w:rsid w:val="0041500E"/>
    <w:rsid w:val="004246C9"/>
    <w:rsid w:val="00434183"/>
    <w:rsid w:val="00436FEA"/>
    <w:rsid w:val="00441580"/>
    <w:rsid w:val="00441EF4"/>
    <w:rsid w:val="004423AB"/>
    <w:rsid w:val="00443A4A"/>
    <w:rsid w:val="00444725"/>
    <w:rsid w:val="004472AD"/>
    <w:rsid w:val="0045397A"/>
    <w:rsid w:val="00453E64"/>
    <w:rsid w:val="00455CD0"/>
    <w:rsid w:val="00457ADA"/>
    <w:rsid w:val="00457BC6"/>
    <w:rsid w:val="004677E2"/>
    <w:rsid w:val="00470EE0"/>
    <w:rsid w:val="004746C4"/>
    <w:rsid w:val="0047572C"/>
    <w:rsid w:val="004774B3"/>
    <w:rsid w:val="00477F9F"/>
    <w:rsid w:val="004831A5"/>
    <w:rsid w:val="00487D0A"/>
    <w:rsid w:val="004907C3"/>
    <w:rsid w:val="00492648"/>
    <w:rsid w:val="00494C70"/>
    <w:rsid w:val="00496B26"/>
    <w:rsid w:val="00497BF5"/>
    <w:rsid w:val="004A06AE"/>
    <w:rsid w:val="004A36EA"/>
    <w:rsid w:val="004A5068"/>
    <w:rsid w:val="004A635B"/>
    <w:rsid w:val="004A6F00"/>
    <w:rsid w:val="004B6AB6"/>
    <w:rsid w:val="004B732D"/>
    <w:rsid w:val="004C0A4B"/>
    <w:rsid w:val="004C599F"/>
    <w:rsid w:val="004C7A38"/>
    <w:rsid w:val="004C7E05"/>
    <w:rsid w:val="004D0839"/>
    <w:rsid w:val="004D0C85"/>
    <w:rsid w:val="004D2970"/>
    <w:rsid w:val="004D3027"/>
    <w:rsid w:val="004D46D6"/>
    <w:rsid w:val="004D580C"/>
    <w:rsid w:val="004D5846"/>
    <w:rsid w:val="004D7A08"/>
    <w:rsid w:val="004E669B"/>
    <w:rsid w:val="004F09C3"/>
    <w:rsid w:val="004F269C"/>
    <w:rsid w:val="004F2B25"/>
    <w:rsid w:val="004F4085"/>
    <w:rsid w:val="004F4AA8"/>
    <w:rsid w:val="004F71A8"/>
    <w:rsid w:val="00502499"/>
    <w:rsid w:val="00511E5A"/>
    <w:rsid w:val="00514854"/>
    <w:rsid w:val="005151E1"/>
    <w:rsid w:val="005200EA"/>
    <w:rsid w:val="005300F6"/>
    <w:rsid w:val="00534D74"/>
    <w:rsid w:val="00537D2B"/>
    <w:rsid w:val="00541089"/>
    <w:rsid w:val="00542A9C"/>
    <w:rsid w:val="00543905"/>
    <w:rsid w:val="00546F5D"/>
    <w:rsid w:val="005513EE"/>
    <w:rsid w:val="005521F6"/>
    <w:rsid w:val="0055474C"/>
    <w:rsid w:val="00554CEC"/>
    <w:rsid w:val="0055753C"/>
    <w:rsid w:val="005619C0"/>
    <w:rsid w:val="00566B69"/>
    <w:rsid w:val="00567F84"/>
    <w:rsid w:val="005729BA"/>
    <w:rsid w:val="00573513"/>
    <w:rsid w:val="0057512C"/>
    <w:rsid w:val="005827E6"/>
    <w:rsid w:val="00583963"/>
    <w:rsid w:val="00586902"/>
    <w:rsid w:val="00586986"/>
    <w:rsid w:val="00591C19"/>
    <w:rsid w:val="00594A53"/>
    <w:rsid w:val="00595BC5"/>
    <w:rsid w:val="005A3D90"/>
    <w:rsid w:val="005B426E"/>
    <w:rsid w:val="005B500B"/>
    <w:rsid w:val="005B6B7F"/>
    <w:rsid w:val="005B7D93"/>
    <w:rsid w:val="005C2441"/>
    <w:rsid w:val="005C394D"/>
    <w:rsid w:val="005C4278"/>
    <w:rsid w:val="005C639D"/>
    <w:rsid w:val="005C76B7"/>
    <w:rsid w:val="005D0BE5"/>
    <w:rsid w:val="005D3D41"/>
    <w:rsid w:val="005E03D8"/>
    <w:rsid w:val="005E0744"/>
    <w:rsid w:val="005E1F07"/>
    <w:rsid w:val="005E360C"/>
    <w:rsid w:val="005F03CA"/>
    <w:rsid w:val="005F0C52"/>
    <w:rsid w:val="005F15BB"/>
    <w:rsid w:val="005F5764"/>
    <w:rsid w:val="005F6860"/>
    <w:rsid w:val="00600132"/>
    <w:rsid w:val="00601E37"/>
    <w:rsid w:val="0060256A"/>
    <w:rsid w:val="006035F9"/>
    <w:rsid w:val="00604170"/>
    <w:rsid w:val="0060441D"/>
    <w:rsid w:val="00605495"/>
    <w:rsid w:val="00610819"/>
    <w:rsid w:val="00610AC8"/>
    <w:rsid w:val="0061160A"/>
    <w:rsid w:val="006208E6"/>
    <w:rsid w:val="0062207B"/>
    <w:rsid w:val="006242A5"/>
    <w:rsid w:val="0062527E"/>
    <w:rsid w:val="00634022"/>
    <w:rsid w:val="00634617"/>
    <w:rsid w:val="00634FA8"/>
    <w:rsid w:val="00645A2F"/>
    <w:rsid w:val="006520C7"/>
    <w:rsid w:val="00653B25"/>
    <w:rsid w:val="00656459"/>
    <w:rsid w:val="0066134F"/>
    <w:rsid w:val="0066368E"/>
    <w:rsid w:val="00665391"/>
    <w:rsid w:val="006657E1"/>
    <w:rsid w:val="0067014A"/>
    <w:rsid w:val="00673A86"/>
    <w:rsid w:val="00673D70"/>
    <w:rsid w:val="006756B2"/>
    <w:rsid w:val="00677C8D"/>
    <w:rsid w:val="0068086F"/>
    <w:rsid w:val="006845F9"/>
    <w:rsid w:val="006904DC"/>
    <w:rsid w:val="00694DAB"/>
    <w:rsid w:val="00696C4F"/>
    <w:rsid w:val="00696DA0"/>
    <w:rsid w:val="0069758C"/>
    <w:rsid w:val="006A012D"/>
    <w:rsid w:val="006A33A3"/>
    <w:rsid w:val="006A45EA"/>
    <w:rsid w:val="006A630B"/>
    <w:rsid w:val="006A6F37"/>
    <w:rsid w:val="006A7C03"/>
    <w:rsid w:val="006B02B6"/>
    <w:rsid w:val="006B4FAA"/>
    <w:rsid w:val="006B513C"/>
    <w:rsid w:val="006B6CD0"/>
    <w:rsid w:val="006B6EDE"/>
    <w:rsid w:val="006C3723"/>
    <w:rsid w:val="006D42DA"/>
    <w:rsid w:val="006D74B5"/>
    <w:rsid w:val="006D766E"/>
    <w:rsid w:val="006E0E18"/>
    <w:rsid w:val="006E5457"/>
    <w:rsid w:val="006F40EA"/>
    <w:rsid w:val="006F6266"/>
    <w:rsid w:val="00702C5A"/>
    <w:rsid w:val="00704652"/>
    <w:rsid w:val="007222CF"/>
    <w:rsid w:val="00724074"/>
    <w:rsid w:val="00730B23"/>
    <w:rsid w:val="007329D8"/>
    <w:rsid w:val="00735662"/>
    <w:rsid w:val="007417DD"/>
    <w:rsid w:val="007608D8"/>
    <w:rsid w:val="0076482E"/>
    <w:rsid w:val="007669B0"/>
    <w:rsid w:val="00770B6C"/>
    <w:rsid w:val="00773C9B"/>
    <w:rsid w:val="0078007F"/>
    <w:rsid w:val="00780BE7"/>
    <w:rsid w:val="0078480B"/>
    <w:rsid w:val="00786FAE"/>
    <w:rsid w:val="00787D22"/>
    <w:rsid w:val="0079386A"/>
    <w:rsid w:val="00795305"/>
    <w:rsid w:val="00796A8E"/>
    <w:rsid w:val="007A4518"/>
    <w:rsid w:val="007A4F17"/>
    <w:rsid w:val="007A5254"/>
    <w:rsid w:val="007A6F6C"/>
    <w:rsid w:val="007B3AC6"/>
    <w:rsid w:val="007B6885"/>
    <w:rsid w:val="007B6B8B"/>
    <w:rsid w:val="007C5499"/>
    <w:rsid w:val="007C78B7"/>
    <w:rsid w:val="007D586B"/>
    <w:rsid w:val="007D5E0A"/>
    <w:rsid w:val="007D7C7B"/>
    <w:rsid w:val="007E3D89"/>
    <w:rsid w:val="007E46AE"/>
    <w:rsid w:val="007E5210"/>
    <w:rsid w:val="007E7AFA"/>
    <w:rsid w:val="007F0626"/>
    <w:rsid w:val="007F23CE"/>
    <w:rsid w:val="007F3C8D"/>
    <w:rsid w:val="007F4A1D"/>
    <w:rsid w:val="007F621D"/>
    <w:rsid w:val="007F6537"/>
    <w:rsid w:val="00807762"/>
    <w:rsid w:val="00810F2C"/>
    <w:rsid w:val="00813FC3"/>
    <w:rsid w:val="00826ECD"/>
    <w:rsid w:val="00835118"/>
    <w:rsid w:val="00835605"/>
    <w:rsid w:val="00836679"/>
    <w:rsid w:val="00837F18"/>
    <w:rsid w:val="008446CE"/>
    <w:rsid w:val="00844846"/>
    <w:rsid w:val="0084786F"/>
    <w:rsid w:val="0085127E"/>
    <w:rsid w:val="00852178"/>
    <w:rsid w:val="0085451D"/>
    <w:rsid w:val="00854EC8"/>
    <w:rsid w:val="008603B4"/>
    <w:rsid w:val="008640BE"/>
    <w:rsid w:val="008642D7"/>
    <w:rsid w:val="0086531E"/>
    <w:rsid w:val="00865C17"/>
    <w:rsid w:val="00867748"/>
    <w:rsid w:val="00874731"/>
    <w:rsid w:val="00875D2D"/>
    <w:rsid w:val="0088069E"/>
    <w:rsid w:val="00880CB5"/>
    <w:rsid w:val="00882652"/>
    <w:rsid w:val="008854F9"/>
    <w:rsid w:val="00885F41"/>
    <w:rsid w:val="008915FF"/>
    <w:rsid w:val="00896C72"/>
    <w:rsid w:val="008971FD"/>
    <w:rsid w:val="008A7260"/>
    <w:rsid w:val="008A7B66"/>
    <w:rsid w:val="008B026E"/>
    <w:rsid w:val="008B22EF"/>
    <w:rsid w:val="008B38BA"/>
    <w:rsid w:val="008C0422"/>
    <w:rsid w:val="008C04D4"/>
    <w:rsid w:val="008C3AFC"/>
    <w:rsid w:val="008C3E90"/>
    <w:rsid w:val="008C4CE3"/>
    <w:rsid w:val="008C7168"/>
    <w:rsid w:val="008D006F"/>
    <w:rsid w:val="008D2798"/>
    <w:rsid w:val="008E2435"/>
    <w:rsid w:val="008E2700"/>
    <w:rsid w:val="008E3830"/>
    <w:rsid w:val="008E4C20"/>
    <w:rsid w:val="008E61F1"/>
    <w:rsid w:val="008F3AD2"/>
    <w:rsid w:val="008F4CE3"/>
    <w:rsid w:val="008F78FD"/>
    <w:rsid w:val="00902F4F"/>
    <w:rsid w:val="00905C5F"/>
    <w:rsid w:val="009117E9"/>
    <w:rsid w:val="009121CF"/>
    <w:rsid w:val="00916EBB"/>
    <w:rsid w:val="00920276"/>
    <w:rsid w:val="0092264E"/>
    <w:rsid w:val="00923331"/>
    <w:rsid w:val="00924CEA"/>
    <w:rsid w:val="00926CD2"/>
    <w:rsid w:val="00933F9A"/>
    <w:rsid w:val="009353B4"/>
    <w:rsid w:val="00935F51"/>
    <w:rsid w:val="00936E96"/>
    <w:rsid w:val="00941EDA"/>
    <w:rsid w:val="00945C9B"/>
    <w:rsid w:val="00947989"/>
    <w:rsid w:val="00955C4C"/>
    <w:rsid w:val="009567F0"/>
    <w:rsid w:val="00956D53"/>
    <w:rsid w:val="00956E53"/>
    <w:rsid w:val="00961D71"/>
    <w:rsid w:val="00961E03"/>
    <w:rsid w:val="00963A67"/>
    <w:rsid w:val="009640EB"/>
    <w:rsid w:val="009642DF"/>
    <w:rsid w:val="00966C76"/>
    <w:rsid w:val="009767EF"/>
    <w:rsid w:val="0097717B"/>
    <w:rsid w:val="009824C8"/>
    <w:rsid w:val="00987852"/>
    <w:rsid w:val="0099198C"/>
    <w:rsid w:val="00993D85"/>
    <w:rsid w:val="009946BE"/>
    <w:rsid w:val="009A08DF"/>
    <w:rsid w:val="009A64C4"/>
    <w:rsid w:val="009B35BC"/>
    <w:rsid w:val="009C20D0"/>
    <w:rsid w:val="009C219D"/>
    <w:rsid w:val="009C4614"/>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24811"/>
    <w:rsid w:val="00A251C7"/>
    <w:rsid w:val="00A26996"/>
    <w:rsid w:val="00A274FC"/>
    <w:rsid w:val="00A275F0"/>
    <w:rsid w:val="00A33C7F"/>
    <w:rsid w:val="00A35945"/>
    <w:rsid w:val="00A36C8C"/>
    <w:rsid w:val="00A42868"/>
    <w:rsid w:val="00A44A1E"/>
    <w:rsid w:val="00A4565A"/>
    <w:rsid w:val="00A50ED5"/>
    <w:rsid w:val="00A52CCD"/>
    <w:rsid w:val="00A554A0"/>
    <w:rsid w:val="00A56356"/>
    <w:rsid w:val="00A5745C"/>
    <w:rsid w:val="00A61064"/>
    <w:rsid w:val="00A653A2"/>
    <w:rsid w:val="00A675FD"/>
    <w:rsid w:val="00A74979"/>
    <w:rsid w:val="00A7696A"/>
    <w:rsid w:val="00A769C4"/>
    <w:rsid w:val="00A77FFB"/>
    <w:rsid w:val="00A81690"/>
    <w:rsid w:val="00A83C88"/>
    <w:rsid w:val="00A90C30"/>
    <w:rsid w:val="00AA4BEA"/>
    <w:rsid w:val="00AA5215"/>
    <w:rsid w:val="00AB2280"/>
    <w:rsid w:val="00AB546D"/>
    <w:rsid w:val="00AC1F01"/>
    <w:rsid w:val="00AC2165"/>
    <w:rsid w:val="00AC3BFA"/>
    <w:rsid w:val="00AC6596"/>
    <w:rsid w:val="00AD4C00"/>
    <w:rsid w:val="00AD7301"/>
    <w:rsid w:val="00AE00C7"/>
    <w:rsid w:val="00AE1D5D"/>
    <w:rsid w:val="00AE6470"/>
    <w:rsid w:val="00AE6AFF"/>
    <w:rsid w:val="00AF074C"/>
    <w:rsid w:val="00AF6C82"/>
    <w:rsid w:val="00AF7784"/>
    <w:rsid w:val="00B0033C"/>
    <w:rsid w:val="00B10B5D"/>
    <w:rsid w:val="00B115A5"/>
    <w:rsid w:val="00B13D70"/>
    <w:rsid w:val="00B150ED"/>
    <w:rsid w:val="00B16B46"/>
    <w:rsid w:val="00B170A3"/>
    <w:rsid w:val="00B24A17"/>
    <w:rsid w:val="00B26FDC"/>
    <w:rsid w:val="00B27C06"/>
    <w:rsid w:val="00B31E94"/>
    <w:rsid w:val="00B377FF"/>
    <w:rsid w:val="00B37801"/>
    <w:rsid w:val="00B434BE"/>
    <w:rsid w:val="00B44C9A"/>
    <w:rsid w:val="00B47E31"/>
    <w:rsid w:val="00B518D4"/>
    <w:rsid w:val="00B51E41"/>
    <w:rsid w:val="00B52F52"/>
    <w:rsid w:val="00B53945"/>
    <w:rsid w:val="00B62DB0"/>
    <w:rsid w:val="00B63FF7"/>
    <w:rsid w:val="00B6608A"/>
    <w:rsid w:val="00B67B92"/>
    <w:rsid w:val="00B704AF"/>
    <w:rsid w:val="00B72250"/>
    <w:rsid w:val="00B76E81"/>
    <w:rsid w:val="00B8044B"/>
    <w:rsid w:val="00B81452"/>
    <w:rsid w:val="00B8270B"/>
    <w:rsid w:val="00B82AC7"/>
    <w:rsid w:val="00B8709A"/>
    <w:rsid w:val="00B93E9A"/>
    <w:rsid w:val="00BA03DC"/>
    <w:rsid w:val="00BA0F90"/>
    <w:rsid w:val="00BA1CF8"/>
    <w:rsid w:val="00BB1AD4"/>
    <w:rsid w:val="00BB3145"/>
    <w:rsid w:val="00BC44EE"/>
    <w:rsid w:val="00BD0908"/>
    <w:rsid w:val="00BD0DCE"/>
    <w:rsid w:val="00BD2782"/>
    <w:rsid w:val="00BD54BF"/>
    <w:rsid w:val="00BE0DC8"/>
    <w:rsid w:val="00BE79D1"/>
    <w:rsid w:val="00BF4169"/>
    <w:rsid w:val="00BF472E"/>
    <w:rsid w:val="00BF7DFA"/>
    <w:rsid w:val="00C03CD1"/>
    <w:rsid w:val="00C11584"/>
    <w:rsid w:val="00C12789"/>
    <w:rsid w:val="00C15933"/>
    <w:rsid w:val="00C167E7"/>
    <w:rsid w:val="00C20B4C"/>
    <w:rsid w:val="00C2494E"/>
    <w:rsid w:val="00C24D28"/>
    <w:rsid w:val="00C27D47"/>
    <w:rsid w:val="00C307BD"/>
    <w:rsid w:val="00C31965"/>
    <w:rsid w:val="00C35789"/>
    <w:rsid w:val="00C41B79"/>
    <w:rsid w:val="00C42166"/>
    <w:rsid w:val="00C421CA"/>
    <w:rsid w:val="00C433B8"/>
    <w:rsid w:val="00C4446E"/>
    <w:rsid w:val="00C51E36"/>
    <w:rsid w:val="00C55D22"/>
    <w:rsid w:val="00C61226"/>
    <w:rsid w:val="00C643AB"/>
    <w:rsid w:val="00C65EDC"/>
    <w:rsid w:val="00C72EF9"/>
    <w:rsid w:val="00C819A4"/>
    <w:rsid w:val="00C870AF"/>
    <w:rsid w:val="00C903D3"/>
    <w:rsid w:val="00C91CCF"/>
    <w:rsid w:val="00C926AF"/>
    <w:rsid w:val="00CA07E4"/>
    <w:rsid w:val="00CA605D"/>
    <w:rsid w:val="00CA72F7"/>
    <w:rsid w:val="00CB0E45"/>
    <w:rsid w:val="00CC1C6D"/>
    <w:rsid w:val="00CC4AF3"/>
    <w:rsid w:val="00CC5B87"/>
    <w:rsid w:val="00CD362B"/>
    <w:rsid w:val="00CD39B2"/>
    <w:rsid w:val="00CD3B11"/>
    <w:rsid w:val="00CD5CFD"/>
    <w:rsid w:val="00CD5D29"/>
    <w:rsid w:val="00CD75D2"/>
    <w:rsid w:val="00CD7F8F"/>
    <w:rsid w:val="00CE1B29"/>
    <w:rsid w:val="00CE627D"/>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2E77"/>
    <w:rsid w:val="00D54B65"/>
    <w:rsid w:val="00D703FE"/>
    <w:rsid w:val="00D750EB"/>
    <w:rsid w:val="00D77BBA"/>
    <w:rsid w:val="00D84F53"/>
    <w:rsid w:val="00D86EAE"/>
    <w:rsid w:val="00D94AF5"/>
    <w:rsid w:val="00DA2FC4"/>
    <w:rsid w:val="00DA58BE"/>
    <w:rsid w:val="00DA7E22"/>
    <w:rsid w:val="00DB0521"/>
    <w:rsid w:val="00DB32C6"/>
    <w:rsid w:val="00DB537B"/>
    <w:rsid w:val="00DC15F1"/>
    <w:rsid w:val="00DC220C"/>
    <w:rsid w:val="00DD0B1F"/>
    <w:rsid w:val="00DD173B"/>
    <w:rsid w:val="00DD53BD"/>
    <w:rsid w:val="00DE0C29"/>
    <w:rsid w:val="00E02BE4"/>
    <w:rsid w:val="00E049B4"/>
    <w:rsid w:val="00E0514B"/>
    <w:rsid w:val="00E05A3F"/>
    <w:rsid w:val="00E05FB1"/>
    <w:rsid w:val="00E06DAD"/>
    <w:rsid w:val="00E103B0"/>
    <w:rsid w:val="00E1107B"/>
    <w:rsid w:val="00E2088B"/>
    <w:rsid w:val="00E2569F"/>
    <w:rsid w:val="00E34A2A"/>
    <w:rsid w:val="00E35AF0"/>
    <w:rsid w:val="00E362B3"/>
    <w:rsid w:val="00E37E3D"/>
    <w:rsid w:val="00E37EE7"/>
    <w:rsid w:val="00E43688"/>
    <w:rsid w:val="00E456C6"/>
    <w:rsid w:val="00E47B5C"/>
    <w:rsid w:val="00E5289B"/>
    <w:rsid w:val="00E52F4C"/>
    <w:rsid w:val="00E535FA"/>
    <w:rsid w:val="00E56BA7"/>
    <w:rsid w:val="00E5771D"/>
    <w:rsid w:val="00E63FCD"/>
    <w:rsid w:val="00E64F8A"/>
    <w:rsid w:val="00E67750"/>
    <w:rsid w:val="00E677E7"/>
    <w:rsid w:val="00E75CA7"/>
    <w:rsid w:val="00E763F4"/>
    <w:rsid w:val="00E76523"/>
    <w:rsid w:val="00E76A46"/>
    <w:rsid w:val="00E76B5C"/>
    <w:rsid w:val="00E77E98"/>
    <w:rsid w:val="00E836AF"/>
    <w:rsid w:val="00E85601"/>
    <w:rsid w:val="00E85EF4"/>
    <w:rsid w:val="00E86E91"/>
    <w:rsid w:val="00E94566"/>
    <w:rsid w:val="00E94860"/>
    <w:rsid w:val="00EA19C9"/>
    <w:rsid w:val="00EA63A7"/>
    <w:rsid w:val="00EA659F"/>
    <w:rsid w:val="00EB1E10"/>
    <w:rsid w:val="00EB7547"/>
    <w:rsid w:val="00EB7684"/>
    <w:rsid w:val="00EC008D"/>
    <w:rsid w:val="00EC07B0"/>
    <w:rsid w:val="00EC2B23"/>
    <w:rsid w:val="00EC4A17"/>
    <w:rsid w:val="00EC744D"/>
    <w:rsid w:val="00ED1D3A"/>
    <w:rsid w:val="00ED256B"/>
    <w:rsid w:val="00EE0440"/>
    <w:rsid w:val="00EE08E8"/>
    <w:rsid w:val="00EE6196"/>
    <w:rsid w:val="00EE77A2"/>
    <w:rsid w:val="00EF31CF"/>
    <w:rsid w:val="00EF478C"/>
    <w:rsid w:val="00EF4C0F"/>
    <w:rsid w:val="00EF56AC"/>
    <w:rsid w:val="00EF63BE"/>
    <w:rsid w:val="00EF7692"/>
    <w:rsid w:val="00F12DCE"/>
    <w:rsid w:val="00F12FAD"/>
    <w:rsid w:val="00F13B57"/>
    <w:rsid w:val="00F16A17"/>
    <w:rsid w:val="00F20E96"/>
    <w:rsid w:val="00F260C9"/>
    <w:rsid w:val="00F272B2"/>
    <w:rsid w:val="00F27688"/>
    <w:rsid w:val="00F30B11"/>
    <w:rsid w:val="00F31418"/>
    <w:rsid w:val="00F32DEE"/>
    <w:rsid w:val="00F34519"/>
    <w:rsid w:val="00F44F26"/>
    <w:rsid w:val="00F45C7C"/>
    <w:rsid w:val="00F5385D"/>
    <w:rsid w:val="00F573A4"/>
    <w:rsid w:val="00F6038E"/>
    <w:rsid w:val="00F67DD9"/>
    <w:rsid w:val="00F7009B"/>
    <w:rsid w:val="00F70C0E"/>
    <w:rsid w:val="00F7137F"/>
    <w:rsid w:val="00F724E2"/>
    <w:rsid w:val="00F732E9"/>
    <w:rsid w:val="00F73835"/>
    <w:rsid w:val="00F742F9"/>
    <w:rsid w:val="00F82744"/>
    <w:rsid w:val="00F8507F"/>
    <w:rsid w:val="00F864B6"/>
    <w:rsid w:val="00F90544"/>
    <w:rsid w:val="00F9421B"/>
    <w:rsid w:val="00F9791A"/>
    <w:rsid w:val="00FA02D8"/>
    <w:rsid w:val="00FA2355"/>
    <w:rsid w:val="00FA2933"/>
    <w:rsid w:val="00FB05EA"/>
    <w:rsid w:val="00FB2AE2"/>
    <w:rsid w:val="00FC2C03"/>
    <w:rsid w:val="00FC3370"/>
    <w:rsid w:val="00FC3C0B"/>
    <w:rsid w:val="00FC43F4"/>
    <w:rsid w:val="00FC527B"/>
    <w:rsid w:val="00FC62E0"/>
    <w:rsid w:val="00FD4657"/>
    <w:rsid w:val="00FD47E8"/>
    <w:rsid w:val="00FD78CF"/>
    <w:rsid w:val="00FF1C46"/>
    <w:rsid w:val="00FF1C6C"/>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9767EF"/>
    <w:pPr>
      <w:spacing w:line="240" w:lineRule="auto"/>
    </w:pPr>
  </w:style>
  <w:style w:type="character" w:customStyle="1" w:styleId="CommentTextChar">
    <w:name w:val="Comment Text Char"/>
    <w:basedOn w:val="DefaultParagraphFont"/>
    <w:link w:val="CommentText"/>
    <w:rsid w:val="009767EF"/>
    <w:rPr>
      <w:spacing w:val="4"/>
      <w:w w:val="103"/>
      <w:kern w:val="14"/>
      <w:lang w:val="en-GB"/>
    </w:rPr>
  </w:style>
  <w:style w:type="paragraph" w:styleId="CommentSubject">
    <w:name w:val="annotation subject"/>
    <w:basedOn w:val="CommentText"/>
    <w:next w:val="CommentText"/>
    <w:link w:val="CommentSubjectChar"/>
    <w:rsid w:val="009767EF"/>
    <w:rPr>
      <w:b/>
      <w:bCs/>
    </w:rPr>
  </w:style>
  <w:style w:type="character" w:customStyle="1" w:styleId="CommentSubjectChar">
    <w:name w:val="Comment Subject Char"/>
    <w:basedOn w:val="CommentTextChar"/>
    <w:link w:val="CommentSubject"/>
    <w:rsid w:val="009767EF"/>
    <w:rPr>
      <w:b/>
      <w:bCs/>
      <w:spacing w:val="4"/>
      <w:w w:val="103"/>
      <w:kern w:val="14"/>
      <w:lang w:val="en-GB"/>
    </w:rPr>
  </w:style>
  <w:style w:type="paragraph" w:customStyle="1" w:styleId="SingleTxtG">
    <w:name w:val="_ Single Txt_G"/>
    <w:basedOn w:val="Normal"/>
    <w:rsid w:val="00001BC9"/>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rsid w:val="008C3AF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9767EF"/>
    <w:pPr>
      <w:spacing w:line="240" w:lineRule="auto"/>
    </w:pPr>
  </w:style>
  <w:style w:type="character" w:customStyle="1" w:styleId="CommentTextChar">
    <w:name w:val="Comment Text Char"/>
    <w:basedOn w:val="DefaultParagraphFont"/>
    <w:link w:val="CommentText"/>
    <w:rsid w:val="009767EF"/>
    <w:rPr>
      <w:spacing w:val="4"/>
      <w:w w:val="103"/>
      <w:kern w:val="14"/>
      <w:lang w:val="en-GB"/>
    </w:rPr>
  </w:style>
  <w:style w:type="paragraph" w:styleId="CommentSubject">
    <w:name w:val="annotation subject"/>
    <w:basedOn w:val="CommentText"/>
    <w:next w:val="CommentText"/>
    <w:link w:val="CommentSubjectChar"/>
    <w:rsid w:val="009767EF"/>
    <w:rPr>
      <w:b/>
      <w:bCs/>
    </w:rPr>
  </w:style>
  <w:style w:type="character" w:customStyle="1" w:styleId="CommentSubjectChar">
    <w:name w:val="Comment Subject Char"/>
    <w:basedOn w:val="CommentTextChar"/>
    <w:link w:val="CommentSubject"/>
    <w:rsid w:val="009767EF"/>
    <w:rPr>
      <w:b/>
      <w:bCs/>
      <w:spacing w:val="4"/>
      <w:w w:val="103"/>
      <w:kern w:val="14"/>
      <w:lang w:val="en-GB"/>
    </w:rPr>
  </w:style>
  <w:style w:type="paragraph" w:customStyle="1" w:styleId="SingleTxtG">
    <w:name w:val="_ Single Txt_G"/>
    <w:basedOn w:val="Normal"/>
    <w:rsid w:val="00001BC9"/>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rsid w:val="008C3AF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MLI/2-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8715-1870-4BD2-8990-2C3CC98C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54</Pages>
  <Words>18461</Words>
  <Characters>105234</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16</cp:revision>
  <cp:lastPrinted>2015-06-16T22:47:00Z</cp:lastPrinted>
  <dcterms:created xsi:type="dcterms:W3CDTF">2015-06-16T21:04:00Z</dcterms:created>
  <dcterms:modified xsi:type="dcterms:W3CDTF">2015-06-16T22:47:00Z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1506738</vt:lpwstr>
  </property>
  <property fmtid="{D5CDD505-2E9C-101B-9397-08002B2CF9AE}" pid="3" name="ODSRefJobNo">
    <vt:lpwstr>1512368E</vt:lpwstr>
  </property>
  <property fmtid="{D5CDD505-2E9C-101B-9397-08002B2CF9AE}" pid="4" name="Symbol1">
    <vt:lpwstr>CEDAW/C/MLI/6-7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28 April 2015</vt:lpwstr>
  </property>
  <property fmtid="{D5CDD505-2E9C-101B-9397-08002B2CF9AE}" pid="9" name="Original">
    <vt:lpwstr>French</vt:lpwstr>
  </property>
  <property fmtid="{D5CDD505-2E9C-101B-9397-08002B2CF9AE}" pid="10" name="Release Date">
    <vt:lpwstr>150615</vt:lpwstr>
  </property>
  <property fmtid="{D5CDD505-2E9C-101B-9397-08002B2CF9AE}" pid="11" name="Comment">
    <vt:lpwstr/>
  </property>
  <property fmtid="{D5CDD505-2E9C-101B-9397-08002B2CF9AE}" pid="12" name="DraftPages">
    <vt:lpwstr>54 Final</vt:lpwstr>
  </property>
  <property fmtid="{D5CDD505-2E9C-101B-9397-08002B2CF9AE}" pid="13" name="Operator">
    <vt:lpwstr>ls (F)</vt:lpwstr>
  </property>
</Properties>
</file>