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6A" w:rsidRDefault="002D7C6A" w:rsidP="002D7C6A">
      <w:pPr>
        <w:spacing w:line="60" w:lineRule="exact"/>
        <w:rPr>
          <w:sz w:val="6"/>
        </w:rPr>
        <w:sectPr w:rsidR="002D7C6A" w:rsidSect="002D7C6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717AB1" w:rsidRPr="00717AB1" w:rsidRDefault="00717AB1" w:rsidP="00717A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17AB1">
        <w:rPr>
          <w:rFonts w:hint="eastAsia"/>
        </w:rPr>
        <w:lastRenderedPageBreak/>
        <w:t>消除对妇女歧视委员会</w:t>
      </w:r>
    </w:p>
    <w:p w:rsidR="00717AB1" w:rsidRPr="00717AB1" w:rsidRDefault="00717AB1" w:rsidP="00717A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17AB1" w:rsidRPr="00717AB1" w:rsidRDefault="00717AB1" w:rsidP="00717A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17AB1" w:rsidRPr="00717AB1" w:rsidRDefault="00717AB1" w:rsidP="00717A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17AB1" w:rsidRPr="00717AB1" w:rsidRDefault="00717AB1" w:rsidP="00717AB1">
      <w:pPr>
        <w:framePr w:w="9792" w:h="432" w:hSpace="180" w:wrap="around" w:hAnchor="page" w:x="1210" w:yAlign="bottom"/>
        <w:spacing w:line="100" w:lineRule="exact"/>
        <w:rPr>
          <w:sz w:val="10"/>
        </w:rPr>
      </w:pPr>
    </w:p>
    <w:p w:rsidR="00717AB1" w:rsidRPr="00717AB1" w:rsidRDefault="00717AB1" w:rsidP="00717AB1">
      <w:pPr>
        <w:framePr w:w="9792" w:h="432" w:hSpace="180" w:wrap="around" w:hAnchor="page" w:x="1210" w:yAlign="bottom"/>
        <w:spacing w:line="60" w:lineRule="exact"/>
        <w:rPr>
          <w:sz w:val="6"/>
        </w:rPr>
      </w:pPr>
      <w:r w:rsidRPr="00717AB1">
        <w:rPr>
          <w:noProof/>
          <w:sz w:val="6"/>
        </w:rPr>
        <mc:AlternateContent>
          <mc:Choice Requires="wps">
            <w:drawing>
              <wp:anchor distT="0" distB="0" distL="114300" distR="114300" simplePos="0" relativeHeight="251659264" behindDoc="0" locked="0" layoutInCell="1" allowOverlap="1" wp14:anchorId="3885154C" wp14:editId="648EE20B">
                <wp:simplePos x="0" y="0"/>
                <wp:positionH relativeFrom="page">
                  <wp:posOffset>1371600</wp:posOffset>
                </wp:positionH>
                <wp:positionV relativeFrom="paragraph">
                  <wp:posOffset>-12700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" strokecolor="#4579b8 [3044]" strokeweight=".25pt">
                <w10:wrap anchorx="page"/>
              </v:line>
            </w:pict>
          </mc:Fallback>
        </mc:AlternateContent>
      </w:r>
    </w:p>
    <w:p w:rsidR="00717AB1" w:rsidRPr="00717AB1" w:rsidRDefault="00717AB1" w:rsidP="00717AB1">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717AB1">
        <w:rPr>
          <w:rFonts w:ascii="宋体" w:hAnsi="宋体" w:hint="eastAsia"/>
          <w:sz w:val="18"/>
          <w:vertAlign w:val="superscript"/>
        </w:rPr>
        <w:t>*</w:t>
      </w:r>
      <w:r>
        <w:rPr>
          <w:sz w:val="18"/>
        </w:rPr>
        <w:tab/>
      </w:r>
      <w:r w:rsidRPr="00717AB1">
        <w:rPr>
          <w:rFonts w:hint="eastAsia"/>
          <w:sz w:val="18"/>
        </w:rPr>
        <w:t>委员会在第六十三届会议</w:t>
      </w:r>
      <w:r w:rsidR="00435E72">
        <w:rPr>
          <w:rFonts w:hint="eastAsia"/>
          <w:sz w:val="18"/>
        </w:rPr>
        <w:t>(</w:t>
      </w:r>
      <w:r w:rsidRPr="00717AB1">
        <w:rPr>
          <w:rFonts w:hint="eastAsia"/>
          <w:sz w:val="18"/>
        </w:rPr>
        <w:t>2016</w:t>
      </w:r>
      <w:r w:rsidRPr="00717AB1">
        <w:rPr>
          <w:rFonts w:hint="eastAsia"/>
          <w:sz w:val="18"/>
        </w:rPr>
        <w:t>年</w:t>
      </w:r>
      <w:r w:rsidRPr="00717AB1">
        <w:rPr>
          <w:rFonts w:hint="eastAsia"/>
          <w:sz w:val="18"/>
        </w:rPr>
        <w:t>2</w:t>
      </w:r>
      <w:r w:rsidRPr="00717AB1">
        <w:rPr>
          <w:rFonts w:hint="eastAsia"/>
          <w:sz w:val="18"/>
        </w:rPr>
        <w:t>月</w:t>
      </w:r>
      <w:r w:rsidRPr="00717AB1">
        <w:rPr>
          <w:rFonts w:hint="eastAsia"/>
          <w:sz w:val="18"/>
        </w:rPr>
        <w:t>15</w:t>
      </w:r>
      <w:r w:rsidRPr="00717AB1">
        <w:rPr>
          <w:rFonts w:hint="eastAsia"/>
          <w:sz w:val="18"/>
        </w:rPr>
        <w:t>日至</w:t>
      </w:r>
      <w:r w:rsidRPr="00717AB1">
        <w:rPr>
          <w:rFonts w:hint="eastAsia"/>
          <w:sz w:val="18"/>
        </w:rPr>
        <w:t>3</w:t>
      </w:r>
      <w:r w:rsidRPr="00717AB1">
        <w:rPr>
          <w:rFonts w:hint="eastAsia"/>
          <w:sz w:val="18"/>
        </w:rPr>
        <w:t>月</w:t>
      </w:r>
      <w:r w:rsidRPr="00717AB1">
        <w:rPr>
          <w:rFonts w:hint="eastAsia"/>
          <w:sz w:val="18"/>
        </w:rPr>
        <w:t>4</w:t>
      </w:r>
      <w:r w:rsidRPr="00717AB1">
        <w:rPr>
          <w:rFonts w:hint="eastAsia"/>
          <w:sz w:val="18"/>
        </w:rPr>
        <w:t>日</w:t>
      </w:r>
      <w:r w:rsidR="00435E72">
        <w:rPr>
          <w:rFonts w:hint="eastAsia"/>
          <w:sz w:val="18"/>
        </w:rPr>
        <w:t>)</w:t>
      </w:r>
      <w:r w:rsidRPr="00717AB1">
        <w:rPr>
          <w:rFonts w:hint="eastAsia"/>
          <w:sz w:val="18"/>
        </w:rPr>
        <w:t>上通过。</w:t>
      </w:r>
    </w:p>
    <w:p w:rsidR="00717AB1" w:rsidRPr="005E271F" w:rsidRDefault="00717AB1" w:rsidP="005E271F">
      <w:pPr>
        <w:pStyle w:val="HCh"/>
      </w:pPr>
      <w:r>
        <w:tab/>
      </w:r>
      <w:r>
        <w:tab/>
      </w:r>
      <w:r w:rsidRPr="005E271F">
        <w:rPr>
          <w:rFonts w:hint="eastAsia"/>
        </w:rPr>
        <w:t>关于蒙古第八和第九次合并定期报告的结论意见</w:t>
      </w:r>
      <w:r w:rsidRPr="005E271F">
        <w:rPr>
          <w:rFonts w:hint="eastAsia"/>
          <w:vertAlign w:val="superscript"/>
        </w:rPr>
        <w:t>*</w:t>
      </w:r>
      <w:r w:rsidRPr="005E271F">
        <w:t xml:space="preserve">  </w:t>
      </w:r>
    </w:p>
    <w:p w:rsidR="00717AB1" w:rsidRPr="008D1A76" w:rsidRDefault="00717AB1" w:rsidP="008D1A76">
      <w:pPr>
        <w:pStyle w:val="SingleTxt"/>
        <w:spacing w:after="0" w:line="120" w:lineRule="exact"/>
        <w:rPr>
          <w:sz w:val="10"/>
        </w:rPr>
      </w:pPr>
    </w:p>
    <w:p w:rsidR="008D1A76" w:rsidRPr="00717AB1" w:rsidRDefault="008D1A76" w:rsidP="00717AB1">
      <w:pPr>
        <w:pStyle w:val="SingleTxt"/>
        <w:spacing w:after="0" w:line="120" w:lineRule="exact"/>
        <w:rPr>
          <w:sz w:val="10"/>
        </w:rPr>
      </w:pPr>
    </w:p>
    <w:p w:rsidR="00717AB1" w:rsidRDefault="00717AB1" w:rsidP="00717AB1">
      <w:pPr>
        <w:pStyle w:val="SingleTxt"/>
      </w:pPr>
      <w:r>
        <w:rPr>
          <w:rFonts w:hint="eastAsia"/>
        </w:rPr>
        <w:t>1.</w:t>
      </w:r>
      <w:r>
        <w:rPr>
          <w:rFonts w:hint="eastAsia"/>
        </w:rPr>
        <w:tab/>
        <w:t>2016</w:t>
      </w:r>
      <w:r>
        <w:rPr>
          <w:rFonts w:hint="eastAsia"/>
        </w:rPr>
        <w:t>年</w:t>
      </w:r>
      <w:r>
        <w:rPr>
          <w:rFonts w:hint="eastAsia"/>
        </w:rPr>
        <w:t>2</w:t>
      </w:r>
      <w:r>
        <w:rPr>
          <w:rFonts w:hint="eastAsia"/>
        </w:rPr>
        <w:t>月</w:t>
      </w:r>
      <w:r>
        <w:rPr>
          <w:rFonts w:hint="eastAsia"/>
        </w:rPr>
        <w:t>19</w:t>
      </w:r>
      <w:r>
        <w:rPr>
          <w:rFonts w:hint="eastAsia"/>
        </w:rPr>
        <w:t>日，委员会在第</w:t>
      </w:r>
      <w:r>
        <w:rPr>
          <w:rFonts w:hint="eastAsia"/>
        </w:rPr>
        <w:t>1381</w:t>
      </w:r>
      <w:r>
        <w:rPr>
          <w:rFonts w:hint="eastAsia"/>
        </w:rPr>
        <w:t>和</w:t>
      </w:r>
      <w:r>
        <w:rPr>
          <w:rFonts w:hint="eastAsia"/>
        </w:rPr>
        <w:t>1382</w:t>
      </w:r>
      <w:r>
        <w:rPr>
          <w:rFonts w:hint="eastAsia"/>
        </w:rPr>
        <w:t>次会议</w:t>
      </w:r>
      <w:r w:rsidR="00435E72">
        <w:rPr>
          <w:rFonts w:hint="eastAsia"/>
        </w:rPr>
        <w:t>(</w:t>
      </w:r>
      <w:r>
        <w:rPr>
          <w:rFonts w:hint="eastAsia"/>
        </w:rPr>
        <w:t>见</w:t>
      </w:r>
      <w:hyperlink r:id="rId16" w:history="1">
        <w:r w:rsidRPr="00C03935">
          <w:rPr>
            <w:rStyle w:val="ad"/>
            <w:rFonts w:hint="eastAsia"/>
          </w:rPr>
          <w:t>CEDAW/C/SR.1381</w:t>
        </w:r>
      </w:hyperlink>
      <w:r>
        <w:rPr>
          <w:rFonts w:hint="eastAsia"/>
        </w:rPr>
        <w:t>和</w:t>
      </w:r>
      <w:r>
        <w:rPr>
          <w:rFonts w:hint="eastAsia"/>
        </w:rPr>
        <w:t>1382</w:t>
      </w:r>
      <w:r w:rsidR="00435E72">
        <w:rPr>
          <w:rFonts w:hint="eastAsia"/>
        </w:rPr>
        <w:t>)</w:t>
      </w:r>
      <w:r>
        <w:rPr>
          <w:rFonts w:hint="eastAsia"/>
        </w:rPr>
        <w:t>上审议了蒙古第八和第九次合并定期报告</w:t>
      </w:r>
      <w:r w:rsidR="00435E72">
        <w:rPr>
          <w:rFonts w:hint="eastAsia"/>
        </w:rPr>
        <w:t>(</w:t>
      </w:r>
      <w:hyperlink r:id="rId17" w:history="1">
        <w:r w:rsidRPr="00C03935">
          <w:rPr>
            <w:rStyle w:val="ad"/>
            <w:rFonts w:hint="eastAsia"/>
          </w:rPr>
          <w:t>CEDAW/C/MNG/8-9</w:t>
        </w:r>
      </w:hyperlink>
      <w:r w:rsidR="00435E72">
        <w:rPr>
          <w:rFonts w:hint="eastAsia"/>
        </w:rPr>
        <w:t>)</w:t>
      </w:r>
      <w:r>
        <w:rPr>
          <w:rFonts w:hint="eastAsia"/>
        </w:rPr>
        <w:t>。委员会的议题和问题清单见</w:t>
      </w:r>
      <w:hyperlink r:id="rId18" w:history="1">
        <w:r w:rsidRPr="00C03935">
          <w:rPr>
            <w:rStyle w:val="ad"/>
            <w:rFonts w:hint="eastAsia"/>
          </w:rPr>
          <w:t>CEDAW/C/MNG/Q/8-9</w:t>
        </w:r>
      </w:hyperlink>
      <w:r>
        <w:rPr>
          <w:rFonts w:hint="eastAsia"/>
        </w:rPr>
        <w:t>，蒙古的答复见</w:t>
      </w:r>
      <w:hyperlink r:id="rId19" w:history="1">
        <w:r w:rsidRPr="00C03935">
          <w:rPr>
            <w:rStyle w:val="ad"/>
            <w:rFonts w:hint="eastAsia"/>
          </w:rPr>
          <w:t>CEDAW/C/</w:t>
        </w:r>
        <w:r w:rsidR="008D1A76">
          <w:rPr>
            <w:rStyle w:val="ad"/>
          </w:rPr>
          <w:t xml:space="preserve"> </w:t>
        </w:r>
        <w:r w:rsidRPr="00C03935">
          <w:rPr>
            <w:rStyle w:val="ad"/>
            <w:rFonts w:hint="eastAsia"/>
          </w:rPr>
          <w:t>MNG/Q/8-9/Add.1</w:t>
        </w:r>
      </w:hyperlink>
      <w:r>
        <w:rPr>
          <w:rFonts w:hint="eastAsia"/>
        </w:rPr>
        <w:t>。</w:t>
      </w:r>
    </w:p>
    <w:p w:rsidR="00717AB1" w:rsidRPr="005E1424" w:rsidRDefault="005E1424" w:rsidP="005E14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5E1424">
        <w:rPr>
          <w:rFonts w:hint="eastAsia"/>
        </w:rPr>
        <w:t>A.</w:t>
      </w:r>
      <w:r w:rsidRPr="005E1424">
        <w:tab/>
      </w:r>
      <w:r w:rsidR="00717AB1" w:rsidRPr="005E1424">
        <w:rPr>
          <w:rFonts w:hint="eastAsia"/>
        </w:rPr>
        <w:t>导言</w:t>
      </w:r>
    </w:p>
    <w:p w:rsidR="005E1424" w:rsidRPr="005E1424" w:rsidRDefault="005E1424" w:rsidP="005E1424">
      <w:pPr>
        <w:pStyle w:val="SingleTxt"/>
        <w:spacing w:after="0" w:line="120" w:lineRule="exact"/>
        <w:rPr>
          <w:sz w:val="10"/>
        </w:rPr>
      </w:pPr>
    </w:p>
    <w:p w:rsidR="00717AB1" w:rsidRDefault="00717AB1" w:rsidP="00717AB1">
      <w:pPr>
        <w:pStyle w:val="SingleTxt"/>
      </w:pPr>
      <w:r>
        <w:rPr>
          <w:rFonts w:hint="eastAsia"/>
        </w:rPr>
        <w:t>2.</w:t>
      </w:r>
      <w:r>
        <w:rPr>
          <w:rFonts w:hint="eastAsia"/>
        </w:rPr>
        <w:tab/>
      </w:r>
      <w:r>
        <w:rPr>
          <w:rFonts w:hint="eastAsia"/>
        </w:rPr>
        <w:t>委员会感谢缔约国提交第八和第九次合并定期报告。委员会也感谢缔约国对会前工作组提出的议题和问题清单作了书面答复，并欢迎代表团口头介绍了情况及对委员会在对话期间口头提出的问题作了进一步澄清。</w:t>
      </w:r>
    </w:p>
    <w:p w:rsidR="00717AB1" w:rsidRDefault="00717AB1" w:rsidP="00717AB1">
      <w:pPr>
        <w:pStyle w:val="SingleTxt"/>
      </w:pPr>
      <w:r>
        <w:rPr>
          <w:rFonts w:hint="eastAsia"/>
        </w:rPr>
        <w:t>3.</w:t>
      </w:r>
      <w:r>
        <w:rPr>
          <w:rFonts w:hint="eastAsia"/>
        </w:rPr>
        <w:tab/>
      </w:r>
      <w:r>
        <w:rPr>
          <w:rFonts w:hint="eastAsia"/>
        </w:rPr>
        <w:t>委员会赞赏缔约国派遣人口发展与社会保护部国务秘书戈乔</w:t>
      </w:r>
      <w:r w:rsidR="005E1424">
        <w:rPr>
          <w:rFonts w:hint="eastAsia"/>
        </w:rPr>
        <w:t>·</w:t>
      </w:r>
      <w:r>
        <w:rPr>
          <w:rFonts w:hint="eastAsia"/>
        </w:rPr>
        <w:t>纳兰格雷勒率领代表团出席会议；代表团成员包括卫生与体育部、劳工部、人口发展与社会保护部、司法部及蒙古常驻日内瓦联合国办事处和其他国际组织代表团的代表。</w:t>
      </w:r>
    </w:p>
    <w:p w:rsidR="00717AB1" w:rsidRPr="005E1424" w:rsidRDefault="005E1424" w:rsidP="005E14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5E1424">
        <w:rPr>
          <w:rFonts w:hint="eastAsia"/>
        </w:rPr>
        <w:t>B.</w:t>
      </w:r>
      <w:r w:rsidRPr="005E1424">
        <w:tab/>
      </w:r>
      <w:r w:rsidR="00717AB1" w:rsidRPr="005E1424">
        <w:rPr>
          <w:rFonts w:hint="eastAsia"/>
        </w:rPr>
        <w:t>积极方面</w:t>
      </w:r>
    </w:p>
    <w:p w:rsidR="005E1424" w:rsidRPr="005E1424" w:rsidRDefault="005E1424" w:rsidP="005E1424">
      <w:pPr>
        <w:pStyle w:val="SingleTxt"/>
        <w:spacing w:after="0" w:line="120" w:lineRule="exact"/>
        <w:rPr>
          <w:sz w:val="10"/>
        </w:rPr>
      </w:pPr>
    </w:p>
    <w:p w:rsidR="00717AB1" w:rsidRDefault="00717AB1" w:rsidP="00717AB1">
      <w:pPr>
        <w:pStyle w:val="SingleTxt"/>
      </w:pPr>
      <w:r>
        <w:rPr>
          <w:rFonts w:hint="eastAsia"/>
        </w:rPr>
        <w:t>4.</w:t>
      </w:r>
      <w:r>
        <w:rPr>
          <w:rFonts w:hint="eastAsia"/>
        </w:rPr>
        <w:tab/>
      </w:r>
      <w:r>
        <w:rPr>
          <w:rFonts w:hint="eastAsia"/>
        </w:rPr>
        <w:t>委员会欢迎自</w:t>
      </w:r>
      <w:r>
        <w:rPr>
          <w:rFonts w:hint="eastAsia"/>
        </w:rPr>
        <w:t>2008</w:t>
      </w:r>
      <w:r>
        <w:rPr>
          <w:rFonts w:hint="eastAsia"/>
        </w:rPr>
        <w:t>年审议缔约国第七次定期报告</w:t>
      </w:r>
      <w:r w:rsidR="00435E72">
        <w:rPr>
          <w:rFonts w:hint="eastAsia"/>
        </w:rPr>
        <w:t>(</w:t>
      </w:r>
      <w:hyperlink r:id="rId20" w:history="1">
        <w:r w:rsidRPr="00C03935">
          <w:rPr>
            <w:rStyle w:val="ad"/>
            <w:rFonts w:hint="eastAsia"/>
          </w:rPr>
          <w:t>CEDAW/C/MNG/7</w:t>
        </w:r>
      </w:hyperlink>
      <w:r w:rsidR="00435E72">
        <w:rPr>
          <w:rFonts w:hint="eastAsia"/>
        </w:rPr>
        <w:t>)</w:t>
      </w:r>
      <w:r>
        <w:rPr>
          <w:rFonts w:hint="eastAsia"/>
        </w:rPr>
        <w:t>以来该国在进行立法改革方面取得的进展，特别是通过了：</w:t>
      </w:r>
    </w:p>
    <w:p w:rsidR="00717AB1" w:rsidRDefault="00717AB1" w:rsidP="00717AB1">
      <w:pPr>
        <w:pStyle w:val="SingleTxt"/>
      </w:pPr>
      <w:r>
        <w:rPr>
          <w:rFonts w:hint="eastAsia"/>
        </w:rPr>
        <w:tab/>
        <w:t>(a)</w:t>
      </w:r>
      <w:r>
        <w:rPr>
          <w:rFonts w:hint="eastAsia"/>
        </w:rPr>
        <w:tab/>
      </w:r>
      <w:r>
        <w:rPr>
          <w:rFonts w:hint="eastAsia"/>
        </w:rPr>
        <w:t>《残疾人法》，</w:t>
      </w:r>
      <w:r>
        <w:rPr>
          <w:rFonts w:hint="eastAsia"/>
        </w:rPr>
        <w:t>2016</w:t>
      </w:r>
      <w:r>
        <w:rPr>
          <w:rFonts w:hint="eastAsia"/>
        </w:rPr>
        <w:t>年；</w:t>
      </w:r>
    </w:p>
    <w:p w:rsidR="00717AB1" w:rsidRDefault="00717AB1" w:rsidP="00717AB1">
      <w:pPr>
        <w:pStyle w:val="SingleTxt"/>
      </w:pPr>
      <w:r>
        <w:rPr>
          <w:rFonts w:hint="eastAsia"/>
        </w:rPr>
        <w:tab/>
        <w:t>(b)</w:t>
      </w:r>
      <w:r>
        <w:rPr>
          <w:rFonts w:hint="eastAsia"/>
        </w:rPr>
        <w:tab/>
      </w:r>
      <w:r>
        <w:rPr>
          <w:rFonts w:hint="eastAsia"/>
        </w:rPr>
        <w:t>《儿童保育服务法》，</w:t>
      </w:r>
      <w:r>
        <w:rPr>
          <w:rFonts w:hint="eastAsia"/>
        </w:rPr>
        <w:t>2015</w:t>
      </w:r>
      <w:r>
        <w:rPr>
          <w:rFonts w:hint="eastAsia"/>
        </w:rPr>
        <w:t>年；</w:t>
      </w:r>
    </w:p>
    <w:p w:rsidR="00717AB1" w:rsidRDefault="00717AB1" w:rsidP="00717AB1">
      <w:pPr>
        <w:pStyle w:val="SingleTxt"/>
      </w:pPr>
      <w:r>
        <w:rPr>
          <w:rFonts w:hint="eastAsia"/>
        </w:rPr>
        <w:tab/>
        <w:t>(c)</w:t>
      </w:r>
      <w:r>
        <w:rPr>
          <w:rFonts w:hint="eastAsia"/>
        </w:rPr>
        <w:tab/>
      </w:r>
      <w:r>
        <w:rPr>
          <w:rFonts w:hint="eastAsia"/>
        </w:rPr>
        <w:t>《刑法》</w:t>
      </w:r>
      <w:r w:rsidR="00435E72">
        <w:rPr>
          <w:rFonts w:hint="eastAsia"/>
        </w:rPr>
        <w:t>(</w:t>
      </w:r>
      <w:r>
        <w:rPr>
          <w:rFonts w:hint="eastAsia"/>
        </w:rPr>
        <w:t>修订</w:t>
      </w:r>
      <w:r w:rsidR="00435E72">
        <w:rPr>
          <w:rFonts w:hint="eastAsia"/>
        </w:rPr>
        <w:t>)</w:t>
      </w:r>
      <w:r>
        <w:rPr>
          <w:rFonts w:hint="eastAsia"/>
        </w:rPr>
        <w:t>，</w:t>
      </w:r>
      <w:r>
        <w:rPr>
          <w:rFonts w:hint="eastAsia"/>
        </w:rPr>
        <w:t>2015</w:t>
      </w:r>
      <w:r>
        <w:rPr>
          <w:rFonts w:hint="eastAsia"/>
        </w:rPr>
        <w:t>年，其中将家庭暴力定为犯罪、禁止基于多种理由的歧视及禁止仇恨罪和仇恨言论；</w:t>
      </w:r>
    </w:p>
    <w:p w:rsidR="00717AB1" w:rsidRDefault="00717AB1" w:rsidP="00717AB1">
      <w:pPr>
        <w:pStyle w:val="SingleTxt"/>
      </w:pPr>
      <w:r>
        <w:rPr>
          <w:rFonts w:hint="eastAsia"/>
        </w:rPr>
        <w:tab/>
        <w:t>(d)</w:t>
      </w:r>
      <w:r>
        <w:rPr>
          <w:rFonts w:hint="eastAsia"/>
        </w:rPr>
        <w:tab/>
      </w:r>
      <w:r>
        <w:rPr>
          <w:rFonts w:hint="eastAsia"/>
        </w:rPr>
        <w:t>《受害人和证人保护法》，</w:t>
      </w:r>
      <w:r>
        <w:rPr>
          <w:rFonts w:hint="eastAsia"/>
        </w:rPr>
        <w:t>2013</w:t>
      </w:r>
      <w:r>
        <w:rPr>
          <w:rFonts w:hint="eastAsia"/>
        </w:rPr>
        <w:t>年，其中规定保护暴力行为受害女童和</w:t>
      </w:r>
      <w:r>
        <w:rPr>
          <w:rFonts w:hint="eastAsia"/>
        </w:rPr>
        <w:lastRenderedPageBreak/>
        <w:t>妇女；</w:t>
      </w:r>
    </w:p>
    <w:p w:rsidR="00717AB1" w:rsidRDefault="00717AB1" w:rsidP="00717AB1">
      <w:pPr>
        <w:pStyle w:val="SingleTxt"/>
      </w:pPr>
      <w:r>
        <w:rPr>
          <w:rFonts w:hint="eastAsia"/>
        </w:rPr>
        <w:tab/>
        <w:t>(e)</w:t>
      </w:r>
      <w:r>
        <w:rPr>
          <w:rFonts w:hint="eastAsia"/>
        </w:rPr>
        <w:tab/>
      </w:r>
      <w:r>
        <w:rPr>
          <w:rFonts w:hint="eastAsia"/>
        </w:rPr>
        <w:t>《打击贩运人口法》，</w:t>
      </w:r>
      <w:r>
        <w:rPr>
          <w:rFonts w:hint="eastAsia"/>
        </w:rPr>
        <w:t>2012</w:t>
      </w:r>
      <w:r>
        <w:rPr>
          <w:rFonts w:hint="eastAsia"/>
        </w:rPr>
        <w:t>年；</w:t>
      </w:r>
    </w:p>
    <w:p w:rsidR="00717AB1" w:rsidRDefault="00717AB1" w:rsidP="00717AB1">
      <w:pPr>
        <w:pStyle w:val="SingleTxt"/>
      </w:pPr>
      <w:r>
        <w:rPr>
          <w:rFonts w:hint="eastAsia"/>
        </w:rPr>
        <w:tab/>
        <w:t>(f)</w:t>
      </w:r>
      <w:r>
        <w:rPr>
          <w:rFonts w:hint="eastAsia"/>
        </w:rPr>
        <w:tab/>
      </w:r>
      <w:r>
        <w:rPr>
          <w:rFonts w:hint="eastAsia"/>
        </w:rPr>
        <w:t>《促进性别平等法》，</w:t>
      </w:r>
      <w:r>
        <w:rPr>
          <w:rFonts w:hint="eastAsia"/>
        </w:rPr>
        <w:t>2011</w:t>
      </w:r>
      <w:r>
        <w:rPr>
          <w:rFonts w:hint="eastAsia"/>
        </w:rPr>
        <w:t>年。</w:t>
      </w:r>
    </w:p>
    <w:p w:rsidR="00717AB1" w:rsidRDefault="00717AB1" w:rsidP="00717AB1">
      <w:pPr>
        <w:pStyle w:val="SingleTxt"/>
      </w:pPr>
      <w:r>
        <w:rPr>
          <w:rFonts w:hint="eastAsia"/>
        </w:rPr>
        <w:t>5.</w:t>
      </w:r>
      <w:r>
        <w:rPr>
          <w:rFonts w:hint="eastAsia"/>
        </w:rPr>
        <w:tab/>
      </w:r>
      <w:r>
        <w:rPr>
          <w:rFonts w:hint="eastAsia"/>
        </w:rPr>
        <w:t>委员会欢迎缔约国努力完善旨在加快消除对妇女的歧视和增进妇女权利的政策框架，包括通过了：</w:t>
      </w:r>
    </w:p>
    <w:p w:rsidR="00717AB1" w:rsidRDefault="00717AB1" w:rsidP="00717AB1">
      <w:pPr>
        <w:pStyle w:val="SingleTxt"/>
      </w:pPr>
      <w:r>
        <w:rPr>
          <w:rFonts w:hint="eastAsia"/>
        </w:rPr>
        <w:tab/>
        <w:t>(a)</w:t>
      </w:r>
      <w:r>
        <w:rPr>
          <w:rFonts w:hint="eastAsia"/>
        </w:rPr>
        <w:tab/>
      </w:r>
      <w:r>
        <w:rPr>
          <w:rFonts w:hint="eastAsia"/>
        </w:rPr>
        <w:t>《</w:t>
      </w:r>
      <w:r w:rsidRPr="005E1424">
        <w:rPr>
          <w:rFonts w:hint="eastAsia"/>
          <w:spacing w:val="-6"/>
        </w:rPr>
        <w:t>执行</w:t>
      </w:r>
      <w:r w:rsidRPr="005E1424">
        <w:rPr>
          <w:rFonts w:hint="eastAsia"/>
          <w:spacing w:val="-6"/>
        </w:rPr>
        <w:t>&lt;</w:t>
      </w:r>
      <w:r w:rsidRPr="005E1424">
        <w:rPr>
          <w:rFonts w:hint="eastAsia"/>
          <w:spacing w:val="-6"/>
        </w:rPr>
        <w:t>促进性别平等法</w:t>
      </w:r>
      <w:r w:rsidRPr="005E1424">
        <w:rPr>
          <w:rFonts w:hint="eastAsia"/>
          <w:spacing w:val="-6"/>
        </w:rPr>
        <w:t>&gt;</w:t>
      </w:r>
      <w:r w:rsidRPr="005E1424">
        <w:rPr>
          <w:rFonts w:hint="eastAsia"/>
          <w:spacing w:val="-6"/>
        </w:rPr>
        <w:t>的中期战略和行动计划》</w:t>
      </w:r>
      <w:r w:rsidR="00435E72" w:rsidRPr="005E1424">
        <w:rPr>
          <w:rFonts w:hint="eastAsia"/>
          <w:spacing w:val="-6"/>
        </w:rPr>
        <w:t>(</w:t>
      </w:r>
      <w:r w:rsidRPr="005E1424">
        <w:rPr>
          <w:rFonts w:hint="eastAsia"/>
          <w:spacing w:val="-6"/>
        </w:rPr>
        <w:t>2013-2016</w:t>
      </w:r>
      <w:r w:rsidRPr="005E1424">
        <w:rPr>
          <w:rFonts w:hint="eastAsia"/>
          <w:spacing w:val="-6"/>
        </w:rPr>
        <w:t>年</w:t>
      </w:r>
      <w:r w:rsidR="00435E72" w:rsidRPr="005E1424">
        <w:rPr>
          <w:rFonts w:hint="eastAsia"/>
          <w:spacing w:val="-6"/>
        </w:rPr>
        <w:t>)</w:t>
      </w:r>
      <w:r w:rsidRPr="005E1424">
        <w:rPr>
          <w:rFonts w:hint="eastAsia"/>
          <w:spacing w:val="-6"/>
        </w:rPr>
        <w:t>，</w:t>
      </w:r>
      <w:r w:rsidRPr="005E1424">
        <w:rPr>
          <w:rFonts w:hint="eastAsia"/>
          <w:spacing w:val="-6"/>
        </w:rPr>
        <w:t>2013</w:t>
      </w:r>
      <w:r w:rsidRPr="005E1424">
        <w:rPr>
          <w:rFonts w:hint="eastAsia"/>
          <w:spacing w:val="-6"/>
        </w:rPr>
        <w:t>年</w:t>
      </w:r>
      <w:r>
        <w:rPr>
          <w:rFonts w:hint="eastAsia"/>
        </w:rPr>
        <w:t>；</w:t>
      </w:r>
    </w:p>
    <w:p w:rsidR="00717AB1" w:rsidRDefault="00717AB1" w:rsidP="00717AB1">
      <w:pPr>
        <w:pStyle w:val="SingleTxt"/>
      </w:pPr>
      <w:r>
        <w:rPr>
          <w:rFonts w:hint="eastAsia"/>
        </w:rPr>
        <w:tab/>
        <w:t>(b)</w:t>
      </w:r>
      <w:r>
        <w:rPr>
          <w:rFonts w:hint="eastAsia"/>
        </w:rPr>
        <w:tab/>
      </w:r>
      <w:r>
        <w:rPr>
          <w:rFonts w:hint="eastAsia"/>
        </w:rPr>
        <w:t>《孕产妇和婴儿健康国家战略》</w:t>
      </w:r>
      <w:r w:rsidR="00435E72">
        <w:rPr>
          <w:rFonts w:hint="eastAsia"/>
        </w:rPr>
        <w:t>(</w:t>
      </w:r>
      <w:r>
        <w:rPr>
          <w:rFonts w:hint="eastAsia"/>
        </w:rPr>
        <w:t>2011</w:t>
      </w:r>
      <w:r>
        <w:rPr>
          <w:rFonts w:hint="eastAsia"/>
        </w:rPr>
        <w:t>–</w:t>
      </w:r>
      <w:r>
        <w:rPr>
          <w:rFonts w:hint="eastAsia"/>
        </w:rPr>
        <w:t>2015</w:t>
      </w:r>
      <w:r>
        <w:rPr>
          <w:rFonts w:hint="eastAsia"/>
        </w:rPr>
        <w:t>年</w:t>
      </w:r>
      <w:r w:rsidR="00435E72">
        <w:rPr>
          <w:rFonts w:hint="eastAsia"/>
        </w:rPr>
        <w:t>)</w:t>
      </w:r>
      <w:r>
        <w:rPr>
          <w:rFonts w:hint="eastAsia"/>
        </w:rPr>
        <w:t>。</w:t>
      </w:r>
    </w:p>
    <w:p w:rsidR="00717AB1" w:rsidRDefault="00717AB1" w:rsidP="00717AB1">
      <w:pPr>
        <w:pStyle w:val="SingleTxt"/>
      </w:pPr>
      <w:r>
        <w:rPr>
          <w:rFonts w:hint="eastAsia"/>
        </w:rPr>
        <w:t>6.</w:t>
      </w:r>
      <w:r>
        <w:rPr>
          <w:rFonts w:hint="eastAsia"/>
        </w:rPr>
        <w:tab/>
      </w:r>
      <w:r>
        <w:rPr>
          <w:rFonts w:hint="eastAsia"/>
        </w:rPr>
        <w:t>委员会欣见自审议上一次报告以来缔约国批准或加入了下列国际文书：</w:t>
      </w:r>
    </w:p>
    <w:p w:rsidR="00717AB1" w:rsidRDefault="00717AB1" w:rsidP="00717AB1">
      <w:pPr>
        <w:pStyle w:val="SingleTxt"/>
      </w:pPr>
      <w:r>
        <w:rPr>
          <w:rFonts w:hint="eastAsia"/>
        </w:rPr>
        <w:tab/>
        <w:t>(a)</w:t>
      </w:r>
      <w:r>
        <w:rPr>
          <w:rFonts w:hint="eastAsia"/>
        </w:rPr>
        <w:tab/>
      </w:r>
      <w:r>
        <w:rPr>
          <w:rFonts w:hint="eastAsia"/>
        </w:rPr>
        <w:t>《禁止酷刑和其他残忍、不人道或有辱人格的待遇或处罚公约任择议定书》，</w:t>
      </w:r>
      <w:r>
        <w:rPr>
          <w:rFonts w:hint="eastAsia"/>
        </w:rPr>
        <w:t>2015</w:t>
      </w:r>
      <w:r>
        <w:rPr>
          <w:rFonts w:hint="eastAsia"/>
        </w:rPr>
        <w:t>年；</w:t>
      </w:r>
    </w:p>
    <w:p w:rsidR="00717AB1" w:rsidRDefault="00717AB1" w:rsidP="00717AB1">
      <w:pPr>
        <w:pStyle w:val="SingleTxt"/>
      </w:pPr>
      <w:r>
        <w:rPr>
          <w:rFonts w:hint="eastAsia"/>
        </w:rPr>
        <w:tab/>
        <w:t>(b)</w:t>
      </w:r>
      <w:r>
        <w:rPr>
          <w:rFonts w:hint="eastAsia"/>
        </w:rPr>
        <w:tab/>
      </w:r>
      <w:r>
        <w:rPr>
          <w:rFonts w:hint="eastAsia"/>
        </w:rPr>
        <w:t>《保护所有人免遭强迫失踪国际公约》，</w:t>
      </w:r>
      <w:r>
        <w:rPr>
          <w:rFonts w:hint="eastAsia"/>
        </w:rPr>
        <w:t>2015</w:t>
      </w:r>
      <w:r>
        <w:rPr>
          <w:rFonts w:hint="eastAsia"/>
        </w:rPr>
        <w:t>年；</w:t>
      </w:r>
    </w:p>
    <w:p w:rsidR="00717AB1" w:rsidRDefault="00717AB1" w:rsidP="00717AB1">
      <w:pPr>
        <w:pStyle w:val="SingleTxt"/>
      </w:pPr>
      <w:r>
        <w:rPr>
          <w:rFonts w:hint="eastAsia"/>
        </w:rPr>
        <w:tab/>
        <w:t>(c)</w:t>
      </w:r>
      <w:r>
        <w:rPr>
          <w:rFonts w:hint="eastAsia"/>
        </w:rPr>
        <w:tab/>
      </w:r>
      <w:r>
        <w:rPr>
          <w:rFonts w:hint="eastAsia"/>
        </w:rPr>
        <w:t>《旨在废除死刑的公民权利和政治权利国际公约第二项任择议定书》，</w:t>
      </w:r>
      <w:r>
        <w:rPr>
          <w:rFonts w:hint="eastAsia"/>
        </w:rPr>
        <w:t>2012</w:t>
      </w:r>
      <w:r>
        <w:rPr>
          <w:rFonts w:hint="eastAsia"/>
        </w:rPr>
        <w:t>年；</w:t>
      </w:r>
    </w:p>
    <w:p w:rsidR="00717AB1" w:rsidRDefault="00717AB1" w:rsidP="00717AB1">
      <w:pPr>
        <w:pStyle w:val="SingleTxt"/>
      </w:pPr>
      <w:r>
        <w:rPr>
          <w:rFonts w:hint="eastAsia"/>
        </w:rPr>
        <w:tab/>
      </w:r>
      <w:r w:rsidR="00435E72">
        <w:rPr>
          <w:rFonts w:hint="eastAsia"/>
        </w:rPr>
        <w:t>(</w:t>
      </w:r>
      <w:r>
        <w:rPr>
          <w:rFonts w:hint="eastAsia"/>
        </w:rPr>
        <w:t>d</w:t>
      </w:r>
      <w:r w:rsidR="00435E72">
        <w:rPr>
          <w:rFonts w:hint="eastAsia"/>
        </w:rPr>
        <w:t>)</w:t>
      </w:r>
      <w:r>
        <w:rPr>
          <w:rFonts w:hint="eastAsia"/>
        </w:rPr>
        <w:tab/>
      </w:r>
      <w:r>
        <w:rPr>
          <w:rFonts w:hint="eastAsia"/>
        </w:rPr>
        <w:t>《残疾人权利公约》，</w:t>
      </w:r>
      <w:r>
        <w:rPr>
          <w:rFonts w:hint="eastAsia"/>
        </w:rPr>
        <w:t>2009</w:t>
      </w:r>
      <w:r>
        <w:rPr>
          <w:rFonts w:hint="eastAsia"/>
        </w:rPr>
        <w:t>年。</w:t>
      </w:r>
    </w:p>
    <w:p w:rsidR="00717AB1" w:rsidRPr="005E1424" w:rsidRDefault="005E1424" w:rsidP="005E14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5E1424">
        <w:rPr>
          <w:rFonts w:hint="eastAsia"/>
        </w:rPr>
        <w:t>C.</w:t>
      </w:r>
      <w:r w:rsidRPr="005E1424">
        <w:tab/>
      </w:r>
      <w:r w:rsidR="00717AB1" w:rsidRPr="005E1424">
        <w:rPr>
          <w:rFonts w:hint="eastAsia"/>
        </w:rPr>
        <w:t>主要关切领域和建议</w:t>
      </w:r>
    </w:p>
    <w:p w:rsidR="005E1424" w:rsidRPr="005E1424" w:rsidRDefault="005E1424" w:rsidP="005E1424">
      <w:pPr>
        <w:pStyle w:val="SingleTxt"/>
        <w:spacing w:after="0" w:line="120" w:lineRule="exact"/>
        <w:rPr>
          <w:sz w:val="10"/>
        </w:rPr>
      </w:pPr>
    </w:p>
    <w:p w:rsidR="00717AB1" w:rsidRPr="005E1424" w:rsidRDefault="00717AB1" w:rsidP="00717AB1">
      <w:pPr>
        <w:pStyle w:val="SingleTxt"/>
        <w:rPr>
          <w:rFonts w:ascii="黑体" w:eastAsia="黑体" w:hAnsi="黑体"/>
        </w:rPr>
      </w:pPr>
      <w:r w:rsidRPr="005E1424">
        <w:rPr>
          <w:rFonts w:ascii="黑体" w:eastAsia="黑体" w:hAnsi="黑体" w:hint="eastAsia"/>
        </w:rPr>
        <w:t>大呼拉尔</w:t>
      </w:r>
    </w:p>
    <w:p w:rsidR="00717AB1" w:rsidRPr="005E271F" w:rsidRDefault="00717AB1" w:rsidP="005E271F">
      <w:pPr>
        <w:pStyle w:val="SingleTxt"/>
        <w:rPr>
          <w:rFonts w:ascii="黑体" w:eastAsia="黑体" w:hAnsi="黑体"/>
        </w:rPr>
      </w:pPr>
      <w:r w:rsidRPr="005E271F">
        <w:rPr>
          <w:rFonts w:ascii="黑体" w:eastAsia="黑体" w:hAnsi="黑体" w:hint="eastAsia"/>
        </w:rPr>
        <w:t>7.</w:t>
      </w:r>
      <w:r w:rsidRPr="005E271F">
        <w:rPr>
          <w:rFonts w:ascii="黑体" w:eastAsia="黑体" w:hAnsi="黑体" w:hint="eastAsia"/>
        </w:rPr>
        <w:tab/>
      </w:r>
      <w:r w:rsidRPr="008D1A76">
        <w:rPr>
          <w:rFonts w:ascii="黑体" w:eastAsia="黑体" w:hAnsi="黑体" w:hint="eastAsia"/>
        </w:rPr>
        <w:t>委员会强调立法权在确保全面实施《公约》方面的关键作用(见2010年委员会第四十五届会议就委员会与议员的关系所通过的声明)。委员会邀请大呼拉尔按照其职权，从现在起至《公约》规定的下一次报告期间，采取必要步骤实施本结论意见。</w:t>
      </w:r>
    </w:p>
    <w:p w:rsidR="00717AB1" w:rsidRPr="005E1424" w:rsidRDefault="00717AB1" w:rsidP="00717AB1">
      <w:pPr>
        <w:pStyle w:val="SingleTxt"/>
        <w:rPr>
          <w:rFonts w:ascii="黑体" w:eastAsia="黑体" w:hAnsi="黑体"/>
        </w:rPr>
      </w:pPr>
      <w:r w:rsidRPr="005E1424">
        <w:rPr>
          <w:rFonts w:ascii="黑体" w:eastAsia="黑体" w:hAnsi="黑体" w:hint="eastAsia"/>
        </w:rPr>
        <w:t>宪法和立法框架</w:t>
      </w:r>
    </w:p>
    <w:p w:rsidR="00717AB1" w:rsidRDefault="00717AB1" w:rsidP="00717AB1">
      <w:pPr>
        <w:pStyle w:val="SingleTxt"/>
      </w:pPr>
      <w:r>
        <w:rPr>
          <w:rFonts w:hint="eastAsia"/>
        </w:rPr>
        <w:t>8.</w:t>
      </w:r>
      <w:r>
        <w:rPr>
          <w:rFonts w:hint="eastAsia"/>
        </w:rPr>
        <w:tab/>
      </w:r>
      <w:r>
        <w:rPr>
          <w:rFonts w:hint="eastAsia"/>
        </w:rPr>
        <w:t>委员会欣见通过了禁止性别歧视的《促进性别平等法》</w:t>
      </w:r>
      <w:r w:rsidR="00435E72">
        <w:rPr>
          <w:rFonts w:hint="eastAsia"/>
        </w:rPr>
        <w:t>(</w:t>
      </w:r>
      <w:r>
        <w:rPr>
          <w:rFonts w:hint="eastAsia"/>
        </w:rPr>
        <w:t>2011</w:t>
      </w:r>
      <w:r>
        <w:rPr>
          <w:rFonts w:hint="eastAsia"/>
        </w:rPr>
        <w:t>年</w:t>
      </w:r>
      <w:r w:rsidR="00435E72">
        <w:rPr>
          <w:rFonts w:hint="eastAsia"/>
        </w:rPr>
        <w:t>)</w:t>
      </w:r>
      <w:r>
        <w:rPr>
          <w:rFonts w:hint="eastAsia"/>
        </w:rPr>
        <w:t>。但委员会对以下各点感到关切：</w:t>
      </w:r>
    </w:p>
    <w:p w:rsidR="00717AB1" w:rsidRDefault="00717AB1" w:rsidP="00717AB1">
      <w:pPr>
        <w:pStyle w:val="SingleTxt"/>
      </w:pPr>
      <w:r>
        <w:rPr>
          <w:rFonts w:hint="eastAsia"/>
        </w:rPr>
        <w:tab/>
      </w:r>
      <w:r w:rsidR="00435E72">
        <w:rPr>
          <w:rFonts w:hint="eastAsia"/>
        </w:rPr>
        <w:t>(</w:t>
      </w:r>
      <w:r>
        <w:rPr>
          <w:rFonts w:hint="eastAsia"/>
        </w:rPr>
        <w:t>a</w:t>
      </w:r>
      <w:r w:rsidR="00435E72">
        <w:rPr>
          <w:rFonts w:hint="eastAsia"/>
        </w:rPr>
        <w:t>)</w:t>
      </w:r>
      <w:r>
        <w:rPr>
          <w:rFonts w:hint="eastAsia"/>
        </w:rPr>
        <w:tab/>
      </w:r>
      <w:r>
        <w:rPr>
          <w:rFonts w:hint="eastAsia"/>
        </w:rPr>
        <w:t>为提高妇女地位而采取的新立法改革措施缺乏实施和问责所需的足够资源；</w:t>
      </w:r>
    </w:p>
    <w:p w:rsidR="00717AB1" w:rsidRDefault="00717AB1" w:rsidP="00717AB1">
      <w:pPr>
        <w:pStyle w:val="SingleTxt"/>
      </w:pPr>
      <w:r>
        <w:rPr>
          <w:rFonts w:hint="eastAsia"/>
        </w:rPr>
        <w:tab/>
      </w:r>
      <w:r w:rsidR="00435E72">
        <w:rPr>
          <w:rFonts w:hint="eastAsia"/>
        </w:rPr>
        <w:t>(</w:t>
      </w:r>
      <w:r>
        <w:rPr>
          <w:rFonts w:hint="eastAsia"/>
        </w:rPr>
        <w:t>b</w:t>
      </w:r>
      <w:r w:rsidR="00435E72">
        <w:rPr>
          <w:rFonts w:hint="eastAsia"/>
        </w:rPr>
        <w:t>)</w:t>
      </w:r>
      <w:r>
        <w:rPr>
          <w:rFonts w:hint="eastAsia"/>
        </w:rPr>
        <w:tab/>
      </w:r>
      <w:r>
        <w:rPr>
          <w:rFonts w:hint="eastAsia"/>
        </w:rPr>
        <w:t>政府各部门之间对《公约》和《公约任择议定书》规定的妇女权利、男女实质性平等的概念和委员会一般性建议没有足够认识；</w:t>
      </w:r>
    </w:p>
    <w:p w:rsidR="00717AB1" w:rsidRDefault="00717AB1" w:rsidP="00717AB1">
      <w:pPr>
        <w:pStyle w:val="SingleTxt"/>
      </w:pPr>
      <w:r>
        <w:rPr>
          <w:rFonts w:hint="eastAsia"/>
        </w:rPr>
        <w:tab/>
        <w:t>(c)</w:t>
      </w:r>
      <w:r>
        <w:rPr>
          <w:rFonts w:hint="eastAsia"/>
        </w:rPr>
        <w:tab/>
      </w:r>
      <w:r w:rsidRPr="005E1424">
        <w:rPr>
          <w:rFonts w:hint="eastAsia"/>
          <w:spacing w:val="-4"/>
        </w:rPr>
        <w:t>缺乏有关妇女司法救助和直接援引或适用《公约》规定的法院案例的信息</w:t>
      </w:r>
      <w:r>
        <w:rPr>
          <w:rFonts w:hint="eastAsia"/>
        </w:rPr>
        <w:t>；</w:t>
      </w:r>
    </w:p>
    <w:p w:rsidR="00717AB1" w:rsidRDefault="00717AB1" w:rsidP="00717AB1">
      <w:pPr>
        <w:pStyle w:val="SingleTxt"/>
      </w:pPr>
      <w:r>
        <w:rPr>
          <w:rFonts w:hint="eastAsia"/>
        </w:rPr>
        <w:tab/>
      </w:r>
      <w:r w:rsidR="00435E72">
        <w:rPr>
          <w:rFonts w:hint="eastAsia"/>
        </w:rPr>
        <w:t>(</w:t>
      </w:r>
      <w:r>
        <w:rPr>
          <w:rFonts w:hint="eastAsia"/>
        </w:rPr>
        <w:t>d</w:t>
      </w:r>
      <w:r w:rsidR="00435E72">
        <w:rPr>
          <w:rFonts w:hint="eastAsia"/>
        </w:rPr>
        <w:t>)</w:t>
      </w:r>
      <w:r>
        <w:rPr>
          <w:rFonts w:hint="eastAsia"/>
        </w:rPr>
        <w:tab/>
      </w:r>
      <w:r>
        <w:rPr>
          <w:rFonts w:hint="eastAsia"/>
        </w:rPr>
        <w:t>妇女本身，尤其是农村地区和弱势群体妇女，不知道她们根据《公约》享有的权利，因此缺乏主张这些权利的必要信息。</w:t>
      </w:r>
    </w:p>
    <w:p w:rsidR="00717AB1" w:rsidRPr="005E271F" w:rsidRDefault="00717AB1" w:rsidP="005E271F">
      <w:pPr>
        <w:pStyle w:val="SingleTxt"/>
        <w:rPr>
          <w:rFonts w:ascii="黑体" w:eastAsia="黑体" w:hAnsi="黑体"/>
        </w:rPr>
      </w:pPr>
      <w:r>
        <w:rPr>
          <w:rFonts w:hint="eastAsia"/>
        </w:rPr>
        <w:t>9.</w:t>
      </w:r>
      <w:r>
        <w:rPr>
          <w:rFonts w:hint="eastAsia"/>
        </w:rPr>
        <w:tab/>
      </w:r>
      <w:r w:rsidRPr="005E271F">
        <w:rPr>
          <w:rFonts w:ascii="黑体" w:eastAsia="黑体" w:hAnsi="黑体" w:hint="eastAsia"/>
        </w:rPr>
        <w:t>委员会敦促缔约国：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a</w:t>
      </w:r>
      <w:r w:rsidR="00435E72" w:rsidRPr="005E271F">
        <w:rPr>
          <w:rFonts w:ascii="黑体" w:eastAsia="黑体" w:hAnsi="黑体" w:hint="eastAsia"/>
        </w:rPr>
        <w:t>)</w:t>
      </w:r>
      <w:r w:rsidRPr="005E271F">
        <w:rPr>
          <w:rFonts w:ascii="黑体" w:eastAsia="黑体" w:hAnsi="黑体" w:hint="eastAsia"/>
        </w:rPr>
        <w:tab/>
        <w:t>建立强有力的问责机制和划拨充分的人力、技术和财政资源，以依照《宪法》和《公约》规定的妇女权利实施法律；</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b</w:t>
      </w:r>
      <w:r w:rsidR="00435E72" w:rsidRPr="005E271F">
        <w:rPr>
          <w:rFonts w:ascii="黑体" w:eastAsia="黑体" w:hAnsi="黑体" w:hint="eastAsia"/>
        </w:rPr>
        <w:t>)</w:t>
      </w:r>
      <w:r w:rsidRPr="005E271F">
        <w:rPr>
          <w:rFonts w:ascii="黑体" w:eastAsia="黑体" w:hAnsi="黑体" w:hint="eastAsia"/>
        </w:rPr>
        <w:tab/>
        <w:t>确保包括司法部门在内的所有政府部门充分了解和适用《公约》、《任择议定书》和委员会一般性建议，将其作为关于性别平等和提高妇女地位的法律、法院裁判和政策的框架；</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c</w:t>
      </w:r>
      <w:r w:rsidR="00435E72" w:rsidRPr="005E271F">
        <w:rPr>
          <w:rFonts w:ascii="黑体" w:eastAsia="黑体" w:hAnsi="黑体" w:hint="eastAsia"/>
        </w:rPr>
        <w:t>)</w:t>
      </w:r>
      <w:r w:rsidR="005E1424" w:rsidRPr="005E271F">
        <w:rPr>
          <w:rFonts w:ascii="黑体" w:eastAsia="黑体" w:hAnsi="黑体"/>
        </w:rPr>
        <w:tab/>
      </w:r>
      <w:r w:rsidRPr="005E271F">
        <w:rPr>
          <w:rFonts w:ascii="黑体" w:eastAsia="黑体" w:hAnsi="黑体" w:hint="eastAsia"/>
        </w:rPr>
        <w:t>使妇女更多地认识其权利和可用于声称其《公约》权利受到侵犯的补救办法，并确保向所有妇女，包括农村妇女，提供关于《公约》、《任择议定书》和委员会一般性建议的信息。</w:t>
      </w:r>
    </w:p>
    <w:p w:rsidR="00717AB1" w:rsidRPr="005E1424" w:rsidRDefault="00717AB1" w:rsidP="00717AB1">
      <w:pPr>
        <w:pStyle w:val="SingleTxt"/>
        <w:rPr>
          <w:rFonts w:ascii="黑体" w:eastAsia="黑体" w:hAnsi="黑体"/>
        </w:rPr>
      </w:pPr>
      <w:r w:rsidRPr="005E1424">
        <w:rPr>
          <w:rFonts w:ascii="黑体" w:eastAsia="黑体" w:hAnsi="黑体" w:hint="eastAsia"/>
        </w:rPr>
        <w:t>司法救助和法律申诉机制</w:t>
      </w:r>
    </w:p>
    <w:p w:rsidR="00717AB1" w:rsidRDefault="00717AB1" w:rsidP="00717AB1">
      <w:pPr>
        <w:pStyle w:val="SingleTxt"/>
      </w:pPr>
      <w:r>
        <w:rPr>
          <w:rFonts w:hint="eastAsia"/>
        </w:rPr>
        <w:t>10.</w:t>
      </w:r>
      <w:r>
        <w:rPr>
          <w:rFonts w:hint="eastAsia"/>
        </w:rPr>
        <w:tab/>
      </w:r>
      <w:r>
        <w:rPr>
          <w:rFonts w:hint="eastAsia"/>
        </w:rPr>
        <w:t>委员会注意到，国家人权委员会有权受理和审查涉及性别歧视的申诉和确保监测《公约》实施情况。但委员会感到关切的是，一般妇女特别是农村地区妇女对司法救助和法律申诉机制的认识非常低。委员会还感到关切的是，没有采取任何措施确保有效监测和实施《公约》和国际人权文书。</w:t>
      </w:r>
    </w:p>
    <w:p w:rsidR="00717AB1" w:rsidRPr="005E271F" w:rsidRDefault="00717AB1" w:rsidP="005E271F">
      <w:pPr>
        <w:pStyle w:val="SingleTxt"/>
        <w:rPr>
          <w:rFonts w:ascii="黑体" w:eastAsia="黑体" w:hAnsi="黑体"/>
        </w:rPr>
      </w:pPr>
      <w:r>
        <w:rPr>
          <w:rFonts w:hint="eastAsia"/>
        </w:rPr>
        <w:t>11.</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a</w:t>
      </w:r>
      <w:r w:rsidR="00435E72" w:rsidRPr="005E271F">
        <w:rPr>
          <w:rFonts w:ascii="黑体" w:eastAsia="黑体" w:hAnsi="黑体" w:hint="eastAsia"/>
        </w:rPr>
        <w:t>)</w:t>
      </w:r>
      <w:r w:rsidRPr="005E271F">
        <w:rPr>
          <w:rFonts w:ascii="黑体" w:eastAsia="黑体" w:hAnsi="黑体" w:hint="eastAsia"/>
        </w:rPr>
        <w:tab/>
        <w:t>使妇女更多地认识自己的权利和掌握各法律领域的知识，以增强妇女权能，主张《公约》所规定的权利；</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b</w:t>
      </w:r>
      <w:r w:rsidR="00435E72" w:rsidRPr="005E271F">
        <w:rPr>
          <w:rFonts w:ascii="黑体" w:eastAsia="黑体" w:hAnsi="黑体" w:hint="eastAsia"/>
        </w:rPr>
        <w:t>)</w:t>
      </w:r>
      <w:r w:rsidRPr="005E271F">
        <w:rPr>
          <w:rFonts w:ascii="黑体" w:eastAsia="黑体" w:hAnsi="黑体" w:hint="eastAsia"/>
        </w:rPr>
        <w:tab/>
        <w:t>加强国家人权委员会，以确保其独立性，为其提供有效监测和实施《公约》所需的人力、技术和财政资源；</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c</w:t>
      </w:r>
      <w:r w:rsidR="00435E72" w:rsidRPr="005E271F">
        <w:rPr>
          <w:rFonts w:ascii="黑体" w:eastAsia="黑体" w:hAnsi="黑体" w:hint="eastAsia"/>
        </w:rPr>
        <w:t>)</w:t>
      </w:r>
      <w:r w:rsidRPr="005E271F">
        <w:rPr>
          <w:rFonts w:ascii="黑体" w:eastAsia="黑体" w:hAnsi="黑体" w:hint="eastAsia"/>
        </w:rPr>
        <w:tab/>
        <w:t>改善国家人权委员会与民间社会组织和其他利益攸关方的合作，确保无歧视地保护和实现各妇女群组的权利。</w:t>
      </w:r>
    </w:p>
    <w:p w:rsidR="00717AB1" w:rsidRPr="005E1424" w:rsidRDefault="00717AB1" w:rsidP="00717AB1">
      <w:pPr>
        <w:pStyle w:val="SingleTxt"/>
        <w:rPr>
          <w:rFonts w:ascii="黑体" w:eastAsia="黑体" w:hAnsi="黑体"/>
        </w:rPr>
      </w:pPr>
      <w:r w:rsidRPr="005E1424">
        <w:rPr>
          <w:rFonts w:ascii="黑体" w:eastAsia="黑体" w:hAnsi="黑体" w:hint="eastAsia"/>
        </w:rPr>
        <w:t>提高妇女地位的国家机制</w:t>
      </w:r>
    </w:p>
    <w:p w:rsidR="00717AB1" w:rsidRDefault="00717AB1" w:rsidP="00717AB1">
      <w:pPr>
        <w:pStyle w:val="SingleTxt"/>
      </w:pPr>
      <w:r>
        <w:rPr>
          <w:rFonts w:hint="eastAsia"/>
        </w:rPr>
        <w:t>12.</w:t>
      </w:r>
      <w:r>
        <w:rPr>
          <w:rFonts w:hint="eastAsia"/>
        </w:rPr>
        <w:tab/>
      </w:r>
      <w:r>
        <w:rPr>
          <w:rFonts w:hint="eastAsia"/>
        </w:rPr>
        <w:t>委员会感到关切的是，作为提高妇女地位国家机制核心部分的国家性别平等委员会秘书处于</w:t>
      </w:r>
      <w:r>
        <w:rPr>
          <w:rFonts w:hint="eastAsia"/>
        </w:rPr>
        <w:t>2014</w:t>
      </w:r>
      <w:r>
        <w:rPr>
          <w:rFonts w:hint="eastAsia"/>
        </w:rPr>
        <w:t>年被置于人口发展与社会保护部之下，其人力和财政资源已被削减，可能妨碍《公约》的有效实施。委员会注意到《执行</w:t>
      </w:r>
      <w:r>
        <w:rPr>
          <w:rFonts w:hint="eastAsia"/>
        </w:rPr>
        <w:t>&lt;</w:t>
      </w:r>
      <w:r>
        <w:rPr>
          <w:rFonts w:hint="eastAsia"/>
        </w:rPr>
        <w:t>促进性别平等法</w:t>
      </w:r>
      <w:r>
        <w:rPr>
          <w:rFonts w:hint="eastAsia"/>
        </w:rPr>
        <w:t>&gt;</w:t>
      </w:r>
      <w:r>
        <w:rPr>
          <w:rFonts w:hint="eastAsia"/>
        </w:rPr>
        <w:t>的中期战略和行动计划》</w:t>
      </w:r>
      <w:r w:rsidR="00435E72">
        <w:rPr>
          <w:rFonts w:hint="eastAsia"/>
        </w:rPr>
        <w:t>(</w:t>
      </w:r>
      <w:r>
        <w:rPr>
          <w:rFonts w:hint="eastAsia"/>
        </w:rPr>
        <w:t>2013-2016</w:t>
      </w:r>
      <w:r>
        <w:rPr>
          <w:rFonts w:hint="eastAsia"/>
        </w:rPr>
        <w:t>年</w:t>
      </w:r>
      <w:r w:rsidR="00435E72">
        <w:rPr>
          <w:rFonts w:hint="eastAsia"/>
        </w:rPr>
        <w:t>)</w:t>
      </w:r>
      <w:r>
        <w:rPr>
          <w:rFonts w:hint="eastAsia"/>
        </w:rPr>
        <w:t>的通过，但对没有设立适当的监测或问责机制表示感到关切。委员会还关切的是，缔约国没有提供有关国家性别平等委员会与议会和民间社会就妇女权利问题进行合作的资料。</w:t>
      </w:r>
    </w:p>
    <w:p w:rsidR="00717AB1" w:rsidRPr="005E271F" w:rsidRDefault="00717AB1" w:rsidP="005E271F">
      <w:pPr>
        <w:pStyle w:val="SingleTxt"/>
        <w:rPr>
          <w:rFonts w:ascii="黑体" w:eastAsia="黑体" w:hAnsi="黑体"/>
        </w:rPr>
      </w:pPr>
      <w:r>
        <w:rPr>
          <w:rFonts w:hint="eastAsia"/>
        </w:rPr>
        <w:t>13.</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a</w:t>
      </w:r>
      <w:r w:rsidR="00435E72" w:rsidRPr="005E271F">
        <w:rPr>
          <w:rFonts w:ascii="黑体" w:eastAsia="黑体" w:hAnsi="黑体" w:hint="eastAsia"/>
        </w:rPr>
        <w:t>)</w:t>
      </w:r>
      <w:r w:rsidRPr="005E271F">
        <w:rPr>
          <w:rFonts w:ascii="黑体" w:eastAsia="黑体" w:hAnsi="黑体" w:hint="eastAsia"/>
        </w:rPr>
        <w:tab/>
        <w:t>加强国家性别平等委员会，向其提供有效实施《公约》所需的人力、技术和财政资源，并确保该委员会以事权分散的方式运作；</w:t>
      </w:r>
    </w:p>
    <w:p w:rsidR="00717AB1" w:rsidRPr="005E271F" w:rsidRDefault="00717AB1" w:rsidP="005E271F">
      <w:pPr>
        <w:pStyle w:val="SingleTxt"/>
        <w:rPr>
          <w:rFonts w:ascii="黑体" w:eastAsia="黑体" w:hAnsi="黑体"/>
        </w:rPr>
      </w:pPr>
      <w:r>
        <w:rPr>
          <w:rFonts w:hint="eastAsia"/>
        </w:rPr>
        <w:tab/>
      </w:r>
      <w:r w:rsidR="00435E72" w:rsidRPr="005E271F">
        <w:rPr>
          <w:rFonts w:ascii="黑体" w:eastAsia="黑体" w:hAnsi="黑体" w:hint="eastAsia"/>
        </w:rPr>
        <w:t>(</w:t>
      </w:r>
      <w:r w:rsidRPr="005E271F">
        <w:rPr>
          <w:rFonts w:ascii="黑体" w:eastAsia="黑体" w:hAnsi="黑体" w:hint="eastAsia"/>
        </w:rPr>
        <w:t>b</w:t>
      </w:r>
      <w:r w:rsidR="00435E72" w:rsidRPr="005E271F">
        <w:rPr>
          <w:rFonts w:ascii="黑体" w:eastAsia="黑体" w:hAnsi="黑体" w:hint="eastAsia"/>
        </w:rPr>
        <w:t>)</w:t>
      </w:r>
      <w:r w:rsidRPr="005E271F">
        <w:rPr>
          <w:rFonts w:ascii="黑体" w:eastAsia="黑体" w:hAnsi="黑体" w:hint="eastAsia"/>
        </w:rPr>
        <w:tab/>
        <w:t>建立监测机制，定期评估《执行&lt;促进性别平等法&gt;的中期战略和行动计划》</w:t>
      </w:r>
      <w:r w:rsidR="00435E72" w:rsidRPr="005E271F">
        <w:rPr>
          <w:rFonts w:ascii="黑体" w:eastAsia="黑体" w:hAnsi="黑体" w:hint="eastAsia"/>
        </w:rPr>
        <w:t>(</w:t>
      </w:r>
      <w:r w:rsidRPr="005E271F">
        <w:rPr>
          <w:rFonts w:ascii="黑体" w:eastAsia="黑体" w:hAnsi="黑体" w:hint="eastAsia"/>
        </w:rPr>
        <w:t>2013-2016年</w:t>
      </w:r>
      <w:r w:rsidR="00435E72" w:rsidRPr="005E271F">
        <w:rPr>
          <w:rFonts w:ascii="黑体" w:eastAsia="黑体" w:hAnsi="黑体" w:hint="eastAsia"/>
        </w:rPr>
        <w:t>)</w:t>
      </w:r>
      <w:r w:rsidRPr="005E271F">
        <w:rPr>
          <w:rFonts w:ascii="黑体" w:eastAsia="黑体" w:hAnsi="黑体" w:hint="eastAsia"/>
        </w:rPr>
        <w:t>所定目标的实现进度；</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c</w:t>
      </w:r>
      <w:r w:rsidR="00435E72" w:rsidRPr="005E271F">
        <w:rPr>
          <w:rFonts w:ascii="黑体" w:eastAsia="黑体" w:hAnsi="黑体" w:hint="eastAsia"/>
        </w:rPr>
        <w:t>)</w:t>
      </w:r>
      <w:r w:rsidRPr="005E271F">
        <w:rPr>
          <w:rFonts w:ascii="黑体" w:eastAsia="黑体" w:hAnsi="黑体" w:hint="eastAsia"/>
        </w:rPr>
        <w:tab/>
        <w:t>确保国家性别平等委员会在实施《中期战略和行动计划》方面与议会和民间社会特别是妇女组织合作。</w:t>
      </w:r>
    </w:p>
    <w:p w:rsidR="00717AB1" w:rsidRPr="005E1424" w:rsidRDefault="00717AB1" w:rsidP="00717AB1">
      <w:pPr>
        <w:pStyle w:val="SingleTxt"/>
        <w:rPr>
          <w:rFonts w:ascii="黑体" w:eastAsia="黑体" w:hAnsi="黑体"/>
        </w:rPr>
      </w:pPr>
      <w:r w:rsidRPr="005E1424">
        <w:rPr>
          <w:rFonts w:ascii="黑体" w:eastAsia="黑体" w:hAnsi="黑体" w:hint="eastAsia"/>
        </w:rPr>
        <w:t>暂行特别措施</w:t>
      </w:r>
    </w:p>
    <w:p w:rsidR="00717AB1" w:rsidRDefault="00717AB1" w:rsidP="00717AB1">
      <w:pPr>
        <w:pStyle w:val="SingleTxt"/>
      </w:pPr>
      <w:r>
        <w:rPr>
          <w:rFonts w:hint="eastAsia"/>
        </w:rPr>
        <w:t>14.</w:t>
      </w:r>
      <w:r>
        <w:rPr>
          <w:rFonts w:hint="eastAsia"/>
        </w:rPr>
        <w:tab/>
      </w:r>
      <w:r>
        <w:rPr>
          <w:rFonts w:hint="eastAsia"/>
        </w:rPr>
        <w:t>委员会赞赏地注意到，缔约国已重新规定，议会选举的政党选举人名单至少须为女候选人保留</w:t>
      </w:r>
      <w:r>
        <w:rPr>
          <w:rFonts w:hint="eastAsia"/>
        </w:rPr>
        <w:t>30</w:t>
      </w:r>
      <w:r w:rsidR="00435E72">
        <w:rPr>
          <w:rFonts w:hint="eastAsia"/>
        </w:rPr>
        <w:t>%</w:t>
      </w:r>
      <w:r>
        <w:rPr>
          <w:rFonts w:hint="eastAsia"/>
        </w:rPr>
        <w:t>名额。但委员会关切的是，缔约国在实践上没有落实暂行特别措施。</w:t>
      </w:r>
    </w:p>
    <w:p w:rsidR="00717AB1" w:rsidRPr="005E271F" w:rsidRDefault="00717AB1" w:rsidP="005E271F">
      <w:pPr>
        <w:pStyle w:val="SingleTxt"/>
        <w:rPr>
          <w:rFonts w:ascii="黑体" w:eastAsia="黑体" w:hAnsi="黑体"/>
        </w:rPr>
      </w:pPr>
      <w:r>
        <w:rPr>
          <w:rFonts w:hint="eastAsia"/>
        </w:rPr>
        <w:t>15.</w:t>
      </w:r>
      <w:r>
        <w:rPr>
          <w:rFonts w:hint="eastAsia"/>
        </w:rPr>
        <w:tab/>
      </w:r>
      <w:r w:rsidRPr="005E271F">
        <w:rPr>
          <w:rFonts w:ascii="黑体" w:eastAsia="黑体" w:hAnsi="黑体" w:hint="eastAsia"/>
        </w:rPr>
        <w:t>根据《公约》第4条第1款的规定，并回顾其关于暂行特别措施的第25号一般性建议</w:t>
      </w:r>
      <w:r w:rsidR="00435E72" w:rsidRPr="005E271F">
        <w:rPr>
          <w:rFonts w:ascii="黑体" w:eastAsia="黑体" w:hAnsi="黑体" w:hint="eastAsia"/>
        </w:rPr>
        <w:t>(</w:t>
      </w:r>
      <w:r w:rsidRPr="005E271F">
        <w:rPr>
          <w:rFonts w:ascii="黑体" w:eastAsia="黑体" w:hAnsi="黑体" w:hint="eastAsia"/>
        </w:rPr>
        <w:t>2004年</w:t>
      </w:r>
      <w:r w:rsidR="00435E72" w:rsidRPr="005E271F">
        <w:rPr>
          <w:rFonts w:ascii="黑体" w:eastAsia="黑体" w:hAnsi="黑体" w:hint="eastAsia"/>
        </w:rPr>
        <w:t>)</w:t>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a</w:t>
      </w:r>
      <w:r w:rsidR="00435E72" w:rsidRPr="005E271F">
        <w:rPr>
          <w:rFonts w:ascii="黑体" w:eastAsia="黑体" w:hAnsi="黑体" w:hint="eastAsia"/>
        </w:rPr>
        <w:t>)</w:t>
      </w:r>
      <w:r w:rsidRPr="005E271F">
        <w:rPr>
          <w:rFonts w:ascii="黑体" w:eastAsia="黑体" w:hAnsi="黑体" w:hint="eastAsia"/>
        </w:rPr>
        <w:tab/>
        <w:t>向所有相关国家官员和政策制定者特别是政党提供能力建设，使他们了解暂行特别措施的概念；并制定与实施暂行特别措施，包括有时限的目标和配额办法，在妇女参与人数不足或妇女处于不利地位的所有领域，包括在公共和政治生活、教育、卫生和就业领域实现男女实质性平等；</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b</w:t>
      </w:r>
      <w:r w:rsidR="00435E72" w:rsidRPr="005E271F">
        <w:rPr>
          <w:rFonts w:ascii="黑体" w:eastAsia="黑体" w:hAnsi="黑体" w:hint="eastAsia"/>
        </w:rPr>
        <w:t>)</w:t>
      </w:r>
      <w:r w:rsidRPr="005E271F">
        <w:rPr>
          <w:rFonts w:ascii="黑体" w:eastAsia="黑体" w:hAnsi="黑体" w:hint="eastAsia"/>
        </w:rPr>
        <w:tab/>
        <w:t>解决现有暂行特别措施实施乏力的根源，并制定立法鼓励采取涵盖公私营部门的暂行特别措施。</w:t>
      </w:r>
    </w:p>
    <w:p w:rsidR="00717AB1" w:rsidRPr="005E1424" w:rsidRDefault="00717AB1" w:rsidP="00717AB1">
      <w:pPr>
        <w:pStyle w:val="SingleTxt"/>
        <w:rPr>
          <w:rFonts w:ascii="黑体" w:eastAsia="黑体" w:hAnsi="黑体"/>
        </w:rPr>
      </w:pPr>
      <w:r w:rsidRPr="005E1424">
        <w:rPr>
          <w:rFonts w:ascii="黑体" w:eastAsia="黑体" w:hAnsi="黑体" w:hint="eastAsia"/>
        </w:rPr>
        <w:t>定型观念</w:t>
      </w:r>
    </w:p>
    <w:p w:rsidR="00717AB1" w:rsidRDefault="00717AB1" w:rsidP="00717AB1">
      <w:pPr>
        <w:pStyle w:val="SingleTxt"/>
      </w:pPr>
      <w:r>
        <w:rPr>
          <w:rFonts w:hint="eastAsia"/>
        </w:rPr>
        <w:t>16.</w:t>
      </w:r>
      <w:r>
        <w:rPr>
          <w:rFonts w:hint="eastAsia"/>
        </w:rPr>
        <w:tab/>
      </w:r>
      <w:r>
        <w:rPr>
          <w:rFonts w:hint="eastAsia"/>
        </w:rPr>
        <w:t>委员会仍感关切的是，根深蒂固的重男轻女态度以及关于男女在家庭中的作用和责任的歧视性定型观念持续存在媒体和社会，导致妇女在家庭和社会中长期处于从属地位；这些态度和观念特别体现在妇女的教育和职业选择、在政治和公共生活中的有限参与、在劳动力市场的不平等参与以及在家庭关系中的不平等地位。委员会回顾，这种歧视性定型观念也是暴力侵害妇女的根源，并对迄今为止缔约国没有持续采取措施来改变或消除歧视性定型观念和负面传统态度表示感到关切。</w:t>
      </w:r>
    </w:p>
    <w:p w:rsidR="00717AB1" w:rsidRPr="005E271F" w:rsidRDefault="00717AB1" w:rsidP="005E271F">
      <w:pPr>
        <w:pStyle w:val="SingleTxt"/>
        <w:rPr>
          <w:rFonts w:ascii="黑体" w:eastAsia="黑体" w:hAnsi="黑体"/>
        </w:rPr>
      </w:pPr>
      <w:r>
        <w:rPr>
          <w:rFonts w:hint="eastAsia"/>
        </w:rPr>
        <w:t>17.</w:t>
      </w:r>
      <w:r>
        <w:rPr>
          <w:rFonts w:hint="eastAsia"/>
        </w:rPr>
        <w:tab/>
      </w:r>
      <w:r w:rsidRPr="005E271F">
        <w:rPr>
          <w:rFonts w:ascii="黑体" w:eastAsia="黑体" w:hAnsi="黑体" w:hint="eastAsia"/>
        </w:rPr>
        <w:t>委员会敦促缔约国：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a</w:t>
      </w:r>
      <w:r w:rsidR="00435E72" w:rsidRPr="005E271F">
        <w:rPr>
          <w:rFonts w:ascii="黑体" w:eastAsia="黑体" w:hAnsi="黑体" w:hint="eastAsia"/>
        </w:rPr>
        <w:t>)</w:t>
      </w:r>
      <w:r w:rsidRPr="005E271F">
        <w:rPr>
          <w:rFonts w:ascii="黑体" w:eastAsia="黑体" w:hAnsi="黑体" w:hint="eastAsia"/>
        </w:rPr>
        <w:tab/>
        <w:t>毫不迟延地制定一项针对社会各阶层男女的综合战略，以积极和持续措施消除有关男女在家庭和社会中的作用和责任的歧视性定型观念和重男轻女态度；</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b</w:t>
      </w:r>
      <w:r w:rsidR="00435E72" w:rsidRPr="005E271F">
        <w:rPr>
          <w:rFonts w:ascii="黑体" w:eastAsia="黑体" w:hAnsi="黑体" w:hint="eastAsia"/>
        </w:rPr>
        <w:t>)</w:t>
      </w:r>
      <w:r w:rsidRPr="005E271F">
        <w:rPr>
          <w:rFonts w:ascii="黑体" w:eastAsia="黑体" w:hAnsi="黑体" w:hint="eastAsia"/>
        </w:rPr>
        <w:tab/>
        <w:t>针对媒体采取创新措施，以加强对男女实质性平等的认识，并促使在所有领域，尤其是教育系统内，树立非陈规定型的正面妇女形象。</w:t>
      </w:r>
    </w:p>
    <w:p w:rsidR="00717AB1" w:rsidRPr="005E1424" w:rsidRDefault="00717AB1" w:rsidP="00717AB1">
      <w:pPr>
        <w:pStyle w:val="SingleTxt"/>
        <w:rPr>
          <w:rFonts w:ascii="黑体" w:eastAsia="黑体" w:hAnsi="黑体"/>
        </w:rPr>
      </w:pPr>
      <w:r w:rsidRPr="005E1424">
        <w:rPr>
          <w:rFonts w:ascii="黑体" w:eastAsia="黑体" w:hAnsi="黑体" w:hint="eastAsia"/>
        </w:rPr>
        <w:t>暴力侵害妇女行为</w:t>
      </w:r>
    </w:p>
    <w:p w:rsidR="00717AB1" w:rsidRDefault="00717AB1" w:rsidP="00717AB1">
      <w:pPr>
        <w:pStyle w:val="SingleTxt"/>
      </w:pPr>
      <w:r>
        <w:rPr>
          <w:rFonts w:hint="eastAsia"/>
        </w:rPr>
        <w:t>18.</w:t>
      </w:r>
      <w:r>
        <w:rPr>
          <w:rFonts w:hint="eastAsia"/>
        </w:rPr>
        <w:tab/>
      </w:r>
      <w:r>
        <w:rPr>
          <w:rFonts w:hint="eastAsia"/>
        </w:rPr>
        <w:t>委员会赞赏地注意到</w:t>
      </w:r>
      <w:r>
        <w:rPr>
          <w:rFonts w:hint="eastAsia"/>
        </w:rPr>
        <w:t>2015</w:t>
      </w:r>
      <w:r>
        <w:rPr>
          <w:rFonts w:hint="eastAsia"/>
        </w:rPr>
        <w:t>年通过了经修订的《刑法》，其中按刑事罪论处家庭暴力行为及侵害妇女和女童以及属于性少数群体的妇女和女童的其他形式暴力行为，如盯梢骚扰、威胁和性剥削；并赞赏地注意到行为人无法再通过与受害人和解而逃避刑罚。委员会还注意到，经修订的打击家庭暴力法案扩大了家庭暴力的定义。但委员会仍对迟迟未能通过该法案感到关切。此外，委员会还关切的是，暴力侵害妇女行为特别是家庭暴力和性暴力在缔约国境内发生频仍，而且这方面的统计信息付之阙如。委员会注意到警察部门成立了一个防止家庭暴力和侵害儿童犯罪的特别单位，但感到关切的是，国家只开办了一个暴力受害人收容所。委员会也关切残疾妇女和女童没有机会进入暴力受害人收容所或获得适当的援助和受害人支助服务；官员、社会工作者和医务人员没有获得培训，让他们认识受暴力侵害的残疾妇女的具体需要和脆弱性。</w:t>
      </w:r>
    </w:p>
    <w:p w:rsidR="00717AB1" w:rsidRPr="005E271F" w:rsidRDefault="00717AB1" w:rsidP="005E271F">
      <w:pPr>
        <w:pStyle w:val="SingleTxt"/>
        <w:rPr>
          <w:rFonts w:ascii="黑体" w:eastAsia="黑体" w:hAnsi="黑体"/>
        </w:rPr>
      </w:pPr>
      <w:r>
        <w:rPr>
          <w:rFonts w:hint="eastAsia"/>
        </w:rPr>
        <w:t>19.</w:t>
      </w:r>
      <w:r>
        <w:rPr>
          <w:rFonts w:hint="eastAsia"/>
        </w:rPr>
        <w:tab/>
      </w:r>
      <w:r w:rsidRPr="005E271F">
        <w:rPr>
          <w:rFonts w:ascii="黑体" w:eastAsia="黑体" w:hAnsi="黑体" w:hint="eastAsia"/>
        </w:rPr>
        <w:t>委员会回顾其关于暴力侵害妇女行为的第19号一般性建议(1992年)，敦促缔约国：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a</w:t>
      </w:r>
      <w:r w:rsidR="00435E72" w:rsidRPr="005E271F">
        <w:rPr>
          <w:rFonts w:ascii="黑体" w:eastAsia="黑体" w:hAnsi="黑体" w:hint="eastAsia"/>
        </w:rPr>
        <w:t>)</w:t>
      </w:r>
      <w:r w:rsidRPr="005E271F">
        <w:rPr>
          <w:rFonts w:ascii="黑体" w:eastAsia="黑体" w:hAnsi="黑体" w:hint="eastAsia"/>
        </w:rPr>
        <w:tab/>
        <w:t>加快通过关于防止家庭暴力的法案，采取综合措施以防止和处理暴力侵害妇女和女童行为，并确保受暴力侵害的妇女和女童获得包括补偿和保护在内的直接补救措施，行为人受到起诉和适当惩罚；</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b</w:t>
      </w:r>
      <w:r w:rsidR="00435E72" w:rsidRPr="005E271F">
        <w:rPr>
          <w:rFonts w:ascii="黑体" w:eastAsia="黑体" w:hAnsi="黑体" w:hint="eastAsia"/>
        </w:rPr>
        <w:t>)</w:t>
      </w:r>
      <w:r w:rsidRPr="005E271F">
        <w:rPr>
          <w:rFonts w:ascii="黑体" w:eastAsia="黑体" w:hAnsi="黑体" w:hint="eastAsia"/>
        </w:rPr>
        <w:tab/>
        <w:t>为法官、检察官、警察和其他执法官员提供强制性能力建设方案，内容涉及严格适用按刑事罪论处暴力侵害妇女行为的立法，以及以对性别敏感的程序处理受暴力侵害的妇女，特别是残疾妇女；</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c</w:t>
      </w:r>
      <w:r w:rsidR="00435E72" w:rsidRPr="005E271F">
        <w:rPr>
          <w:rFonts w:ascii="黑体" w:eastAsia="黑体" w:hAnsi="黑体" w:hint="eastAsia"/>
        </w:rPr>
        <w:t>)</w:t>
      </w:r>
      <w:r w:rsidRPr="005E271F">
        <w:rPr>
          <w:rFonts w:ascii="黑体" w:eastAsia="黑体" w:hAnsi="黑体" w:hint="eastAsia"/>
        </w:rPr>
        <w:tab/>
        <w:t>通过建立收容所，包括农村地区收容所，及加强与提供收容所和受害人康复服务的非政府组织的合作，为受暴力侵害妇女提供充分协助和保护；</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d</w:t>
      </w:r>
      <w:r w:rsidR="00435E72" w:rsidRPr="005E271F">
        <w:rPr>
          <w:rFonts w:ascii="黑体" w:eastAsia="黑体" w:hAnsi="黑体" w:hint="eastAsia"/>
        </w:rPr>
        <w:t>)</w:t>
      </w:r>
      <w:r w:rsidRPr="005E271F">
        <w:rPr>
          <w:rFonts w:ascii="黑体" w:eastAsia="黑体" w:hAnsi="黑体" w:hint="eastAsia"/>
        </w:rPr>
        <w:tab/>
        <w:t>收集关于家庭暴力、性暴力和其他形式暴力侵害妇女行为的统计数据，并按年龄以及受害人和行为人之间的关系分列；</w:t>
      </w:r>
    </w:p>
    <w:p w:rsidR="00717AB1" w:rsidRPr="005E271F" w:rsidRDefault="00717AB1" w:rsidP="005E271F">
      <w:pPr>
        <w:pStyle w:val="SingleTxt"/>
        <w:rPr>
          <w:rFonts w:ascii="黑体" w:eastAsia="黑体" w:hAnsi="黑体"/>
        </w:rPr>
      </w:pPr>
      <w:r w:rsidRPr="005E271F">
        <w:rPr>
          <w:rFonts w:ascii="黑体" w:eastAsia="黑体" w:hAnsi="黑体" w:hint="eastAsia"/>
        </w:rPr>
        <w:tab/>
      </w:r>
      <w:r w:rsidR="00435E72" w:rsidRPr="005E271F">
        <w:rPr>
          <w:rFonts w:ascii="黑体" w:eastAsia="黑体" w:hAnsi="黑体" w:hint="eastAsia"/>
        </w:rPr>
        <w:t>(</w:t>
      </w:r>
      <w:r w:rsidRPr="005E271F">
        <w:rPr>
          <w:rFonts w:ascii="黑体" w:eastAsia="黑体" w:hAnsi="黑体" w:hint="eastAsia"/>
        </w:rPr>
        <w:t>e</w:t>
      </w:r>
      <w:r w:rsidR="00435E72" w:rsidRPr="005E271F">
        <w:rPr>
          <w:rFonts w:ascii="黑体" w:eastAsia="黑体" w:hAnsi="黑体" w:hint="eastAsia"/>
        </w:rPr>
        <w:t>)</w:t>
      </w:r>
      <w:r w:rsidRPr="005E271F">
        <w:rPr>
          <w:rFonts w:ascii="黑体" w:eastAsia="黑体" w:hAnsi="黑体" w:hint="eastAsia"/>
        </w:rPr>
        <w:tab/>
        <w:t>创造适当条件，为受到暴力侵害的残疾妇女提供补救措施和康复服务。</w:t>
      </w:r>
    </w:p>
    <w:p w:rsidR="00717AB1" w:rsidRPr="005E1424" w:rsidRDefault="00717AB1" w:rsidP="00717AB1">
      <w:pPr>
        <w:pStyle w:val="SingleTxt"/>
        <w:rPr>
          <w:rFonts w:ascii="黑体" w:eastAsia="黑体" w:hAnsi="黑体"/>
        </w:rPr>
      </w:pPr>
      <w:r w:rsidRPr="005E1424">
        <w:rPr>
          <w:rFonts w:ascii="黑体" w:eastAsia="黑体" w:hAnsi="黑体" w:hint="eastAsia"/>
        </w:rPr>
        <w:t>人贩活动和使人卖淫营利</w:t>
      </w:r>
    </w:p>
    <w:p w:rsidR="00717AB1" w:rsidRDefault="00717AB1" w:rsidP="00717AB1">
      <w:pPr>
        <w:pStyle w:val="SingleTxt"/>
      </w:pPr>
      <w:r>
        <w:rPr>
          <w:rFonts w:hint="eastAsia"/>
        </w:rPr>
        <w:t>20.</w:t>
      </w:r>
      <w:r>
        <w:rPr>
          <w:rFonts w:hint="eastAsia"/>
        </w:rPr>
        <w:tab/>
      </w:r>
      <w:r>
        <w:rPr>
          <w:rFonts w:hint="eastAsia"/>
        </w:rPr>
        <w:t>委员会注意到</w:t>
      </w:r>
      <w:r>
        <w:rPr>
          <w:rFonts w:hint="eastAsia"/>
        </w:rPr>
        <w:t>2012</w:t>
      </w:r>
      <w:r>
        <w:rPr>
          <w:rFonts w:hint="eastAsia"/>
        </w:rPr>
        <w:t>年设立了一个防止人贩活动小组委员会，负责协调《打击贩运人口法》</w:t>
      </w:r>
      <w:r>
        <w:rPr>
          <w:rFonts w:hint="eastAsia"/>
        </w:rPr>
        <w:t>(2012</w:t>
      </w:r>
      <w:r>
        <w:rPr>
          <w:rFonts w:hint="eastAsia"/>
        </w:rPr>
        <w:t>年</w:t>
      </w:r>
      <w:r>
        <w:rPr>
          <w:rFonts w:hint="eastAsia"/>
        </w:rPr>
        <w:t>)</w:t>
      </w:r>
      <w:r>
        <w:rPr>
          <w:rFonts w:hint="eastAsia"/>
        </w:rPr>
        <w:t>的实施。但委员会感到关切的是：</w:t>
      </w:r>
    </w:p>
    <w:p w:rsidR="00717AB1" w:rsidRDefault="00717AB1" w:rsidP="00717AB1">
      <w:pPr>
        <w:pStyle w:val="SingleTxt"/>
      </w:pPr>
      <w:r>
        <w:rPr>
          <w:rFonts w:hint="eastAsia"/>
        </w:rPr>
        <w:tab/>
        <w:t>(a)</w:t>
      </w:r>
      <w:r>
        <w:rPr>
          <w:rFonts w:hint="eastAsia"/>
        </w:rPr>
        <w:tab/>
      </w:r>
      <w:r>
        <w:rPr>
          <w:rFonts w:hint="eastAsia"/>
        </w:rPr>
        <w:t>在实施现有立法和方案，特别是预防方案方面，为解决存在生活贫困的女童及其家庭之间的贩运根本原因而划拨的财政资源有限，而且针对贩运活动受害妇女和女童的保护和康复措施不足；</w:t>
      </w:r>
    </w:p>
    <w:p w:rsidR="00717AB1" w:rsidRDefault="00717AB1" w:rsidP="00717AB1">
      <w:pPr>
        <w:pStyle w:val="SingleTxt"/>
      </w:pPr>
      <w:r>
        <w:rPr>
          <w:rFonts w:hint="eastAsia"/>
        </w:rPr>
        <w:tab/>
        <w:t>(b)</w:t>
      </w:r>
      <w:r>
        <w:rPr>
          <w:rFonts w:hint="eastAsia"/>
        </w:rPr>
        <w:tab/>
      </w:r>
      <w:r>
        <w:rPr>
          <w:rFonts w:hint="eastAsia"/>
        </w:rPr>
        <w:t>迟迟未通过打击人贩活动的国家行动计划；</w:t>
      </w:r>
    </w:p>
    <w:p w:rsidR="00717AB1" w:rsidRDefault="00717AB1" w:rsidP="00717AB1">
      <w:pPr>
        <w:pStyle w:val="SingleTxt"/>
      </w:pPr>
      <w:r>
        <w:rPr>
          <w:rFonts w:hint="eastAsia"/>
        </w:rPr>
        <w:tab/>
        <w:t>(c)</w:t>
      </w:r>
      <w:r>
        <w:rPr>
          <w:rFonts w:hint="eastAsia"/>
        </w:rPr>
        <w:tab/>
      </w:r>
      <w:r>
        <w:rPr>
          <w:rFonts w:hint="eastAsia"/>
        </w:rPr>
        <w:t>缺乏关于贩运妇女和女童及使人卖淫营利的申诉、调查、起诉和定罪统计信息，以及关于受害人支助与康复方案的信息；</w:t>
      </w:r>
    </w:p>
    <w:p w:rsidR="00717AB1" w:rsidRDefault="00717AB1" w:rsidP="00717AB1">
      <w:pPr>
        <w:pStyle w:val="SingleTxt"/>
      </w:pPr>
      <w:r>
        <w:rPr>
          <w:rFonts w:hint="eastAsia"/>
        </w:rPr>
        <w:tab/>
        <w:t>(d)</w:t>
      </w:r>
      <w:r>
        <w:rPr>
          <w:rFonts w:hint="eastAsia"/>
        </w:rPr>
        <w:tab/>
      </w:r>
      <w:r>
        <w:rPr>
          <w:rFonts w:hint="eastAsia"/>
        </w:rPr>
        <w:t>缺乏提高认识努力，使司法部门、执法官员、边防人员、社会工作者和卫生工作者认识到必须及早转介贩运活动受害人及对受害人采用对性别敏感的处理方式；</w:t>
      </w:r>
    </w:p>
    <w:p w:rsidR="00717AB1" w:rsidRDefault="00717AB1" w:rsidP="00717AB1">
      <w:pPr>
        <w:pStyle w:val="SingleTxt"/>
      </w:pPr>
      <w:r>
        <w:rPr>
          <w:rFonts w:hint="eastAsia"/>
        </w:rPr>
        <w:tab/>
        <w:t>(e)</w:t>
      </w:r>
      <w:r>
        <w:rPr>
          <w:rFonts w:hint="eastAsia"/>
        </w:rPr>
        <w:tab/>
      </w:r>
      <w:r>
        <w:rPr>
          <w:rFonts w:hint="eastAsia"/>
        </w:rPr>
        <w:t>卖淫妇女受到歧视和污名化，缺乏适应卖淫妇女需求的收容所和危机中心，及没有为希望脱离卖淫业的妇女制定转业和重返社会方案。</w:t>
      </w:r>
    </w:p>
    <w:p w:rsidR="00717AB1" w:rsidRPr="005E271F" w:rsidRDefault="00717AB1" w:rsidP="005E271F">
      <w:pPr>
        <w:pStyle w:val="SingleTxt"/>
        <w:rPr>
          <w:rFonts w:ascii="黑体" w:eastAsia="黑体" w:hAnsi="黑体"/>
        </w:rPr>
      </w:pPr>
      <w:r>
        <w:rPr>
          <w:rFonts w:hint="eastAsia"/>
        </w:rPr>
        <w:t>21.</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全力执行关于人贩活动的立法，并为实施打击贩运活动的法律和方案增拨财政资源；</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毫不迟延地完成并通过打击人贩活动的国家行动计划；</w:t>
      </w:r>
    </w:p>
    <w:p w:rsidR="00717AB1" w:rsidRPr="005E271F" w:rsidRDefault="00717AB1" w:rsidP="005E271F">
      <w:pPr>
        <w:pStyle w:val="SingleTxt"/>
        <w:rPr>
          <w:rFonts w:ascii="黑体" w:eastAsia="黑体" w:hAnsi="黑体"/>
        </w:rPr>
      </w:pPr>
      <w:r w:rsidRPr="005E271F">
        <w:rPr>
          <w:rFonts w:ascii="黑体" w:eastAsia="黑体" w:hAnsi="黑体" w:hint="eastAsia"/>
        </w:rPr>
        <w:tab/>
        <w:t>(c)</w:t>
      </w:r>
      <w:r w:rsidRPr="005E271F">
        <w:rPr>
          <w:rFonts w:ascii="黑体" w:eastAsia="黑体" w:hAnsi="黑体" w:hint="eastAsia"/>
        </w:rPr>
        <w:tab/>
        <w:t>建设司法部门、执法人员、边防人员、社会工作者和卫生工作者的能力，以便及早转介贩运活动受害人和对她们采用对性别敏感的处理方式；</w:t>
      </w:r>
    </w:p>
    <w:p w:rsidR="00717AB1" w:rsidRPr="005E271F" w:rsidRDefault="00717AB1" w:rsidP="005E271F">
      <w:pPr>
        <w:pStyle w:val="SingleTxt"/>
        <w:rPr>
          <w:rFonts w:ascii="黑体" w:eastAsia="黑体" w:hAnsi="黑体"/>
        </w:rPr>
      </w:pPr>
      <w:r w:rsidRPr="005E271F">
        <w:rPr>
          <w:rFonts w:ascii="黑体" w:eastAsia="黑体" w:hAnsi="黑体" w:hint="eastAsia"/>
        </w:rPr>
        <w:tab/>
        <w:t>(d)</w:t>
      </w:r>
      <w:r w:rsidRPr="005E271F">
        <w:rPr>
          <w:rFonts w:ascii="黑体" w:eastAsia="黑体" w:hAnsi="黑体" w:hint="eastAsia"/>
        </w:rPr>
        <w:tab/>
        <w:t>为消除人贩活动根源增加妇女和女童及其家人的教育和经济机会，从而降低她们易受人贩子剥削的可能性；</w:t>
      </w:r>
    </w:p>
    <w:p w:rsidR="00717AB1" w:rsidRPr="005E271F" w:rsidRDefault="00717AB1" w:rsidP="005E271F">
      <w:pPr>
        <w:pStyle w:val="SingleTxt"/>
        <w:rPr>
          <w:rFonts w:ascii="黑体" w:eastAsia="黑体" w:hAnsi="黑体"/>
        </w:rPr>
      </w:pPr>
      <w:r w:rsidRPr="005E271F">
        <w:rPr>
          <w:rFonts w:ascii="黑体" w:eastAsia="黑体" w:hAnsi="黑体" w:hint="eastAsia"/>
        </w:rPr>
        <w:tab/>
        <w:t>(e)</w:t>
      </w:r>
      <w:r w:rsidRPr="005E271F">
        <w:rPr>
          <w:rFonts w:ascii="黑体" w:eastAsia="黑体" w:hAnsi="黑体" w:hint="eastAsia"/>
        </w:rPr>
        <w:tab/>
        <w:t>采取综合办法处理卖淫现象，为希望脱离卖淫业的妇女提供收容所和危机中心、转业和重返社会方案以及替代性创收机会，并采取措施减少对卖淫业的需求；</w:t>
      </w:r>
    </w:p>
    <w:p w:rsidR="00717AB1" w:rsidRPr="005E271F" w:rsidRDefault="00717AB1" w:rsidP="005E271F">
      <w:pPr>
        <w:pStyle w:val="SingleTxt"/>
        <w:rPr>
          <w:rFonts w:ascii="黑体" w:eastAsia="黑体" w:hAnsi="黑体"/>
        </w:rPr>
      </w:pPr>
      <w:r w:rsidRPr="005E271F">
        <w:rPr>
          <w:rFonts w:ascii="黑体" w:eastAsia="黑体" w:hAnsi="黑体" w:hint="eastAsia"/>
        </w:rPr>
        <w:tab/>
        <w:t>(f)</w:t>
      </w:r>
      <w:r w:rsidRPr="005E271F">
        <w:rPr>
          <w:rFonts w:ascii="黑体" w:eastAsia="黑体" w:hAnsi="黑体" w:hint="eastAsia"/>
        </w:rPr>
        <w:tab/>
        <w:t>在缔约国下次定期报告中提供关于贩运妇女和女童以及关于卖淫妇女的详尽信息和数据，包括有关起诉人贩子和定罪的数字。</w:t>
      </w:r>
    </w:p>
    <w:p w:rsidR="00717AB1" w:rsidRPr="005E1424" w:rsidRDefault="00717AB1" w:rsidP="00717AB1">
      <w:pPr>
        <w:pStyle w:val="SingleTxt"/>
        <w:rPr>
          <w:rFonts w:ascii="黑体" w:eastAsia="黑体" w:hAnsi="黑体"/>
        </w:rPr>
      </w:pPr>
      <w:r w:rsidRPr="005E1424">
        <w:rPr>
          <w:rFonts w:ascii="黑体" w:eastAsia="黑体" w:hAnsi="黑体" w:hint="eastAsia"/>
        </w:rPr>
        <w:t>参与政治和公共生活</w:t>
      </w:r>
    </w:p>
    <w:p w:rsidR="00717AB1" w:rsidRDefault="00717AB1" w:rsidP="00717AB1">
      <w:pPr>
        <w:pStyle w:val="SingleTxt"/>
      </w:pPr>
      <w:r>
        <w:rPr>
          <w:rFonts w:hint="eastAsia"/>
        </w:rPr>
        <w:t>22.</w:t>
      </w:r>
      <w:r>
        <w:rPr>
          <w:rFonts w:hint="eastAsia"/>
        </w:rPr>
        <w:tab/>
      </w:r>
      <w:r>
        <w:rPr>
          <w:rFonts w:hint="eastAsia"/>
        </w:rPr>
        <w:t>委员会对公务员队伍和司法部门的妇女人数有所增加表示欢迎，但委员会仍感关切的是，尽管已规定政党候选人名单和公共行政部门至少须为妇女保留</w:t>
      </w:r>
      <w:r>
        <w:rPr>
          <w:rFonts w:hint="eastAsia"/>
        </w:rPr>
        <w:t>30</w:t>
      </w:r>
      <w:r w:rsidR="00435E72">
        <w:rPr>
          <w:rFonts w:hint="eastAsia"/>
        </w:rPr>
        <w:t>%</w:t>
      </w:r>
      <w:r>
        <w:rPr>
          <w:rFonts w:hint="eastAsia"/>
        </w:rPr>
        <w:t>名额，但妇女在政治和公共生活尤其是在决策职位方面，以及在议会中的人数占比仍然偏低；其原因是根深蒂固的传统观念和重男轻女态度，缺乏有效的暂行特别措施，妇女进入政治网络的机会有限，为潜在女候选人提供的能力建设和竞选资金不足，以及强制征收的所谓“候选人税捐”。委员会还感到关切的是，迄今尚没有任命任何妇女担任省长或市长。此外，委员会也对《选举法》</w:t>
      </w:r>
      <w:r>
        <w:rPr>
          <w:rFonts w:hint="eastAsia"/>
        </w:rPr>
        <w:t>(2015</w:t>
      </w:r>
      <w:r>
        <w:rPr>
          <w:rFonts w:hint="eastAsia"/>
        </w:rPr>
        <w:t>年</w:t>
      </w:r>
      <w:r>
        <w:rPr>
          <w:rFonts w:hint="eastAsia"/>
        </w:rPr>
        <w:t>)</w:t>
      </w:r>
      <w:r>
        <w:rPr>
          <w:rFonts w:hint="eastAsia"/>
        </w:rPr>
        <w:t>第</w:t>
      </w:r>
      <w:r>
        <w:rPr>
          <w:rFonts w:hint="eastAsia"/>
        </w:rPr>
        <w:t>11</w:t>
      </w:r>
      <w:r>
        <w:rPr>
          <w:rFonts w:hint="eastAsia"/>
        </w:rPr>
        <w:t>条第</w:t>
      </w:r>
      <w:r>
        <w:rPr>
          <w:rFonts w:hint="eastAsia"/>
        </w:rPr>
        <w:t>5</w:t>
      </w:r>
      <w:r>
        <w:rPr>
          <w:rFonts w:hint="eastAsia"/>
        </w:rPr>
        <w:t>款限制残疾人包括残疾妇女的选举权和被选举权感到关切。</w:t>
      </w:r>
    </w:p>
    <w:p w:rsidR="00717AB1" w:rsidRPr="005E271F" w:rsidRDefault="00717AB1" w:rsidP="005E271F">
      <w:pPr>
        <w:pStyle w:val="SingleTxt"/>
        <w:rPr>
          <w:rFonts w:ascii="黑体" w:eastAsia="黑体" w:hAnsi="黑体"/>
        </w:rPr>
      </w:pPr>
      <w:r>
        <w:rPr>
          <w:rFonts w:hint="eastAsia"/>
        </w:rPr>
        <w:t>23.</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采取措施促使更多妇女在各级别和各部门平等参与政治和公共生活，尤其是在议会和政府担任决策职位，其中包括：</w:t>
      </w:r>
    </w:p>
    <w:p w:rsidR="00717AB1" w:rsidRPr="005E271F" w:rsidRDefault="005E1424" w:rsidP="005E271F">
      <w:pPr>
        <w:pStyle w:val="SingleTxt"/>
        <w:rPr>
          <w:rFonts w:ascii="黑体" w:eastAsia="黑体" w:hAnsi="黑体"/>
        </w:rPr>
      </w:pPr>
      <w:r w:rsidRPr="005E271F">
        <w:rPr>
          <w:rFonts w:ascii="黑体" w:eastAsia="黑体" w:hAnsi="黑体" w:hint="eastAsia"/>
        </w:rPr>
        <w:t>㈠</w:t>
      </w:r>
      <w:r w:rsidRPr="005E271F">
        <w:rPr>
          <w:rFonts w:ascii="黑体" w:eastAsia="黑体" w:hAnsi="黑体"/>
        </w:rPr>
        <w:tab/>
      </w:r>
      <w:r w:rsidR="00717AB1" w:rsidRPr="005E271F">
        <w:rPr>
          <w:rFonts w:ascii="黑体" w:eastAsia="黑体" w:hAnsi="黑体" w:hint="eastAsia"/>
        </w:rPr>
        <w:t>有效实施政党选举人名单为女候选人保留30</w:t>
      </w:r>
      <w:r w:rsidR="00435E72" w:rsidRPr="005E271F">
        <w:rPr>
          <w:rFonts w:ascii="黑体" w:eastAsia="黑体" w:hAnsi="黑体" w:hint="eastAsia"/>
        </w:rPr>
        <w:t>%</w:t>
      </w:r>
      <w:r w:rsidR="00717AB1" w:rsidRPr="005E271F">
        <w:rPr>
          <w:rFonts w:ascii="黑体" w:eastAsia="黑体" w:hAnsi="黑体" w:hint="eastAsia"/>
        </w:rPr>
        <w:t>名额的规定，包括确保妇女在选举人名单和/或选区中排名较高；</w:t>
      </w:r>
    </w:p>
    <w:p w:rsidR="00717AB1" w:rsidRPr="005E271F" w:rsidRDefault="005E1424" w:rsidP="005E271F">
      <w:pPr>
        <w:pStyle w:val="SingleTxt"/>
        <w:rPr>
          <w:rFonts w:ascii="黑体" w:eastAsia="黑体" w:hAnsi="黑体"/>
        </w:rPr>
      </w:pPr>
      <w:r w:rsidRPr="005E271F">
        <w:rPr>
          <w:rFonts w:ascii="黑体" w:eastAsia="黑体" w:hAnsi="黑体" w:hint="eastAsia"/>
        </w:rPr>
        <w:t>㈡</w:t>
      </w:r>
      <w:r w:rsidRPr="005E271F">
        <w:rPr>
          <w:rFonts w:ascii="黑体" w:eastAsia="黑体" w:hAnsi="黑体"/>
        </w:rPr>
        <w:tab/>
      </w:r>
      <w:r w:rsidR="00717AB1" w:rsidRPr="005E271F">
        <w:rPr>
          <w:rFonts w:ascii="黑体" w:eastAsia="黑体" w:hAnsi="黑体" w:hint="eastAsia"/>
        </w:rPr>
        <w:t>为女候选人提供能力建设培训，尤其是关于高效开展竞选活动、进入筹资和政治网络以及利用媒体的培训；</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参照委员会关于政治和公共生活的第23号一般性建议</w:t>
      </w:r>
      <w:r w:rsidR="00435E72" w:rsidRPr="005E271F">
        <w:rPr>
          <w:rFonts w:ascii="黑体" w:eastAsia="黑体" w:hAnsi="黑体" w:hint="eastAsia"/>
        </w:rPr>
        <w:t>(</w:t>
      </w:r>
      <w:r w:rsidRPr="005E271F">
        <w:rPr>
          <w:rFonts w:ascii="黑体" w:eastAsia="黑体" w:hAnsi="黑体" w:hint="eastAsia"/>
        </w:rPr>
        <w:t>1997年</w:t>
      </w:r>
      <w:r w:rsidR="00435E72" w:rsidRPr="005E271F">
        <w:rPr>
          <w:rFonts w:ascii="黑体" w:eastAsia="黑体" w:hAnsi="黑体" w:hint="eastAsia"/>
        </w:rPr>
        <w:t>)</w:t>
      </w:r>
      <w:r w:rsidRPr="005E271F">
        <w:rPr>
          <w:rFonts w:ascii="黑体" w:eastAsia="黑体" w:hAnsi="黑体" w:hint="eastAsia"/>
        </w:rPr>
        <w:t>采取定向措施，包括培训、考虑到性别因素的征聘和暂行特别措施，确保在与男候选人平等的基础上任命妇女担任国家和地方一级决策职位；</w:t>
      </w:r>
    </w:p>
    <w:p w:rsidR="00717AB1" w:rsidRPr="005E271F" w:rsidRDefault="00717AB1" w:rsidP="005E271F">
      <w:pPr>
        <w:pStyle w:val="SingleTxt"/>
        <w:rPr>
          <w:rFonts w:ascii="黑体" w:eastAsia="黑体" w:hAnsi="黑体"/>
        </w:rPr>
      </w:pPr>
      <w:r w:rsidRPr="005E271F">
        <w:rPr>
          <w:rFonts w:ascii="黑体" w:eastAsia="黑体" w:hAnsi="黑体" w:hint="eastAsia"/>
        </w:rPr>
        <w:tab/>
        <w:t>(c)</w:t>
      </w:r>
      <w:r w:rsidRPr="005E271F">
        <w:rPr>
          <w:rFonts w:ascii="黑体" w:eastAsia="黑体" w:hAnsi="黑体" w:hint="eastAsia"/>
        </w:rPr>
        <w:tab/>
        <w:t>取消对女候选人造成重大障碍的“候选人税捐”；</w:t>
      </w:r>
    </w:p>
    <w:p w:rsidR="00717AB1" w:rsidRPr="005E271F" w:rsidRDefault="00717AB1" w:rsidP="005E271F">
      <w:pPr>
        <w:pStyle w:val="SingleTxt"/>
        <w:rPr>
          <w:rFonts w:ascii="黑体" w:eastAsia="黑体" w:hAnsi="黑体"/>
        </w:rPr>
      </w:pPr>
      <w:r w:rsidRPr="005E271F">
        <w:rPr>
          <w:rFonts w:ascii="黑体" w:eastAsia="黑体" w:hAnsi="黑体" w:hint="eastAsia"/>
        </w:rPr>
        <w:tab/>
        <w:t>(d)</w:t>
      </w:r>
      <w:r w:rsidRPr="005E271F">
        <w:rPr>
          <w:rFonts w:ascii="黑体" w:eastAsia="黑体" w:hAnsi="黑体" w:hint="eastAsia"/>
        </w:rPr>
        <w:tab/>
        <w:t>为政界人士、社区领袖、记者和公众开展提高认识活动，宣传妇女参与决策的重要性，使更多人认识到妇女在与男子平等的基础上充分、平等、自由和民主地参与政治和公共生活是有效实施《公约》以及发展社会和经济的一个必要条件；</w:t>
      </w:r>
    </w:p>
    <w:p w:rsidR="00717AB1" w:rsidRPr="005E271F" w:rsidRDefault="00717AB1" w:rsidP="005E271F">
      <w:pPr>
        <w:pStyle w:val="SingleTxt"/>
        <w:rPr>
          <w:rFonts w:ascii="黑体" w:eastAsia="黑体" w:hAnsi="黑体"/>
        </w:rPr>
      </w:pPr>
      <w:r w:rsidRPr="005E271F">
        <w:rPr>
          <w:rFonts w:ascii="黑体" w:eastAsia="黑体" w:hAnsi="黑体" w:hint="eastAsia"/>
        </w:rPr>
        <w:tab/>
        <w:t>(e)</w:t>
      </w:r>
      <w:r w:rsidRPr="005E271F">
        <w:rPr>
          <w:rFonts w:ascii="黑体" w:eastAsia="黑体" w:hAnsi="黑体" w:hint="eastAsia"/>
        </w:rPr>
        <w:tab/>
        <w:t>采取措施任命妇女担任高级职位，如省长或市长；</w:t>
      </w:r>
    </w:p>
    <w:p w:rsidR="00717AB1" w:rsidRPr="005E271F" w:rsidRDefault="00717AB1" w:rsidP="005E271F">
      <w:pPr>
        <w:pStyle w:val="SingleTxt"/>
        <w:rPr>
          <w:rFonts w:ascii="黑体" w:eastAsia="黑体" w:hAnsi="黑体"/>
        </w:rPr>
      </w:pPr>
      <w:r w:rsidRPr="005E271F">
        <w:rPr>
          <w:rFonts w:ascii="黑体" w:eastAsia="黑体" w:hAnsi="黑体" w:hint="eastAsia"/>
        </w:rPr>
        <w:tab/>
        <w:t>(f)</w:t>
      </w:r>
      <w:r w:rsidRPr="005E271F">
        <w:rPr>
          <w:rFonts w:ascii="黑体" w:eastAsia="黑体" w:hAnsi="黑体" w:hint="eastAsia"/>
        </w:rPr>
        <w:tab/>
        <w:t>毫不迟延地废止《选举法》(2015年)中限制残疾人包括残疾妇女选举权的规定，并确保在该法律中残疾是被禁止的歧视理由。</w:t>
      </w:r>
    </w:p>
    <w:p w:rsidR="00717AB1" w:rsidRPr="00617FCD" w:rsidRDefault="00717AB1" w:rsidP="00717AB1">
      <w:pPr>
        <w:pStyle w:val="SingleTxt"/>
        <w:rPr>
          <w:rFonts w:ascii="黑体" w:eastAsia="黑体" w:hAnsi="黑体"/>
        </w:rPr>
      </w:pPr>
      <w:r w:rsidRPr="00617FCD">
        <w:rPr>
          <w:rFonts w:ascii="黑体" w:eastAsia="黑体" w:hAnsi="黑体" w:hint="eastAsia"/>
        </w:rPr>
        <w:t>教育</w:t>
      </w:r>
    </w:p>
    <w:p w:rsidR="00717AB1" w:rsidRDefault="00717AB1" w:rsidP="00717AB1">
      <w:pPr>
        <w:pStyle w:val="SingleTxt"/>
      </w:pPr>
      <w:r>
        <w:rPr>
          <w:rFonts w:hint="eastAsia"/>
        </w:rPr>
        <w:t>24.</w:t>
      </w:r>
      <w:r>
        <w:rPr>
          <w:rFonts w:hint="eastAsia"/>
        </w:rPr>
        <w:tab/>
      </w:r>
      <w:r>
        <w:rPr>
          <w:rFonts w:hint="eastAsia"/>
        </w:rPr>
        <w:t>委员会赞赏地注意到妇女的识字率很高，中小学教育的女童入学率也很高，但委员会仍感到关切的是：</w:t>
      </w:r>
    </w:p>
    <w:p w:rsidR="00717AB1" w:rsidRDefault="00717AB1" w:rsidP="00717AB1">
      <w:pPr>
        <w:pStyle w:val="SingleTxt"/>
      </w:pPr>
      <w:r>
        <w:rPr>
          <w:rFonts w:hint="eastAsia"/>
        </w:rPr>
        <w:tab/>
        <w:t>(a)</w:t>
      </w:r>
      <w:r>
        <w:rPr>
          <w:rFonts w:hint="eastAsia"/>
        </w:rPr>
        <w:tab/>
      </w:r>
      <w:r>
        <w:rPr>
          <w:rFonts w:hint="eastAsia"/>
        </w:rPr>
        <w:t>虽然课程纳入性与生殖健康及权利，但内容似乎缺乏明确的性别视角；</w:t>
      </w:r>
    </w:p>
    <w:p w:rsidR="00717AB1" w:rsidRDefault="00717AB1" w:rsidP="00717AB1">
      <w:pPr>
        <w:pStyle w:val="SingleTxt"/>
      </w:pPr>
      <w:r>
        <w:rPr>
          <w:rFonts w:hint="eastAsia"/>
        </w:rPr>
        <w:tab/>
        <w:t>(b)</w:t>
      </w:r>
      <w:r>
        <w:rPr>
          <w:rFonts w:hint="eastAsia"/>
        </w:rPr>
        <w:tab/>
      </w:r>
      <w:r>
        <w:rPr>
          <w:rFonts w:hint="eastAsia"/>
        </w:rPr>
        <w:t>学校和学校宿舍内长期存在暴力问题，尤其是性暴力和性虐待，导致许多少女怀孕；</w:t>
      </w:r>
    </w:p>
    <w:p w:rsidR="00717AB1" w:rsidRDefault="00717AB1" w:rsidP="00717AB1">
      <w:pPr>
        <w:pStyle w:val="SingleTxt"/>
      </w:pPr>
      <w:r>
        <w:rPr>
          <w:rFonts w:hint="eastAsia"/>
        </w:rPr>
        <w:tab/>
        <w:t>(c)</w:t>
      </w:r>
      <w:r>
        <w:rPr>
          <w:rFonts w:hint="eastAsia"/>
        </w:rPr>
        <w:tab/>
      </w:r>
      <w:r>
        <w:rPr>
          <w:rFonts w:hint="eastAsia"/>
        </w:rPr>
        <w:t>习惯做法要求怀孕女童离校接受其他形式的教育，而不让她们有机会回到正规教育系统；</w:t>
      </w:r>
    </w:p>
    <w:p w:rsidR="00717AB1" w:rsidRDefault="00717AB1" w:rsidP="00717AB1">
      <w:pPr>
        <w:pStyle w:val="SingleTxt"/>
      </w:pPr>
      <w:r>
        <w:rPr>
          <w:rFonts w:hint="eastAsia"/>
        </w:rPr>
        <w:tab/>
        <w:t>(d)</w:t>
      </w:r>
      <w:r>
        <w:rPr>
          <w:rFonts w:hint="eastAsia"/>
        </w:rPr>
        <w:tab/>
      </w:r>
      <w:r>
        <w:rPr>
          <w:rFonts w:hint="eastAsia"/>
        </w:rPr>
        <w:t>国家立法没有规定为残疾女童提供包容性和无障碍教育。</w:t>
      </w:r>
    </w:p>
    <w:p w:rsidR="00717AB1" w:rsidRPr="005E271F" w:rsidRDefault="00717AB1" w:rsidP="005E271F">
      <w:pPr>
        <w:pStyle w:val="SingleTxt"/>
        <w:rPr>
          <w:rFonts w:ascii="黑体" w:eastAsia="黑体" w:hAnsi="黑体"/>
        </w:rPr>
      </w:pPr>
      <w:r>
        <w:rPr>
          <w:rFonts w:hint="eastAsia"/>
        </w:rPr>
        <w:t>25.</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采用明确的性别视角，将关于性与生殖健康及权利的适龄教育纳入学校课程，包括涉及性别关系和负责任性行为的少男少女性教育；</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调查和起诉教师和同学在学校和学校宿舍内实施的性暴力和性虐待行为，并确保适当惩处行为人，向受害人提供康复和补救措施；</w:t>
      </w:r>
    </w:p>
    <w:p w:rsidR="00717AB1" w:rsidRPr="005E271F" w:rsidRDefault="00717AB1" w:rsidP="005E271F">
      <w:pPr>
        <w:pStyle w:val="SingleTxt"/>
        <w:rPr>
          <w:rFonts w:ascii="黑体" w:eastAsia="黑体" w:hAnsi="黑体"/>
        </w:rPr>
      </w:pPr>
      <w:r w:rsidRPr="005E271F">
        <w:rPr>
          <w:rFonts w:ascii="黑体" w:eastAsia="黑体" w:hAnsi="黑体" w:hint="eastAsia"/>
        </w:rPr>
        <w:tab/>
        <w:t>(c)</w:t>
      </w:r>
      <w:r w:rsidRPr="005E271F">
        <w:rPr>
          <w:rFonts w:ascii="黑体" w:eastAsia="黑体" w:hAnsi="黑体" w:hint="eastAsia"/>
        </w:rPr>
        <w:tab/>
        <w:t>采取措施允许怀孕女童留校读书，年轻母亲在分娩后重返校园；</w:t>
      </w:r>
    </w:p>
    <w:p w:rsidR="00717AB1" w:rsidRPr="005E271F" w:rsidRDefault="00717AB1" w:rsidP="005E271F">
      <w:pPr>
        <w:pStyle w:val="SingleTxt"/>
        <w:rPr>
          <w:rFonts w:ascii="黑体" w:eastAsia="黑体" w:hAnsi="黑体"/>
        </w:rPr>
      </w:pPr>
      <w:r w:rsidRPr="005E271F">
        <w:rPr>
          <w:rFonts w:ascii="黑体" w:eastAsia="黑体" w:hAnsi="黑体" w:hint="eastAsia"/>
        </w:rPr>
        <w:tab/>
        <w:t>(d)</w:t>
      </w:r>
      <w:r w:rsidRPr="005E271F">
        <w:rPr>
          <w:rFonts w:ascii="黑体" w:eastAsia="黑体" w:hAnsi="黑体" w:hint="eastAsia"/>
        </w:rPr>
        <w:tab/>
        <w:t>修正国家立法，以确保为残疾女童，包括农村地区女童，提供包容性和无障碍教育，并为教师提供关于残疾女童的特殊教育需求的培训。</w:t>
      </w:r>
    </w:p>
    <w:p w:rsidR="00717AB1" w:rsidRPr="00617FCD" w:rsidRDefault="00717AB1" w:rsidP="00717AB1">
      <w:pPr>
        <w:pStyle w:val="SingleTxt"/>
        <w:rPr>
          <w:rFonts w:ascii="黑体" w:eastAsia="黑体" w:hAnsi="黑体"/>
        </w:rPr>
      </w:pPr>
      <w:r w:rsidRPr="00617FCD">
        <w:rPr>
          <w:rFonts w:ascii="黑体" w:eastAsia="黑体" w:hAnsi="黑体" w:hint="eastAsia"/>
        </w:rPr>
        <w:t>就业</w:t>
      </w:r>
    </w:p>
    <w:p w:rsidR="00717AB1" w:rsidRDefault="00717AB1" w:rsidP="00717AB1">
      <w:pPr>
        <w:pStyle w:val="SingleTxt"/>
      </w:pPr>
      <w:r>
        <w:rPr>
          <w:rFonts w:hint="eastAsia"/>
        </w:rPr>
        <w:t>26.</w:t>
      </w:r>
      <w:r>
        <w:rPr>
          <w:rFonts w:hint="eastAsia"/>
        </w:rPr>
        <w:tab/>
      </w:r>
      <w:r>
        <w:rPr>
          <w:rFonts w:hint="eastAsia"/>
        </w:rPr>
        <w:t>委员会感到关切的是：</w:t>
      </w:r>
    </w:p>
    <w:p w:rsidR="00717AB1" w:rsidRDefault="00717AB1" w:rsidP="00717AB1">
      <w:pPr>
        <w:pStyle w:val="SingleTxt"/>
      </w:pPr>
      <w:r>
        <w:rPr>
          <w:rFonts w:hint="eastAsia"/>
        </w:rPr>
        <w:tab/>
        <w:t>(a)</w:t>
      </w:r>
      <w:r>
        <w:rPr>
          <w:rFonts w:hint="eastAsia"/>
        </w:rPr>
        <w:tab/>
      </w:r>
      <w:r>
        <w:rPr>
          <w:rFonts w:hint="eastAsia"/>
        </w:rPr>
        <w:t>所有部门长期存在较大的性别工资差异，而且差异日益增大；劳动力市场仍然存在职业隔离情况；妇女集中于正规和非正规部门的低薪工作；</w:t>
      </w:r>
    </w:p>
    <w:p w:rsidR="00717AB1" w:rsidRDefault="00717AB1" w:rsidP="00717AB1">
      <w:pPr>
        <w:pStyle w:val="SingleTxt"/>
      </w:pPr>
      <w:r>
        <w:rPr>
          <w:rFonts w:hint="eastAsia"/>
        </w:rPr>
        <w:tab/>
        <w:t>(b)</w:t>
      </w:r>
      <w:r>
        <w:rPr>
          <w:rFonts w:hint="eastAsia"/>
        </w:rPr>
        <w:tab/>
      </w:r>
      <w:r>
        <w:rPr>
          <w:rFonts w:hint="eastAsia"/>
        </w:rPr>
        <w:t>禁止妇女从事的职业清单似乎过于保护，涵盖的许多职业和部门都缺乏客观禁止理由，结果是限制了妇女在一些领域的经济机会，尤其是在采矿业的机会；</w:t>
      </w:r>
    </w:p>
    <w:p w:rsidR="00717AB1" w:rsidRDefault="00717AB1" w:rsidP="00717AB1">
      <w:pPr>
        <w:pStyle w:val="SingleTxt"/>
      </w:pPr>
      <w:r>
        <w:rPr>
          <w:rFonts w:hint="eastAsia"/>
        </w:rPr>
        <w:tab/>
        <w:t>(c)</w:t>
      </w:r>
      <w:r>
        <w:rPr>
          <w:rFonts w:hint="eastAsia"/>
        </w:rPr>
        <w:tab/>
      </w:r>
      <w:r>
        <w:rPr>
          <w:rFonts w:hint="eastAsia"/>
        </w:rPr>
        <w:t>国家劳工监察制度的职权、能力和效力有限；</w:t>
      </w:r>
    </w:p>
    <w:p w:rsidR="00717AB1" w:rsidRDefault="00717AB1" w:rsidP="00717AB1">
      <w:pPr>
        <w:pStyle w:val="SingleTxt"/>
      </w:pPr>
      <w:r>
        <w:rPr>
          <w:rFonts w:hint="eastAsia"/>
        </w:rPr>
        <w:tab/>
        <w:t>(d)</w:t>
      </w:r>
      <w:r>
        <w:rPr>
          <w:rFonts w:hint="eastAsia"/>
        </w:rPr>
        <w:tab/>
      </w:r>
      <w:r>
        <w:rPr>
          <w:rFonts w:hint="eastAsia"/>
        </w:rPr>
        <w:t>妇女退休年龄过早，限制了她们的就业机会，并可能减少她们的养老金；</w:t>
      </w:r>
    </w:p>
    <w:p w:rsidR="00717AB1" w:rsidRDefault="00717AB1" w:rsidP="00717AB1">
      <w:pPr>
        <w:pStyle w:val="SingleTxt"/>
      </w:pPr>
      <w:r>
        <w:rPr>
          <w:rFonts w:hint="eastAsia"/>
        </w:rPr>
        <w:tab/>
        <w:t>(e)</w:t>
      </w:r>
      <w:r>
        <w:rPr>
          <w:rFonts w:hint="eastAsia"/>
        </w:rPr>
        <w:tab/>
      </w:r>
      <w:r>
        <w:rPr>
          <w:rFonts w:hint="eastAsia"/>
        </w:rPr>
        <w:t>缺乏资料说明关于禁止工作场所性骚扰及规定民事和</w:t>
      </w:r>
      <w:r>
        <w:rPr>
          <w:rFonts w:hint="eastAsia"/>
        </w:rPr>
        <w:t>/</w:t>
      </w:r>
      <w:r>
        <w:rPr>
          <w:rFonts w:hint="eastAsia"/>
        </w:rPr>
        <w:t>或刑事补救措施的立法，及缺乏说明起诉、定罪和判刑情况的统计数字。</w:t>
      </w:r>
    </w:p>
    <w:p w:rsidR="00717AB1" w:rsidRPr="005E271F" w:rsidRDefault="00717AB1" w:rsidP="005E271F">
      <w:pPr>
        <w:pStyle w:val="SingleTxt"/>
        <w:rPr>
          <w:rFonts w:ascii="黑体" w:eastAsia="黑体" w:hAnsi="黑体"/>
        </w:rPr>
      </w:pPr>
      <w:r>
        <w:rPr>
          <w:rFonts w:hint="eastAsia"/>
        </w:rPr>
        <w:t>27.</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更努力地创造有利环境，以加强妇女经济独立能力，包括使更多公私营部门雇主认识到禁止在就业方面歧视妇女，包括残疾妇女，并通过提供职业和技术培训等措施协助妇女进入正规经济部门；</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切实适用保障同值工作同等报酬的立法，采取措施缩小和消除性别工资差异，并定期审查妇女居多的部门的工资情况；</w:t>
      </w:r>
    </w:p>
    <w:p w:rsidR="00717AB1" w:rsidRPr="005E271F" w:rsidRDefault="00717AB1" w:rsidP="005E271F">
      <w:pPr>
        <w:pStyle w:val="SingleTxt"/>
        <w:rPr>
          <w:rFonts w:ascii="黑体" w:eastAsia="黑体" w:hAnsi="黑体"/>
        </w:rPr>
      </w:pPr>
      <w:r w:rsidRPr="005E271F">
        <w:rPr>
          <w:rFonts w:ascii="黑体" w:eastAsia="黑体" w:hAnsi="黑体" w:hint="eastAsia"/>
        </w:rPr>
        <w:tab/>
        <w:t>(c)</w:t>
      </w:r>
      <w:r w:rsidRPr="005E271F">
        <w:rPr>
          <w:rFonts w:ascii="黑体" w:eastAsia="黑体" w:hAnsi="黑体" w:hint="eastAsia"/>
        </w:rPr>
        <w:tab/>
        <w:t>强化国家劳工监察制度的素质和能力，以有效监测妇女的工作条件，适当惩罚歧视妇女的雇主，及提高女员工寻求司法救助的机会；</w:t>
      </w:r>
    </w:p>
    <w:p w:rsidR="00717AB1" w:rsidRPr="005E271F" w:rsidRDefault="00717AB1" w:rsidP="005E271F">
      <w:pPr>
        <w:pStyle w:val="SingleTxt"/>
        <w:rPr>
          <w:rFonts w:ascii="黑体" w:eastAsia="黑体" w:hAnsi="黑体"/>
        </w:rPr>
      </w:pPr>
      <w:r w:rsidRPr="005E271F">
        <w:rPr>
          <w:rFonts w:ascii="黑体" w:eastAsia="黑体" w:hAnsi="黑体" w:hint="eastAsia"/>
        </w:rPr>
        <w:tab/>
        <w:t>(d)</w:t>
      </w:r>
      <w:r w:rsidRPr="005E271F">
        <w:rPr>
          <w:rFonts w:ascii="黑体" w:eastAsia="黑体" w:hAnsi="黑体" w:hint="eastAsia"/>
        </w:rPr>
        <w:tab/>
        <w:t>审查禁止女工的职业和部门清单，并通过改善工作条件以及职业健康和安全，使更多妇女得以进入先前被禁止的职业；</w:t>
      </w:r>
    </w:p>
    <w:p w:rsidR="00717AB1" w:rsidRPr="005E271F" w:rsidRDefault="00717AB1" w:rsidP="005E271F">
      <w:pPr>
        <w:pStyle w:val="SingleTxt"/>
        <w:rPr>
          <w:rFonts w:ascii="黑体" w:eastAsia="黑体" w:hAnsi="黑体"/>
        </w:rPr>
      </w:pPr>
      <w:r w:rsidRPr="005E271F">
        <w:rPr>
          <w:rFonts w:ascii="黑体" w:eastAsia="黑体" w:hAnsi="黑体" w:hint="eastAsia"/>
        </w:rPr>
        <w:tab/>
        <w:t>(e)</w:t>
      </w:r>
      <w:r w:rsidRPr="005E271F">
        <w:rPr>
          <w:rFonts w:ascii="黑体" w:eastAsia="黑体" w:hAnsi="黑体" w:hint="eastAsia"/>
        </w:rPr>
        <w:tab/>
        <w:t>逐步提高妇女退休年龄，使之与男子退休年龄看齐，从而使妇女有更好的就业机会；</w:t>
      </w:r>
    </w:p>
    <w:p w:rsidR="00717AB1" w:rsidRPr="005E271F" w:rsidRDefault="00717AB1" w:rsidP="005E271F">
      <w:pPr>
        <w:pStyle w:val="SingleTxt"/>
        <w:rPr>
          <w:rFonts w:ascii="黑体" w:eastAsia="黑体" w:hAnsi="黑体"/>
        </w:rPr>
      </w:pPr>
      <w:r w:rsidRPr="005E271F">
        <w:rPr>
          <w:rFonts w:ascii="黑体" w:eastAsia="黑体" w:hAnsi="黑体" w:hint="eastAsia"/>
        </w:rPr>
        <w:tab/>
        <w:t>(f)</w:t>
      </w:r>
      <w:r w:rsidRPr="005E271F">
        <w:rPr>
          <w:rFonts w:ascii="黑体" w:eastAsia="黑体" w:hAnsi="黑体" w:hint="eastAsia"/>
        </w:rPr>
        <w:tab/>
        <w:t>通过立法明确定义并禁止工作场所性骚扰。</w:t>
      </w:r>
    </w:p>
    <w:p w:rsidR="00717AB1" w:rsidRPr="00617FCD" w:rsidRDefault="00717AB1" w:rsidP="00717AB1">
      <w:pPr>
        <w:pStyle w:val="SingleTxt"/>
        <w:rPr>
          <w:rFonts w:ascii="黑体" w:eastAsia="黑体" w:hAnsi="黑体"/>
        </w:rPr>
      </w:pPr>
      <w:r w:rsidRPr="00617FCD">
        <w:rPr>
          <w:rFonts w:ascii="黑体" w:eastAsia="黑体" w:hAnsi="黑体" w:hint="eastAsia"/>
        </w:rPr>
        <w:t>健康</w:t>
      </w:r>
    </w:p>
    <w:p w:rsidR="00717AB1" w:rsidRDefault="00717AB1" w:rsidP="00717AB1">
      <w:pPr>
        <w:pStyle w:val="SingleTxt"/>
      </w:pPr>
      <w:r>
        <w:rPr>
          <w:rFonts w:hint="eastAsia"/>
        </w:rPr>
        <w:t>28.</w:t>
      </w:r>
      <w:r>
        <w:rPr>
          <w:rFonts w:hint="eastAsia"/>
        </w:rPr>
        <w:tab/>
      </w:r>
      <w:r>
        <w:rPr>
          <w:rFonts w:hint="eastAsia"/>
        </w:rPr>
        <w:t>委员会欢迎缔约国在降低儿童和孕产妇死亡率方面取得的进展，但委员会感到关切的是：</w:t>
      </w:r>
    </w:p>
    <w:p w:rsidR="00717AB1" w:rsidRDefault="00717AB1" w:rsidP="00717AB1">
      <w:pPr>
        <w:pStyle w:val="SingleTxt"/>
      </w:pPr>
      <w:r>
        <w:rPr>
          <w:rFonts w:hint="eastAsia"/>
        </w:rPr>
        <w:tab/>
        <w:t>(a)</w:t>
      </w:r>
      <w:r>
        <w:rPr>
          <w:rFonts w:hint="eastAsia"/>
        </w:rPr>
        <w:tab/>
      </w:r>
      <w:r>
        <w:rPr>
          <w:rFonts w:hint="eastAsia"/>
        </w:rPr>
        <w:t>缺乏关于性与生殖健康及权利包括负责任性行为的全面教育；缺乏计划生育服务；无法满足许多妇女和女童的避孕需求；</w:t>
      </w:r>
    </w:p>
    <w:p w:rsidR="00717AB1" w:rsidRDefault="00717AB1" w:rsidP="00717AB1">
      <w:pPr>
        <w:pStyle w:val="SingleTxt"/>
      </w:pPr>
      <w:r>
        <w:rPr>
          <w:rFonts w:hint="eastAsia"/>
        </w:rPr>
        <w:tab/>
        <w:t>(b)</w:t>
      </w:r>
      <w:r>
        <w:rPr>
          <w:rFonts w:hint="eastAsia"/>
        </w:rPr>
        <w:tab/>
      </w:r>
      <w:r>
        <w:rPr>
          <w:rFonts w:hint="eastAsia"/>
        </w:rPr>
        <w:t>实施鼓励生育的人口政策加强了对妇女的歧视性定型观念，可能导致生活贫穷；</w:t>
      </w:r>
    </w:p>
    <w:p w:rsidR="00717AB1" w:rsidRDefault="00717AB1" w:rsidP="00717AB1">
      <w:pPr>
        <w:pStyle w:val="SingleTxt"/>
      </w:pPr>
      <w:r>
        <w:rPr>
          <w:rFonts w:hint="eastAsia"/>
        </w:rPr>
        <w:tab/>
        <w:t>(c)</w:t>
      </w:r>
      <w:r>
        <w:rPr>
          <w:rFonts w:hint="eastAsia"/>
        </w:rPr>
        <w:tab/>
      </w:r>
      <w:r>
        <w:rPr>
          <w:rFonts w:hint="eastAsia"/>
        </w:rPr>
        <w:t>没有向残疾妇女和女童及同性恋、双性恋、变性和双性妇女提供关于性与生殖健康及权利的信息，以及没有向医务人员提供关于这些妇女的特殊需求的培训；</w:t>
      </w:r>
    </w:p>
    <w:p w:rsidR="00717AB1" w:rsidRDefault="00717AB1" w:rsidP="00717AB1">
      <w:pPr>
        <w:pStyle w:val="SingleTxt"/>
      </w:pPr>
      <w:r>
        <w:rPr>
          <w:rFonts w:hint="eastAsia"/>
        </w:rPr>
        <w:tab/>
        <w:t>(d)</w:t>
      </w:r>
      <w:r>
        <w:rPr>
          <w:rFonts w:hint="eastAsia"/>
        </w:rPr>
        <w:tab/>
      </w:r>
      <w:r>
        <w:rPr>
          <w:rFonts w:hint="eastAsia"/>
        </w:rPr>
        <w:t>缺乏资料说明缔约国国内宫颈癌和乳腺癌流行率，以及妇女和女童可利用的相关疗法。</w:t>
      </w:r>
    </w:p>
    <w:p w:rsidR="00717AB1" w:rsidRPr="005E271F" w:rsidRDefault="00717AB1" w:rsidP="005E271F">
      <w:pPr>
        <w:pStyle w:val="SingleTxt"/>
        <w:rPr>
          <w:rFonts w:ascii="黑体" w:eastAsia="黑体" w:hAnsi="黑体"/>
        </w:rPr>
      </w:pPr>
      <w:r>
        <w:rPr>
          <w:rFonts w:hint="eastAsia"/>
        </w:rPr>
        <w:t>29.</w:t>
      </w:r>
      <w:r>
        <w:rPr>
          <w:rFonts w:hint="eastAsia"/>
        </w:rPr>
        <w:tab/>
      </w:r>
      <w:r w:rsidRPr="005E271F">
        <w:rPr>
          <w:rFonts w:ascii="黑体" w:eastAsia="黑体" w:hAnsi="黑体" w:hint="eastAsia"/>
        </w:rPr>
        <w:t>根据关于妇女和保健的第24号一般性建议(1999年)，委员会呼吁缔约国：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加大力度开展关于性与生殖健康及权利的教育，广泛宣传现有、可获得和负担得起的避孕法和计划生育的信息，以减少意外怀孕和早孕；</w:t>
      </w:r>
    </w:p>
    <w:p w:rsidR="00717AB1" w:rsidRPr="005E271F" w:rsidRDefault="00617FCD" w:rsidP="005E271F">
      <w:pPr>
        <w:pStyle w:val="SingleTxt"/>
        <w:rPr>
          <w:rFonts w:ascii="黑体" w:eastAsia="黑体" w:hAnsi="黑体"/>
        </w:rPr>
      </w:pPr>
      <w:r w:rsidRPr="005E271F">
        <w:rPr>
          <w:rFonts w:ascii="黑体" w:eastAsia="黑体" w:hAnsi="黑体"/>
        </w:rPr>
        <w:tab/>
      </w:r>
      <w:r w:rsidR="00717AB1" w:rsidRPr="005E271F">
        <w:rPr>
          <w:rFonts w:ascii="黑体" w:eastAsia="黑体" w:hAnsi="黑体" w:hint="eastAsia"/>
        </w:rPr>
        <w:t>(b)</w:t>
      </w:r>
      <w:r w:rsidR="00717AB1" w:rsidRPr="005E271F">
        <w:rPr>
          <w:rFonts w:ascii="黑体" w:eastAsia="黑体" w:hAnsi="黑体" w:hint="eastAsia"/>
        </w:rPr>
        <w:tab/>
        <w:t>确保鼓励生育政策不助长歧视性定型观念，并为此制定减贫战略、采取措施改善照料孩子的母亲的生活素质及设立托儿设施；</w:t>
      </w:r>
    </w:p>
    <w:p w:rsidR="00717AB1" w:rsidRPr="005E271F" w:rsidRDefault="00617FCD" w:rsidP="005E271F">
      <w:pPr>
        <w:pStyle w:val="SingleTxt"/>
        <w:rPr>
          <w:rFonts w:ascii="黑体" w:eastAsia="黑体" w:hAnsi="黑体"/>
        </w:rPr>
      </w:pPr>
      <w:r w:rsidRPr="005E271F">
        <w:rPr>
          <w:rFonts w:ascii="黑体" w:eastAsia="黑体" w:hAnsi="黑体"/>
        </w:rPr>
        <w:tab/>
      </w:r>
      <w:r w:rsidR="00717AB1" w:rsidRPr="005E271F">
        <w:rPr>
          <w:rFonts w:ascii="黑体" w:eastAsia="黑体" w:hAnsi="黑体" w:hint="eastAsia"/>
        </w:rPr>
        <w:t>(c)</w:t>
      </w:r>
      <w:r w:rsidR="00717AB1" w:rsidRPr="005E271F">
        <w:rPr>
          <w:rFonts w:ascii="黑体" w:eastAsia="黑体" w:hAnsi="黑体" w:hint="eastAsia"/>
        </w:rPr>
        <w:tab/>
        <w:t>改善向残疾妇女和女童及同性恋、双性恋、变性和双性妇女提供的健康信息，尤其是关于性与生殖健康及权利的信息，并向医务人员提供培训以满足上述妇女的需求；</w:t>
      </w:r>
    </w:p>
    <w:p w:rsidR="00717AB1" w:rsidRPr="005E271F" w:rsidRDefault="00717AB1" w:rsidP="005E271F">
      <w:pPr>
        <w:pStyle w:val="SingleTxt"/>
        <w:rPr>
          <w:rFonts w:ascii="黑体" w:eastAsia="黑体" w:hAnsi="黑体"/>
        </w:rPr>
      </w:pPr>
      <w:r w:rsidRPr="005E271F">
        <w:rPr>
          <w:rFonts w:ascii="黑体" w:eastAsia="黑体" w:hAnsi="黑体" w:hint="eastAsia"/>
        </w:rPr>
        <w:tab/>
        <w:t>(d)</w:t>
      </w:r>
      <w:r w:rsidRPr="005E271F">
        <w:rPr>
          <w:rFonts w:ascii="黑体" w:eastAsia="黑体" w:hAnsi="黑体" w:hint="eastAsia"/>
        </w:rPr>
        <w:tab/>
        <w:t>收集关于缔约国国内宫颈癌和乳腺癌流行率的分列数据，并为医疗和卫生专业人员，包括在农村地区，提供关于早期检测这些疾病的培训。</w:t>
      </w:r>
    </w:p>
    <w:p w:rsidR="00717AB1" w:rsidRPr="00617FCD" w:rsidRDefault="00717AB1" w:rsidP="00717AB1">
      <w:pPr>
        <w:pStyle w:val="SingleTxt"/>
        <w:rPr>
          <w:rFonts w:ascii="黑体" w:eastAsia="黑体" w:hAnsi="黑体"/>
        </w:rPr>
      </w:pPr>
      <w:r w:rsidRPr="00617FCD">
        <w:rPr>
          <w:rFonts w:ascii="黑体" w:eastAsia="黑体" w:hAnsi="黑体" w:hint="eastAsia"/>
        </w:rPr>
        <w:t>增强妇女经济权能</w:t>
      </w:r>
    </w:p>
    <w:p w:rsidR="00717AB1" w:rsidRDefault="00717AB1" w:rsidP="00717AB1">
      <w:pPr>
        <w:pStyle w:val="SingleTxt"/>
      </w:pPr>
      <w:r>
        <w:rPr>
          <w:rFonts w:hint="eastAsia"/>
        </w:rPr>
        <w:t>30.</w:t>
      </w:r>
      <w:r>
        <w:rPr>
          <w:rFonts w:hint="eastAsia"/>
        </w:rPr>
        <w:tab/>
      </w:r>
      <w:r>
        <w:rPr>
          <w:rFonts w:hint="eastAsia"/>
        </w:rPr>
        <w:t>委员会注意到缔约国于</w:t>
      </w:r>
      <w:r>
        <w:rPr>
          <w:rFonts w:hint="eastAsia"/>
        </w:rPr>
        <w:t>2014</w:t>
      </w:r>
      <w:r>
        <w:rPr>
          <w:rFonts w:hint="eastAsia"/>
        </w:rPr>
        <w:t>年通过促进妇女经济机会和提高其领导力的子战略，但委员会仍感到关切的是，妇女贫穷问题持续存在，尤其是在农村地区和女户主家庭间，而且妇女获得财产、信贷和抵押贷款的机会有限。委员会还感到关切的是，缺乏定向措施确保老年妇女和残疾妇女能够参与发展项目的决策和获得实施发展项目所带来的好处。</w:t>
      </w:r>
    </w:p>
    <w:p w:rsidR="00717AB1" w:rsidRPr="005E271F" w:rsidRDefault="00717AB1" w:rsidP="00717AB1">
      <w:pPr>
        <w:pStyle w:val="SingleTxt"/>
        <w:rPr>
          <w:rFonts w:ascii="黑体" w:eastAsia="黑体" w:hAnsi="黑体"/>
        </w:rPr>
      </w:pPr>
      <w:r>
        <w:rPr>
          <w:rFonts w:hint="eastAsia"/>
        </w:rPr>
        <w:t>31.</w:t>
      </w:r>
      <w:r>
        <w:rPr>
          <w:rFonts w:hint="eastAsia"/>
        </w:rPr>
        <w:tab/>
      </w:r>
      <w:r w:rsidRPr="005E271F">
        <w:rPr>
          <w:rFonts w:ascii="黑体" w:eastAsia="黑体" w:hAnsi="黑体" w:hint="eastAsia"/>
        </w:rPr>
        <w:t>委员会建议缔约国继续强化其消除贫穷和在经济领域增强妇女权能的方案，包括确保妇女在与男子平等的基础上利用这些方案，并以农村地区及女户主家庭、老年妇女和残疾妇女为重点。</w:t>
      </w:r>
    </w:p>
    <w:p w:rsidR="00717AB1" w:rsidRPr="00617FCD" w:rsidRDefault="00717AB1" w:rsidP="00717AB1">
      <w:pPr>
        <w:pStyle w:val="SingleTxt"/>
        <w:rPr>
          <w:rFonts w:ascii="黑体" w:eastAsia="黑体" w:hAnsi="黑体"/>
        </w:rPr>
      </w:pPr>
      <w:r w:rsidRPr="00617FCD">
        <w:rPr>
          <w:rFonts w:ascii="黑体" w:eastAsia="黑体" w:hAnsi="黑体" w:hint="eastAsia"/>
        </w:rPr>
        <w:t>农村妇女</w:t>
      </w:r>
    </w:p>
    <w:p w:rsidR="00717AB1" w:rsidRDefault="00717AB1" w:rsidP="00717AB1">
      <w:pPr>
        <w:pStyle w:val="SingleTxt"/>
      </w:pPr>
      <w:r>
        <w:rPr>
          <w:rFonts w:hint="eastAsia"/>
        </w:rPr>
        <w:t>32.</w:t>
      </w:r>
      <w:r>
        <w:rPr>
          <w:rFonts w:hint="eastAsia"/>
        </w:rPr>
        <w:tab/>
      </w:r>
      <w:r>
        <w:rPr>
          <w:rFonts w:hint="eastAsia"/>
        </w:rPr>
        <w:t>委员会关切地注意到：</w:t>
      </w:r>
    </w:p>
    <w:p w:rsidR="00717AB1" w:rsidRDefault="00717AB1" w:rsidP="00717AB1">
      <w:pPr>
        <w:pStyle w:val="SingleTxt"/>
      </w:pPr>
      <w:r>
        <w:rPr>
          <w:rFonts w:hint="eastAsia"/>
        </w:rPr>
        <w:tab/>
        <w:t>(a)</w:t>
      </w:r>
      <w:r>
        <w:rPr>
          <w:rFonts w:hint="eastAsia"/>
        </w:rPr>
        <w:tab/>
      </w:r>
      <w:r>
        <w:rPr>
          <w:rFonts w:hint="eastAsia"/>
        </w:rPr>
        <w:t>农村地区妇女的不利地位，并对缺乏有关农村地区妇女情况的数据感到遗憾：缔约国所没有采取措施解决农村妇女的贫穷问题，确保她们有机会获得土地所有权和使用权，以及获得司法救助、教育、健康服务、住房、安全饮用水、环境卫生、正规就业、技能发展及培训机会、创收机会与小额信贷；</w:t>
      </w:r>
    </w:p>
    <w:p w:rsidR="00717AB1" w:rsidRDefault="00717AB1" w:rsidP="00717AB1">
      <w:pPr>
        <w:pStyle w:val="SingleTxt"/>
      </w:pPr>
      <w:r>
        <w:rPr>
          <w:rFonts w:hint="eastAsia"/>
        </w:rPr>
        <w:tab/>
        <w:t>(b)</w:t>
      </w:r>
      <w:r>
        <w:rPr>
          <w:rFonts w:hint="eastAsia"/>
        </w:rPr>
        <w:tab/>
      </w:r>
      <w:r>
        <w:rPr>
          <w:rFonts w:hint="eastAsia"/>
        </w:rPr>
        <w:t>在社区一级，农村妇女很少参与决策程序；</w:t>
      </w:r>
    </w:p>
    <w:p w:rsidR="00717AB1" w:rsidRDefault="00717AB1" w:rsidP="00717AB1">
      <w:pPr>
        <w:pStyle w:val="SingleTxt"/>
      </w:pPr>
      <w:r>
        <w:rPr>
          <w:rFonts w:hint="eastAsia"/>
        </w:rPr>
        <w:tab/>
        <w:t>(c)</w:t>
      </w:r>
      <w:r>
        <w:rPr>
          <w:rFonts w:hint="eastAsia"/>
        </w:rPr>
        <w:tab/>
      </w:r>
      <w:r>
        <w:rPr>
          <w:rFonts w:hint="eastAsia"/>
        </w:rPr>
        <w:t>气候变化和天气所致灾害的影响，以及工业活动对环境的负面影响，尤其是在缔约国内特别影响农村妇女的采矿部门所造成的负面影响。</w:t>
      </w:r>
    </w:p>
    <w:p w:rsidR="00717AB1" w:rsidRPr="005E271F" w:rsidRDefault="00717AB1" w:rsidP="005E271F">
      <w:pPr>
        <w:pStyle w:val="SingleTxt"/>
        <w:rPr>
          <w:rFonts w:ascii="黑体" w:eastAsia="黑体" w:hAnsi="黑体"/>
        </w:rPr>
      </w:pPr>
      <w:r>
        <w:rPr>
          <w:rFonts w:hint="eastAsia"/>
        </w:rPr>
        <w:t>33.</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酌情寻求国际援助和合作，以改善农村地区的基础设施和为农村妇女制定消除贫穷政策，确保她们有机会获得司法救助、教育、住房、安全饮用水、环境卫生、正规就业、技能发展及培训机会、创收机会和小额信贷，以及土地所有权和使用权，同时考虑到她们的具体需求；</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确保农村妇女在与男子平等的基础上参与社区一级决策进程；</w:t>
      </w:r>
    </w:p>
    <w:p w:rsidR="00717AB1" w:rsidRPr="005E271F" w:rsidRDefault="00717AB1" w:rsidP="005E271F">
      <w:pPr>
        <w:pStyle w:val="SingleTxt"/>
        <w:rPr>
          <w:rFonts w:ascii="黑体" w:eastAsia="黑体" w:hAnsi="黑体"/>
        </w:rPr>
      </w:pPr>
      <w:r w:rsidRPr="005E271F">
        <w:rPr>
          <w:rFonts w:ascii="黑体" w:eastAsia="黑体" w:hAnsi="黑体" w:hint="eastAsia"/>
        </w:rPr>
        <w:tab/>
        <w:t>(c)</w:t>
      </w:r>
      <w:r w:rsidRPr="005E271F">
        <w:rPr>
          <w:rFonts w:ascii="黑体" w:eastAsia="黑体" w:hAnsi="黑体" w:hint="eastAsia"/>
        </w:rPr>
        <w:tab/>
        <w:t>研究促进农村发展的经济和社会战略对妇女人权的影响，并收集关于农村妇女的具体分列数据；</w:t>
      </w:r>
    </w:p>
    <w:p w:rsidR="00717AB1" w:rsidRPr="005E271F" w:rsidRDefault="00717AB1" w:rsidP="005E271F">
      <w:pPr>
        <w:pStyle w:val="SingleTxt"/>
        <w:rPr>
          <w:rFonts w:ascii="黑体" w:eastAsia="黑体" w:hAnsi="黑体"/>
        </w:rPr>
      </w:pPr>
      <w:r w:rsidRPr="005E271F">
        <w:rPr>
          <w:rFonts w:ascii="黑体" w:eastAsia="黑体" w:hAnsi="黑体" w:hint="eastAsia"/>
        </w:rPr>
        <w:tab/>
        <w:t>(d)</w:t>
      </w:r>
      <w:r w:rsidRPr="005E271F">
        <w:rPr>
          <w:rFonts w:ascii="黑体" w:eastAsia="黑体" w:hAnsi="黑体" w:hint="eastAsia"/>
        </w:rPr>
        <w:tab/>
        <w:t>将性别观点纳入与气候变化、灾害应变和减少风险有关，以及与处理工业活动</w:t>
      </w:r>
      <w:r w:rsidR="00435E72" w:rsidRPr="005E271F">
        <w:rPr>
          <w:rFonts w:ascii="黑体" w:eastAsia="黑体" w:hAnsi="黑体" w:hint="eastAsia"/>
        </w:rPr>
        <w:t>(</w:t>
      </w:r>
      <w:r w:rsidRPr="005E271F">
        <w:rPr>
          <w:rFonts w:ascii="黑体" w:eastAsia="黑体" w:hAnsi="黑体" w:hint="eastAsia"/>
        </w:rPr>
        <w:t>主要是采矿部门</w:t>
      </w:r>
      <w:r w:rsidR="00435E72" w:rsidRPr="005E271F">
        <w:rPr>
          <w:rFonts w:ascii="黑体" w:eastAsia="黑体" w:hAnsi="黑体" w:hint="eastAsia"/>
        </w:rPr>
        <w:t>)</w:t>
      </w:r>
      <w:r w:rsidRPr="005E271F">
        <w:rPr>
          <w:rFonts w:ascii="黑体" w:eastAsia="黑体" w:hAnsi="黑体" w:hint="eastAsia"/>
        </w:rPr>
        <w:t>对环境和社会经济造成的负面影响有关的国家政策和行动计划，不仅视妇女为受害人，而且视其为积极参与拟定和实施这些政策的人。</w:t>
      </w:r>
    </w:p>
    <w:p w:rsidR="00717AB1" w:rsidRPr="00617FCD" w:rsidRDefault="00717AB1" w:rsidP="00717AB1">
      <w:pPr>
        <w:pStyle w:val="SingleTxt"/>
        <w:rPr>
          <w:rFonts w:ascii="黑体" w:eastAsia="黑体" w:hAnsi="黑体"/>
        </w:rPr>
      </w:pPr>
      <w:r w:rsidRPr="00617FCD">
        <w:rPr>
          <w:rFonts w:ascii="黑体" w:eastAsia="黑体" w:hAnsi="黑体" w:hint="eastAsia"/>
        </w:rPr>
        <w:t>残疾妇女和老年妇女</w:t>
      </w:r>
    </w:p>
    <w:p w:rsidR="00717AB1" w:rsidRDefault="00717AB1" w:rsidP="00717AB1">
      <w:pPr>
        <w:pStyle w:val="SingleTxt"/>
      </w:pPr>
      <w:r>
        <w:rPr>
          <w:rFonts w:hint="eastAsia"/>
        </w:rPr>
        <w:t>34.</w:t>
      </w:r>
      <w:r>
        <w:rPr>
          <w:rFonts w:hint="eastAsia"/>
        </w:rPr>
        <w:tab/>
      </w:r>
      <w:r>
        <w:rPr>
          <w:rFonts w:hint="eastAsia"/>
        </w:rPr>
        <w:t>委员会关切的是尚未出台公共政策和措施保护残疾妇女和女童的权利，包括获得包容性教育、保健、就业、住房及参与政治和公共生活的权利，而且缺乏机制保护残疾妇女和女童，使她们免遭交叉形式歧视或受到暴力和虐待。委员会也对老年妇女的处境感到关切，她们缺乏保健和免遭暴力和虐待的保护。</w:t>
      </w:r>
    </w:p>
    <w:p w:rsidR="00717AB1" w:rsidRPr="005E271F" w:rsidRDefault="00717AB1" w:rsidP="005E271F">
      <w:pPr>
        <w:pStyle w:val="SingleTxt"/>
        <w:rPr>
          <w:rFonts w:ascii="黑体" w:eastAsia="黑体" w:hAnsi="黑体"/>
        </w:rPr>
      </w:pPr>
      <w:r>
        <w:rPr>
          <w:rFonts w:hint="eastAsia"/>
        </w:rPr>
        <w:t>35.</w:t>
      </w:r>
      <w:r>
        <w:rPr>
          <w:rFonts w:hint="eastAsia"/>
        </w:rPr>
        <w:tab/>
      </w:r>
      <w:r w:rsidRPr="005E271F">
        <w:rPr>
          <w:rFonts w:ascii="黑体" w:eastAsia="黑体" w:hAnsi="黑体" w:hint="eastAsia"/>
        </w:rPr>
        <w:t>委员会吁请缔约国：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采取综合政策和方案保护残疾妇女和女童的权利，以确保她们可平等获得教育、就业、住房、保健和其他基本服务及社会保护，并促进她们的自主能力及提高其获得社区服务的机会和参与政治和公共生活的程度；</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与民间社会、社区组织和国际社会结成伙伴关系，查明在缔约国内，包括在农村和偏远地区，因残疾、年龄或其他理由而面临交叉形式歧视，以及受到孤立、禁锢和其他形式身心暴力的残疾妇女和女童与老年妇女。</w:t>
      </w:r>
    </w:p>
    <w:p w:rsidR="00717AB1" w:rsidRPr="00617FCD" w:rsidRDefault="00717AB1" w:rsidP="00717AB1">
      <w:pPr>
        <w:pStyle w:val="SingleTxt"/>
        <w:rPr>
          <w:rFonts w:ascii="黑体" w:eastAsia="黑体" w:hAnsi="黑体"/>
        </w:rPr>
      </w:pPr>
      <w:r w:rsidRPr="00617FCD">
        <w:rPr>
          <w:rFonts w:ascii="黑体" w:eastAsia="黑体" w:hAnsi="黑体" w:hint="eastAsia"/>
        </w:rPr>
        <w:t>婚姻和家庭关系</w:t>
      </w:r>
    </w:p>
    <w:p w:rsidR="00717AB1" w:rsidRDefault="00717AB1" w:rsidP="00717AB1">
      <w:pPr>
        <w:pStyle w:val="SingleTxt"/>
      </w:pPr>
      <w:r>
        <w:rPr>
          <w:rFonts w:hint="eastAsia"/>
        </w:rPr>
        <w:t>36.</w:t>
      </w:r>
      <w:r>
        <w:rPr>
          <w:rFonts w:hint="eastAsia"/>
        </w:rPr>
        <w:tab/>
      </w:r>
      <w:r>
        <w:rPr>
          <w:rFonts w:hint="eastAsia"/>
        </w:rPr>
        <w:t>委员会对单身母亲和女户主的处境感到关切，特别是单身母亲及其子女所得福利水平偏低和缺乏支助方案的问题；他们尤其容易陷入贫穷、受到歧视和虐待。</w:t>
      </w:r>
    </w:p>
    <w:p w:rsidR="00717AB1" w:rsidRPr="005E271F" w:rsidRDefault="00717AB1" w:rsidP="005E271F">
      <w:pPr>
        <w:pStyle w:val="SingleTxt"/>
        <w:rPr>
          <w:rFonts w:ascii="黑体" w:eastAsia="黑体" w:hAnsi="黑体"/>
        </w:rPr>
      </w:pPr>
      <w:r>
        <w:rPr>
          <w:rFonts w:hint="eastAsia"/>
        </w:rPr>
        <w:t>37.</w:t>
      </w:r>
      <w:r>
        <w:rPr>
          <w:rFonts w:hint="eastAsia"/>
        </w:rPr>
        <w:tab/>
      </w:r>
      <w:r w:rsidRPr="005E271F">
        <w:rPr>
          <w:rFonts w:ascii="黑体" w:eastAsia="黑体" w:hAnsi="黑体" w:hint="eastAsia"/>
        </w:rPr>
        <w:t>委员会建议缔约国：</w:t>
      </w:r>
    </w:p>
    <w:p w:rsidR="00717AB1" w:rsidRPr="005E271F" w:rsidRDefault="00717AB1" w:rsidP="005E271F">
      <w:pPr>
        <w:pStyle w:val="SingleTxt"/>
        <w:rPr>
          <w:rFonts w:ascii="黑体" w:eastAsia="黑体" w:hAnsi="黑体"/>
        </w:rPr>
      </w:pPr>
      <w:r w:rsidRPr="005E271F">
        <w:rPr>
          <w:rFonts w:ascii="黑体" w:eastAsia="黑体" w:hAnsi="黑体" w:hint="eastAsia"/>
        </w:rPr>
        <w:tab/>
        <w:t>(a)</w:t>
      </w:r>
      <w:r w:rsidRPr="005E271F">
        <w:rPr>
          <w:rFonts w:ascii="黑体" w:eastAsia="黑体" w:hAnsi="黑体" w:hint="eastAsia"/>
        </w:rPr>
        <w:tab/>
        <w:t>提高、定期审查并调整单身母亲和女户主的家庭福利水平，确保她们及其子女有适足的生活水平；</w:t>
      </w:r>
    </w:p>
    <w:p w:rsidR="00717AB1" w:rsidRPr="005E271F" w:rsidRDefault="00717AB1" w:rsidP="005E271F">
      <w:pPr>
        <w:pStyle w:val="SingleTxt"/>
        <w:rPr>
          <w:rFonts w:ascii="黑体" w:eastAsia="黑体" w:hAnsi="黑体"/>
        </w:rPr>
      </w:pPr>
      <w:r w:rsidRPr="005E271F">
        <w:rPr>
          <w:rFonts w:ascii="黑体" w:eastAsia="黑体" w:hAnsi="黑体" w:hint="eastAsia"/>
        </w:rPr>
        <w:tab/>
        <w:t>(b)</w:t>
      </w:r>
      <w:r w:rsidRPr="005E271F">
        <w:rPr>
          <w:rFonts w:ascii="黑体" w:eastAsia="黑体" w:hAnsi="黑体" w:hint="eastAsia"/>
        </w:rPr>
        <w:tab/>
        <w:t>采取定向措施和方案，增强单亲母亲经济权能和确保他们能够获得负担得起的适足住房、教育、职业培训、保健和文化生活，并保护她们免受歧视和虐待。</w:t>
      </w:r>
    </w:p>
    <w:p w:rsidR="00717AB1" w:rsidRPr="00617FCD" w:rsidRDefault="00717AB1" w:rsidP="00717AB1">
      <w:pPr>
        <w:pStyle w:val="SingleTxt"/>
        <w:rPr>
          <w:rFonts w:ascii="黑体" w:eastAsia="黑体" w:hAnsi="黑体"/>
        </w:rPr>
      </w:pPr>
      <w:r w:rsidRPr="00617FCD">
        <w:rPr>
          <w:rFonts w:ascii="黑体" w:eastAsia="黑体" w:hAnsi="黑体" w:hint="eastAsia"/>
        </w:rPr>
        <w:t>数据收集</w:t>
      </w:r>
    </w:p>
    <w:p w:rsidR="00717AB1" w:rsidRDefault="00717AB1" w:rsidP="00717AB1">
      <w:pPr>
        <w:pStyle w:val="SingleTxt"/>
      </w:pPr>
      <w:r>
        <w:rPr>
          <w:rFonts w:hint="eastAsia"/>
        </w:rPr>
        <w:t>38.</w:t>
      </w:r>
      <w:r>
        <w:rPr>
          <w:rFonts w:hint="eastAsia"/>
        </w:rPr>
        <w:tab/>
      </w:r>
      <w:r>
        <w:rPr>
          <w:rFonts w:hint="eastAsia"/>
        </w:rPr>
        <w:t>委员会感到关切的是，普遍缺乏按性别、年龄、族裔、残疾、地理位置和社会经济背景分列的必要最新统计数据，以准确评估妇女处境、确定她们是否受到歧视、作出有依据的定向政策及系统监测和评价在《公约》涵盖的所有领域实现妇女实质性平等方面所取得的进展。</w:t>
      </w:r>
    </w:p>
    <w:p w:rsidR="00717AB1" w:rsidRPr="005E271F" w:rsidRDefault="00717AB1" w:rsidP="00717AB1">
      <w:pPr>
        <w:pStyle w:val="SingleTxt"/>
        <w:rPr>
          <w:rFonts w:ascii="黑体" w:eastAsia="黑体" w:hAnsi="黑体"/>
        </w:rPr>
      </w:pPr>
      <w:r>
        <w:rPr>
          <w:rFonts w:hint="eastAsia"/>
        </w:rPr>
        <w:t>39.</w:t>
      </w:r>
      <w:r>
        <w:rPr>
          <w:rFonts w:hint="eastAsia"/>
        </w:rPr>
        <w:tab/>
      </w:r>
      <w:r w:rsidRPr="005E271F">
        <w:rPr>
          <w:rFonts w:ascii="黑体" w:eastAsia="黑体" w:hAnsi="黑体" w:hint="eastAsia"/>
        </w:rPr>
        <w:t>委员会吁请缔约国制定性别指标系统，以改善必要数据的收集工作，利用按性别和其他相关因素分列的数据评估旨在将性别平等观念纳入主流和增进妇女对其人权的享受的政策和方案的影响和效力。在这方面，委员会提请缔约国注意有关妇女状况的统计资料的委员会第9号一般性建议</w:t>
      </w:r>
      <w:r w:rsidR="00435E72" w:rsidRPr="005E271F">
        <w:rPr>
          <w:rFonts w:ascii="黑体" w:eastAsia="黑体" w:hAnsi="黑体" w:hint="eastAsia"/>
        </w:rPr>
        <w:t>(</w:t>
      </w:r>
      <w:r w:rsidRPr="005E271F">
        <w:rPr>
          <w:rFonts w:ascii="黑体" w:eastAsia="黑体" w:hAnsi="黑体" w:hint="eastAsia"/>
        </w:rPr>
        <w:t>1989年</w:t>
      </w:r>
      <w:r w:rsidR="00435E72" w:rsidRPr="005E271F">
        <w:rPr>
          <w:rFonts w:ascii="黑体" w:eastAsia="黑体" w:hAnsi="黑体" w:hint="eastAsia"/>
        </w:rPr>
        <w:t>)</w:t>
      </w:r>
      <w:r w:rsidRPr="005E271F">
        <w:rPr>
          <w:rFonts w:ascii="黑体" w:eastAsia="黑体" w:hAnsi="黑体" w:hint="eastAsia"/>
        </w:rPr>
        <w:t>，并鼓励缔约国向联合国相关机构寻求技术援助，及加强与可能协助收集准确数据的妇女协会的协作。</w:t>
      </w:r>
    </w:p>
    <w:p w:rsidR="00717AB1" w:rsidRPr="00617FCD" w:rsidRDefault="00717AB1" w:rsidP="00717AB1">
      <w:pPr>
        <w:pStyle w:val="SingleTxt"/>
        <w:rPr>
          <w:rFonts w:ascii="黑体" w:eastAsia="黑体" w:hAnsi="黑体"/>
        </w:rPr>
      </w:pPr>
      <w:r w:rsidRPr="00617FCD">
        <w:rPr>
          <w:rFonts w:ascii="黑体" w:eastAsia="黑体" w:hAnsi="黑体" w:hint="eastAsia"/>
        </w:rPr>
        <w:t>《北京宣言》和《行动纲要》</w:t>
      </w:r>
    </w:p>
    <w:p w:rsidR="00717AB1" w:rsidRPr="005E271F" w:rsidRDefault="00717AB1" w:rsidP="00717AB1">
      <w:pPr>
        <w:pStyle w:val="SingleTxt"/>
        <w:rPr>
          <w:rFonts w:ascii="黑体" w:eastAsia="黑体" w:hAnsi="黑体"/>
        </w:rPr>
      </w:pPr>
      <w:r>
        <w:rPr>
          <w:rFonts w:hint="eastAsia"/>
        </w:rPr>
        <w:t>40.</w:t>
      </w:r>
      <w:r>
        <w:rPr>
          <w:rFonts w:hint="eastAsia"/>
        </w:rPr>
        <w:tab/>
      </w:r>
      <w:r w:rsidRPr="005E271F">
        <w:rPr>
          <w:rFonts w:ascii="黑体" w:eastAsia="黑体" w:hAnsi="黑体" w:hint="eastAsia"/>
        </w:rPr>
        <w:t>委员会促请缔约国在努力实施《公约》的规定方面利用《北京宣言》和《行动纲要》。</w:t>
      </w:r>
    </w:p>
    <w:p w:rsidR="00717AB1" w:rsidRPr="00617FCD" w:rsidRDefault="00717AB1" w:rsidP="00717AB1">
      <w:pPr>
        <w:pStyle w:val="SingleTxt"/>
        <w:rPr>
          <w:rFonts w:ascii="黑体" w:eastAsia="黑体" w:hAnsi="黑体"/>
        </w:rPr>
      </w:pPr>
      <w:r w:rsidRPr="00617FCD">
        <w:rPr>
          <w:rFonts w:ascii="黑体" w:eastAsia="黑体" w:hAnsi="黑体" w:hint="eastAsia"/>
        </w:rPr>
        <w:t>《2030年可持续发展议程》</w:t>
      </w:r>
    </w:p>
    <w:p w:rsidR="00717AB1" w:rsidRPr="005E271F" w:rsidRDefault="00717AB1" w:rsidP="00717AB1">
      <w:pPr>
        <w:pStyle w:val="SingleTxt"/>
        <w:rPr>
          <w:rFonts w:ascii="黑体" w:eastAsia="黑体" w:hAnsi="黑体"/>
        </w:rPr>
      </w:pPr>
      <w:r>
        <w:rPr>
          <w:rFonts w:hint="eastAsia"/>
        </w:rPr>
        <w:t>41.</w:t>
      </w:r>
      <w:r>
        <w:rPr>
          <w:rFonts w:hint="eastAsia"/>
        </w:rPr>
        <w:tab/>
      </w:r>
      <w:r w:rsidRPr="005E271F">
        <w:rPr>
          <w:rFonts w:ascii="黑体" w:eastAsia="黑体" w:hAnsi="黑体" w:hint="eastAsia"/>
        </w:rPr>
        <w:t>委员会呼吁在实施《2030年可持续发展议程》的整个进程中按照《公约》的规定实现实质性性别平等。</w:t>
      </w:r>
    </w:p>
    <w:p w:rsidR="00717AB1" w:rsidRPr="00617FCD" w:rsidRDefault="00717AB1" w:rsidP="00717AB1">
      <w:pPr>
        <w:pStyle w:val="SingleTxt"/>
        <w:rPr>
          <w:rFonts w:ascii="黑体" w:eastAsia="黑体" w:hAnsi="黑体"/>
        </w:rPr>
      </w:pPr>
      <w:r w:rsidRPr="00617FCD">
        <w:rPr>
          <w:rFonts w:ascii="黑体" w:eastAsia="黑体" w:hAnsi="黑体" w:hint="eastAsia"/>
        </w:rPr>
        <w:t>传播</w:t>
      </w:r>
    </w:p>
    <w:p w:rsidR="00717AB1" w:rsidRDefault="00717AB1" w:rsidP="00717AB1">
      <w:pPr>
        <w:pStyle w:val="SingleTxt"/>
      </w:pPr>
      <w:r>
        <w:rPr>
          <w:rFonts w:hint="eastAsia"/>
        </w:rPr>
        <w:t>42.</w:t>
      </w:r>
      <w:r>
        <w:rPr>
          <w:rFonts w:hint="eastAsia"/>
        </w:rPr>
        <w:tab/>
      </w:r>
      <w:r w:rsidRPr="005E271F">
        <w:rPr>
          <w:rFonts w:ascii="黑体" w:eastAsia="黑体" w:hAnsi="黑体" w:hint="eastAsia"/>
        </w:rPr>
        <w:t>委员会回顾，缔约国有义务系统和持续地实施《公约》的规定。委员会敦促缔约国从现在到提交下一次定期报告期间优先注意实施本结论意见和建议。因此，委员会请缔约国以缔约国正式语文，及时将本结论意见发送各级(国家、区域和地方)相关国家机构，特别是政府、各部委、议会和司法部门，以予以全面实施。委员会鼓励缔约国与所有相关利益攸关方，如雇主协会、工会、人权和妇女组织、大学、研究机构和媒体等协作。委员会建议在地方社区一级以适当形式传播本结论意见，以使其得到实施。此外，委员会请缔约国继续向所有利益攸关方传播《公约》、《公约任择议定书》和相关判例以及委员会的一般性建议。</w:t>
      </w:r>
    </w:p>
    <w:p w:rsidR="00717AB1" w:rsidRPr="00617FCD" w:rsidRDefault="00717AB1" w:rsidP="00717AB1">
      <w:pPr>
        <w:pStyle w:val="SingleTxt"/>
        <w:rPr>
          <w:rFonts w:ascii="黑体" w:eastAsia="黑体" w:hAnsi="黑体"/>
        </w:rPr>
      </w:pPr>
      <w:r w:rsidRPr="00617FCD">
        <w:rPr>
          <w:rFonts w:ascii="黑体" w:eastAsia="黑体" w:hAnsi="黑体" w:hint="eastAsia"/>
        </w:rPr>
        <w:t>技术援助</w:t>
      </w:r>
    </w:p>
    <w:p w:rsidR="00717AB1" w:rsidRPr="005E271F" w:rsidRDefault="00717AB1" w:rsidP="00717AB1">
      <w:pPr>
        <w:pStyle w:val="SingleTxt"/>
        <w:rPr>
          <w:rFonts w:ascii="黑体" w:eastAsia="黑体" w:hAnsi="黑体"/>
        </w:rPr>
      </w:pPr>
      <w:r>
        <w:rPr>
          <w:rFonts w:hint="eastAsia"/>
        </w:rPr>
        <w:t>43.</w:t>
      </w:r>
      <w:r>
        <w:rPr>
          <w:rFonts w:hint="eastAsia"/>
        </w:rPr>
        <w:tab/>
      </w:r>
      <w:r w:rsidRPr="005E271F">
        <w:rPr>
          <w:rFonts w:ascii="黑体" w:eastAsia="黑体" w:hAnsi="黑体" w:hint="eastAsia"/>
        </w:rPr>
        <w:t>委员会建议缔约国考虑寻求国际援助和合作并利用提供的技术援助，以制定和实施一个综合方案，落实上述建议和整个《公约》。委员会还呼吁缔约国继续同联合国系统各专门机构和方案合作。</w:t>
      </w:r>
    </w:p>
    <w:p w:rsidR="00717AB1" w:rsidRPr="00617FCD" w:rsidRDefault="00717AB1" w:rsidP="00717AB1">
      <w:pPr>
        <w:pStyle w:val="SingleTxt"/>
        <w:rPr>
          <w:rFonts w:ascii="黑体" w:eastAsia="黑体" w:hAnsi="黑体"/>
        </w:rPr>
      </w:pPr>
      <w:r w:rsidRPr="00617FCD">
        <w:rPr>
          <w:rFonts w:ascii="黑体" w:eastAsia="黑体" w:hAnsi="黑体" w:hint="eastAsia"/>
        </w:rPr>
        <w:t>其他条约的批准</w:t>
      </w:r>
    </w:p>
    <w:p w:rsidR="00717AB1" w:rsidRDefault="00717AB1" w:rsidP="00717AB1">
      <w:pPr>
        <w:pStyle w:val="SingleTxt"/>
      </w:pPr>
      <w:r>
        <w:rPr>
          <w:rFonts w:hint="eastAsia"/>
        </w:rPr>
        <w:t>44.</w:t>
      </w:r>
      <w:r>
        <w:rPr>
          <w:rFonts w:hint="eastAsia"/>
        </w:rPr>
        <w:tab/>
      </w:r>
      <w:r w:rsidRPr="005E271F">
        <w:rPr>
          <w:rFonts w:ascii="黑体" w:eastAsia="黑体" w:hAnsi="黑体" w:hint="eastAsia"/>
        </w:rPr>
        <w:t>委员会指出，缔约国参加九大国际人权文书将有助于妇女在生活各方面享受其人权和基本自由。</w:t>
      </w:r>
      <w:r w:rsidR="00DD610A">
        <w:rPr>
          <w:rStyle w:val="a3"/>
        </w:rPr>
        <w:footnoteReference w:id="1"/>
      </w:r>
      <w:r>
        <w:rPr>
          <w:rFonts w:hint="eastAsia"/>
        </w:rPr>
        <w:t xml:space="preserve"> </w:t>
      </w:r>
      <w:r w:rsidRPr="005E271F">
        <w:rPr>
          <w:rFonts w:ascii="黑体" w:eastAsia="黑体" w:hAnsi="黑体" w:hint="eastAsia"/>
        </w:rPr>
        <w:t>因此，委员会鼓励缔约国考虑批准其尚未参加的《保护所有移徙工人及其家庭成员权利国际公约》。</w:t>
      </w:r>
    </w:p>
    <w:p w:rsidR="00717AB1" w:rsidRPr="00617FCD" w:rsidRDefault="00717AB1" w:rsidP="00717AB1">
      <w:pPr>
        <w:pStyle w:val="SingleTxt"/>
        <w:rPr>
          <w:rFonts w:ascii="黑体" w:eastAsia="黑体" w:hAnsi="黑体"/>
        </w:rPr>
      </w:pPr>
      <w:r w:rsidRPr="00617FCD">
        <w:rPr>
          <w:rFonts w:ascii="黑体" w:eastAsia="黑体" w:hAnsi="黑体" w:hint="eastAsia"/>
        </w:rPr>
        <w:t>结论意见的后续行动</w:t>
      </w:r>
    </w:p>
    <w:p w:rsidR="00717AB1" w:rsidRDefault="00717AB1" w:rsidP="00717AB1">
      <w:pPr>
        <w:pStyle w:val="SingleTxt"/>
      </w:pPr>
      <w:r>
        <w:rPr>
          <w:rFonts w:hint="eastAsia"/>
        </w:rPr>
        <w:t>45.</w:t>
      </w:r>
      <w:r>
        <w:rPr>
          <w:rFonts w:hint="eastAsia"/>
        </w:rPr>
        <w:tab/>
      </w:r>
      <w:r w:rsidRPr="005E271F">
        <w:rPr>
          <w:rFonts w:ascii="黑体" w:eastAsia="黑体" w:hAnsi="黑体" w:hint="eastAsia"/>
        </w:rPr>
        <w:t>委员会请求缔约国在两年内提交书面信息，说明为落实上文第17(a)段和第19(a)、(b)和(e)段所载建议而采取的步骤。</w:t>
      </w:r>
    </w:p>
    <w:p w:rsidR="00717AB1" w:rsidRPr="00617FCD" w:rsidRDefault="00717AB1" w:rsidP="00717AB1">
      <w:pPr>
        <w:pStyle w:val="SingleTxt"/>
        <w:rPr>
          <w:rFonts w:ascii="黑体" w:eastAsia="黑体" w:hAnsi="黑体"/>
        </w:rPr>
      </w:pPr>
      <w:r w:rsidRPr="00617FCD">
        <w:rPr>
          <w:rFonts w:ascii="黑体" w:eastAsia="黑体" w:hAnsi="黑体" w:hint="eastAsia"/>
        </w:rPr>
        <w:t>下一次报告的编写</w:t>
      </w:r>
    </w:p>
    <w:p w:rsidR="00717AB1" w:rsidRDefault="00717AB1" w:rsidP="00717AB1">
      <w:pPr>
        <w:pStyle w:val="SingleTxt"/>
      </w:pPr>
      <w:r>
        <w:rPr>
          <w:rFonts w:hint="eastAsia"/>
        </w:rPr>
        <w:t>46.</w:t>
      </w:r>
      <w:r>
        <w:rPr>
          <w:rFonts w:hint="eastAsia"/>
        </w:rPr>
        <w:tab/>
      </w:r>
      <w:r w:rsidRPr="005E271F">
        <w:rPr>
          <w:rFonts w:ascii="黑体" w:eastAsia="黑体" w:hAnsi="黑体" w:hint="eastAsia"/>
        </w:rPr>
        <w:t>委员会邀请缔约国于2020年3月提交其第十次定期报告。</w:t>
      </w:r>
    </w:p>
    <w:p w:rsidR="00717AB1" w:rsidRDefault="00717AB1" w:rsidP="00717AB1">
      <w:pPr>
        <w:pStyle w:val="SingleTxt"/>
      </w:pPr>
      <w:r>
        <w:rPr>
          <w:rFonts w:hint="eastAsia"/>
        </w:rPr>
        <w:t>47.</w:t>
      </w:r>
      <w:r>
        <w:rPr>
          <w:rFonts w:hint="eastAsia"/>
        </w:rPr>
        <w:tab/>
      </w:r>
      <w:r w:rsidRPr="005E271F">
        <w:rPr>
          <w:rFonts w:ascii="黑体" w:eastAsia="黑体" w:hAnsi="黑体" w:hint="eastAsia"/>
        </w:rPr>
        <w:t>委员会请缔约国遵循《包括共同核心文件和条约专要文件准则在内的根据国际人权条约提交报告的协调准则》</w:t>
      </w:r>
      <w:r w:rsidR="00435E72" w:rsidRPr="005E271F">
        <w:rPr>
          <w:rFonts w:ascii="黑体" w:eastAsia="黑体" w:hAnsi="黑体" w:hint="eastAsia"/>
        </w:rPr>
        <w:t>(</w:t>
      </w:r>
      <w:hyperlink r:id="rId21" w:history="1">
        <w:r w:rsidRPr="005E271F">
          <w:rPr>
            <w:rFonts w:ascii="黑体" w:eastAsia="黑体" w:hAnsi="黑体" w:hint="eastAsia"/>
          </w:rPr>
          <w:t>HRI/GEN/2/Rev.6</w:t>
        </w:r>
      </w:hyperlink>
      <w:r w:rsidRPr="005E271F">
        <w:rPr>
          <w:rFonts w:ascii="黑体" w:eastAsia="黑体" w:hAnsi="黑体" w:hint="eastAsia"/>
        </w:rPr>
        <w:t>，第一章</w:t>
      </w:r>
      <w:r w:rsidR="00435E72" w:rsidRPr="005E271F">
        <w:rPr>
          <w:rFonts w:ascii="黑体" w:eastAsia="黑体" w:hAnsi="黑体" w:hint="eastAsia"/>
        </w:rPr>
        <w:t>)</w:t>
      </w:r>
      <w:r w:rsidRPr="005E271F">
        <w:rPr>
          <w:rFonts w:ascii="黑体" w:eastAsia="黑体" w:hAnsi="黑体" w:hint="eastAsia"/>
        </w:rPr>
        <w:t>编写报告。</w:t>
      </w:r>
    </w:p>
    <w:p w:rsidR="001017E4" w:rsidRDefault="00DD610A" w:rsidP="00DD610A">
      <w:pPr>
        <w:pStyle w:val="SingleTxt"/>
        <w:spacing w:after="0" w:line="240" w:lineRule="auto"/>
      </w:pPr>
      <w:r>
        <w:rPr>
          <w:noProof/>
          <w:sz w:val="20"/>
        </w:rPr>
        <mc:AlternateContent>
          <mc:Choice Requires="wps">
            <w:drawing>
              <wp:anchor distT="0" distB="0" distL="114300" distR="114300" simplePos="0" relativeHeight="251660288" behindDoc="0" locked="0" layoutInCell="1" allowOverlap="1" wp14:anchorId="1E4E5170" wp14:editId="3D9709E8">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p w:rsidR="001017E4" w:rsidRPr="001017E4" w:rsidRDefault="001017E4" w:rsidP="002D7C6A">
      <w:pPr>
        <w:pStyle w:val="SingleTxt"/>
      </w:pPr>
    </w:p>
    <w:sectPr w:rsidR="001017E4" w:rsidRPr="001017E4" w:rsidSect="002D7C6A">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29T10:25:00Z" w:initials="Start">
    <w:p w:rsidR="002D7C6A" w:rsidRDefault="002D7C6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C03935">
        <w:rPr>
          <w:rFonts w:hint="eastAsia"/>
          <w:noProof/>
        </w:rPr>
        <w:t>页</w:t>
      </w:r>
      <w:r w:rsidR="00C03935">
        <w:rPr>
          <w:rFonts w:hint="eastAsia"/>
          <w:noProof/>
        </w:rPr>
        <w:t xml:space="preserve">: </w:t>
      </w:r>
      <w:r w:rsidR="00C03935">
        <w:rPr>
          <w:noProof/>
        </w:rPr>
        <w:t>1</w:t>
      </w:r>
      <w:r w:rsidR="00C03935">
        <w:rPr>
          <w:rFonts w:hint="eastAsia"/>
          <w:noProof/>
        </w:rPr>
        <w:br/>
      </w:r>
      <w:r>
        <w:fldChar w:fldCharType="end"/>
      </w:r>
      <w:r>
        <w:rPr>
          <w:rStyle w:val="a9"/>
        </w:rPr>
        <w:annotationRef/>
      </w:r>
      <w:r>
        <w:t>&lt;&lt;ODS JOB NO&gt;&gt;N1606634C&lt;&lt;ODS JOB NO&gt;&gt;</w:t>
      </w:r>
    </w:p>
    <w:p w:rsidR="002D7C6A" w:rsidRDefault="002D7C6A">
      <w:pPr>
        <w:pStyle w:val="a7"/>
      </w:pPr>
      <w:r>
        <w:t>&lt;&lt;ODS DOC SYMBOL1&gt;&gt;CEDAW/C/MNG/CO/8-9&lt;&lt;ODS DOC SYMBOL1&gt;&gt;</w:t>
      </w:r>
    </w:p>
    <w:p w:rsidR="002D7C6A" w:rsidRDefault="002D7C6A">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0A" w:rsidRDefault="00D61B0A">
      <w:r>
        <w:separator/>
      </w:r>
    </w:p>
  </w:endnote>
  <w:endnote w:type="continuationSeparator" w:id="0">
    <w:p w:rsidR="00D61B0A" w:rsidRDefault="00D6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D7C6A" w:rsidTr="002D7C6A">
      <w:tc>
        <w:tcPr>
          <w:tcW w:w="5028" w:type="dxa"/>
          <w:shd w:val="clear" w:color="auto" w:fill="auto"/>
        </w:tcPr>
        <w:p w:rsidR="002D7C6A" w:rsidRPr="002D7C6A" w:rsidRDefault="002D7C6A" w:rsidP="002D7C6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3935">
            <w:rPr>
              <w:b w:val="0"/>
              <w:w w:val="103"/>
              <w:sz w:val="14"/>
            </w:rPr>
            <w:t>16-03713 (C)</w:t>
          </w:r>
          <w:r>
            <w:rPr>
              <w:b w:val="0"/>
              <w:w w:val="103"/>
              <w:sz w:val="14"/>
            </w:rPr>
            <w:fldChar w:fldCharType="end"/>
          </w:r>
        </w:p>
      </w:tc>
      <w:tc>
        <w:tcPr>
          <w:tcW w:w="5028" w:type="dxa"/>
          <w:shd w:val="clear" w:color="auto" w:fill="auto"/>
        </w:tcPr>
        <w:p w:rsidR="002D7C6A" w:rsidRPr="002D7C6A" w:rsidRDefault="002D7C6A" w:rsidP="002D7C6A">
          <w:pPr>
            <w:pStyle w:val="ac"/>
            <w:jc w:val="left"/>
            <w:rPr>
              <w:w w:val="103"/>
            </w:rPr>
          </w:pPr>
          <w:r>
            <w:rPr>
              <w:w w:val="103"/>
            </w:rPr>
            <w:fldChar w:fldCharType="begin"/>
          </w:r>
          <w:r>
            <w:rPr>
              <w:w w:val="103"/>
            </w:rPr>
            <w:instrText xml:space="preserve"> PAGE  \* Arabic  \* MERGEFORMAT </w:instrText>
          </w:r>
          <w:r>
            <w:rPr>
              <w:w w:val="103"/>
            </w:rPr>
            <w:fldChar w:fldCharType="separate"/>
          </w:r>
          <w:r w:rsidR="009E71B0">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71B0">
            <w:rPr>
              <w:w w:val="103"/>
            </w:rPr>
            <w:t>12</w:t>
          </w:r>
          <w:r>
            <w:rPr>
              <w:w w:val="103"/>
            </w:rPr>
            <w:fldChar w:fldCharType="end"/>
          </w:r>
        </w:p>
      </w:tc>
    </w:tr>
  </w:tbl>
  <w:p w:rsidR="002D7C6A" w:rsidRPr="002D7C6A" w:rsidRDefault="002D7C6A" w:rsidP="002D7C6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D7C6A" w:rsidTr="002D7C6A">
      <w:tc>
        <w:tcPr>
          <w:tcW w:w="5028" w:type="dxa"/>
          <w:shd w:val="clear" w:color="auto" w:fill="auto"/>
        </w:tcPr>
        <w:p w:rsidR="002D7C6A" w:rsidRPr="002D7C6A" w:rsidRDefault="002D7C6A" w:rsidP="002D7C6A">
          <w:pPr>
            <w:pStyle w:val="ac"/>
            <w:jc w:val="right"/>
          </w:pPr>
          <w:r>
            <w:fldChar w:fldCharType="begin"/>
          </w:r>
          <w:r>
            <w:instrText xml:space="preserve"> PAGE  \* Arabic  \* MERGEFORMAT </w:instrText>
          </w:r>
          <w:r>
            <w:fldChar w:fldCharType="separate"/>
          </w:r>
          <w:r w:rsidR="009E71B0">
            <w:t>3</w:t>
          </w:r>
          <w:r>
            <w:fldChar w:fldCharType="end"/>
          </w:r>
          <w:r>
            <w:t>/</w:t>
          </w:r>
          <w:fldSimple w:instr=" NUMPAGES  \* Arabic  \* MERGEFORMAT ">
            <w:r w:rsidR="009E71B0">
              <w:t>12</w:t>
            </w:r>
          </w:fldSimple>
        </w:p>
      </w:tc>
      <w:tc>
        <w:tcPr>
          <w:tcW w:w="5028" w:type="dxa"/>
          <w:shd w:val="clear" w:color="auto" w:fill="auto"/>
        </w:tcPr>
        <w:p w:rsidR="002D7C6A" w:rsidRPr="002D7C6A" w:rsidRDefault="002D7C6A" w:rsidP="002D7C6A">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3935">
            <w:rPr>
              <w:b w:val="0"/>
              <w:w w:val="103"/>
              <w:sz w:val="14"/>
            </w:rPr>
            <w:t>16-03713 (C)</w:t>
          </w:r>
          <w:r>
            <w:rPr>
              <w:b w:val="0"/>
              <w:w w:val="103"/>
              <w:sz w:val="14"/>
            </w:rPr>
            <w:fldChar w:fldCharType="end"/>
          </w:r>
        </w:p>
      </w:tc>
    </w:tr>
  </w:tbl>
  <w:p w:rsidR="002D7C6A" w:rsidRPr="002D7C6A" w:rsidRDefault="002D7C6A" w:rsidP="002D7C6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2D7C6A" w:rsidTr="002D7C6A">
      <w:tc>
        <w:tcPr>
          <w:tcW w:w="3744" w:type="dxa"/>
        </w:tcPr>
        <w:p w:rsidR="002D7C6A" w:rsidRDefault="002D7C6A" w:rsidP="002D7C6A">
          <w:pPr>
            <w:pStyle w:val="Release"/>
          </w:pPr>
          <w:r>
            <w:rPr>
              <w:noProof/>
            </w:rPr>
            <w:drawing>
              <wp:anchor distT="0" distB="0" distL="114300" distR="114300" simplePos="0" relativeHeight="251658240" behindDoc="0" locked="0" layoutInCell="1" allowOverlap="1" wp14:anchorId="0FE00901" wp14:editId="20C61806">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CEDAW/C/MNG/CO/8-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NG/CO/8-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017E4" w:rsidRPr="001017E4">
            <w:t>16-03713 X (C)</w:t>
          </w:r>
          <w:r>
            <w:t xml:space="preserve"> </w:t>
          </w:r>
          <w:r w:rsidR="001017E4">
            <w:t xml:space="preserve"> </w:t>
          </w:r>
          <w:r>
            <w:t xml:space="preserve">  290316    290316</w:t>
          </w:r>
        </w:p>
        <w:p w:rsidR="002D7C6A" w:rsidRPr="002D7C6A" w:rsidRDefault="002D7C6A" w:rsidP="002D7C6A">
          <w:pPr>
            <w:spacing w:before="80" w:line="210" w:lineRule="exact"/>
            <w:rPr>
              <w:rFonts w:ascii="Barcode 3 of 9 by request" w:hAnsi="Barcode 3 of 9 by request"/>
              <w:sz w:val="24"/>
            </w:rPr>
          </w:pPr>
          <w:r>
            <w:rPr>
              <w:rFonts w:ascii="Barcode 3 of 9 by request" w:hAnsi="Barcode 3 of 9 by request"/>
              <w:sz w:val="24"/>
            </w:rPr>
            <w:t>*1603713*</w:t>
          </w:r>
        </w:p>
      </w:tc>
      <w:tc>
        <w:tcPr>
          <w:tcW w:w="5028" w:type="dxa"/>
        </w:tcPr>
        <w:p w:rsidR="002D7C6A" w:rsidRDefault="002D7C6A" w:rsidP="002D7C6A">
          <w:pPr>
            <w:pStyle w:val="ac"/>
            <w:jc w:val="right"/>
            <w:rPr>
              <w:b w:val="0"/>
              <w:sz w:val="21"/>
            </w:rPr>
          </w:pPr>
          <w:r>
            <w:rPr>
              <w:b w:val="0"/>
              <w:sz w:val="21"/>
            </w:rPr>
            <w:drawing>
              <wp:inline distT="0" distB="0" distL="0" distR="0" wp14:anchorId="6A945B8B" wp14:editId="5888DAA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D7C6A" w:rsidRPr="002D7C6A" w:rsidRDefault="002D7C6A" w:rsidP="002D7C6A">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0A" w:rsidRPr="00DD610A" w:rsidRDefault="00DD610A" w:rsidP="00DD610A">
      <w:pPr>
        <w:pStyle w:val="ac"/>
        <w:spacing w:after="80"/>
        <w:ind w:left="792"/>
        <w:rPr>
          <w:sz w:val="16"/>
        </w:rPr>
      </w:pPr>
      <w:r w:rsidRPr="00DD610A">
        <w:rPr>
          <w:sz w:val="16"/>
        </w:rPr>
        <w:t>__________________</w:t>
      </w:r>
    </w:p>
  </w:footnote>
  <w:footnote w:type="continuationSeparator" w:id="0">
    <w:p w:rsidR="00D61B0A" w:rsidRPr="00DD610A" w:rsidRDefault="00DD610A" w:rsidP="00DD610A">
      <w:pPr>
        <w:pStyle w:val="ac"/>
        <w:spacing w:after="80"/>
        <w:ind w:left="792"/>
        <w:rPr>
          <w:sz w:val="16"/>
        </w:rPr>
      </w:pPr>
      <w:r w:rsidRPr="00DD610A">
        <w:rPr>
          <w:sz w:val="16"/>
        </w:rPr>
        <w:t>__________________</w:t>
      </w:r>
    </w:p>
  </w:footnote>
  <w:footnote w:id="1">
    <w:p w:rsidR="00DD610A" w:rsidRDefault="00DD610A" w:rsidP="00DD610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DD610A">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D7C6A" w:rsidTr="002D7C6A">
      <w:trPr>
        <w:trHeight w:hRule="exact" w:val="864"/>
      </w:trPr>
      <w:tc>
        <w:tcPr>
          <w:tcW w:w="4838" w:type="dxa"/>
          <w:shd w:val="clear" w:color="auto" w:fill="auto"/>
          <w:vAlign w:val="bottom"/>
        </w:tcPr>
        <w:p w:rsidR="002D7C6A" w:rsidRPr="002D7C6A" w:rsidRDefault="002D7C6A" w:rsidP="002D7C6A">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03935">
            <w:rPr>
              <w:b/>
              <w:sz w:val="17"/>
            </w:rPr>
            <w:t>CEDAW/C/MNG/CO/8-9</w:t>
          </w:r>
          <w:r>
            <w:rPr>
              <w:b/>
              <w:sz w:val="17"/>
            </w:rPr>
            <w:fldChar w:fldCharType="end"/>
          </w:r>
        </w:p>
      </w:tc>
      <w:tc>
        <w:tcPr>
          <w:tcW w:w="5028" w:type="dxa"/>
          <w:shd w:val="clear" w:color="auto" w:fill="auto"/>
          <w:vAlign w:val="bottom"/>
        </w:tcPr>
        <w:p w:rsidR="002D7C6A" w:rsidRDefault="002D7C6A" w:rsidP="002D7C6A">
          <w:pPr>
            <w:pStyle w:val="ab"/>
          </w:pPr>
        </w:p>
      </w:tc>
    </w:tr>
  </w:tbl>
  <w:p w:rsidR="002D7C6A" w:rsidRPr="002D7C6A" w:rsidRDefault="002D7C6A" w:rsidP="002D7C6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D7C6A" w:rsidTr="002D7C6A">
      <w:trPr>
        <w:trHeight w:hRule="exact" w:val="864"/>
      </w:trPr>
      <w:tc>
        <w:tcPr>
          <w:tcW w:w="4838" w:type="dxa"/>
          <w:shd w:val="clear" w:color="auto" w:fill="auto"/>
          <w:vAlign w:val="bottom"/>
        </w:tcPr>
        <w:p w:rsidR="002D7C6A" w:rsidRDefault="002D7C6A" w:rsidP="002D7C6A">
          <w:pPr>
            <w:pStyle w:val="ab"/>
          </w:pPr>
        </w:p>
      </w:tc>
      <w:tc>
        <w:tcPr>
          <w:tcW w:w="5028" w:type="dxa"/>
          <w:shd w:val="clear" w:color="auto" w:fill="auto"/>
          <w:vAlign w:val="bottom"/>
        </w:tcPr>
        <w:p w:rsidR="002D7C6A" w:rsidRPr="002D7C6A" w:rsidRDefault="002D7C6A" w:rsidP="002D7C6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03935">
            <w:rPr>
              <w:b/>
              <w:sz w:val="17"/>
            </w:rPr>
            <w:t>CEDAW/C/MNG/CO/8-9</w:t>
          </w:r>
          <w:r>
            <w:rPr>
              <w:b/>
              <w:sz w:val="17"/>
            </w:rPr>
            <w:fldChar w:fldCharType="end"/>
          </w:r>
        </w:p>
      </w:tc>
    </w:tr>
  </w:tbl>
  <w:p w:rsidR="002D7C6A" w:rsidRPr="002D7C6A" w:rsidRDefault="002D7C6A" w:rsidP="002D7C6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D7C6A" w:rsidTr="002D7C6A">
      <w:trPr>
        <w:gridAfter w:val="1"/>
        <w:wAfter w:w="12" w:type="dxa"/>
        <w:trHeight w:hRule="exact" w:val="864"/>
      </w:trPr>
      <w:tc>
        <w:tcPr>
          <w:tcW w:w="1267" w:type="dxa"/>
          <w:tcBorders>
            <w:bottom w:val="single" w:sz="4" w:space="0" w:color="auto"/>
          </w:tcBorders>
          <w:shd w:val="clear" w:color="auto" w:fill="auto"/>
          <w:vAlign w:val="bottom"/>
        </w:tcPr>
        <w:p w:rsidR="002D7C6A" w:rsidRDefault="002D7C6A" w:rsidP="002D7C6A">
          <w:pPr>
            <w:pStyle w:val="ab"/>
            <w:spacing w:after="120"/>
          </w:pPr>
        </w:p>
      </w:tc>
      <w:tc>
        <w:tcPr>
          <w:tcW w:w="1872" w:type="dxa"/>
          <w:tcBorders>
            <w:bottom w:val="single" w:sz="4" w:space="0" w:color="auto"/>
          </w:tcBorders>
          <w:shd w:val="clear" w:color="auto" w:fill="auto"/>
          <w:vAlign w:val="bottom"/>
        </w:tcPr>
        <w:p w:rsidR="002D7C6A" w:rsidRPr="002D7C6A" w:rsidRDefault="002D7C6A" w:rsidP="002D7C6A">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2D7C6A" w:rsidRDefault="002D7C6A" w:rsidP="002D7C6A">
          <w:pPr>
            <w:pStyle w:val="ab"/>
            <w:spacing w:after="120"/>
          </w:pPr>
        </w:p>
      </w:tc>
      <w:tc>
        <w:tcPr>
          <w:tcW w:w="6523" w:type="dxa"/>
          <w:gridSpan w:val="3"/>
          <w:tcBorders>
            <w:bottom w:val="single" w:sz="4" w:space="0" w:color="auto"/>
          </w:tcBorders>
          <w:shd w:val="clear" w:color="auto" w:fill="auto"/>
          <w:vAlign w:val="bottom"/>
        </w:tcPr>
        <w:p w:rsidR="002D7C6A" w:rsidRPr="002D7C6A" w:rsidRDefault="002D7C6A" w:rsidP="002D7C6A">
          <w:pPr>
            <w:spacing w:after="80" w:line="240" w:lineRule="auto"/>
            <w:jc w:val="right"/>
            <w:rPr>
              <w:position w:val="-4"/>
            </w:rPr>
          </w:pPr>
          <w:r>
            <w:rPr>
              <w:position w:val="-4"/>
              <w:sz w:val="40"/>
            </w:rPr>
            <w:t>CEDAW</w:t>
          </w:r>
          <w:r>
            <w:rPr>
              <w:position w:val="-4"/>
            </w:rPr>
            <w:t>/C/MNG/CO/8-9</w:t>
          </w:r>
        </w:p>
      </w:tc>
    </w:tr>
    <w:tr w:rsidR="002D7C6A" w:rsidRPr="002D7C6A" w:rsidTr="002D7C6A">
      <w:trPr>
        <w:trHeight w:hRule="exact" w:val="2880"/>
      </w:trPr>
      <w:tc>
        <w:tcPr>
          <w:tcW w:w="1267" w:type="dxa"/>
          <w:tcBorders>
            <w:top w:val="single" w:sz="4" w:space="0" w:color="auto"/>
            <w:bottom w:val="single" w:sz="12" w:space="0" w:color="auto"/>
          </w:tcBorders>
          <w:shd w:val="clear" w:color="auto" w:fill="auto"/>
        </w:tcPr>
        <w:p w:rsidR="002D7C6A" w:rsidRPr="002D7C6A" w:rsidRDefault="002D7C6A" w:rsidP="002D7C6A">
          <w:pPr>
            <w:pStyle w:val="ab"/>
            <w:spacing w:before="109"/>
            <w:ind w:left="-72"/>
          </w:pPr>
          <w:r>
            <w:t xml:space="preserve"> </w:t>
          </w:r>
          <w:r>
            <w:drawing>
              <wp:inline distT="0" distB="0" distL="0" distR="0" wp14:anchorId="76D497BF" wp14:editId="54CE780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D7C6A" w:rsidRPr="002D7C6A" w:rsidRDefault="002D7C6A" w:rsidP="002D7C6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D7C6A" w:rsidRPr="002D7C6A" w:rsidRDefault="002D7C6A" w:rsidP="002D7C6A">
          <w:pPr>
            <w:pStyle w:val="ab"/>
            <w:spacing w:before="109"/>
          </w:pPr>
        </w:p>
      </w:tc>
      <w:tc>
        <w:tcPr>
          <w:tcW w:w="3180" w:type="dxa"/>
          <w:gridSpan w:val="2"/>
          <w:tcBorders>
            <w:top w:val="single" w:sz="4" w:space="0" w:color="auto"/>
            <w:bottom w:val="single" w:sz="12" w:space="0" w:color="auto"/>
          </w:tcBorders>
          <w:shd w:val="clear" w:color="auto" w:fill="auto"/>
        </w:tcPr>
        <w:p w:rsidR="002D7C6A" w:rsidRDefault="002D7C6A" w:rsidP="002D7C6A">
          <w:pPr>
            <w:pStyle w:val="Distr"/>
          </w:pPr>
          <w:r>
            <w:t>Distr.: General</w:t>
          </w:r>
        </w:p>
        <w:p w:rsidR="002D7C6A" w:rsidRDefault="005E271F" w:rsidP="002D7C6A">
          <w:pPr>
            <w:pStyle w:val="Publication"/>
          </w:pPr>
          <w:r>
            <w:t>10</w:t>
          </w:r>
          <w:r w:rsidR="002D7C6A">
            <w:t xml:space="preserve"> March 2016</w:t>
          </w:r>
        </w:p>
        <w:p w:rsidR="002D7C6A" w:rsidRDefault="002D7C6A" w:rsidP="002D7C6A">
          <w:pPr>
            <w:spacing w:line="240" w:lineRule="exact"/>
          </w:pPr>
          <w:r>
            <w:t>Chinese</w:t>
          </w:r>
        </w:p>
        <w:p w:rsidR="002D7C6A" w:rsidRDefault="002D7C6A" w:rsidP="002D7C6A">
          <w:pPr>
            <w:pStyle w:val="Original"/>
          </w:pPr>
          <w:r>
            <w:t>Original: English</w:t>
          </w:r>
        </w:p>
        <w:p w:rsidR="002D7C6A" w:rsidRPr="002D7C6A" w:rsidRDefault="002D7C6A" w:rsidP="002D7C6A"/>
      </w:tc>
    </w:tr>
  </w:tbl>
  <w:p w:rsidR="002D7C6A" w:rsidRPr="002D7C6A" w:rsidRDefault="002D7C6A" w:rsidP="002D7C6A">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2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713*"/>
    <w:docVar w:name="CreationDt" w:val="29/03/2016 10:03:27"/>
    <w:docVar w:name="DocCategory" w:val="Doc"/>
    <w:docVar w:name="DocType" w:val="Final"/>
    <w:docVar w:name="DutyStation" w:val="New York"/>
    <w:docVar w:name="FooterJN" w:val="16-03713 (C)"/>
    <w:docVar w:name="jobn" w:val="16-03713 (C)"/>
    <w:docVar w:name="jobnDT" w:val="16-03713 (C)   290316"/>
    <w:docVar w:name="jobnDTDT" w:val="16-03713 (C)   290316   290316"/>
    <w:docVar w:name="JobNo" w:val="1603713C"/>
    <w:docVar w:name="LocalDrive" w:val="0"/>
    <w:docVar w:name="OandT" w:val="ZAY"/>
    <w:docVar w:name="PaperSize" w:val="Letter"/>
    <w:docVar w:name="sss1" w:val="CEDAW/C/MNG/CO/8-9"/>
    <w:docVar w:name="sss2" w:val="-"/>
    <w:docVar w:name="Symbol1" w:val="CEDAW/C/MNG/CO/8-9"/>
    <w:docVar w:name="Symbol2" w:val="-"/>
  </w:docVars>
  <w:rsids>
    <w:rsidRoot w:val="00D61B0A"/>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3EA4"/>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7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28D"/>
    <w:rsid w:val="001B0DFD"/>
    <w:rsid w:val="001B2814"/>
    <w:rsid w:val="001B4F95"/>
    <w:rsid w:val="001C1478"/>
    <w:rsid w:val="001C161F"/>
    <w:rsid w:val="001C1E0E"/>
    <w:rsid w:val="001C20B1"/>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D7C6A"/>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35E72"/>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1FEE"/>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E1424"/>
    <w:rsid w:val="005E271F"/>
    <w:rsid w:val="005F12F0"/>
    <w:rsid w:val="005F1AAD"/>
    <w:rsid w:val="005F3273"/>
    <w:rsid w:val="005F34A3"/>
    <w:rsid w:val="00601DF9"/>
    <w:rsid w:val="00602C6C"/>
    <w:rsid w:val="006107DE"/>
    <w:rsid w:val="00610CF2"/>
    <w:rsid w:val="00615A9C"/>
    <w:rsid w:val="00617802"/>
    <w:rsid w:val="00617FCD"/>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0C66"/>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17AB1"/>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1A76"/>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E71B0"/>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B6E19"/>
    <w:rsid w:val="00BC0F5C"/>
    <w:rsid w:val="00BC2276"/>
    <w:rsid w:val="00BD1B08"/>
    <w:rsid w:val="00BD1BFF"/>
    <w:rsid w:val="00BD2150"/>
    <w:rsid w:val="00BE1CC3"/>
    <w:rsid w:val="00BE1CDE"/>
    <w:rsid w:val="00BE365A"/>
    <w:rsid w:val="00BE47C4"/>
    <w:rsid w:val="00BE4CDC"/>
    <w:rsid w:val="00BE50EF"/>
    <w:rsid w:val="00C03935"/>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1B0A"/>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0A"/>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4597A"/>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MNG/Q/8" TargetMode="External"/><Relationship Id="rId3" Type="http://schemas.openxmlformats.org/officeDocument/2006/relationships/styles" Target="styles.xml"/><Relationship Id="rId21" Type="http://schemas.openxmlformats.org/officeDocument/2006/relationships/hyperlink" Target="http://undocs.org/ch/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MNG/8" TargetMode="External"/><Relationship Id="rId2" Type="http://schemas.openxmlformats.org/officeDocument/2006/relationships/numbering" Target="numbering.xml"/><Relationship Id="rId16" Type="http://schemas.openxmlformats.org/officeDocument/2006/relationships/hyperlink" Target="http://undocs.org/ch/CEDAW/C/SR.1381" TargetMode="External"/><Relationship Id="rId20" Type="http://schemas.openxmlformats.org/officeDocument/2006/relationships/hyperlink" Target="http://undocs.org/ch/CEDAW/C/MNG/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h/CEDAW/C/MNG/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04E7-6375-4EEB-92FD-5EC26CC6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Ctpu</vt:lpstr>
    </vt:vector>
  </TitlesOfParts>
  <Company>United Nations</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Ctpu1</cp:lastModifiedBy>
  <cp:revision>29</cp:revision>
  <cp:lastPrinted>2016-03-29T14:25:00Z</cp:lastPrinted>
  <dcterms:created xsi:type="dcterms:W3CDTF">2016-03-29T13:36:00Z</dcterms:created>
  <dcterms:modified xsi:type="dcterms:W3CDTF">2016-03-29T17:01:00Z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1603713</vt:lpwstr>
  </property>
  <property fmtid="{D5CDD505-2E9C-101B-9397-08002B2CF9AE}" pid="3" name="ODSRefJobNo">
    <vt:lpwstr>1606634C</vt:lpwstr>
  </property>
  <property fmtid="{D5CDD505-2E9C-101B-9397-08002B2CF9AE}" pid="4" name="Symbol1">
    <vt:lpwstr>CEDAW/C/MNG/CO/8-9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March 2016</vt:lpwstr>
  </property>
  <property fmtid="{D5CDD505-2E9C-101B-9397-08002B2CF9AE}" pid="9" name="Original">
    <vt:lpwstr>English</vt:lpwstr>
  </property>
  <property fmtid="{D5CDD505-2E9C-101B-9397-08002B2CF9AE}" pid="10" name="Release Date">
    <vt:lpwstr>290316</vt:lpwstr>
  </property>
  <property fmtid="{D5CDD505-2E9C-101B-9397-08002B2CF9AE}" pid="11" name="Comment">
    <vt:lpwstr/>
  </property>
  <property fmtid="{D5CDD505-2E9C-101B-9397-08002B2CF9AE}" pid="12" name="DraftPages">
    <vt:lpwstr> </vt:lpwstr>
  </property>
  <property fmtid="{D5CDD505-2E9C-101B-9397-08002B2CF9AE}" pid="13" name="Operator">
    <vt:lpwstr>ZAY</vt:lpwstr>
  </property>
</Properties>
</file>