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11ED8" w14:textId="77777777" w:rsidR="00B4229B" w:rsidRPr="006D5013" w:rsidRDefault="00B4229B" w:rsidP="00B4229B">
      <w:pPr>
        <w:spacing w:line="240" w:lineRule="auto"/>
        <w:jc w:val="left"/>
        <w:rPr>
          <w:szCs w:val="2"/>
          <w:rtl/>
        </w:rPr>
        <w:sectPr w:rsidR="00B4229B" w:rsidRPr="006D5013" w:rsidSect="007E1412">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99"/>
        </w:sectPr>
      </w:pPr>
      <w:commentRangeStart w:id="0"/>
      <w:commentRangeEnd w:id="0"/>
      <w:r w:rsidRPr="006D5013">
        <w:rPr>
          <w:rStyle w:val="CommentReference"/>
          <w:rtl/>
        </w:rPr>
        <w:commentReference w:id="0"/>
      </w:r>
    </w:p>
    <w:p w14:paraId="6C5C13E8" w14:textId="77777777" w:rsidR="007E1412" w:rsidRPr="006D5013" w:rsidRDefault="007E1412" w:rsidP="00D77952">
      <w:pPr>
        <w:pStyle w:val="H1"/>
        <w:tabs>
          <w:tab w:val="clear" w:pos="2592"/>
          <w:tab w:val="clear" w:pos="3254"/>
          <w:tab w:val="clear" w:pos="3917"/>
        </w:tabs>
        <w:spacing w:after="0"/>
        <w:ind w:left="0" w:right="7380" w:firstLine="0"/>
        <w:rPr>
          <w:rtl/>
        </w:rPr>
      </w:pPr>
      <w:r w:rsidRPr="006D5013">
        <w:rPr>
          <w:rtl/>
        </w:rPr>
        <w:t>اللجنة المعنية بالقضاء على التمييز ضد ا</w:t>
      </w:r>
      <w:bookmarkStart w:id="1" w:name="_GoBack"/>
      <w:bookmarkEnd w:id="1"/>
      <w:r w:rsidRPr="006D5013">
        <w:rPr>
          <w:rtl/>
        </w:rPr>
        <w:t>لمرأة‏‏</w:t>
      </w:r>
    </w:p>
    <w:p w14:paraId="2374953B" w14:textId="3929D60A" w:rsidR="007E1412" w:rsidRPr="006D5013" w:rsidRDefault="007E1412" w:rsidP="007E1412">
      <w:pPr>
        <w:pStyle w:val="SingleTxt"/>
        <w:spacing w:after="0" w:line="120" w:lineRule="exact"/>
        <w:rPr>
          <w:sz w:val="10"/>
          <w:rtl/>
        </w:rPr>
      </w:pPr>
    </w:p>
    <w:p w14:paraId="15051095" w14:textId="7E59DA86" w:rsidR="007E1412" w:rsidRPr="006D5013" w:rsidRDefault="007E1412" w:rsidP="007E1412">
      <w:pPr>
        <w:pStyle w:val="SingleTxt"/>
        <w:spacing w:after="0" w:line="120" w:lineRule="exact"/>
        <w:rPr>
          <w:sz w:val="10"/>
          <w:rtl/>
        </w:rPr>
      </w:pPr>
    </w:p>
    <w:p w14:paraId="582141F0" w14:textId="0EEB6663" w:rsidR="007E1412" w:rsidRPr="006D5013" w:rsidRDefault="007E1412" w:rsidP="007E1412">
      <w:pPr>
        <w:pStyle w:val="SingleTxt"/>
        <w:spacing w:after="0" w:line="120" w:lineRule="exact"/>
        <w:rPr>
          <w:sz w:val="10"/>
          <w:rtl/>
        </w:rPr>
      </w:pPr>
    </w:p>
    <w:p w14:paraId="4A8DCC47" w14:textId="2FB46B6C" w:rsidR="007E1412" w:rsidRPr="006D5013" w:rsidRDefault="007E1412" w:rsidP="007E1412">
      <w:pPr>
        <w:pStyle w:val="TitleHCH"/>
        <w:ind w:left="1267" w:right="1267"/>
        <w:rPr>
          <w:rtl/>
        </w:rPr>
      </w:pPr>
      <w:r w:rsidRPr="006D5013">
        <w:rPr>
          <w:rtl/>
        </w:rPr>
        <w:tab/>
      </w:r>
      <w:r w:rsidRPr="006D5013">
        <w:rPr>
          <w:rtl/>
        </w:rPr>
        <w:tab/>
        <w:t>قائمة القضايا والأسئلة المتعلقة بالتقرير الجامع للتقريرين الدوريين الخامس والسادس للمغرب</w:t>
      </w:r>
      <w:r w:rsidRPr="005A6D7B">
        <w:rPr>
          <w:b w:val="0"/>
          <w:bCs w:val="0"/>
          <w:rtl/>
        </w:rPr>
        <w:t>*</w:t>
      </w:r>
    </w:p>
    <w:p w14:paraId="3CE2A373" w14:textId="2713EA86" w:rsidR="007E1412" w:rsidRPr="006D5013" w:rsidRDefault="007E1412" w:rsidP="007E1412">
      <w:pPr>
        <w:pStyle w:val="SingleTxt"/>
        <w:spacing w:after="0" w:line="120" w:lineRule="exact"/>
        <w:rPr>
          <w:sz w:val="10"/>
          <w:rtl/>
        </w:rPr>
      </w:pPr>
    </w:p>
    <w:p w14:paraId="4218E521" w14:textId="501B03A5" w:rsidR="007E1412" w:rsidRPr="006D5013" w:rsidRDefault="007E1412" w:rsidP="007E1412">
      <w:pPr>
        <w:pStyle w:val="SingleTxt"/>
        <w:spacing w:after="0" w:line="120" w:lineRule="exact"/>
        <w:rPr>
          <w:sz w:val="10"/>
          <w:rtl/>
        </w:rPr>
      </w:pPr>
    </w:p>
    <w:p w14:paraId="2711F6BF" w14:textId="77777777" w:rsidR="007E1412" w:rsidRPr="006D5013" w:rsidRDefault="007E1412" w:rsidP="007E1412">
      <w:pPr>
        <w:pStyle w:val="TitleH1"/>
        <w:ind w:left="1267" w:right="1267" w:hanging="1267"/>
        <w:rPr>
          <w:rtl/>
        </w:rPr>
      </w:pPr>
      <w:r w:rsidRPr="006D5013">
        <w:rPr>
          <w:rtl/>
        </w:rPr>
        <w:tab/>
      </w:r>
      <w:r w:rsidRPr="006D5013">
        <w:rPr>
          <w:rtl/>
        </w:rPr>
        <w:tab/>
        <w:t>الإطار التشريعي وتعريف التمييز ضد المرأة</w:t>
      </w:r>
    </w:p>
    <w:p w14:paraId="21C2925B" w14:textId="77777777" w:rsidR="007E1412" w:rsidRPr="006D5013" w:rsidRDefault="007E1412" w:rsidP="007E1412">
      <w:pPr>
        <w:pStyle w:val="SingleTxt"/>
        <w:spacing w:after="0" w:line="120" w:lineRule="exact"/>
        <w:rPr>
          <w:sz w:val="10"/>
          <w:rtl/>
        </w:rPr>
      </w:pPr>
    </w:p>
    <w:p w14:paraId="7733D653" w14:textId="431964E7" w:rsidR="007E1412" w:rsidRPr="006D5013" w:rsidRDefault="007E1412" w:rsidP="007E1412">
      <w:pPr>
        <w:pStyle w:val="SingleTxt"/>
        <w:rPr>
          <w:sz w:val="22"/>
          <w:rtl/>
        </w:rPr>
      </w:pPr>
      <w:r w:rsidRPr="006D5013">
        <w:rPr>
          <w:sz w:val="22"/>
          <w:rtl/>
        </w:rPr>
        <w:t>1</w:t>
      </w:r>
      <w:r w:rsidRPr="006D5013">
        <w:rPr>
          <w:rFonts w:hint="cs"/>
          <w:sz w:val="22"/>
          <w:rtl/>
        </w:rPr>
        <w:t xml:space="preserve"> </w:t>
      </w:r>
      <w:r w:rsidRPr="006D5013">
        <w:rPr>
          <w:sz w:val="22"/>
          <w:rtl/>
        </w:rPr>
        <w:t>-</w:t>
      </w:r>
      <w:r w:rsidRPr="006D5013">
        <w:rPr>
          <w:sz w:val="22"/>
          <w:rtl/>
        </w:rPr>
        <w:tab/>
      </w:r>
      <w:r w:rsidRPr="006D5013">
        <w:rPr>
          <w:spacing w:val="-2"/>
          <w:sz w:val="22"/>
          <w:rtl/>
        </w:rPr>
        <w:t>يُرجى الإشارة إلى ما إذا كانت الاتفاقية تحظى بأسبقية على التشريعات الوطنية في ضوء ديباجة دستور عام 2011 وبيان التدابير المتخذة لمواءمة التشريعات الوطنية وفقا لذلك (</w:t>
      </w:r>
      <w:hyperlink r:id="rId17" w:history="1">
        <w:r w:rsidRPr="006D5013">
          <w:rPr>
            <w:rStyle w:val="Hyperlink"/>
            <w:spacing w:val="-2"/>
            <w:sz w:val="22"/>
          </w:rPr>
          <w:t>CEDAW/C/MAR/5-6</w:t>
        </w:r>
      </w:hyperlink>
      <w:r w:rsidRPr="006D5013">
        <w:rPr>
          <w:spacing w:val="-2"/>
          <w:sz w:val="22"/>
          <w:rtl/>
        </w:rPr>
        <w:t>، الفقرة 6)</w:t>
      </w:r>
      <w:r w:rsidR="001C0561" w:rsidRPr="006D5013">
        <w:rPr>
          <w:spacing w:val="-2"/>
          <w:sz w:val="22"/>
          <w:vertAlign w:val="superscript"/>
          <w:rtl/>
        </w:rPr>
        <w:t>(</w:t>
      </w:r>
      <w:r w:rsidR="001C0561" w:rsidRPr="006D5013">
        <w:rPr>
          <w:rStyle w:val="FootnoteReference"/>
          <w:spacing w:val="-2"/>
          <w:w w:val="100"/>
          <w:szCs w:val="22"/>
          <w:rtl/>
        </w:rPr>
        <w:footnoteReference w:id="1"/>
      </w:r>
      <w:r w:rsidR="001C0561" w:rsidRPr="006D5013">
        <w:rPr>
          <w:spacing w:val="-2"/>
          <w:sz w:val="22"/>
          <w:vertAlign w:val="superscript"/>
          <w:rtl/>
        </w:rPr>
        <w:t>)</w:t>
      </w:r>
      <w:r w:rsidRPr="006D5013">
        <w:rPr>
          <w:spacing w:val="-2"/>
          <w:sz w:val="22"/>
          <w:rtl/>
        </w:rPr>
        <w:t>. ويُرجى تقديم معلومات عن التقدم المحرز في اعتماد تشريع شامل بشأن المساواة بين الجنسين (</w:t>
      </w:r>
      <w:hyperlink r:id="rId18" w:history="1">
        <w:r w:rsidRPr="006D5013">
          <w:rPr>
            <w:rStyle w:val="Hyperlink"/>
            <w:spacing w:val="-2"/>
            <w:sz w:val="22"/>
          </w:rPr>
          <w:t>CEDAW/C/MAR/CO/4</w:t>
        </w:r>
      </w:hyperlink>
      <w:r w:rsidRPr="006D5013">
        <w:rPr>
          <w:spacing w:val="-2"/>
          <w:sz w:val="22"/>
          <w:rtl/>
        </w:rPr>
        <w:t>، الفقرة 11)، وكذلك تقديم تعريف للتمييز المباشر وغير المباشر ضد المرأة في</w:t>
      </w:r>
      <w:r w:rsidR="001C0561" w:rsidRPr="006D5013">
        <w:rPr>
          <w:rFonts w:hint="cs"/>
          <w:spacing w:val="-2"/>
          <w:sz w:val="22"/>
          <w:rtl/>
        </w:rPr>
        <w:t> </w:t>
      </w:r>
      <w:r w:rsidRPr="006D5013">
        <w:rPr>
          <w:spacing w:val="-2"/>
          <w:sz w:val="22"/>
          <w:rtl/>
        </w:rPr>
        <w:t>المجالين العام والخاص، بما في ذلك أشكال التمييز المتداخلة، بما يتمشى مع المادتين 1 و 2 من الاتفاقية. ويُرجى إبلاغ اللجنة بالخطوات المتخذة لإلغاء الأحكام والممارسات التي تمنح قيمة أقل لشهادات النساء مقارنة بشهادات الرجال</w:t>
      </w:r>
      <w:r w:rsidRPr="006D5013">
        <w:rPr>
          <w:sz w:val="22"/>
          <w:rtl/>
        </w:rPr>
        <w:t>.</w:t>
      </w:r>
    </w:p>
    <w:p w14:paraId="364BC123" w14:textId="77777777" w:rsidR="001C0561" w:rsidRPr="006D5013" w:rsidRDefault="001C0561" w:rsidP="001C0561">
      <w:pPr>
        <w:pStyle w:val="SingleTxt"/>
        <w:spacing w:after="0" w:line="120" w:lineRule="exact"/>
        <w:rPr>
          <w:sz w:val="10"/>
          <w:rtl/>
        </w:rPr>
      </w:pPr>
    </w:p>
    <w:p w14:paraId="1AB21F4C" w14:textId="1BF58DC0" w:rsidR="007E1412" w:rsidRPr="006D5013" w:rsidRDefault="007E1412" w:rsidP="001C0561">
      <w:pPr>
        <w:pStyle w:val="H23"/>
        <w:ind w:left="1267" w:right="1267" w:hanging="1267"/>
        <w:rPr>
          <w:rtl/>
        </w:rPr>
      </w:pPr>
      <w:r w:rsidRPr="006D5013">
        <w:rPr>
          <w:rtl/>
        </w:rPr>
        <w:tab/>
      </w:r>
      <w:r w:rsidRPr="006D5013">
        <w:rPr>
          <w:rtl/>
        </w:rPr>
        <w:tab/>
        <w:t>سحب التحفظات والتصديق على البروتوكول الاختياري</w:t>
      </w:r>
    </w:p>
    <w:p w14:paraId="3E6764E0" w14:textId="37055F16" w:rsidR="007E1412" w:rsidRPr="006D5013" w:rsidRDefault="007E1412" w:rsidP="007E1412">
      <w:pPr>
        <w:pStyle w:val="SingleTxt"/>
        <w:rPr>
          <w:sz w:val="22"/>
          <w:rtl/>
        </w:rPr>
      </w:pPr>
      <w:r w:rsidRPr="006D5013">
        <w:rPr>
          <w:sz w:val="22"/>
          <w:rtl/>
        </w:rPr>
        <w:t>2</w:t>
      </w:r>
      <w:r w:rsidR="001C0561" w:rsidRPr="006D5013">
        <w:rPr>
          <w:rFonts w:hint="cs"/>
          <w:sz w:val="22"/>
          <w:rtl/>
        </w:rPr>
        <w:t xml:space="preserve"> </w:t>
      </w:r>
      <w:r w:rsidRPr="006D5013">
        <w:rPr>
          <w:sz w:val="22"/>
          <w:rtl/>
        </w:rPr>
        <w:t>-</w:t>
      </w:r>
      <w:r w:rsidRPr="006D5013">
        <w:rPr>
          <w:sz w:val="22"/>
          <w:rtl/>
        </w:rPr>
        <w:tab/>
        <w:t>يُرجى بيان التقدم الذي أحرزته الدولة الطرف نحو سحب ما تبقى من تحفظاتها على المواد 2 و</w:t>
      </w:r>
      <w:r w:rsidR="001C0561" w:rsidRPr="006D5013">
        <w:rPr>
          <w:rFonts w:hint="cs"/>
          <w:sz w:val="22"/>
          <w:rtl/>
        </w:rPr>
        <w:t> </w:t>
      </w:r>
      <w:r w:rsidRPr="006D5013">
        <w:rPr>
          <w:sz w:val="22"/>
          <w:rtl/>
        </w:rPr>
        <w:t>15 و 29 من الاتفاقية وإعلاناتها بشأنها ونحو التصديق على البروتوكول الاختياري (الفقرة 8).</w:t>
      </w:r>
    </w:p>
    <w:p w14:paraId="5D3C8F15" w14:textId="77777777" w:rsidR="001C0561" w:rsidRPr="006D5013" w:rsidRDefault="001C0561" w:rsidP="001C0561">
      <w:pPr>
        <w:pStyle w:val="SingleTxt"/>
        <w:spacing w:after="0" w:line="120" w:lineRule="exact"/>
        <w:rPr>
          <w:sz w:val="10"/>
          <w:rtl/>
        </w:rPr>
      </w:pPr>
    </w:p>
    <w:p w14:paraId="1F95BD0B" w14:textId="641D907A" w:rsidR="007E1412" w:rsidRPr="006D5013" w:rsidRDefault="007E1412" w:rsidP="001C0561">
      <w:pPr>
        <w:pStyle w:val="H23"/>
        <w:ind w:left="1267" w:right="1267" w:hanging="1267"/>
        <w:rPr>
          <w:rtl/>
        </w:rPr>
      </w:pPr>
      <w:r w:rsidRPr="006D5013">
        <w:rPr>
          <w:rtl/>
        </w:rPr>
        <w:tab/>
      </w:r>
      <w:r w:rsidRPr="006D5013">
        <w:rPr>
          <w:rtl/>
        </w:rPr>
        <w:tab/>
        <w:t>إمكانية اللجوء إلى القضاء</w:t>
      </w:r>
    </w:p>
    <w:p w14:paraId="4E821667" w14:textId="4040D14D" w:rsidR="007E1412" w:rsidRPr="006D5013" w:rsidRDefault="007E1412" w:rsidP="007E1412">
      <w:pPr>
        <w:pStyle w:val="SingleTxt"/>
        <w:rPr>
          <w:sz w:val="22"/>
          <w:rtl/>
        </w:rPr>
      </w:pPr>
      <w:r w:rsidRPr="006D5013">
        <w:rPr>
          <w:sz w:val="22"/>
          <w:rtl/>
        </w:rPr>
        <w:t>3</w:t>
      </w:r>
      <w:r w:rsidR="001C0561" w:rsidRPr="006D5013">
        <w:rPr>
          <w:rFonts w:hint="cs"/>
          <w:sz w:val="22"/>
          <w:rtl/>
        </w:rPr>
        <w:t xml:space="preserve"> </w:t>
      </w:r>
      <w:r w:rsidRPr="006D5013">
        <w:rPr>
          <w:sz w:val="22"/>
          <w:rtl/>
        </w:rPr>
        <w:t>-</w:t>
      </w:r>
      <w:r w:rsidRPr="006D5013">
        <w:rPr>
          <w:sz w:val="22"/>
          <w:rtl/>
        </w:rPr>
        <w:tab/>
        <w:t>في ضوء انخفاض عدد الشكاوى المقدمة من النساء (الفقرة 17)، يُرجى بيان التدابير المتخذة لزيادة وعي النساء بحقوقهن وسُبل المطالبة بها والتدابير المتخذة لتوعية الرجال بحقوق النساء، ولا سيما في</w:t>
      </w:r>
      <w:r w:rsidR="001C0561" w:rsidRPr="006D5013">
        <w:rPr>
          <w:rFonts w:hint="cs"/>
          <w:sz w:val="22"/>
          <w:rtl/>
        </w:rPr>
        <w:t> </w:t>
      </w:r>
      <w:r w:rsidRPr="006D5013">
        <w:rPr>
          <w:sz w:val="22"/>
          <w:rtl/>
        </w:rPr>
        <w:t xml:space="preserve">المناطق الريفية والنائية، تمشيا مع التوصية العامة رقم 33 (2015) للجنة بشأن لجوء المرأة إلى </w:t>
      </w:r>
      <w:r w:rsidRPr="006D5013">
        <w:rPr>
          <w:sz w:val="22"/>
          <w:rtl/>
        </w:rPr>
        <w:lastRenderedPageBreak/>
        <w:t>القضاء. ويُرجى أيضا تقديم معلومات عن سُبل الانتصاف القانوني المتاحة للنساء لتقديم الشكاوى المتعلقة بالتمييز الجنساني (</w:t>
      </w:r>
      <w:hyperlink r:id="rId19" w:history="1">
        <w:r w:rsidRPr="006D5013">
          <w:rPr>
            <w:rStyle w:val="Hyperlink"/>
            <w:sz w:val="22"/>
          </w:rPr>
          <w:t>CEDAW/C/MAR/CO/4</w:t>
        </w:r>
      </w:hyperlink>
      <w:r w:rsidRPr="006D5013">
        <w:rPr>
          <w:sz w:val="22"/>
          <w:rtl/>
        </w:rPr>
        <w:t>، الفقرتان 11 و 17). ويُرجى وصف السُبل التي تُمكِّن بها الدولة الطرف النساءَ في وسائط الإعلام من الحصول على إمكانية اللجوء إلى القضاء.</w:t>
      </w:r>
    </w:p>
    <w:p w14:paraId="2B7D0CBD" w14:textId="77777777" w:rsidR="001C0561" w:rsidRPr="006D5013" w:rsidRDefault="001C0561" w:rsidP="001C0561">
      <w:pPr>
        <w:pStyle w:val="SingleTxt"/>
        <w:spacing w:after="0" w:line="120" w:lineRule="exact"/>
        <w:rPr>
          <w:sz w:val="10"/>
          <w:rtl/>
        </w:rPr>
      </w:pPr>
    </w:p>
    <w:p w14:paraId="6FA24B3A" w14:textId="40C39D79" w:rsidR="007E1412" w:rsidRPr="006D5013" w:rsidRDefault="007E1412" w:rsidP="001C0561">
      <w:pPr>
        <w:pStyle w:val="H23"/>
        <w:ind w:left="1267" w:right="1267" w:hanging="1267"/>
        <w:rPr>
          <w:rtl/>
        </w:rPr>
      </w:pPr>
      <w:r w:rsidRPr="006D5013">
        <w:rPr>
          <w:rtl/>
        </w:rPr>
        <w:tab/>
      </w:r>
      <w:r w:rsidRPr="006D5013">
        <w:rPr>
          <w:rtl/>
        </w:rPr>
        <w:tab/>
        <w:t>تأثير الجائحة على حقوق المرأة والمساواة بين الجنسين</w:t>
      </w:r>
    </w:p>
    <w:p w14:paraId="402CD9CB" w14:textId="11739909" w:rsidR="007E1412" w:rsidRPr="006D5013" w:rsidRDefault="007E1412" w:rsidP="007E1412">
      <w:pPr>
        <w:pStyle w:val="SingleTxt"/>
        <w:rPr>
          <w:sz w:val="22"/>
          <w:rtl/>
        </w:rPr>
      </w:pPr>
      <w:r w:rsidRPr="006D5013">
        <w:rPr>
          <w:sz w:val="22"/>
          <w:rtl/>
        </w:rPr>
        <w:t>4</w:t>
      </w:r>
      <w:r w:rsidR="001C0561" w:rsidRPr="006D5013">
        <w:rPr>
          <w:rFonts w:hint="cs"/>
          <w:sz w:val="22"/>
          <w:rtl/>
        </w:rPr>
        <w:t xml:space="preserve"> </w:t>
      </w:r>
      <w:r w:rsidRPr="006D5013">
        <w:rPr>
          <w:sz w:val="22"/>
          <w:rtl/>
        </w:rPr>
        <w:t>-</w:t>
      </w:r>
      <w:r w:rsidRPr="006D5013">
        <w:rPr>
          <w:sz w:val="22"/>
          <w:rtl/>
        </w:rPr>
        <w:tab/>
        <w:t>تمشيا مع المذكرة الإرشادية للجنة بشأن اتفاقية القضاء على جميع أشكال التمييز ضد المرأة ومرض فيروس كورونا (كوفيد-19) الصادرة في 22 نيسان/أبريل 2020، يُرجى بيان التدابير التي نفذتها الدولة الطرف في سياق جائحة كوفيد-19 لمعالجة أوجه عدم المساواة القائمة منذ أمد طويل بين النساء والرجال من خلال وضع المرأة في صميم عملية التعافي كاستراتيجية للتنويع الاقتصادي؛ وتلبية احتياجات النساء والفتيات، بمن فيهن النساء والفتيات المنتميات إلى الفئات المحرومة والمهمشة والنساء اللواتي يعشن في حالات النزاع أو غير ذلك من الحالات الإنسانية، ودعم حقوقهن؛ وضمان ألا تؤدي تدابير الإغلاق، سواء كانت جزئية أو كلية، وخطط التعافي في فترة ما بعد الأزمة إلى إبعاد النساء والفتيات إلى أدوار جنسانية نمطية. ويُرجى بيان التدابير القائمة لضمان أن تهدف جميع جهود التصدي للأزمة الناجمة عن</w:t>
      </w:r>
      <w:r w:rsidR="001C0561" w:rsidRPr="006D5013">
        <w:rPr>
          <w:rFonts w:hint="cs"/>
          <w:sz w:val="22"/>
          <w:rtl/>
        </w:rPr>
        <w:t> </w:t>
      </w:r>
      <w:r w:rsidRPr="006D5013">
        <w:rPr>
          <w:sz w:val="22"/>
          <w:rtl/>
        </w:rPr>
        <w:t>جائحة كوفيد-19 والتعافي منها إلى ما يلي: (أ) التصدي للعنف الجنساني ضد النساء والفتيات والسعي إلى منعه بفعالية؛ (ب) كفالة مشاركة النساء والفتيات على قدم المساواة في الحياة السياسية والحياة العامة، وفي اتخاذ القرارات، والتمكين الاقتصادي، وتقديم الخدمات؛ (ج) السعي إلى ضمان استفادة النساء والفتيات على قدم المساواة من حُزم الحوافز بما في ذلك الدعم المالي لأعمال الرعاية غير المدفوعة الأجر التي تهدف إلى التخفيف من الأثر الاجتماعي</w:t>
      </w:r>
      <w:r w:rsidR="004A6D3C" w:rsidRPr="006D5013">
        <w:rPr>
          <w:rFonts w:hint="cs"/>
          <w:sz w:val="22"/>
          <w:rtl/>
        </w:rPr>
        <w:t xml:space="preserve"> </w:t>
      </w:r>
      <w:r w:rsidRPr="006D5013">
        <w:rPr>
          <w:sz w:val="22"/>
          <w:rtl/>
        </w:rPr>
        <w:t>-</w:t>
      </w:r>
      <w:r w:rsidR="004A6D3C" w:rsidRPr="006D5013">
        <w:rPr>
          <w:rFonts w:hint="cs"/>
          <w:sz w:val="22"/>
          <w:rtl/>
        </w:rPr>
        <w:t xml:space="preserve"> </w:t>
      </w:r>
      <w:r w:rsidRPr="006D5013">
        <w:rPr>
          <w:sz w:val="22"/>
          <w:rtl/>
        </w:rPr>
        <w:t>الاقتصادي للجائحة. ويُرجى توضيح السُبل التي تكفل بها الدولة الطرف أن</w:t>
      </w:r>
      <w:r w:rsidR="001C0561" w:rsidRPr="006D5013">
        <w:rPr>
          <w:rFonts w:hint="cs"/>
          <w:sz w:val="22"/>
          <w:rtl/>
        </w:rPr>
        <w:t> </w:t>
      </w:r>
      <w:r w:rsidRPr="006D5013">
        <w:rPr>
          <w:sz w:val="22"/>
          <w:rtl/>
        </w:rPr>
        <w:t>التدابير المتخذة لاحتواء الجائحة، مثل القيود المفروضة على حرية التنقل أو التباعد البدني، لا</w:t>
      </w:r>
      <w:r w:rsidR="001C0561" w:rsidRPr="006D5013">
        <w:rPr>
          <w:rFonts w:hint="cs"/>
          <w:sz w:val="22"/>
          <w:rtl/>
        </w:rPr>
        <w:t> </w:t>
      </w:r>
      <w:r w:rsidRPr="006D5013">
        <w:rPr>
          <w:sz w:val="22"/>
          <w:rtl/>
        </w:rPr>
        <w:t>تحد من</w:t>
      </w:r>
      <w:r w:rsidR="001C0561" w:rsidRPr="006D5013">
        <w:rPr>
          <w:rFonts w:hint="cs"/>
          <w:sz w:val="22"/>
          <w:rtl/>
        </w:rPr>
        <w:t> </w:t>
      </w:r>
      <w:r w:rsidRPr="006D5013">
        <w:rPr>
          <w:sz w:val="22"/>
          <w:rtl/>
        </w:rPr>
        <w:t>إمكانية لجوء النساء والفتيات، بمن فيهن النساء والفتيات المنتميات إلى الفئات المحرومة والمهمشة، إلى القضاء وإمكانية وصولهن إلى الملاجئ والتعليم والعمالة والرعاية الصحية، بما في ذلك خدمات الصحة الجنسية والإنجابية.</w:t>
      </w:r>
    </w:p>
    <w:p w14:paraId="78FA91A2" w14:textId="77777777" w:rsidR="001C0561" w:rsidRPr="006D5013" w:rsidRDefault="001C0561" w:rsidP="001C0561">
      <w:pPr>
        <w:pStyle w:val="SingleTxt"/>
        <w:spacing w:after="0" w:line="120" w:lineRule="exact"/>
        <w:rPr>
          <w:sz w:val="10"/>
          <w:rtl/>
        </w:rPr>
      </w:pPr>
    </w:p>
    <w:p w14:paraId="13AC25FA" w14:textId="57086AEB" w:rsidR="007E1412" w:rsidRPr="006D5013" w:rsidRDefault="007E1412" w:rsidP="001C0561">
      <w:pPr>
        <w:pStyle w:val="H23"/>
        <w:ind w:left="1267" w:right="1267" w:hanging="1267"/>
        <w:rPr>
          <w:rtl/>
        </w:rPr>
      </w:pPr>
      <w:r w:rsidRPr="006D5013">
        <w:rPr>
          <w:rtl/>
        </w:rPr>
        <w:tab/>
      </w:r>
      <w:r w:rsidRPr="006D5013">
        <w:rPr>
          <w:rtl/>
        </w:rPr>
        <w:tab/>
        <w:t>الجهاز الوطني للنهوض بالمرأة</w:t>
      </w:r>
    </w:p>
    <w:p w14:paraId="4E39AA82" w14:textId="352B9C1D" w:rsidR="007E1412" w:rsidRPr="006D5013" w:rsidRDefault="007E1412" w:rsidP="007E1412">
      <w:pPr>
        <w:pStyle w:val="SingleTxt"/>
        <w:rPr>
          <w:sz w:val="22"/>
          <w:rtl/>
        </w:rPr>
      </w:pPr>
      <w:r w:rsidRPr="006D5013">
        <w:rPr>
          <w:sz w:val="22"/>
          <w:rtl/>
        </w:rPr>
        <w:t>5</w:t>
      </w:r>
      <w:r w:rsidR="001C0561" w:rsidRPr="006D5013">
        <w:rPr>
          <w:rFonts w:hint="cs"/>
          <w:sz w:val="22"/>
          <w:rtl/>
        </w:rPr>
        <w:t xml:space="preserve"> </w:t>
      </w:r>
      <w:r w:rsidRPr="006D5013">
        <w:rPr>
          <w:sz w:val="22"/>
          <w:rtl/>
        </w:rPr>
        <w:t>-</w:t>
      </w:r>
      <w:r w:rsidRPr="006D5013">
        <w:rPr>
          <w:sz w:val="22"/>
          <w:rtl/>
        </w:rPr>
        <w:tab/>
        <w:t>تمشيا مع الغاية 5-1 من أهداف التنمية المستدامة، أي القضاء على جميع أشكال التمييز</w:t>
      </w:r>
      <w:r w:rsidR="004A6D3C" w:rsidRPr="006D5013">
        <w:rPr>
          <w:rFonts w:hint="cs"/>
          <w:sz w:val="22"/>
          <w:rtl/>
        </w:rPr>
        <w:t xml:space="preserve"> </w:t>
      </w:r>
      <w:r w:rsidRPr="006D5013">
        <w:rPr>
          <w:sz w:val="22"/>
          <w:rtl/>
        </w:rPr>
        <w:t>ضد</w:t>
      </w:r>
      <w:r w:rsidR="004A6D3C" w:rsidRPr="006D5013">
        <w:rPr>
          <w:rFonts w:hint="eastAsia"/>
          <w:sz w:val="22"/>
          <w:rtl/>
        </w:rPr>
        <w:t> </w:t>
      </w:r>
      <w:r w:rsidRPr="006D5013">
        <w:rPr>
          <w:sz w:val="22"/>
          <w:rtl/>
        </w:rPr>
        <w:t>جميع النساء والفتيات في كل مكان، يُرجى تقديم معلومات عن إنشاء هيئة المناصفة ومكافحة كل أشكال التمييز (الفقرة 9)، وولايتها المتمثلة في تنسيق ورصد تنفيذ التشريعات والسياسات المتعلقة بالمساواة بين الجنسين، والموارد البشرية والتقنية والمالية المخصصة لها. ويُرجى بيان أثر تنفيذ الخطتين الوطنية والإقليمية لتحقيق المساواة للفترتين 2012-2016 و 2017-2021 وأثر تنفيذ خطة العمل الوطنية في</w:t>
      </w:r>
      <w:r w:rsidR="004A6D3C" w:rsidRPr="006D5013">
        <w:rPr>
          <w:rFonts w:hint="cs"/>
          <w:sz w:val="22"/>
          <w:rtl/>
        </w:rPr>
        <w:t> </w:t>
      </w:r>
      <w:r w:rsidRPr="006D5013">
        <w:rPr>
          <w:sz w:val="22"/>
          <w:rtl/>
        </w:rPr>
        <w:t>مجال الديمقراطية وحقوق الإنسان (2018-2021) على حقوق المرأة ومستوى مشاركة المجتمع المدني في</w:t>
      </w:r>
      <w:r w:rsidR="004A6D3C" w:rsidRPr="006D5013">
        <w:rPr>
          <w:rFonts w:hint="cs"/>
          <w:sz w:val="22"/>
          <w:rtl/>
        </w:rPr>
        <w:t> </w:t>
      </w:r>
      <w:r w:rsidRPr="006D5013">
        <w:rPr>
          <w:sz w:val="22"/>
          <w:rtl/>
        </w:rPr>
        <w:t>إعداد هذه الخطط وتنفيذها وتقييمها. ويُرجى بيان ما إذا كانت الميزنة المراعية للمنظور الجنساني إلزامية بالنسبة لجميع الإدارات الحكومية وما إذا كانت قد حُدِّدت معايير خاصة للميزانية (الفقرتان 30 و 31).</w:t>
      </w:r>
    </w:p>
    <w:p w14:paraId="0E569745" w14:textId="77777777" w:rsidR="001C0561" w:rsidRPr="006D5013" w:rsidRDefault="001C0561" w:rsidP="001C0561">
      <w:pPr>
        <w:pStyle w:val="SingleTxt"/>
        <w:spacing w:after="0" w:line="120" w:lineRule="exact"/>
        <w:rPr>
          <w:sz w:val="10"/>
          <w:rtl/>
        </w:rPr>
      </w:pPr>
    </w:p>
    <w:p w14:paraId="154F0A08" w14:textId="6B4D63F2" w:rsidR="007E1412" w:rsidRPr="006D5013" w:rsidRDefault="007E1412" w:rsidP="001C0561">
      <w:pPr>
        <w:pStyle w:val="H23"/>
        <w:ind w:left="1267" w:right="1267" w:hanging="1267"/>
      </w:pPr>
      <w:r w:rsidRPr="006D5013">
        <w:rPr>
          <w:rtl/>
        </w:rPr>
        <w:tab/>
      </w:r>
      <w:r w:rsidRPr="006D5013">
        <w:rPr>
          <w:rtl/>
        </w:rPr>
        <w:tab/>
        <w:t>التدابير الخاصة المؤقتة</w:t>
      </w:r>
    </w:p>
    <w:p w14:paraId="14408F5A" w14:textId="26D3E5BD" w:rsidR="007E1412" w:rsidRPr="006D5013" w:rsidRDefault="007E1412" w:rsidP="007E1412">
      <w:pPr>
        <w:pStyle w:val="SingleTxt"/>
        <w:rPr>
          <w:sz w:val="22"/>
          <w:rtl/>
        </w:rPr>
      </w:pPr>
      <w:r w:rsidRPr="006D5013">
        <w:rPr>
          <w:sz w:val="22"/>
          <w:rtl/>
        </w:rPr>
        <w:t>6</w:t>
      </w:r>
      <w:r w:rsidR="001C0561" w:rsidRPr="006D5013">
        <w:rPr>
          <w:rFonts w:hint="cs"/>
          <w:sz w:val="22"/>
          <w:rtl/>
        </w:rPr>
        <w:t xml:space="preserve"> </w:t>
      </w:r>
      <w:r w:rsidRPr="006D5013">
        <w:rPr>
          <w:sz w:val="22"/>
          <w:rtl/>
        </w:rPr>
        <w:t>-</w:t>
      </w:r>
      <w:r w:rsidRPr="006D5013">
        <w:rPr>
          <w:sz w:val="22"/>
          <w:rtl/>
        </w:rPr>
        <w:tab/>
        <w:t xml:space="preserve">يُرجى بيان ما إذا كانت الدولة الطرف قد اتخذت تدابير خاصة مؤقتة تتمشى مع المادة 4 (1) من الاتفاقية والتوصية العامة رقم 25 (2004) للجنة بشأن التدابير الخاصة المؤقتة، بهدف التعجيل بتحقيق </w:t>
      </w:r>
      <w:r w:rsidRPr="006D5013">
        <w:rPr>
          <w:sz w:val="22"/>
          <w:rtl/>
        </w:rPr>
        <w:lastRenderedPageBreak/>
        <w:t>المساواة الفعلية بين المرأة والرجل في جميع المجالات التي تعاني فيها المرأة من نقص التمثيل أو</w:t>
      </w:r>
      <w:r w:rsidR="004A6D3C" w:rsidRPr="006D5013">
        <w:rPr>
          <w:rFonts w:hint="cs"/>
          <w:sz w:val="22"/>
          <w:rtl/>
        </w:rPr>
        <w:t> </w:t>
      </w:r>
      <w:r w:rsidRPr="006D5013">
        <w:rPr>
          <w:sz w:val="22"/>
          <w:rtl/>
        </w:rPr>
        <w:t>من</w:t>
      </w:r>
      <w:r w:rsidR="004A6D3C" w:rsidRPr="006D5013">
        <w:rPr>
          <w:rFonts w:hint="cs"/>
          <w:sz w:val="22"/>
          <w:rtl/>
        </w:rPr>
        <w:t> </w:t>
      </w:r>
      <w:r w:rsidRPr="006D5013">
        <w:rPr>
          <w:sz w:val="22"/>
          <w:rtl/>
        </w:rPr>
        <w:t>الحرمان، ولا سيما في الحياة السياسية والحياة العامة، وفي التعليم والعمالة.</w:t>
      </w:r>
    </w:p>
    <w:p w14:paraId="2566CA7A" w14:textId="77777777" w:rsidR="004A6D3C" w:rsidRPr="006D5013" w:rsidRDefault="004A6D3C" w:rsidP="004A6D3C">
      <w:pPr>
        <w:pStyle w:val="SingleTxt"/>
        <w:spacing w:after="0" w:line="120" w:lineRule="exact"/>
        <w:rPr>
          <w:sz w:val="10"/>
          <w:rtl/>
        </w:rPr>
      </w:pPr>
    </w:p>
    <w:p w14:paraId="0BC83D40" w14:textId="4BF231A1" w:rsidR="007E1412" w:rsidRPr="006D5013" w:rsidRDefault="007E1412" w:rsidP="004A6D3C">
      <w:pPr>
        <w:pStyle w:val="H23"/>
        <w:ind w:left="1267" w:right="1267" w:hanging="1267"/>
        <w:rPr>
          <w:rtl/>
        </w:rPr>
      </w:pPr>
      <w:r w:rsidRPr="006D5013">
        <w:rPr>
          <w:rtl/>
        </w:rPr>
        <w:tab/>
      </w:r>
      <w:r w:rsidRPr="006D5013">
        <w:rPr>
          <w:rtl/>
        </w:rPr>
        <w:tab/>
        <w:t>الأنماط التمييزية والممارسات الضارة</w:t>
      </w:r>
    </w:p>
    <w:p w14:paraId="1BE273A7" w14:textId="73726DC1" w:rsidR="007E1412" w:rsidRPr="006D5013" w:rsidRDefault="007E1412" w:rsidP="007E1412">
      <w:pPr>
        <w:pStyle w:val="SingleTxt"/>
        <w:rPr>
          <w:sz w:val="22"/>
          <w:rtl/>
        </w:rPr>
      </w:pPr>
      <w:r w:rsidRPr="006D5013">
        <w:rPr>
          <w:sz w:val="22"/>
          <w:rtl/>
        </w:rPr>
        <w:t>7</w:t>
      </w:r>
      <w:r w:rsidR="004A6D3C" w:rsidRPr="006D5013">
        <w:rPr>
          <w:rFonts w:hint="cs"/>
          <w:sz w:val="22"/>
          <w:rtl/>
        </w:rPr>
        <w:t xml:space="preserve"> </w:t>
      </w:r>
      <w:r w:rsidRPr="006D5013">
        <w:rPr>
          <w:sz w:val="22"/>
          <w:rtl/>
        </w:rPr>
        <w:t>-</w:t>
      </w:r>
      <w:r w:rsidRPr="006D5013">
        <w:rPr>
          <w:sz w:val="22"/>
          <w:rtl/>
        </w:rPr>
        <w:tab/>
        <w:t>يُرجى تقديم معلومات أكثر تفصيلا عن التدابير المتخذة للقضاء على الأنماط التمييزية بشأن أدوار ومسؤوليات المرأة والرجل في الأسرة والمجتمع وعن تأثيرها، بما في ذلك برامج التوعية والتثقيف والحملات الإعلامية للترويج لصور إيجابية عن المرأة بوصفها مشارِكة نشطة في الحياة الاقتصادية والاجتماعية والسياسية (الفقرات 34-42 و 43-52). ويُرجى بيان التدابير المتخذة للتصدي للأنماط الجنسانية التمييزية والتصوير السلبي للمرأة واختزالها إلى أداة جنسية في وسائل الإعلام والإعلانات (الفقرة 48) ونتائج تلك التدابير. ويُرجى أيضا بيان الآليات القائمة التي تهدف إلى كفالة الامتثال للمبادئ التوجيهية لوسائل الإعلام بشأن المساواة بين الجنسين (الفقرات 44-48) وتمثيل المرأة في المرصد الوطني لصورة المرأة في الإعلام (الفقرة 50).</w:t>
      </w:r>
    </w:p>
    <w:p w14:paraId="597B985F" w14:textId="1867D4D1" w:rsidR="007E1412" w:rsidRPr="006D5013" w:rsidRDefault="007E1412" w:rsidP="007E1412">
      <w:pPr>
        <w:pStyle w:val="SingleTxt"/>
        <w:rPr>
          <w:sz w:val="22"/>
          <w:rtl/>
        </w:rPr>
      </w:pPr>
      <w:r w:rsidRPr="006D5013">
        <w:rPr>
          <w:sz w:val="22"/>
          <w:rtl/>
        </w:rPr>
        <w:t>8</w:t>
      </w:r>
      <w:r w:rsidR="004A6D3C" w:rsidRPr="006D5013">
        <w:rPr>
          <w:rFonts w:hint="cs"/>
          <w:sz w:val="22"/>
          <w:rtl/>
        </w:rPr>
        <w:t xml:space="preserve"> </w:t>
      </w:r>
      <w:r w:rsidRPr="006D5013">
        <w:rPr>
          <w:sz w:val="22"/>
          <w:rtl/>
        </w:rPr>
        <w:t>-</w:t>
      </w:r>
      <w:r w:rsidRPr="006D5013">
        <w:rPr>
          <w:sz w:val="22"/>
          <w:rtl/>
        </w:rPr>
        <w:tab/>
        <w:t>وتمشيا مع التوصية العامة رقم 31 للجنة المعنية بالقضاء على التمييز ضد المرأة/التعليق العام رقم 18 للجنة حقوق الطفل (2019)، الصادرين بصفة مشتركة، بشأن الممارسات الضارة، يُرجى تقديم معلومات عن التدابير التشريعية وغيرها من التدابير المتخذة للقضاء على الممارسات الضارة، مثل زواج الأطفال وتعدد الزوجات، في الدولة الطرف، بسُبل منها الحد من طلبات الإعفاء المتعلقة بالفتيات (المادة</w:t>
      </w:r>
      <w:r w:rsidR="004A6D3C" w:rsidRPr="006D5013">
        <w:rPr>
          <w:rFonts w:hint="cs"/>
          <w:sz w:val="22"/>
          <w:rtl/>
        </w:rPr>
        <w:t> </w:t>
      </w:r>
      <w:r w:rsidRPr="006D5013">
        <w:rPr>
          <w:sz w:val="22"/>
          <w:rtl/>
        </w:rPr>
        <w:t>20 من مدونة الأسرة) وتشجيع تغيير المواقف.</w:t>
      </w:r>
    </w:p>
    <w:p w14:paraId="00CD3B7D" w14:textId="77777777" w:rsidR="004A6D3C" w:rsidRPr="006D5013" w:rsidRDefault="004A6D3C" w:rsidP="004A6D3C">
      <w:pPr>
        <w:pStyle w:val="SingleTxt"/>
        <w:spacing w:after="0" w:line="120" w:lineRule="exact"/>
        <w:rPr>
          <w:sz w:val="10"/>
          <w:rtl/>
        </w:rPr>
      </w:pPr>
    </w:p>
    <w:p w14:paraId="75915205" w14:textId="625C0F8B" w:rsidR="007E1412" w:rsidRPr="006D5013" w:rsidRDefault="007E1412" w:rsidP="004A6D3C">
      <w:pPr>
        <w:pStyle w:val="H23"/>
        <w:ind w:left="1267" w:right="1267" w:hanging="1267"/>
        <w:rPr>
          <w:rtl/>
        </w:rPr>
      </w:pPr>
      <w:r w:rsidRPr="006D5013">
        <w:rPr>
          <w:rtl/>
        </w:rPr>
        <w:tab/>
      </w:r>
      <w:r w:rsidRPr="006D5013">
        <w:rPr>
          <w:rtl/>
        </w:rPr>
        <w:tab/>
        <w:t>العنف الجنساني ضد المرأة</w:t>
      </w:r>
    </w:p>
    <w:p w14:paraId="63047E07" w14:textId="779E08EF" w:rsidR="007E1412" w:rsidRPr="006D5013" w:rsidRDefault="007E1412" w:rsidP="007E1412">
      <w:pPr>
        <w:pStyle w:val="SingleTxt"/>
        <w:rPr>
          <w:sz w:val="22"/>
          <w:rtl/>
        </w:rPr>
      </w:pPr>
      <w:r w:rsidRPr="006D5013">
        <w:rPr>
          <w:sz w:val="22"/>
          <w:rtl/>
        </w:rPr>
        <w:t>9</w:t>
      </w:r>
      <w:r w:rsidR="004A6D3C" w:rsidRPr="006D5013">
        <w:rPr>
          <w:rFonts w:hint="cs"/>
          <w:sz w:val="22"/>
          <w:rtl/>
        </w:rPr>
        <w:t xml:space="preserve"> </w:t>
      </w:r>
      <w:r w:rsidRPr="006D5013">
        <w:rPr>
          <w:sz w:val="22"/>
          <w:rtl/>
        </w:rPr>
        <w:t>-</w:t>
      </w:r>
      <w:r w:rsidRPr="006D5013">
        <w:rPr>
          <w:sz w:val="22"/>
          <w:rtl/>
        </w:rPr>
        <w:tab/>
        <w:t xml:space="preserve">تمشيا مع التوصية العامة رقم </w:t>
      </w:r>
      <w:r w:rsidRPr="002E1CE4">
        <w:rPr>
          <w:sz w:val="22"/>
          <w:rtl/>
        </w:rPr>
        <w:t>35 (2017)</w:t>
      </w:r>
      <w:r w:rsidRPr="006D5013">
        <w:rPr>
          <w:sz w:val="22"/>
          <w:rtl/>
        </w:rPr>
        <w:t xml:space="preserve"> بشأن العنف الجنساني ضد المرأة الصادرة عن اللجنة تحديثا للتوصية العامة رقم 19، يُرجى تقديم معلومات عما يلي:</w:t>
      </w:r>
    </w:p>
    <w:p w14:paraId="3E63C841" w14:textId="1924C2A1" w:rsidR="007E1412" w:rsidRPr="006D5013" w:rsidRDefault="004A6D3C" w:rsidP="001F5E6E">
      <w:pPr>
        <w:pStyle w:val="SingleTxt"/>
        <w:rPr>
          <w:sz w:val="22"/>
          <w:rtl/>
        </w:rPr>
      </w:pPr>
      <w:r w:rsidRPr="006D5013">
        <w:rPr>
          <w:sz w:val="22"/>
          <w:rtl/>
        </w:rPr>
        <w:tab/>
      </w:r>
      <w:r w:rsidR="007E1412" w:rsidRPr="00C662AF">
        <w:rPr>
          <w:sz w:val="22"/>
          <w:rtl/>
        </w:rPr>
        <w:t>(أ)</w:t>
      </w:r>
      <w:r w:rsidRPr="00C662AF">
        <w:rPr>
          <w:sz w:val="22"/>
          <w:rtl/>
        </w:rPr>
        <w:tab/>
      </w:r>
      <w:r w:rsidR="007E1412" w:rsidRPr="00C662AF">
        <w:rPr>
          <w:sz w:val="22"/>
          <w:rtl/>
        </w:rPr>
        <w:t>عدد التحقيقات والملاحقات الجنائية التي أُجريت والإدانات والأحكام التي صدرت بموجب القانون رقم</w:t>
      </w:r>
      <w:r w:rsidR="00C662AF">
        <w:rPr>
          <w:rFonts w:hint="cs"/>
          <w:sz w:val="22"/>
          <w:rtl/>
        </w:rPr>
        <w:t xml:space="preserve"> 103-</w:t>
      </w:r>
      <w:r w:rsidR="001F5E6E" w:rsidRPr="00C662AF">
        <w:rPr>
          <w:sz w:val="22"/>
        </w:rPr>
        <w:t>13</w:t>
      </w:r>
      <w:r w:rsidR="001F5E6E" w:rsidRPr="00C662AF">
        <w:rPr>
          <w:sz w:val="22"/>
          <w:rtl/>
        </w:rPr>
        <w:t xml:space="preserve"> </w:t>
      </w:r>
      <w:r w:rsidR="007E1412" w:rsidRPr="00C662AF">
        <w:rPr>
          <w:sz w:val="22"/>
          <w:rtl/>
        </w:rPr>
        <w:t>المتعلق بمحاربة العنف ضد النساء (الفقرة 232)، مصنفة حسب السن والعلاقة بين الجاني والضحية؛</w:t>
      </w:r>
    </w:p>
    <w:p w14:paraId="15064D2B" w14:textId="24A5B62E" w:rsidR="007E1412" w:rsidRPr="006D5013" w:rsidRDefault="004A6D3C" w:rsidP="007E1412">
      <w:pPr>
        <w:pStyle w:val="SingleTxt"/>
        <w:rPr>
          <w:sz w:val="22"/>
          <w:rtl/>
        </w:rPr>
      </w:pPr>
      <w:r w:rsidRPr="006D5013">
        <w:rPr>
          <w:sz w:val="22"/>
          <w:rtl/>
        </w:rPr>
        <w:tab/>
      </w:r>
      <w:r w:rsidR="007E1412" w:rsidRPr="006D5013">
        <w:rPr>
          <w:sz w:val="22"/>
          <w:rtl/>
        </w:rPr>
        <w:t>(ب)</w:t>
      </w:r>
      <w:r w:rsidRPr="006D5013">
        <w:rPr>
          <w:sz w:val="22"/>
          <w:rtl/>
        </w:rPr>
        <w:tab/>
      </w:r>
      <w:r w:rsidR="007E1412" w:rsidRPr="006D5013">
        <w:rPr>
          <w:sz w:val="22"/>
          <w:rtl/>
        </w:rPr>
        <w:t>التدابير المتخذة لاستعراض تعريف الاغتصاب على أساس عدم الرضا وتجريم جميع أشكال العنف الجنساني ضد المرأة، بما في ذلك العنف العائلي البدني والنفسي والاقتصادي، والاغتصاب في</w:t>
      </w:r>
      <w:r w:rsidRPr="006D5013">
        <w:rPr>
          <w:rFonts w:hint="cs"/>
          <w:sz w:val="22"/>
          <w:rtl/>
        </w:rPr>
        <w:t> </w:t>
      </w:r>
      <w:r w:rsidR="007E1412" w:rsidRPr="006D5013">
        <w:rPr>
          <w:sz w:val="22"/>
          <w:rtl/>
        </w:rPr>
        <w:t>إطار الزواج، والعنف على الإنترنت، والتحرش الجنسي؛</w:t>
      </w:r>
    </w:p>
    <w:p w14:paraId="2DCB1F26" w14:textId="2380B2C6" w:rsidR="007E1412" w:rsidRPr="006D5013" w:rsidRDefault="004A6D3C" w:rsidP="007E1412">
      <w:pPr>
        <w:pStyle w:val="SingleTxt"/>
        <w:rPr>
          <w:sz w:val="22"/>
          <w:rtl/>
        </w:rPr>
      </w:pPr>
      <w:r w:rsidRPr="006D5013">
        <w:rPr>
          <w:sz w:val="22"/>
          <w:rtl/>
        </w:rPr>
        <w:tab/>
      </w:r>
      <w:r w:rsidR="007E1412" w:rsidRPr="006D5013">
        <w:rPr>
          <w:sz w:val="22"/>
          <w:rtl/>
        </w:rPr>
        <w:t>(ج)</w:t>
      </w:r>
      <w:r w:rsidRPr="006D5013">
        <w:rPr>
          <w:sz w:val="22"/>
          <w:rtl/>
        </w:rPr>
        <w:tab/>
      </w:r>
      <w:r w:rsidR="007E1412" w:rsidRPr="006D5013">
        <w:rPr>
          <w:sz w:val="22"/>
          <w:rtl/>
        </w:rPr>
        <w:t>بناء قدرات موظفي القضاء والشرطة وغيرهم من الموظفين المكلفين بإنفاذ القانون في</w:t>
      </w:r>
      <w:r w:rsidRPr="006D5013">
        <w:rPr>
          <w:rFonts w:hint="cs"/>
          <w:sz w:val="22"/>
          <w:rtl/>
        </w:rPr>
        <w:t> </w:t>
      </w:r>
      <w:r w:rsidR="007E1412" w:rsidRPr="006D5013">
        <w:rPr>
          <w:sz w:val="22"/>
          <w:rtl/>
        </w:rPr>
        <w:t>مجال تنفيذ القانون المذكور؛</w:t>
      </w:r>
    </w:p>
    <w:p w14:paraId="6476B4F1" w14:textId="74E1815B" w:rsidR="007E1412" w:rsidRPr="006D5013" w:rsidRDefault="004A6D3C" w:rsidP="007E1412">
      <w:pPr>
        <w:pStyle w:val="SingleTxt"/>
        <w:rPr>
          <w:sz w:val="22"/>
          <w:rtl/>
        </w:rPr>
      </w:pPr>
      <w:r w:rsidRPr="006D5013">
        <w:rPr>
          <w:sz w:val="22"/>
          <w:rtl/>
        </w:rPr>
        <w:tab/>
      </w:r>
      <w:r w:rsidR="007E1412" w:rsidRPr="006D5013">
        <w:rPr>
          <w:sz w:val="22"/>
          <w:rtl/>
        </w:rPr>
        <w:t>(د)</w:t>
      </w:r>
      <w:r w:rsidRPr="006D5013">
        <w:rPr>
          <w:sz w:val="22"/>
          <w:rtl/>
        </w:rPr>
        <w:tab/>
      </w:r>
      <w:r w:rsidR="007E1412" w:rsidRPr="006D5013">
        <w:rPr>
          <w:sz w:val="22"/>
          <w:rtl/>
        </w:rPr>
        <w:t>أثر تنفيذ الاستراتيجية الوطنية لمحاربة العنف ضد النساء.</w:t>
      </w:r>
    </w:p>
    <w:p w14:paraId="39086DF9" w14:textId="2D39E308" w:rsidR="007E1412" w:rsidRPr="006D5013" w:rsidRDefault="007E1412" w:rsidP="007E1412">
      <w:pPr>
        <w:pStyle w:val="SingleTxt"/>
        <w:rPr>
          <w:sz w:val="22"/>
          <w:rtl/>
        </w:rPr>
      </w:pPr>
      <w:r w:rsidRPr="006D5013">
        <w:rPr>
          <w:sz w:val="22"/>
          <w:rtl/>
        </w:rPr>
        <w:t>10</w:t>
      </w:r>
      <w:r w:rsidR="004A6D3C" w:rsidRPr="006D5013">
        <w:rPr>
          <w:rFonts w:hint="cs"/>
          <w:sz w:val="22"/>
          <w:rtl/>
        </w:rPr>
        <w:t xml:space="preserve"> </w:t>
      </w:r>
      <w:r w:rsidRPr="006D5013">
        <w:rPr>
          <w:sz w:val="22"/>
          <w:rtl/>
        </w:rPr>
        <w:t>-</w:t>
      </w:r>
      <w:r w:rsidRPr="006D5013">
        <w:rPr>
          <w:sz w:val="22"/>
          <w:rtl/>
        </w:rPr>
        <w:tab/>
        <w:t>ويُرجى بيان ما إذا كانت أعمال العنف الجنساني ضد المرأة تخضع للملاحقة الجنائية التلقائية، بما</w:t>
      </w:r>
      <w:r w:rsidR="004A6D3C" w:rsidRPr="006D5013">
        <w:rPr>
          <w:rFonts w:hint="cs"/>
          <w:sz w:val="22"/>
          <w:rtl/>
        </w:rPr>
        <w:t> </w:t>
      </w:r>
      <w:r w:rsidRPr="006D5013">
        <w:rPr>
          <w:sz w:val="22"/>
          <w:rtl/>
        </w:rPr>
        <w:t>في ذلك في حالات سحب الشكوى أو عدم وجود شهادة للضحية في المحكمة، وسُبل ضمان عدم الملاحقة الجنائية للضحية والحفاظ على سرية الإجراءات. ويُرجى بيان التدابير المتخذة لضمان ما يلي:</w:t>
      </w:r>
    </w:p>
    <w:p w14:paraId="136FBCEE" w14:textId="31F4534A" w:rsidR="007E1412" w:rsidRPr="006D5013" w:rsidRDefault="004A6D3C" w:rsidP="007E1412">
      <w:pPr>
        <w:pStyle w:val="SingleTxt"/>
        <w:rPr>
          <w:sz w:val="22"/>
          <w:rtl/>
        </w:rPr>
      </w:pPr>
      <w:r w:rsidRPr="006D5013">
        <w:rPr>
          <w:sz w:val="22"/>
          <w:rtl/>
        </w:rPr>
        <w:lastRenderedPageBreak/>
        <w:tab/>
      </w:r>
      <w:r w:rsidR="007E1412" w:rsidRPr="006D5013">
        <w:rPr>
          <w:sz w:val="22"/>
          <w:rtl/>
        </w:rPr>
        <w:t>(أ)</w:t>
      </w:r>
      <w:r w:rsidRPr="006D5013">
        <w:rPr>
          <w:sz w:val="22"/>
          <w:rtl/>
        </w:rPr>
        <w:tab/>
      </w:r>
      <w:r w:rsidR="007E1412" w:rsidRPr="006D5013">
        <w:rPr>
          <w:sz w:val="22"/>
          <w:rtl/>
        </w:rPr>
        <w:t>إصدار أوامر الحماية (الفقرتان 232 و 236) فورا ورصدها وإنفاذها بفعالية في حالات العنف العائلي؛</w:t>
      </w:r>
    </w:p>
    <w:p w14:paraId="40AFB746" w14:textId="2FD71B6E" w:rsidR="007E1412" w:rsidRPr="006D5013" w:rsidRDefault="004A6D3C" w:rsidP="007E1412">
      <w:pPr>
        <w:pStyle w:val="SingleTxt"/>
        <w:rPr>
          <w:sz w:val="22"/>
          <w:rtl/>
        </w:rPr>
      </w:pPr>
      <w:r w:rsidRPr="006D5013">
        <w:rPr>
          <w:sz w:val="22"/>
          <w:rtl/>
        </w:rPr>
        <w:tab/>
      </w:r>
      <w:r w:rsidR="007E1412" w:rsidRPr="006D5013">
        <w:rPr>
          <w:sz w:val="22"/>
          <w:rtl/>
        </w:rPr>
        <w:t>(ب)</w:t>
      </w:r>
      <w:r w:rsidRPr="006D5013">
        <w:rPr>
          <w:sz w:val="22"/>
          <w:rtl/>
        </w:rPr>
        <w:tab/>
      </w:r>
      <w:r w:rsidR="007E1412" w:rsidRPr="006D5013">
        <w:rPr>
          <w:sz w:val="22"/>
          <w:rtl/>
        </w:rPr>
        <w:t>تهيئة بيئة مؤاتية لتشجيع الضحايا على الإبلاغ عن حوادث العنف العائلي، وإبلاغ الضحايا بأهمية الحصول على أمر حماية دائمة وعدم سحب الشكاوى عند التصالح مع الجاني؛</w:t>
      </w:r>
    </w:p>
    <w:p w14:paraId="3016D6D7" w14:textId="22012A3E" w:rsidR="007E1412" w:rsidRPr="006D5013" w:rsidRDefault="004A6D3C" w:rsidP="007E1412">
      <w:pPr>
        <w:pStyle w:val="SingleTxt"/>
        <w:rPr>
          <w:sz w:val="22"/>
          <w:rtl/>
        </w:rPr>
      </w:pPr>
      <w:r w:rsidRPr="006D5013">
        <w:rPr>
          <w:sz w:val="22"/>
          <w:rtl/>
        </w:rPr>
        <w:tab/>
      </w:r>
      <w:r w:rsidR="007E1412" w:rsidRPr="006D5013">
        <w:rPr>
          <w:sz w:val="22"/>
          <w:rtl/>
        </w:rPr>
        <w:t>(ج)</w:t>
      </w:r>
      <w:r w:rsidRPr="006D5013">
        <w:rPr>
          <w:sz w:val="22"/>
          <w:rtl/>
        </w:rPr>
        <w:tab/>
      </w:r>
      <w:r w:rsidR="007E1412" w:rsidRPr="006D5013">
        <w:rPr>
          <w:sz w:val="22"/>
          <w:rtl/>
        </w:rPr>
        <w:t>القضاء على التحيز الجنساني، والأنماط التمييزية، والمواقف القائمة على السلطة الأبوية، وإلقاء اللوم على الضحايا، لدى موظفي القضاء والشرطة، والزعماء الدينيين والزعماء التقليديين، والمعلمين والمهنيين الصحيين، وتوعيتهم بالمخاطر الخاصة التي تتعرض لها ربات الأُسَر، والنساء والفتيات العاملات في المنازل، والنساء والفتيات المهاجرات، والنساء والفتيات ذوات الإعاقة، وباحتياجاتهن في مجال الحماية.</w:t>
      </w:r>
    </w:p>
    <w:p w14:paraId="773CCAD9" w14:textId="1649B6C1" w:rsidR="007E1412" w:rsidRPr="006D5013" w:rsidRDefault="007E1412" w:rsidP="007E1412">
      <w:pPr>
        <w:pStyle w:val="SingleTxt"/>
        <w:rPr>
          <w:sz w:val="22"/>
          <w:rtl/>
        </w:rPr>
      </w:pPr>
      <w:r w:rsidRPr="006D5013">
        <w:rPr>
          <w:sz w:val="22"/>
          <w:rtl/>
        </w:rPr>
        <w:t>11</w:t>
      </w:r>
      <w:r w:rsidR="004A6D3C" w:rsidRPr="006D5013">
        <w:rPr>
          <w:rFonts w:hint="cs"/>
          <w:sz w:val="22"/>
          <w:rtl/>
        </w:rPr>
        <w:t xml:space="preserve"> </w:t>
      </w:r>
      <w:r w:rsidRPr="006D5013">
        <w:rPr>
          <w:sz w:val="22"/>
          <w:rtl/>
        </w:rPr>
        <w:t>-</w:t>
      </w:r>
      <w:r w:rsidRPr="006D5013">
        <w:rPr>
          <w:sz w:val="22"/>
          <w:rtl/>
        </w:rPr>
        <w:tab/>
        <w:t>ويُرجى تقديم معلومات عن خدمات الدعم، والملاجئ، والمساعدة الطبية والمساعدة القانونية، والمساعدة النفسية</w:t>
      </w:r>
      <w:r w:rsidR="004A6D3C" w:rsidRPr="006D5013">
        <w:rPr>
          <w:rFonts w:hint="cs"/>
          <w:sz w:val="22"/>
          <w:rtl/>
        </w:rPr>
        <w:t xml:space="preserve"> </w:t>
      </w:r>
      <w:r w:rsidRPr="006D5013">
        <w:rPr>
          <w:sz w:val="22"/>
          <w:rtl/>
        </w:rPr>
        <w:t>-</w:t>
      </w:r>
      <w:r w:rsidR="004A6D3C" w:rsidRPr="006D5013">
        <w:rPr>
          <w:rFonts w:hint="cs"/>
          <w:sz w:val="22"/>
          <w:rtl/>
        </w:rPr>
        <w:t xml:space="preserve"> </w:t>
      </w:r>
      <w:r w:rsidRPr="006D5013">
        <w:rPr>
          <w:sz w:val="22"/>
          <w:rtl/>
        </w:rPr>
        <w:t>الاجتماعية، والتعويضات المتاحة لضحايا العنف الجنساني ضد المرأة، وعن مستويات تمويل خدمات دعم الضحايا من ميزانية الدولة، ولا سيما في المناطق الريفية والنائية.</w:t>
      </w:r>
    </w:p>
    <w:p w14:paraId="5F7594DB" w14:textId="77777777" w:rsidR="004A6D3C" w:rsidRPr="006D5013" w:rsidRDefault="004A6D3C" w:rsidP="004A6D3C">
      <w:pPr>
        <w:pStyle w:val="SingleTxt"/>
        <w:spacing w:after="0" w:line="120" w:lineRule="exact"/>
        <w:rPr>
          <w:sz w:val="10"/>
          <w:rtl/>
        </w:rPr>
      </w:pPr>
    </w:p>
    <w:p w14:paraId="723ED161" w14:textId="24F4D3FF" w:rsidR="007E1412" w:rsidRPr="006D5013" w:rsidRDefault="007E1412" w:rsidP="004A6D3C">
      <w:pPr>
        <w:pStyle w:val="H23"/>
        <w:ind w:left="1267" w:right="1267" w:hanging="1267"/>
        <w:rPr>
          <w:rtl/>
        </w:rPr>
      </w:pPr>
      <w:r w:rsidRPr="006D5013">
        <w:rPr>
          <w:rtl/>
        </w:rPr>
        <w:tab/>
      </w:r>
      <w:r w:rsidRPr="006D5013">
        <w:rPr>
          <w:rtl/>
        </w:rPr>
        <w:tab/>
        <w:t>الاتجار واستغلال البغاء</w:t>
      </w:r>
    </w:p>
    <w:p w14:paraId="6EF35B77" w14:textId="36577EBC" w:rsidR="007E1412" w:rsidRPr="006D5013" w:rsidRDefault="007E1412" w:rsidP="001F5E6E">
      <w:pPr>
        <w:pStyle w:val="SingleTxt"/>
        <w:rPr>
          <w:sz w:val="22"/>
          <w:rtl/>
        </w:rPr>
      </w:pPr>
      <w:r w:rsidRPr="00C662AF">
        <w:rPr>
          <w:sz w:val="22"/>
          <w:rtl/>
        </w:rPr>
        <w:t>12</w:t>
      </w:r>
      <w:r w:rsidR="004A6D3C" w:rsidRPr="00C662AF">
        <w:rPr>
          <w:sz w:val="22"/>
          <w:rtl/>
        </w:rPr>
        <w:t xml:space="preserve"> </w:t>
      </w:r>
      <w:r w:rsidRPr="00C662AF">
        <w:rPr>
          <w:sz w:val="22"/>
          <w:rtl/>
        </w:rPr>
        <w:t>-</w:t>
      </w:r>
      <w:r w:rsidRPr="00C662AF">
        <w:rPr>
          <w:sz w:val="22"/>
          <w:rtl/>
        </w:rPr>
        <w:tab/>
        <w:t>يُرجى تقديم معلومات عن النتائج الرئيسية لتنفيذ التوصيات الواردة في دراسة وضع الاتجار بالبشر في المغرب (الفقرة 71)، بما في ذلك ما يتعلق بالنساء والفتيات العاملات في المنازل. ويُرجى أيضا تقديم معلومات عن التدابير المتخذة لتدريب شرطة الحدود وسلطات الهجرة وغيرها من وكالات إنفاذ القانون على تطبيق القانون رقم</w:t>
      </w:r>
      <w:r w:rsidR="00C662AF" w:rsidRPr="008C15A1">
        <w:rPr>
          <w:sz w:val="22"/>
          <w:rtl/>
        </w:rPr>
        <w:t xml:space="preserve"> 27-14</w:t>
      </w:r>
      <w:r w:rsidRPr="00C662AF">
        <w:rPr>
          <w:sz w:val="22"/>
          <w:rtl/>
        </w:rPr>
        <w:t xml:space="preserve"> المتعلق بمكافحة الاتجار بالبشر، والتحديد المبكر للنساء والفتيات ضحايا الاتجار والإجراءات المراعية للاعتبارات الجنسانية في التعامل معهن، والإحالة إلى الخدمات ذات الصلة، وعدم ملاحقة الضحايا جنائيا بسبب الانتهاكات المتعلقة بالهجرة وممارسة البغاء، ولحماية الضحايا من الاعتقال والاحتجاز وإعادة التوطين القسري والترحيل. ويُرجى بيان عدد النساء والفتيات اللائي حُدِّدن كضحايا للاتجار وبيان خدمات إعادة التأهيل وإعادة الدمج المقدمة لهن، تمشيا مع التوصية العامة رقم</w:t>
      </w:r>
      <w:r w:rsidR="001F5E6E" w:rsidRPr="00C662AF">
        <w:rPr>
          <w:rFonts w:hint="eastAsia"/>
          <w:sz w:val="22"/>
          <w:rtl/>
        </w:rPr>
        <w:t> </w:t>
      </w:r>
      <w:r w:rsidRPr="00C662AF">
        <w:rPr>
          <w:sz w:val="22"/>
          <w:rtl/>
        </w:rPr>
        <w:t>38</w:t>
      </w:r>
      <w:r w:rsidR="001F5E6E" w:rsidRPr="00C662AF">
        <w:rPr>
          <w:rFonts w:hint="eastAsia"/>
          <w:sz w:val="22"/>
          <w:rtl/>
        </w:rPr>
        <w:t> </w:t>
      </w:r>
      <w:r w:rsidRPr="00C662AF">
        <w:rPr>
          <w:sz w:val="22"/>
          <w:rtl/>
        </w:rPr>
        <w:t>(2020) للجنة بشأن الاتجار بالنساء والفتيات في سياق الهجرة العالمية. ويُرجى تحديد التدابير المتخذة لتفكيك شبكات السياحة الجنسية والتحقيق في التقارير المتعلقة بالاتجار بالأعضاء البشرية الذي يمس النساء والفتيات.</w:t>
      </w:r>
    </w:p>
    <w:p w14:paraId="0908CD5C" w14:textId="123C82FA" w:rsidR="007E1412" w:rsidRPr="006D5013" w:rsidRDefault="007E1412" w:rsidP="007E1412">
      <w:pPr>
        <w:pStyle w:val="SingleTxt"/>
        <w:rPr>
          <w:sz w:val="22"/>
          <w:rtl/>
        </w:rPr>
      </w:pPr>
      <w:r w:rsidRPr="006D5013">
        <w:rPr>
          <w:sz w:val="22"/>
          <w:rtl/>
        </w:rPr>
        <w:t>13</w:t>
      </w:r>
      <w:r w:rsidR="004A6D3C" w:rsidRPr="006D5013">
        <w:rPr>
          <w:rFonts w:hint="cs"/>
          <w:sz w:val="22"/>
          <w:rtl/>
        </w:rPr>
        <w:t xml:space="preserve"> </w:t>
      </w:r>
      <w:r w:rsidRPr="006D5013">
        <w:rPr>
          <w:sz w:val="22"/>
          <w:rtl/>
        </w:rPr>
        <w:t>-</w:t>
      </w:r>
      <w:r w:rsidRPr="006D5013">
        <w:rPr>
          <w:sz w:val="22"/>
          <w:rtl/>
        </w:rPr>
        <w:tab/>
        <w:t>ويُرجى توضيح ما إذا كانت النساء العاملات في البغاء في الدولة الطرف يخضعن لغرامات إدارية و/أو عقوبات جنائية. ويُرجى بيان التدابير المتخذة للقيام بما يلي:</w:t>
      </w:r>
    </w:p>
    <w:p w14:paraId="31BAEFE8" w14:textId="6EE7104A" w:rsidR="007E1412" w:rsidRPr="006D5013" w:rsidRDefault="004A6D3C" w:rsidP="007E1412">
      <w:pPr>
        <w:pStyle w:val="SingleTxt"/>
        <w:rPr>
          <w:sz w:val="22"/>
          <w:rtl/>
        </w:rPr>
      </w:pPr>
      <w:r w:rsidRPr="006D5013">
        <w:rPr>
          <w:sz w:val="22"/>
          <w:rtl/>
        </w:rPr>
        <w:tab/>
      </w:r>
      <w:r w:rsidR="007E1412" w:rsidRPr="006D5013">
        <w:rPr>
          <w:sz w:val="22"/>
          <w:rtl/>
        </w:rPr>
        <w:t>(أ)</w:t>
      </w:r>
      <w:r w:rsidRPr="006D5013">
        <w:rPr>
          <w:sz w:val="22"/>
          <w:rtl/>
        </w:rPr>
        <w:tab/>
      </w:r>
      <w:r w:rsidR="007E1412" w:rsidRPr="006D5013">
        <w:rPr>
          <w:sz w:val="22"/>
          <w:rtl/>
        </w:rPr>
        <w:t>كبح الطلب على البغاء؛</w:t>
      </w:r>
    </w:p>
    <w:p w14:paraId="6B925492" w14:textId="73FD58A7" w:rsidR="007E1412" w:rsidRPr="006D5013" w:rsidRDefault="004A6D3C" w:rsidP="007E1412">
      <w:pPr>
        <w:pStyle w:val="SingleTxt"/>
        <w:rPr>
          <w:sz w:val="22"/>
          <w:rtl/>
        </w:rPr>
      </w:pPr>
      <w:r w:rsidRPr="006D5013">
        <w:rPr>
          <w:sz w:val="22"/>
          <w:rtl/>
        </w:rPr>
        <w:tab/>
      </w:r>
      <w:r w:rsidR="007E1412" w:rsidRPr="006D5013">
        <w:rPr>
          <w:sz w:val="22"/>
          <w:rtl/>
        </w:rPr>
        <w:t>(ب)</w:t>
      </w:r>
      <w:r w:rsidRPr="006D5013">
        <w:rPr>
          <w:sz w:val="22"/>
          <w:rtl/>
        </w:rPr>
        <w:tab/>
      </w:r>
      <w:r w:rsidR="007E1412" w:rsidRPr="006D5013">
        <w:rPr>
          <w:sz w:val="22"/>
          <w:rtl/>
        </w:rPr>
        <w:t>ضمان إمكانية حصول النساء العاملات في البغاء على الرعاية الصحية، بما في ذلك اختبار الكشف عن فيروس نقص المناعة البشرية وعلاجه، ووسائل منع الحمل الحديثة، بما فيها الواقي الذكري، وتوفير برامج لترك هذه الممارسة وتوفير الفرص البديلة المدرة للدخل لتمكين النساء من ترك البغاء؛</w:t>
      </w:r>
    </w:p>
    <w:p w14:paraId="67C35534" w14:textId="7B1E4970" w:rsidR="007E1412" w:rsidRPr="006D5013" w:rsidRDefault="004A6D3C" w:rsidP="007E1412">
      <w:pPr>
        <w:pStyle w:val="SingleTxt"/>
        <w:rPr>
          <w:sz w:val="22"/>
          <w:rtl/>
        </w:rPr>
      </w:pPr>
      <w:r w:rsidRPr="006D5013">
        <w:rPr>
          <w:sz w:val="22"/>
          <w:rtl/>
        </w:rPr>
        <w:tab/>
      </w:r>
      <w:r w:rsidR="007E1412" w:rsidRPr="006D5013">
        <w:rPr>
          <w:sz w:val="22"/>
          <w:rtl/>
        </w:rPr>
        <w:t>(ج)</w:t>
      </w:r>
      <w:r w:rsidRPr="006D5013">
        <w:rPr>
          <w:sz w:val="22"/>
          <w:rtl/>
        </w:rPr>
        <w:tab/>
      </w:r>
      <w:r w:rsidR="007E1412" w:rsidRPr="006D5013">
        <w:rPr>
          <w:sz w:val="22"/>
          <w:rtl/>
        </w:rPr>
        <w:t>معالجة الأسباب الجذرية لاستغلال النساء في البغاء ووصمهن.</w:t>
      </w:r>
    </w:p>
    <w:p w14:paraId="5AF5FCAF" w14:textId="77777777" w:rsidR="004A6D3C" w:rsidRPr="006D5013" w:rsidRDefault="004A6D3C" w:rsidP="004A6D3C">
      <w:pPr>
        <w:pStyle w:val="SingleTxt"/>
        <w:spacing w:after="0" w:line="120" w:lineRule="exact"/>
        <w:rPr>
          <w:sz w:val="10"/>
          <w:rtl/>
        </w:rPr>
      </w:pPr>
    </w:p>
    <w:p w14:paraId="4BA8A8F2" w14:textId="53F43730" w:rsidR="007E1412" w:rsidRPr="006D5013" w:rsidRDefault="007E1412" w:rsidP="004A6D3C">
      <w:pPr>
        <w:pStyle w:val="H23"/>
        <w:ind w:left="1267" w:right="1267" w:hanging="1267"/>
        <w:rPr>
          <w:rtl/>
        </w:rPr>
      </w:pPr>
      <w:r w:rsidRPr="006D5013">
        <w:rPr>
          <w:rtl/>
        </w:rPr>
        <w:lastRenderedPageBreak/>
        <w:tab/>
      </w:r>
      <w:r w:rsidRPr="006D5013">
        <w:rPr>
          <w:rtl/>
        </w:rPr>
        <w:tab/>
        <w:t>المشاركة في الحياة السياسية والحياة العامة</w:t>
      </w:r>
    </w:p>
    <w:p w14:paraId="20662BD3" w14:textId="5EBCA0F0" w:rsidR="007E1412" w:rsidRPr="006D5013" w:rsidRDefault="007E1412" w:rsidP="007E1412">
      <w:pPr>
        <w:pStyle w:val="SingleTxt"/>
        <w:rPr>
          <w:sz w:val="22"/>
          <w:rtl/>
        </w:rPr>
      </w:pPr>
      <w:r w:rsidRPr="006D5013">
        <w:rPr>
          <w:sz w:val="22"/>
          <w:rtl/>
        </w:rPr>
        <w:t>14</w:t>
      </w:r>
      <w:r w:rsidR="004A6D3C" w:rsidRPr="006D5013">
        <w:rPr>
          <w:rFonts w:hint="cs"/>
          <w:sz w:val="22"/>
          <w:rtl/>
        </w:rPr>
        <w:t xml:space="preserve"> </w:t>
      </w:r>
      <w:r w:rsidRPr="006D5013">
        <w:rPr>
          <w:sz w:val="22"/>
          <w:rtl/>
        </w:rPr>
        <w:t>-</w:t>
      </w:r>
      <w:r w:rsidRPr="006D5013">
        <w:rPr>
          <w:sz w:val="22"/>
          <w:rtl/>
        </w:rPr>
        <w:tab/>
      </w:r>
      <w:r w:rsidRPr="002E1CE4">
        <w:rPr>
          <w:spacing w:val="-2"/>
          <w:sz w:val="22"/>
          <w:rtl/>
        </w:rPr>
        <w:t>يُرجى بيان التدابير التي اتخذتها الدولة الطرف لتحقيق مبدأ المناصفة (الفصل 19 من الدستور) في</w:t>
      </w:r>
      <w:r w:rsidR="002E1CE4">
        <w:rPr>
          <w:rFonts w:hint="cs"/>
          <w:spacing w:val="-2"/>
          <w:sz w:val="22"/>
          <w:rtl/>
        </w:rPr>
        <w:t> </w:t>
      </w:r>
      <w:r w:rsidRPr="002E1CE4">
        <w:rPr>
          <w:spacing w:val="-2"/>
          <w:sz w:val="22"/>
          <w:rtl/>
        </w:rPr>
        <w:t>جميع مجالات الحياة السياسية والحياة العامة وتأثيرها. ويُرجى تقديم بيانات مستكملة عن تمثيل المرأة في</w:t>
      </w:r>
      <w:r w:rsidR="004A6D3C" w:rsidRPr="002E1CE4">
        <w:rPr>
          <w:rFonts w:hint="cs"/>
          <w:spacing w:val="-2"/>
          <w:sz w:val="22"/>
          <w:rtl/>
        </w:rPr>
        <w:t> </w:t>
      </w:r>
      <w:r w:rsidRPr="002E1CE4">
        <w:rPr>
          <w:spacing w:val="-2"/>
          <w:sz w:val="22"/>
          <w:rtl/>
        </w:rPr>
        <w:t>الجهاز القضائي، بما في ذلك المحكمة الدستورية، وفي الشرطة، والوظيفة العمومية، والسلك الدبلوماسي، وقطاع الأمن، ولا سيما على مستويات اتخاذ القرارات. ويُرجى بيان ما يلي: (أ) ولاية مرصد مقاربة النوع للوظيفة العمومية وإنجازاته (الفقرة 84)؛ (ب) النتائج التي توصلت إليها شبكة التشاور المشتركة بين الوزارات من أجل المساواة بين الجنسين في الوظيفة العمومية (الفقرة 85) وأية متابعة لتلك النتائج؛ (ج) أثر الاستراتيجية وخطة العمل لمأسسة المساواة بين الجنسين في الوظيفة العمومية (الفقرة 85). ويُرجى أيضا بيان التدابير المتخذة لمعالجة العوامل التي تردع مشاركة المرأة في الحياة السياسية والحياة العامة، بما</w:t>
      </w:r>
      <w:r w:rsidR="004A6D3C" w:rsidRPr="002E1CE4">
        <w:rPr>
          <w:rFonts w:hint="cs"/>
          <w:spacing w:val="-2"/>
          <w:sz w:val="22"/>
          <w:rtl/>
        </w:rPr>
        <w:t> </w:t>
      </w:r>
      <w:r w:rsidRPr="002E1CE4">
        <w:rPr>
          <w:spacing w:val="-2"/>
          <w:sz w:val="22"/>
          <w:rtl/>
        </w:rPr>
        <w:t>في</w:t>
      </w:r>
      <w:r w:rsidR="004A6D3C" w:rsidRPr="002E1CE4">
        <w:rPr>
          <w:rFonts w:hint="cs"/>
          <w:spacing w:val="-2"/>
          <w:sz w:val="22"/>
          <w:rtl/>
        </w:rPr>
        <w:t> </w:t>
      </w:r>
      <w:r w:rsidRPr="002E1CE4">
        <w:rPr>
          <w:spacing w:val="-2"/>
          <w:sz w:val="22"/>
          <w:rtl/>
        </w:rPr>
        <w:t>ذلك التمثيل المحدود في مناصب اتخاذ القرارات، والافتقار إلى التدريب ومرافق رعاية الأطفال والموارد المالية</w:t>
      </w:r>
      <w:r w:rsidRPr="006D5013">
        <w:rPr>
          <w:sz w:val="22"/>
          <w:rtl/>
        </w:rPr>
        <w:t>.</w:t>
      </w:r>
    </w:p>
    <w:p w14:paraId="14FCC22D" w14:textId="77777777" w:rsidR="004A6D3C" w:rsidRPr="006D5013" w:rsidRDefault="004A6D3C" w:rsidP="004A6D3C">
      <w:pPr>
        <w:pStyle w:val="SingleTxt"/>
        <w:spacing w:after="0" w:line="120" w:lineRule="exact"/>
        <w:rPr>
          <w:sz w:val="10"/>
          <w:rtl/>
        </w:rPr>
      </w:pPr>
    </w:p>
    <w:p w14:paraId="0AAC0450" w14:textId="0760507F" w:rsidR="007E1412" w:rsidRPr="006D5013" w:rsidRDefault="007E1412" w:rsidP="004A6D3C">
      <w:pPr>
        <w:pStyle w:val="H23"/>
        <w:ind w:left="1267" w:right="1267" w:hanging="1267"/>
        <w:rPr>
          <w:rtl/>
        </w:rPr>
      </w:pPr>
      <w:r w:rsidRPr="006D5013">
        <w:rPr>
          <w:rtl/>
        </w:rPr>
        <w:tab/>
      </w:r>
      <w:r w:rsidRPr="006D5013">
        <w:rPr>
          <w:rtl/>
        </w:rPr>
        <w:tab/>
        <w:t>الجنسية</w:t>
      </w:r>
    </w:p>
    <w:p w14:paraId="042E2F8F" w14:textId="3FB1E801" w:rsidR="007E1412" w:rsidRPr="006D5013" w:rsidRDefault="007E1412" w:rsidP="007E1412">
      <w:pPr>
        <w:pStyle w:val="SingleTxt"/>
        <w:rPr>
          <w:sz w:val="22"/>
          <w:rtl/>
        </w:rPr>
      </w:pPr>
      <w:r w:rsidRPr="006D5013">
        <w:rPr>
          <w:sz w:val="22"/>
          <w:rtl/>
        </w:rPr>
        <w:t>15</w:t>
      </w:r>
      <w:r w:rsidR="004A6D3C" w:rsidRPr="006D5013">
        <w:rPr>
          <w:rFonts w:hint="cs"/>
          <w:sz w:val="22"/>
          <w:rtl/>
        </w:rPr>
        <w:t xml:space="preserve"> </w:t>
      </w:r>
      <w:r w:rsidRPr="006D5013">
        <w:rPr>
          <w:sz w:val="22"/>
          <w:rtl/>
        </w:rPr>
        <w:t>-</w:t>
      </w:r>
      <w:r w:rsidRPr="006D5013">
        <w:rPr>
          <w:sz w:val="22"/>
          <w:rtl/>
        </w:rPr>
        <w:tab/>
        <w:t>يُرجى تقديم معلومات عن التدابير المتخذة لتعديل قانون الجنسية للسماح للمرأة المغربية بمنح جنسيتها للزوج الأجنبي (الفقرة 97). ويُرجى توضيح ما إذا كانت المرأة المغربية تحتفظ بجنسيتها عند حصولها على جنسية زوجها الأجنبي. ويُرجى بيان ما إذا كانت الدولة الطرف قد اتخذت أي خطوات للتصديق على اتفاقية عام 1954 بشأن وضع الأشخاص عديمي الجنسية واتفاقية عام 1961 المتعلقة بخفض حالات انعدام الجنسية.</w:t>
      </w:r>
    </w:p>
    <w:p w14:paraId="3093531A" w14:textId="77777777" w:rsidR="006D5013" w:rsidRPr="006D5013" w:rsidRDefault="006D5013" w:rsidP="006D5013">
      <w:pPr>
        <w:pStyle w:val="SingleTxt"/>
        <w:spacing w:after="0" w:line="120" w:lineRule="exact"/>
        <w:rPr>
          <w:sz w:val="10"/>
          <w:rtl/>
        </w:rPr>
      </w:pPr>
    </w:p>
    <w:p w14:paraId="7AE320CA" w14:textId="359502A5" w:rsidR="007E1412" w:rsidRPr="006D5013" w:rsidRDefault="007E1412" w:rsidP="006D5013">
      <w:pPr>
        <w:pStyle w:val="H23"/>
        <w:ind w:left="1267" w:right="1267" w:hanging="1267"/>
        <w:rPr>
          <w:rtl/>
        </w:rPr>
      </w:pPr>
      <w:r w:rsidRPr="006D5013">
        <w:rPr>
          <w:rtl/>
        </w:rPr>
        <w:tab/>
      </w:r>
      <w:r w:rsidRPr="006D5013">
        <w:rPr>
          <w:rtl/>
        </w:rPr>
        <w:tab/>
        <w:t>التعليم</w:t>
      </w:r>
    </w:p>
    <w:p w14:paraId="766DED26" w14:textId="489B2ADA" w:rsidR="007E1412" w:rsidRPr="006D5013" w:rsidRDefault="007E1412" w:rsidP="007E1412">
      <w:pPr>
        <w:pStyle w:val="SingleTxt"/>
        <w:rPr>
          <w:sz w:val="22"/>
          <w:rtl/>
        </w:rPr>
      </w:pPr>
      <w:r w:rsidRPr="006D5013">
        <w:rPr>
          <w:sz w:val="22"/>
          <w:rtl/>
        </w:rPr>
        <w:t>16</w:t>
      </w:r>
      <w:r w:rsidR="006D5013" w:rsidRPr="006D5013">
        <w:rPr>
          <w:rFonts w:hint="cs"/>
          <w:sz w:val="22"/>
          <w:rtl/>
        </w:rPr>
        <w:t xml:space="preserve"> </w:t>
      </w:r>
      <w:r w:rsidRPr="006D5013">
        <w:rPr>
          <w:sz w:val="22"/>
          <w:rtl/>
        </w:rPr>
        <w:t>-</w:t>
      </w:r>
      <w:r w:rsidRPr="006D5013">
        <w:rPr>
          <w:sz w:val="22"/>
          <w:rtl/>
        </w:rPr>
        <w:tab/>
        <w:t>يُرجى بيان التدابير المتخذة، بما في ذلك التدابير الخاصة المؤقتة، لزيادة معدلات الالتحاق بالمدارس ومعدلات الإنجاز (الفقرات 102-106) والحد من معدلات التسرب من المدارس (الفقرة 107) في</w:t>
      </w:r>
      <w:r w:rsidR="006D5013" w:rsidRPr="006D5013">
        <w:rPr>
          <w:rFonts w:hint="cs"/>
          <w:sz w:val="22"/>
          <w:rtl/>
        </w:rPr>
        <w:t> </w:t>
      </w:r>
      <w:r w:rsidRPr="006D5013">
        <w:rPr>
          <w:sz w:val="22"/>
          <w:rtl/>
        </w:rPr>
        <w:t>صفوف الفتيات، بمن فيهن الفتيات اللواتي يعشن في الشوارع، والفتيات المنتميات إلى مجتمعات الرحل، والفتيات ذوات الإعاقة، في جميع مستويات التعليم، ولا سيما في المناطق الريفية والنائية. ويُرجى تقديم معلومات عن التدابير المتخذة لتشجيع النساء والفتيات على اختيار مجالات الدراسة غير التقليدية، ولا سيما العلوم والتكنولوجيا والهندسة والرياضيات وتكنولوجيا المعلومات والاتصالات. ويُرجى أيضا بيان التدابير المتخذة للقضاء على الأنماط الجنسانية التمييزية في المناهج والكتب المدرسية وأثر التدابير المتخذة للحد من</w:t>
      </w:r>
      <w:r w:rsidR="006D5013" w:rsidRPr="006D5013">
        <w:rPr>
          <w:rFonts w:hint="cs"/>
          <w:sz w:val="22"/>
          <w:rtl/>
        </w:rPr>
        <w:t> </w:t>
      </w:r>
      <w:r w:rsidRPr="006D5013">
        <w:rPr>
          <w:sz w:val="22"/>
          <w:rtl/>
        </w:rPr>
        <w:t>الأمية في صفوف النساء (الفقرتان 107 و 108). ويُرجى تقديم معلومات مستكملة عن التقدم المحرز في</w:t>
      </w:r>
      <w:r w:rsidR="006D5013" w:rsidRPr="006D5013">
        <w:rPr>
          <w:rFonts w:hint="cs"/>
          <w:sz w:val="22"/>
          <w:rtl/>
        </w:rPr>
        <w:t> </w:t>
      </w:r>
      <w:r w:rsidRPr="006D5013">
        <w:rPr>
          <w:sz w:val="22"/>
          <w:rtl/>
        </w:rPr>
        <w:t>استحداث التعليم الشامل للنساء والفتيات ذوات الإعاقة في جميع مستويات التعليم (الفقرة 115).</w:t>
      </w:r>
    </w:p>
    <w:p w14:paraId="21E0B94E" w14:textId="77777777" w:rsidR="006D5013" w:rsidRPr="006D5013" w:rsidRDefault="006D5013" w:rsidP="006D5013">
      <w:pPr>
        <w:pStyle w:val="SingleTxt"/>
        <w:spacing w:after="0" w:line="120" w:lineRule="exact"/>
        <w:rPr>
          <w:sz w:val="10"/>
          <w:rtl/>
        </w:rPr>
      </w:pPr>
    </w:p>
    <w:p w14:paraId="722FD019" w14:textId="1F3E0182" w:rsidR="007E1412" w:rsidRPr="006D5013" w:rsidRDefault="007E1412" w:rsidP="006D5013">
      <w:pPr>
        <w:pStyle w:val="H23"/>
        <w:ind w:left="1267" w:right="1267" w:hanging="1267"/>
        <w:rPr>
          <w:rtl/>
        </w:rPr>
      </w:pPr>
      <w:r w:rsidRPr="006D5013">
        <w:rPr>
          <w:rtl/>
        </w:rPr>
        <w:tab/>
      </w:r>
      <w:r w:rsidRPr="006D5013">
        <w:rPr>
          <w:rtl/>
        </w:rPr>
        <w:tab/>
        <w:t>العمالة</w:t>
      </w:r>
    </w:p>
    <w:p w14:paraId="2F4F54AE" w14:textId="55ADD773" w:rsidR="007E1412" w:rsidRPr="006D5013" w:rsidRDefault="007E1412" w:rsidP="007E1412">
      <w:pPr>
        <w:pStyle w:val="SingleTxt"/>
        <w:rPr>
          <w:sz w:val="22"/>
          <w:rtl/>
        </w:rPr>
      </w:pPr>
      <w:r w:rsidRPr="006D5013">
        <w:rPr>
          <w:sz w:val="22"/>
          <w:rtl/>
        </w:rPr>
        <w:t>17</w:t>
      </w:r>
      <w:r w:rsidR="006D5013" w:rsidRPr="006D5013">
        <w:rPr>
          <w:rFonts w:hint="cs"/>
          <w:sz w:val="22"/>
          <w:rtl/>
        </w:rPr>
        <w:t xml:space="preserve"> </w:t>
      </w:r>
      <w:r w:rsidRPr="006D5013">
        <w:rPr>
          <w:sz w:val="22"/>
          <w:rtl/>
        </w:rPr>
        <w:t>-</w:t>
      </w:r>
      <w:r w:rsidRPr="006D5013">
        <w:rPr>
          <w:sz w:val="22"/>
          <w:rtl/>
        </w:rPr>
        <w:tab/>
        <w:t>يُرجى بيان التدابير المتخذة للحد من البطالة في صفوف النساء وتعزيز فرص حصولهن على العمالة الرسمية، والتصدي لمشكلة الفصل المهني، وسد فجوة الأجور بين الجنسين. ويُرجى كذلك بيان التدابير المتخذة لتوسيع نطاق الحماية في العمالة ونطاق الحماية الاجتماعية بما يشمل النساء العاملات في</w:t>
      </w:r>
      <w:r w:rsidR="006D5013" w:rsidRPr="006D5013">
        <w:rPr>
          <w:rFonts w:hint="cs"/>
          <w:sz w:val="22"/>
          <w:rtl/>
        </w:rPr>
        <w:t> </w:t>
      </w:r>
      <w:r w:rsidRPr="006D5013">
        <w:rPr>
          <w:sz w:val="22"/>
          <w:rtl/>
        </w:rPr>
        <w:t xml:space="preserve">الاقتصاد غير الرسمي. ويُرجى أيضا تقديم معلومات عن التدابير المتخذة لتشجيع النساء على السعي إلى الحصول على الوظائف في المهن التي يهيمن عليها الذكور تقليديا، مثل العلوم والتكنولوجيا والهندسة وفي المناصب الإدارية، وتقديم البيانات الإحصائية ذات الصلة. ويُرجى تقديم معلومات عن عدد ونتائج </w:t>
      </w:r>
      <w:r w:rsidRPr="006D5013">
        <w:rPr>
          <w:sz w:val="22"/>
          <w:rtl/>
        </w:rPr>
        <w:lastRenderedPageBreak/>
        <w:t>الشكاوى المقدمة من النساء بشأن التمييز والتحرش الجنسي في مكان العمل وعن فعالية عمليات التفتيش المتعلقة بالعمل وغيرها من آليات الرقابة في الدولة الطرف. ويُرجى بيان الكيفية التي تُنْفِذ بها الدولة الطرف الامتثال للقانون المتعلق بالعمال المنزليين وترصده (الفقرة 128)، بما في ذلك عدد عمليات التفتيش المتعلقة بالعمل في الأسر المعيشية الخاصة والغرامات المفروضة على أصحاب العمل الذين يرتكبون إساءات. ويُرجى تقديم معلومات عن التدابير المتخذة للتصديق على اتفاقية منظمة العمل الدولية المتعلقة بالعمال المنزليين، 2011 (رقم 189). ويُرجى أيضا تقديم معلومات عن التدابير المتخذة لتمكين الأمهات الشابات من العودة إلى العمل، بما في ذلك عن طريق تعزيز ترتيبات الدوام المرنة وتقاسم المرأة والرجل للمسؤوليات الأسرية على قدم المساواة، وتوفير مرافق ملائمة لرعاية الأطفال، وتقديم حوافز لأرباب العمل.</w:t>
      </w:r>
    </w:p>
    <w:p w14:paraId="6F9E441B" w14:textId="77777777" w:rsidR="006D5013" w:rsidRPr="006D5013" w:rsidRDefault="006D5013" w:rsidP="006D5013">
      <w:pPr>
        <w:pStyle w:val="SingleTxt"/>
        <w:spacing w:after="0" w:line="120" w:lineRule="exact"/>
        <w:rPr>
          <w:sz w:val="10"/>
          <w:rtl/>
        </w:rPr>
      </w:pPr>
    </w:p>
    <w:p w14:paraId="11706BF5" w14:textId="4A3508C5" w:rsidR="007E1412" w:rsidRPr="006D5013" w:rsidRDefault="007E1412" w:rsidP="006D5013">
      <w:pPr>
        <w:pStyle w:val="H23"/>
        <w:ind w:left="1267" w:right="1267" w:hanging="1267"/>
        <w:rPr>
          <w:rtl/>
        </w:rPr>
      </w:pPr>
      <w:r w:rsidRPr="006D5013">
        <w:rPr>
          <w:rtl/>
        </w:rPr>
        <w:tab/>
      </w:r>
      <w:r w:rsidRPr="006D5013">
        <w:rPr>
          <w:rtl/>
        </w:rPr>
        <w:tab/>
        <w:t>الصحة</w:t>
      </w:r>
    </w:p>
    <w:p w14:paraId="20EA5A31" w14:textId="5E324DE7" w:rsidR="007E1412" w:rsidRPr="006D5013" w:rsidRDefault="007E1412" w:rsidP="007E1412">
      <w:pPr>
        <w:pStyle w:val="SingleTxt"/>
        <w:rPr>
          <w:sz w:val="22"/>
          <w:rtl/>
        </w:rPr>
      </w:pPr>
      <w:r w:rsidRPr="006D5013">
        <w:rPr>
          <w:sz w:val="22"/>
          <w:rtl/>
        </w:rPr>
        <w:t>18</w:t>
      </w:r>
      <w:r w:rsidR="006D5013" w:rsidRPr="006D5013">
        <w:rPr>
          <w:rFonts w:hint="cs"/>
          <w:sz w:val="22"/>
          <w:rtl/>
        </w:rPr>
        <w:t xml:space="preserve"> </w:t>
      </w:r>
      <w:r w:rsidRPr="006D5013">
        <w:rPr>
          <w:sz w:val="22"/>
          <w:rtl/>
        </w:rPr>
        <w:t>-</w:t>
      </w:r>
      <w:r w:rsidRPr="006D5013">
        <w:rPr>
          <w:sz w:val="22"/>
          <w:rtl/>
        </w:rPr>
        <w:tab/>
      </w:r>
      <w:r w:rsidRPr="006D5013">
        <w:rPr>
          <w:spacing w:val="-2"/>
          <w:sz w:val="22"/>
          <w:rtl/>
        </w:rPr>
        <w:t>يُرجى بيان التدابير المتخذة لخفض معدل وفيات الأمومة وتعزيز إمكانية حصول النساء والفتيات على الرعاية الصحية، بما في ذلك خدمات الصحة الجنسية والإنجابية، ولا سيما في المناطق الريفية والنائية. ويُرجى أيضا بيان ما إذا كان الإجهاض قانونيا، على الأقل في حالات الاغتصاب، أو سفاح المحارم، أو</w:t>
      </w:r>
      <w:r w:rsidR="006D5013" w:rsidRPr="006D5013">
        <w:rPr>
          <w:rFonts w:hint="cs"/>
          <w:spacing w:val="-2"/>
          <w:sz w:val="22"/>
          <w:rtl/>
        </w:rPr>
        <w:t> </w:t>
      </w:r>
      <w:r w:rsidRPr="006D5013">
        <w:rPr>
          <w:spacing w:val="-2"/>
          <w:sz w:val="22"/>
          <w:rtl/>
        </w:rPr>
        <w:t>تعرض حياة الحامل أو صحتها للخطر، أو إصابة الجنين بتشوهات بالغة، وما إذا كان غير</w:t>
      </w:r>
      <w:r w:rsidR="006D5013" w:rsidRPr="006D5013">
        <w:rPr>
          <w:rFonts w:hint="cs"/>
          <w:spacing w:val="-2"/>
          <w:sz w:val="22"/>
          <w:rtl/>
        </w:rPr>
        <w:t> </w:t>
      </w:r>
      <w:r w:rsidRPr="006D5013">
        <w:rPr>
          <w:spacing w:val="-2"/>
          <w:sz w:val="22"/>
          <w:rtl/>
        </w:rPr>
        <w:t>مُجرَّم في جميع الحالات الأخرى في الدولة الطرف. ويُرجى تقديم معلومات عن التدابير المتخذة لضمان إتاحة إمكانية حصول النساء والمراهقات على خدمات الإجهاض وما بعد الإجهاض المأمونة وأشكال منع الحمل الحديثة بتكلفة ميسورة بدون موافقة الزوج أو الوالدين. ويُرجى أيضا تقديم معلومات عن مدى توافر التربية الجنسية الملائمة للفئة العمرية في جميع مستويات التعليم، بما في ذلك في المناطق الريفية والنائية</w:t>
      </w:r>
      <w:r w:rsidRPr="006D5013">
        <w:rPr>
          <w:sz w:val="22"/>
          <w:rtl/>
        </w:rPr>
        <w:t>.</w:t>
      </w:r>
    </w:p>
    <w:p w14:paraId="5992C884" w14:textId="2C4E8960" w:rsidR="007E1412" w:rsidRPr="006D5013" w:rsidRDefault="007E1412" w:rsidP="007E1412">
      <w:pPr>
        <w:pStyle w:val="SingleTxt"/>
        <w:rPr>
          <w:sz w:val="22"/>
          <w:rtl/>
        </w:rPr>
      </w:pPr>
      <w:r w:rsidRPr="006D5013">
        <w:rPr>
          <w:sz w:val="22"/>
          <w:rtl/>
        </w:rPr>
        <w:t>19</w:t>
      </w:r>
      <w:r w:rsidR="006D5013" w:rsidRPr="006D5013">
        <w:rPr>
          <w:rFonts w:hint="cs"/>
          <w:sz w:val="22"/>
          <w:rtl/>
        </w:rPr>
        <w:t xml:space="preserve"> </w:t>
      </w:r>
      <w:r w:rsidRPr="006D5013">
        <w:rPr>
          <w:sz w:val="22"/>
          <w:rtl/>
        </w:rPr>
        <w:t>-</w:t>
      </w:r>
      <w:r w:rsidRPr="006D5013">
        <w:rPr>
          <w:sz w:val="22"/>
          <w:rtl/>
        </w:rPr>
        <w:tab/>
        <w:t>ويُرجى بيان النسبة المئوية للنساء والفتيات اللواتي يتمتعن بالتأمين الصحي في الدولة الطرف، بما</w:t>
      </w:r>
      <w:r w:rsidR="006D5013" w:rsidRPr="006D5013">
        <w:rPr>
          <w:rFonts w:hint="cs"/>
          <w:sz w:val="22"/>
          <w:rtl/>
        </w:rPr>
        <w:t> </w:t>
      </w:r>
      <w:r w:rsidRPr="006D5013">
        <w:rPr>
          <w:sz w:val="22"/>
          <w:rtl/>
        </w:rPr>
        <w:t>في ذلك في سياق جائحة كوفيد-19. ويُرجى تقديم معلومات عن أثر الخطة الوطنية المتعلقة بصحة الأشخاص ذوي الإعاقة للفترة 2015-2021 على تحسين إمكانية حصول النساء والفتيات ذوات الإعاقة على الخدمات الصحية. ويُرجى بيان التدابير المتخذة لضمان عدم إيداع النساء والفتيات ذوات الإعاقة في</w:t>
      </w:r>
      <w:r w:rsidR="006D5013" w:rsidRPr="006D5013">
        <w:rPr>
          <w:rFonts w:hint="cs"/>
          <w:sz w:val="22"/>
          <w:rtl/>
        </w:rPr>
        <w:t> </w:t>
      </w:r>
      <w:r w:rsidRPr="006D5013">
        <w:rPr>
          <w:sz w:val="22"/>
          <w:rtl/>
        </w:rPr>
        <w:t>مؤسسات الصحة العقلية وعدم إجراء أي تدخلات طبية لهن دون موافقتهن الحرة والكاملة والمستنيرة.</w:t>
      </w:r>
    </w:p>
    <w:p w14:paraId="7A2B4201" w14:textId="77777777" w:rsidR="006D5013" w:rsidRPr="006D5013" w:rsidRDefault="006D5013" w:rsidP="006D5013">
      <w:pPr>
        <w:pStyle w:val="SingleTxt"/>
        <w:spacing w:after="0" w:line="120" w:lineRule="exact"/>
        <w:rPr>
          <w:sz w:val="10"/>
          <w:rtl/>
        </w:rPr>
      </w:pPr>
    </w:p>
    <w:p w14:paraId="6F234B10" w14:textId="5BF8FDBE" w:rsidR="007E1412" w:rsidRPr="006D5013" w:rsidRDefault="007E1412" w:rsidP="006D5013">
      <w:pPr>
        <w:pStyle w:val="H23"/>
        <w:ind w:left="1267" w:right="1267" w:hanging="1267"/>
        <w:rPr>
          <w:rtl/>
        </w:rPr>
      </w:pPr>
      <w:r w:rsidRPr="006D5013">
        <w:rPr>
          <w:rtl/>
        </w:rPr>
        <w:tab/>
      </w:r>
      <w:r w:rsidRPr="006D5013">
        <w:rPr>
          <w:rtl/>
        </w:rPr>
        <w:tab/>
        <w:t>التمكين الاقتصادي والاستحقاقات الاجتماعية</w:t>
      </w:r>
    </w:p>
    <w:p w14:paraId="3803A038" w14:textId="6890145A" w:rsidR="007E1412" w:rsidRPr="006D5013" w:rsidRDefault="007E1412" w:rsidP="007E1412">
      <w:pPr>
        <w:pStyle w:val="SingleTxt"/>
        <w:rPr>
          <w:sz w:val="22"/>
          <w:rtl/>
        </w:rPr>
      </w:pPr>
      <w:r w:rsidRPr="006D5013">
        <w:rPr>
          <w:sz w:val="22"/>
          <w:rtl/>
        </w:rPr>
        <w:t>20</w:t>
      </w:r>
      <w:r w:rsidR="006D5013" w:rsidRPr="006D5013">
        <w:rPr>
          <w:rFonts w:hint="cs"/>
          <w:sz w:val="22"/>
          <w:rtl/>
        </w:rPr>
        <w:t xml:space="preserve"> </w:t>
      </w:r>
      <w:r w:rsidRPr="006D5013">
        <w:rPr>
          <w:sz w:val="22"/>
          <w:rtl/>
        </w:rPr>
        <w:t>-</w:t>
      </w:r>
      <w:r w:rsidRPr="006D5013">
        <w:rPr>
          <w:sz w:val="22"/>
          <w:rtl/>
        </w:rPr>
        <w:tab/>
        <w:t>يُرجى تقديم معلومات عن إمكانية حصول النساء على القروض والائتمانات المالية، دون اشتراط الضمانات. ويُرجى الإشارة إلى التدابير المتخذة لإلغاء الأحكام التمييزية المتعلقة بحيازة النساء للأراضي وغيرها من الممتلكات. ويُرجى بيان النسبة المئوية للأعمال التجارية التي تديرها النساء والتدابير المتخذة لتشجيع النساء على ريادة الأعمال.</w:t>
      </w:r>
    </w:p>
    <w:p w14:paraId="3AA77B58" w14:textId="77777777" w:rsidR="006D5013" w:rsidRPr="006D5013" w:rsidRDefault="006D5013" w:rsidP="006D5013">
      <w:pPr>
        <w:pStyle w:val="SingleTxt"/>
        <w:spacing w:after="0" w:line="120" w:lineRule="exact"/>
        <w:rPr>
          <w:sz w:val="10"/>
          <w:rtl/>
        </w:rPr>
      </w:pPr>
    </w:p>
    <w:p w14:paraId="7E266479" w14:textId="619C0CE4" w:rsidR="007E1412" w:rsidRPr="006D5013" w:rsidRDefault="007E1412" w:rsidP="006D5013">
      <w:pPr>
        <w:pStyle w:val="H23"/>
        <w:ind w:left="1267" w:right="1267" w:hanging="1267"/>
        <w:rPr>
          <w:rtl/>
        </w:rPr>
      </w:pPr>
      <w:r w:rsidRPr="006D5013">
        <w:rPr>
          <w:rtl/>
        </w:rPr>
        <w:tab/>
      </w:r>
      <w:r w:rsidRPr="006D5013">
        <w:rPr>
          <w:rtl/>
        </w:rPr>
        <w:tab/>
        <w:t>المرأة الريفية</w:t>
      </w:r>
    </w:p>
    <w:p w14:paraId="21E977E3" w14:textId="11AA5995" w:rsidR="007E1412" w:rsidRPr="006D5013" w:rsidRDefault="007E1412" w:rsidP="007E1412">
      <w:pPr>
        <w:pStyle w:val="SingleTxt"/>
        <w:rPr>
          <w:sz w:val="22"/>
          <w:rtl/>
        </w:rPr>
      </w:pPr>
      <w:r w:rsidRPr="006D5013">
        <w:rPr>
          <w:sz w:val="22"/>
          <w:rtl/>
        </w:rPr>
        <w:t>21</w:t>
      </w:r>
      <w:r w:rsidR="006D5013" w:rsidRPr="006D5013">
        <w:rPr>
          <w:sz w:val="22"/>
        </w:rPr>
        <w:t xml:space="preserve"> </w:t>
      </w:r>
      <w:r w:rsidRPr="006D5013">
        <w:rPr>
          <w:sz w:val="22"/>
          <w:rtl/>
        </w:rPr>
        <w:t>-</w:t>
      </w:r>
      <w:r w:rsidRPr="006D5013">
        <w:rPr>
          <w:sz w:val="22"/>
          <w:rtl/>
        </w:rPr>
        <w:tab/>
        <w:t xml:space="preserve">تمشيا مع التوصية العامة رقم </w:t>
      </w:r>
      <w:r w:rsidRPr="002E1CE4">
        <w:rPr>
          <w:sz w:val="22"/>
          <w:rtl/>
        </w:rPr>
        <w:t>34 (2016)</w:t>
      </w:r>
      <w:r w:rsidRPr="006D5013">
        <w:rPr>
          <w:sz w:val="22"/>
          <w:rtl/>
        </w:rPr>
        <w:t xml:space="preserve"> للجنة بشأن حقوق المرأة الريفية، يُرجى بيان التدابير المتخذة لتعزيز إمكانية لجوء المرأة الريفية إلى القضاء وحصولها على التعليم والعمالة والرعاية الصحية، بما</w:t>
      </w:r>
      <w:r w:rsidR="006D5013" w:rsidRPr="006D5013">
        <w:rPr>
          <w:rFonts w:hint="cs"/>
          <w:sz w:val="22"/>
          <w:rtl/>
        </w:rPr>
        <w:t> </w:t>
      </w:r>
      <w:r w:rsidRPr="006D5013">
        <w:rPr>
          <w:sz w:val="22"/>
          <w:rtl/>
        </w:rPr>
        <w:t xml:space="preserve">في ذلك خدمات الصحة الجنسية والإنجابية، والحماية الاجتماعية، وخدمات النقل العام، وإمكانية الوصول إلى الإنترنت وتكنولوجيات الاتصالات. ويُرجى تقديم معلومات عن إمكانية الوصول إلى ملكية الأراضي واستخدامها بالنسبة للنساء الريفيات، بمن فيهن النساء السلاليات. ويُرجى بيان التدابير المتخذة </w:t>
      </w:r>
      <w:r w:rsidRPr="006D5013">
        <w:rPr>
          <w:sz w:val="22"/>
          <w:rtl/>
        </w:rPr>
        <w:lastRenderedPageBreak/>
        <w:t xml:space="preserve">لتحسين ظروف عمل النساء في الزراعة والنساء من </w:t>
      </w:r>
      <w:r w:rsidR="006D5013" w:rsidRPr="006D5013">
        <w:rPr>
          <w:rFonts w:hint="cs"/>
          <w:sz w:val="22"/>
          <w:rtl/>
        </w:rPr>
        <w:t>”</w:t>
      </w:r>
      <w:r w:rsidRPr="006D5013">
        <w:rPr>
          <w:sz w:val="22"/>
          <w:rtl/>
        </w:rPr>
        <w:t>مساعِدات الأسرة</w:t>
      </w:r>
      <w:r w:rsidR="006D5013" w:rsidRPr="006D5013">
        <w:rPr>
          <w:rFonts w:hint="cs"/>
          <w:sz w:val="22"/>
          <w:rtl/>
        </w:rPr>
        <w:t>“</w:t>
      </w:r>
      <w:r w:rsidRPr="006D5013">
        <w:rPr>
          <w:sz w:val="22"/>
          <w:rtl/>
        </w:rPr>
        <w:t>، وبيان أثر تلك التدابير. ويُرجى أيضا بيان التدابير المتخذة لضمان إمكانية مشاركة النساء الريفيات في صياغة البرامج والسياسات الزراعية وتنفيذها (</w:t>
      </w:r>
      <w:hyperlink r:id="rId20" w:history="1">
        <w:r w:rsidRPr="006D5013">
          <w:rPr>
            <w:rStyle w:val="Hyperlink"/>
            <w:sz w:val="22"/>
          </w:rPr>
          <w:t>CEDAW/C/MAR/CO/4</w:t>
        </w:r>
      </w:hyperlink>
      <w:r w:rsidRPr="006D5013">
        <w:rPr>
          <w:sz w:val="22"/>
          <w:rtl/>
        </w:rPr>
        <w:t>، الفقرة 33)، بما في ذلك مخطط المغرب الأخضر (الفقرة 207).</w:t>
      </w:r>
    </w:p>
    <w:p w14:paraId="4B7F697E" w14:textId="77777777" w:rsidR="006D5013" w:rsidRPr="006D5013" w:rsidRDefault="006D5013" w:rsidP="006D5013">
      <w:pPr>
        <w:pStyle w:val="SingleTxt"/>
        <w:spacing w:after="0" w:line="120" w:lineRule="exact"/>
        <w:rPr>
          <w:sz w:val="10"/>
          <w:rtl/>
        </w:rPr>
      </w:pPr>
    </w:p>
    <w:p w14:paraId="14A8F1BF" w14:textId="3C8167FF" w:rsidR="007E1412" w:rsidRPr="006D5013" w:rsidRDefault="007E1412" w:rsidP="006D5013">
      <w:pPr>
        <w:pStyle w:val="H23"/>
        <w:ind w:left="1267" w:right="1267" w:hanging="1267"/>
        <w:rPr>
          <w:rtl/>
        </w:rPr>
      </w:pPr>
      <w:r w:rsidRPr="006D5013">
        <w:rPr>
          <w:rtl/>
        </w:rPr>
        <w:tab/>
      </w:r>
      <w:r w:rsidRPr="006D5013">
        <w:rPr>
          <w:rtl/>
        </w:rPr>
        <w:tab/>
        <w:t>الفئات المحرومة من النساء</w:t>
      </w:r>
    </w:p>
    <w:p w14:paraId="304EDB4B" w14:textId="5B184BE7" w:rsidR="007E1412" w:rsidRPr="006D5013" w:rsidRDefault="007E1412" w:rsidP="007E1412">
      <w:pPr>
        <w:pStyle w:val="SingleTxt"/>
        <w:rPr>
          <w:sz w:val="22"/>
          <w:rtl/>
        </w:rPr>
      </w:pPr>
      <w:r w:rsidRPr="006D5013">
        <w:rPr>
          <w:sz w:val="22"/>
          <w:rtl/>
        </w:rPr>
        <w:t>22</w:t>
      </w:r>
      <w:r w:rsidR="006D5013" w:rsidRPr="006D5013">
        <w:rPr>
          <w:rFonts w:hint="cs"/>
          <w:sz w:val="22"/>
          <w:rtl/>
        </w:rPr>
        <w:t xml:space="preserve"> </w:t>
      </w:r>
      <w:r w:rsidRPr="006D5013">
        <w:rPr>
          <w:sz w:val="22"/>
          <w:rtl/>
        </w:rPr>
        <w:t>-</w:t>
      </w:r>
      <w:r w:rsidRPr="006D5013">
        <w:rPr>
          <w:sz w:val="22"/>
          <w:rtl/>
        </w:rPr>
        <w:tab/>
        <w:t>يُرجى تحديد التدابير المتخذة من أجل ما يلي:</w:t>
      </w:r>
    </w:p>
    <w:p w14:paraId="5C3F9AD8" w14:textId="1DD3625F" w:rsidR="007E1412" w:rsidRPr="006D5013" w:rsidRDefault="006D5013" w:rsidP="007E1412">
      <w:pPr>
        <w:pStyle w:val="SingleTxt"/>
        <w:rPr>
          <w:sz w:val="22"/>
          <w:rtl/>
        </w:rPr>
      </w:pPr>
      <w:r w:rsidRPr="006D5013">
        <w:rPr>
          <w:sz w:val="22"/>
          <w:rtl/>
        </w:rPr>
        <w:tab/>
      </w:r>
      <w:r w:rsidR="007E1412" w:rsidRPr="006D5013">
        <w:rPr>
          <w:sz w:val="22"/>
          <w:rtl/>
        </w:rPr>
        <w:t>(أ)</w:t>
      </w:r>
      <w:r w:rsidRPr="006D5013">
        <w:rPr>
          <w:sz w:val="22"/>
          <w:rtl/>
        </w:rPr>
        <w:tab/>
      </w:r>
      <w:r w:rsidR="007E1412" w:rsidRPr="006D5013">
        <w:rPr>
          <w:sz w:val="22"/>
          <w:rtl/>
        </w:rPr>
        <w:t>ضمان إمكانية حصول المسنات، بمن فيهن الأرامل، على الرعاية الصحية، والحماية الاجتماعية، والدعم المالي، وخيارات السكن؛</w:t>
      </w:r>
    </w:p>
    <w:p w14:paraId="0F243F11" w14:textId="6E1ED0B1" w:rsidR="007E1412" w:rsidRPr="006D5013" w:rsidRDefault="006D5013" w:rsidP="007E1412">
      <w:pPr>
        <w:pStyle w:val="SingleTxt"/>
        <w:rPr>
          <w:sz w:val="22"/>
          <w:rtl/>
        </w:rPr>
      </w:pPr>
      <w:r w:rsidRPr="006D5013">
        <w:rPr>
          <w:sz w:val="22"/>
          <w:rtl/>
        </w:rPr>
        <w:tab/>
      </w:r>
      <w:r w:rsidR="007E1412" w:rsidRPr="006D5013">
        <w:rPr>
          <w:sz w:val="22"/>
          <w:rtl/>
        </w:rPr>
        <w:t>(ب)</w:t>
      </w:r>
      <w:r w:rsidRPr="006D5013">
        <w:rPr>
          <w:sz w:val="22"/>
          <w:rtl/>
        </w:rPr>
        <w:tab/>
      </w:r>
      <w:r w:rsidR="007E1412" w:rsidRPr="006D5013">
        <w:rPr>
          <w:sz w:val="22"/>
          <w:rtl/>
        </w:rPr>
        <w:t>ضمان إمكانية حصول النساء ذوات الإعاقة على التعليم الشامل للجميع، والعمالة، والرعاية الصحية والمعلومات المتعلقة بتنظيم الأسرة، وحق التعاقد على الزواج؛</w:t>
      </w:r>
    </w:p>
    <w:p w14:paraId="7C94268B" w14:textId="12408CB7" w:rsidR="007E1412" w:rsidRPr="006D5013" w:rsidRDefault="006D5013" w:rsidP="007E1412">
      <w:pPr>
        <w:pStyle w:val="SingleTxt"/>
        <w:rPr>
          <w:sz w:val="22"/>
          <w:rtl/>
        </w:rPr>
      </w:pPr>
      <w:r w:rsidRPr="006D5013">
        <w:rPr>
          <w:sz w:val="22"/>
          <w:rtl/>
        </w:rPr>
        <w:tab/>
      </w:r>
      <w:r w:rsidR="007E1412" w:rsidRPr="006D5013">
        <w:rPr>
          <w:sz w:val="22"/>
          <w:rtl/>
        </w:rPr>
        <w:t>(ج)</w:t>
      </w:r>
      <w:r w:rsidRPr="006D5013">
        <w:rPr>
          <w:sz w:val="22"/>
          <w:rtl/>
        </w:rPr>
        <w:tab/>
      </w:r>
      <w:r w:rsidR="007E1412" w:rsidRPr="006D5013">
        <w:rPr>
          <w:sz w:val="22"/>
          <w:rtl/>
        </w:rPr>
        <w:t>التصدي لمشكلة وصم الأمهات العازبات وتقديم الدعم لهن، بما في ذلك من خلال خطط الحماية الاجتماعية وخطط دعم الطفل، وإجراءات الاعتراف بالأبوة، وإنفاذ الالتزامات المتعلقة بالنفقة والإعالة التي تقع على عاتق أزواجهن السابقين وآباء أطفالهن.</w:t>
      </w:r>
    </w:p>
    <w:p w14:paraId="5E968A18" w14:textId="77777777" w:rsidR="006D5013" w:rsidRPr="006D5013" w:rsidRDefault="006D5013" w:rsidP="006D5013">
      <w:pPr>
        <w:pStyle w:val="SingleTxt"/>
        <w:spacing w:after="0" w:line="120" w:lineRule="exact"/>
        <w:rPr>
          <w:sz w:val="10"/>
          <w:rtl/>
        </w:rPr>
      </w:pPr>
    </w:p>
    <w:p w14:paraId="5A97AB9D" w14:textId="516303D3" w:rsidR="007E1412" w:rsidRPr="006D5013" w:rsidRDefault="007E1412" w:rsidP="006D5013">
      <w:pPr>
        <w:pStyle w:val="H23"/>
        <w:ind w:left="1267" w:right="1267" w:hanging="1267"/>
        <w:rPr>
          <w:rtl/>
        </w:rPr>
      </w:pPr>
      <w:r w:rsidRPr="006D5013">
        <w:rPr>
          <w:rtl/>
        </w:rPr>
        <w:tab/>
      </w:r>
      <w:r w:rsidRPr="006D5013">
        <w:rPr>
          <w:rtl/>
        </w:rPr>
        <w:tab/>
        <w:t>الزواج والعلاقات الأسرية</w:t>
      </w:r>
    </w:p>
    <w:p w14:paraId="3F7BD1C9" w14:textId="4F3B5E1A" w:rsidR="007E1412" w:rsidRPr="006D5013" w:rsidRDefault="007E1412" w:rsidP="006D5013">
      <w:pPr>
        <w:pStyle w:val="SingleTxt"/>
        <w:rPr>
          <w:sz w:val="22"/>
          <w:rtl/>
        </w:rPr>
      </w:pPr>
      <w:r w:rsidRPr="006D5013">
        <w:rPr>
          <w:sz w:val="22"/>
          <w:rtl/>
        </w:rPr>
        <w:t>23</w:t>
      </w:r>
      <w:r w:rsidR="006D5013" w:rsidRPr="006D5013">
        <w:rPr>
          <w:rFonts w:hint="cs"/>
          <w:sz w:val="22"/>
          <w:rtl/>
        </w:rPr>
        <w:t xml:space="preserve"> </w:t>
      </w:r>
      <w:r w:rsidRPr="006D5013">
        <w:rPr>
          <w:sz w:val="22"/>
          <w:rtl/>
        </w:rPr>
        <w:t>-</w:t>
      </w:r>
      <w:r w:rsidRPr="006D5013">
        <w:rPr>
          <w:sz w:val="22"/>
          <w:rtl/>
        </w:rPr>
        <w:tab/>
        <w:t>يُرجى بيان التدابير المتخذة لضمان الإنفاذ الفعال لسن الزواج الأدنى عند سن 18 سنة دون استثناء، بما في ذلك في الزيجات الدينية، وحظر تعدد الزوجات (</w:t>
      </w:r>
      <w:hyperlink r:id="rId21" w:history="1">
        <w:r w:rsidRPr="006D5013">
          <w:rPr>
            <w:rStyle w:val="Hyperlink"/>
            <w:sz w:val="22"/>
          </w:rPr>
          <w:t>CEDAW/C/MAR/CO/4</w:t>
        </w:r>
      </w:hyperlink>
      <w:r w:rsidRPr="006D5013">
        <w:rPr>
          <w:sz w:val="22"/>
          <w:rtl/>
        </w:rPr>
        <w:t>، الفقرة</w:t>
      </w:r>
      <w:r w:rsidR="006D5013" w:rsidRPr="006D5013">
        <w:rPr>
          <w:rFonts w:hint="cs"/>
          <w:sz w:val="22"/>
          <w:rtl/>
        </w:rPr>
        <w:t> </w:t>
      </w:r>
      <w:r w:rsidRPr="006D5013">
        <w:rPr>
          <w:sz w:val="22"/>
          <w:rtl/>
        </w:rPr>
        <w:t>37)، تمشيا مع التوصية العامة رقم 31/التعليق العام رقم 18 الصادرين بصفة مشتركة. ويُرجى بيان الكيفية التي تأخذ بها المحاكم الوطنية في الاعتبار المساهمات غير المالية للمرأة في اقتصاد الأسرة (الفقرة</w:t>
      </w:r>
      <w:r w:rsidR="006D5013" w:rsidRPr="006D5013">
        <w:rPr>
          <w:rFonts w:hint="cs"/>
          <w:sz w:val="22"/>
          <w:rtl/>
        </w:rPr>
        <w:t> </w:t>
      </w:r>
      <w:r w:rsidRPr="006D5013">
        <w:rPr>
          <w:sz w:val="22"/>
          <w:rtl/>
        </w:rPr>
        <w:t>228) عند تقسيم ممتلكات الزوجية في إجراءات الطلاق، ويُرجى تقديم بيانات إحصائية ذات صلة بذلك. ويُرجى كذلك تقديم معلومات عن التدابير المتخذة لإلغاء الأحكام التمييزية المتعلقة بالزواج، والطلاق، وحضانة الأطفال والوصاية القانونية عليهم، وتقسيم الممتلكات والميراث، بما في ذلك فيما يتعلق بالأزواج غير المسلمين.</w:t>
      </w:r>
    </w:p>
    <w:p w14:paraId="74CE5D01" w14:textId="29008364" w:rsidR="007E1412" w:rsidRPr="006D5013" w:rsidRDefault="006D5013" w:rsidP="006D5013">
      <w:pPr>
        <w:pStyle w:val="SingleTxt"/>
        <w:spacing w:after="0" w:line="240" w:lineRule="auto"/>
      </w:pPr>
      <w:r w:rsidRPr="006D5013">
        <w:rPr>
          <w:rFonts w:hint="cs"/>
          <w:noProof/>
        </w:rPr>
        <mc:AlternateContent>
          <mc:Choice Requires="wps">
            <w:drawing>
              <wp:anchor distT="0" distB="0" distL="114300" distR="114300" simplePos="0" relativeHeight="251659264" behindDoc="0" locked="0" layoutInCell="1" allowOverlap="1" wp14:anchorId="13BD606F" wp14:editId="0D419202">
                <wp:simplePos x="0" y="0"/>
                <wp:positionH relativeFrom="column">
                  <wp:posOffset>2623820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F0B007"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7E1412" w:rsidRPr="006D5013" w:rsidSect="001C0561">
      <w:endnotePr>
        <w:numFmt w:val="decimal"/>
      </w:endnotePr>
      <w:type w:val="continuous"/>
      <w:pgSz w:w="12240" w:h="15840" w:code="1"/>
      <w:pgMar w:top="1440" w:right="1200" w:bottom="1152" w:left="1200" w:header="432" w:footer="504" w:gutter="0"/>
      <w:cols w:space="720"/>
      <w:noEndnote/>
      <w:bidi/>
      <w:rtlGutter/>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12-07T15:54:00Z" w:initials="Start">
    <w:p w14:paraId="1FB3AEB2" w14:textId="77777777" w:rsidR="00B4229B" w:rsidRDefault="00B4229B">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NO&gt;&gt;N2031981A&lt;&lt;ODS JOB NO</w:t>
      </w:r>
      <w:r>
        <w:rPr>
          <w:rtl/>
        </w:rPr>
        <w:t>&gt;&gt;</w:t>
      </w:r>
    </w:p>
    <w:p w14:paraId="4B419B16" w14:textId="77777777" w:rsidR="00B4229B" w:rsidRDefault="00B4229B">
      <w:pPr>
        <w:pStyle w:val="CommentText"/>
        <w:rPr>
          <w:rtl/>
        </w:rPr>
      </w:pPr>
      <w:r>
        <w:rPr>
          <w:rtl/>
        </w:rPr>
        <w:t>&lt;&lt;</w:t>
      </w:r>
      <w:r>
        <w:t>ODS DOC SYMBOL1&gt;&gt;CEDAW/C/MAR/Q/5-6&lt;&lt;ODS DOC SYMBOL1</w:t>
      </w:r>
      <w:r>
        <w:rPr>
          <w:rtl/>
        </w:rPr>
        <w:t>&gt;&gt;</w:t>
      </w:r>
    </w:p>
    <w:p w14:paraId="2EE76C37" w14:textId="77777777" w:rsidR="00B4229B" w:rsidRDefault="00B4229B">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E76C3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E76C37" w16cid:durableId="2379F3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A611A" w14:textId="77777777" w:rsidR="00A96202" w:rsidRDefault="00A96202" w:rsidP="00693CF9">
      <w:pPr>
        <w:spacing w:line="240" w:lineRule="auto"/>
      </w:pPr>
      <w:r>
        <w:separator/>
      </w:r>
    </w:p>
  </w:endnote>
  <w:endnote w:type="continuationSeparator" w:id="0">
    <w:p w14:paraId="7A4E83FD" w14:textId="77777777" w:rsidR="00A96202" w:rsidRDefault="00A96202"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4229B" w14:paraId="677E244F" w14:textId="77777777" w:rsidTr="00B4229B">
      <w:tc>
        <w:tcPr>
          <w:tcW w:w="4920" w:type="dxa"/>
          <w:shd w:val="clear" w:color="auto" w:fill="auto"/>
        </w:tcPr>
        <w:p w14:paraId="5295B976" w14:textId="77777777" w:rsidR="00B4229B" w:rsidRPr="00B4229B" w:rsidRDefault="00B4229B" w:rsidP="00B4229B">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54F8CA85" w14:textId="29EEB859" w:rsidR="00B4229B" w:rsidRPr="00B4229B" w:rsidRDefault="00B4229B" w:rsidP="00B4229B">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D77952">
            <w:rPr>
              <w:b w:val="0"/>
              <w:w w:val="103"/>
            </w:rPr>
            <w:t>20-15473</w:t>
          </w:r>
          <w:r>
            <w:rPr>
              <w:b w:val="0"/>
              <w:w w:val="103"/>
            </w:rPr>
            <w:fldChar w:fldCharType="end"/>
          </w:r>
        </w:p>
      </w:tc>
    </w:tr>
  </w:tbl>
  <w:p w14:paraId="6D43DC4A" w14:textId="77777777" w:rsidR="00B4229B" w:rsidRPr="00B4229B" w:rsidRDefault="00B4229B" w:rsidP="00B422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4229B" w14:paraId="026C633A" w14:textId="77777777" w:rsidTr="00B4229B">
      <w:tc>
        <w:tcPr>
          <w:tcW w:w="4920" w:type="dxa"/>
          <w:shd w:val="clear" w:color="auto" w:fill="auto"/>
        </w:tcPr>
        <w:p w14:paraId="0A4ADEA5" w14:textId="45E1157B" w:rsidR="00B4229B" w:rsidRPr="00B4229B" w:rsidRDefault="00B4229B" w:rsidP="00B4229B">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D77952">
            <w:rPr>
              <w:b w:val="0"/>
              <w:w w:val="103"/>
            </w:rPr>
            <w:t>20-15473</w:t>
          </w:r>
          <w:r>
            <w:rPr>
              <w:b w:val="0"/>
              <w:w w:val="103"/>
            </w:rPr>
            <w:fldChar w:fldCharType="end"/>
          </w:r>
        </w:p>
      </w:tc>
      <w:tc>
        <w:tcPr>
          <w:tcW w:w="4920" w:type="dxa"/>
          <w:shd w:val="clear" w:color="auto" w:fill="auto"/>
        </w:tcPr>
        <w:p w14:paraId="754C1271" w14:textId="77777777" w:rsidR="00B4229B" w:rsidRPr="00B4229B" w:rsidRDefault="00B4229B" w:rsidP="00B4229B">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r>
  </w:tbl>
  <w:p w14:paraId="13276A63" w14:textId="77777777" w:rsidR="00B4229B" w:rsidRPr="00B4229B" w:rsidRDefault="00B4229B" w:rsidP="00B422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B4229B" w14:paraId="0F2BE218" w14:textId="77777777" w:rsidTr="00B4229B">
      <w:trPr>
        <w:jc w:val="right"/>
      </w:trPr>
      <w:tc>
        <w:tcPr>
          <w:tcW w:w="3888" w:type="dxa"/>
        </w:tcPr>
        <w:p w14:paraId="33BB267A" w14:textId="77777777" w:rsidR="00B4229B" w:rsidRDefault="00B4229B" w:rsidP="00B4229B">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23B9A873" wp14:editId="24801467">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MAR/Q/5-6&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AR/Q/5-6&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105EB3D6" wp14:editId="1C25DB35">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554615" cy="320068"/>
                        </a:xfrm>
                        <a:prstGeom prst="rect">
                          <a:avLst/>
                        </a:prstGeom>
                      </pic:spPr>
                    </pic:pic>
                  </a:graphicData>
                </a:graphic>
              </wp:inline>
            </w:drawing>
          </w:r>
        </w:p>
      </w:tc>
      <w:tc>
        <w:tcPr>
          <w:tcW w:w="4920" w:type="dxa"/>
        </w:tcPr>
        <w:p w14:paraId="2DBFE7EB" w14:textId="4DEFFC4B" w:rsidR="00B4229B" w:rsidRDefault="001C0561" w:rsidP="00B4229B">
          <w:pPr>
            <w:pStyle w:val="ReleaseDate"/>
          </w:pPr>
          <w:r>
            <w:t>21</w:t>
          </w:r>
          <w:r w:rsidR="00B4229B">
            <w:t xml:space="preserve">1220    </w:t>
          </w:r>
          <w:r>
            <w:t>30</w:t>
          </w:r>
          <w:r w:rsidR="00B4229B">
            <w:t>1</w:t>
          </w:r>
          <w:r>
            <w:t>1</w:t>
          </w:r>
          <w:r w:rsidR="00B4229B">
            <w:t xml:space="preserve">20    </w:t>
          </w:r>
          <w:r w:rsidR="00A96202">
            <w:fldChar w:fldCharType="begin"/>
          </w:r>
          <w:r w:rsidR="00A96202">
            <w:instrText xml:space="preserve"> DOCVARIABLE "jobn" \* MERGEFORMAT </w:instrText>
          </w:r>
          <w:r w:rsidR="00A96202">
            <w:fldChar w:fldCharType="separate"/>
          </w:r>
          <w:r w:rsidR="00D77952">
            <w:t>20-15473 (A)</w:t>
          </w:r>
          <w:r w:rsidR="00A96202">
            <w:fldChar w:fldCharType="end"/>
          </w:r>
        </w:p>
        <w:p w14:paraId="3630F4CB" w14:textId="690C70A7" w:rsidR="00B4229B" w:rsidRPr="00B4229B" w:rsidRDefault="00B4229B" w:rsidP="00B4229B">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D77952">
            <w:rPr>
              <w:rFonts w:ascii="Barcode 3 of 9 by request" w:hAnsi="Barcode 3 of 9 by request"/>
              <w:sz w:val="24"/>
            </w:rPr>
            <w:t>*2015473*</w:t>
          </w:r>
          <w:r>
            <w:rPr>
              <w:rFonts w:ascii="Barcode 3 of 9 by request" w:hAnsi="Barcode 3 of 9 by request"/>
              <w:sz w:val="24"/>
            </w:rPr>
            <w:fldChar w:fldCharType="end"/>
          </w:r>
        </w:p>
      </w:tc>
    </w:tr>
  </w:tbl>
  <w:p w14:paraId="218D7E19" w14:textId="77777777" w:rsidR="00B4229B" w:rsidRPr="00B4229B" w:rsidRDefault="00B4229B" w:rsidP="00B4229B">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C1D96" w14:textId="77777777" w:rsidR="00A96202" w:rsidRPr="001C0561" w:rsidRDefault="00A96202" w:rsidP="001C0561">
      <w:pPr>
        <w:pStyle w:val="Footer"/>
        <w:bidi/>
        <w:spacing w:after="80"/>
        <w:ind w:left="792"/>
        <w:jc w:val="left"/>
        <w:rPr>
          <w:sz w:val="16"/>
        </w:rPr>
      </w:pPr>
      <w:r w:rsidRPr="001C0561">
        <w:rPr>
          <w:sz w:val="16"/>
          <w:rtl/>
        </w:rPr>
        <w:t>__________</w:t>
      </w:r>
    </w:p>
  </w:footnote>
  <w:footnote w:type="continuationSeparator" w:id="0">
    <w:p w14:paraId="5C2B8DDE" w14:textId="77777777" w:rsidR="00A96202" w:rsidRPr="001C0561" w:rsidRDefault="00A96202" w:rsidP="001C0561">
      <w:pPr>
        <w:pStyle w:val="Footer"/>
        <w:bidi/>
        <w:spacing w:after="80"/>
        <w:ind w:left="792"/>
        <w:jc w:val="left"/>
        <w:rPr>
          <w:sz w:val="16"/>
        </w:rPr>
      </w:pPr>
      <w:r w:rsidRPr="001C0561">
        <w:rPr>
          <w:sz w:val="16"/>
          <w:rtl/>
        </w:rPr>
        <w:t>__________</w:t>
      </w:r>
    </w:p>
  </w:footnote>
  <w:footnote w:id="1">
    <w:p w14:paraId="60B0D744" w14:textId="78E5E517" w:rsidR="001C0561" w:rsidRDefault="001C0561" w:rsidP="001C0561">
      <w:pPr>
        <w:pStyle w:val="FootnoteText"/>
        <w:tabs>
          <w:tab w:val="clear" w:pos="418"/>
          <w:tab w:val="right" w:pos="1195"/>
          <w:tab w:val="left" w:pos="1267"/>
          <w:tab w:val="left" w:pos="1656"/>
          <w:tab w:val="left" w:pos="2088"/>
        </w:tabs>
        <w:spacing w:after="80"/>
        <w:ind w:left="1267" w:right="1267" w:hanging="547"/>
        <w:rPr>
          <w:rtl/>
        </w:rPr>
      </w:pPr>
      <w:r>
        <w:rPr>
          <w:rtl/>
        </w:rPr>
        <w:tab/>
      </w:r>
      <w:r>
        <w:rPr>
          <w:rFonts w:hint="cs"/>
          <w:rtl/>
        </w:rPr>
        <w:t>*</w:t>
      </w:r>
      <w:r>
        <w:rPr>
          <w:rtl/>
        </w:rPr>
        <w:tab/>
      </w:r>
      <w:r w:rsidRPr="001C0561">
        <w:rPr>
          <w:rtl/>
        </w:rPr>
        <w:t>اعتمدها الفريق العامل لما قبل الدورة في 13 تشرين الثاني/نوفمبر 2020.</w:t>
      </w:r>
    </w:p>
    <w:p w14:paraId="0A821F08" w14:textId="6BAFCF0D" w:rsidR="001C0561" w:rsidRPr="001C0561" w:rsidRDefault="001C0561" w:rsidP="001C0561">
      <w:pPr>
        <w:pStyle w:val="FootnoteText"/>
        <w:tabs>
          <w:tab w:val="clear" w:pos="418"/>
          <w:tab w:val="right" w:pos="1195"/>
          <w:tab w:val="left" w:pos="1267"/>
          <w:tab w:val="left" w:pos="1656"/>
          <w:tab w:val="left" w:pos="2088"/>
        </w:tabs>
        <w:spacing w:after="80"/>
        <w:ind w:left="1267" w:right="1267" w:hanging="547"/>
      </w:pPr>
      <w:r>
        <w:rPr>
          <w:rtl/>
        </w:rPr>
        <w:tab/>
      </w:r>
      <w:r w:rsidRPr="001C0561">
        <w:rPr>
          <w:sz w:val="22"/>
          <w:rtl/>
        </w:rPr>
        <w:t>(</w:t>
      </w:r>
      <w:r w:rsidRPr="001C0561">
        <w:rPr>
          <w:rStyle w:val="FootnoteReference"/>
          <w:spacing w:val="0"/>
          <w:w w:val="100"/>
          <w:vertAlign w:val="baseline"/>
          <w:rtl/>
        </w:rPr>
        <w:footnoteRef/>
      </w:r>
      <w:r w:rsidRPr="001C0561">
        <w:rPr>
          <w:sz w:val="22"/>
          <w:rtl/>
        </w:rPr>
        <w:t>)</w:t>
      </w:r>
      <w:r w:rsidRPr="001C0561">
        <w:rPr>
          <w:rtl/>
        </w:rPr>
        <w:tab/>
        <w:t>ما لم يُشَر إلى خلاف ذلك، تحيل أرقام الفقرات إلى التقرير الجامع للتقريرين الدوريين الخامس والسادس للدولة الطرف.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B4229B" w14:paraId="57FA6278" w14:textId="77777777" w:rsidTr="00B4229B">
      <w:trPr>
        <w:trHeight w:hRule="exact" w:val="864"/>
        <w:jc w:val="center"/>
      </w:trPr>
      <w:tc>
        <w:tcPr>
          <w:tcW w:w="4920" w:type="dxa"/>
          <w:shd w:val="clear" w:color="auto" w:fill="auto"/>
          <w:vAlign w:val="bottom"/>
        </w:tcPr>
        <w:p w14:paraId="57480D1A" w14:textId="77777777" w:rsidR="00B4229B" w:rsidRDefault="00B4229B" w:rsidP="00B4229B">
          <w:pPr>
            <w:pStyle w:val="Header"/>
            <w:bidi/>
          </w:pPr>
        </w:p>
      </w:tc>
      <w:tc>
        <w:tcPr>
          <w:tcW w:w="4920" w:type="dxa"/>
          <w:shd w:val="clear" w:color="auto" w:fill="auto"/>
          <w:vAlign w:val="bottom"/>
        </w:tcPr>
        <w:p w14:paraId="022B737E" w14:textId="7395353F" w:rsidR="00B4229B" w:rsidRPr="00B4229B" w:rsidRDefault="00B4229B" w:rsidP="00B4229B">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D77952">
            <w:rPr>
              <w:w w:val="103"/>
            </w:rPr>
            <w:t>CEDAW/C/MAR/Q/5-6</w:t>
          </w:r>
          <w:r>
            <w:rPr>
              <w:w w:val="103"/>
            </w:rPr>
            <w:fldChar w:fldCharType="end"/>
          </w:r>
        </w:p>
      </w:tc>
    </w:tr>
  </w:tbl>
  <w:p w14:paraId="3BA06A31" w14:textId="77777777" w:rsidR="00B4229B" w:rsidRPr="00B4229B" w:rsidRDefault="00B4229B" w:rsidP="00B422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B4229B" w14:paraId="0D0E3BBE" w14:textId="77777777" w:rsidTr="00B4229B">
      <w:trPr>
        <w:trHeight w:hRule="exact" w:val="864"/>
        <w:jc w:val="center"/>
      </w:trPr>
      <w:tc>
        <w:tcPr>
          <w:tcW w:w="4920" w:type="dxa"/>
          <w:shd w:val="clear" w:color="auto" w:fill="auto"/>
          <w:vAlign w:val="bottom"/>
        </w:tcPr>
        <w:p w14:paraId="441381FA" w14:textId="3A4AADD8" w:rsidR="00B4229B" w:rsidRPr="00B4229B" w:rsidRDefault="00B4229B" w:rsidP="00B4229B">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D77952">
            <w:rPr>
              <w:w w:val="103"/>
            </w:rPr>
            <w:t>CEDAW/C/MAR/Q/5-6</w:t>
          </w:r>
          <w:r>
            <w:rPr>
              <w:w w:val="103"/>
            </w:rPr>
            <w:fldChar w:fldCharType="end"/>
          </w:r>
        </w:p>
      </w:tc>
      <w:tc>
        <w:tcPr>
          <w:tcW w:w="4920" w:type="dxa"/>
          <w:shd w:val="clear" w:color="auto" w:fill="auto"/>
          <w:vAlign w:val="bottom"/>
        </w:tcPr>
        <w:p w14:paraId="3B6E2F02" w14:textId="77777777" w:rsidR="00B4229B" w:rsidRDefault="00B4229B" w:rsidP="00B4229B">
          <w:pPr>
            <w:pStyle w:val="Header"/>
          </w:pPr>
        </w:p>
      </w:tc>
    </w:tr>
  </w:tbl>
  <w:p w14:paraId="76169D98" w14:textId="77777777" w:rsidR="00B4229B" w:rsidRPr="00B4229B" w:rsidRDefault="00B4229B" w:rsidP="00B422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B4229B" w14:paraId="49B79DC8" w14:textId="77777777" w:rsidTr="00B4229B">
      <w:trPr>
        <w:gridAfter w:val="1"/>
        <w:wAfter w:w="18" w:type="dxa"/>
        <w:trHeight w:hRule="exact" w:val="864"/>
      </w:trPr>
      <w:tc>
        <w:tcPr>
          <w:tcW w:w="1282" w:type="dxa"/>
          <w:tcBorders>
            <w:bottom w:val="single" w:sz="4" w:space="0" w:color="auto"/>
          </w:tcBorders>
          <w:shd w:val="clear" w:color="auto" w:fill="auto"/>
          <w:vAlign w:val="bottom"/>
        </w:tcPr>
        <w:p w14:paraId="423BC726" w14:textId="77777777" w:rsidR="00B4229B" w:rsidRDefault="00B4229B" w:rsidP="00B4229B">
          <w:pPr>
            <w:pStyle w:val="Header"/>
            <w:spacing w:after="120"/>
          </w:pPr>
        </w:p>
      </w:tc>
      <w:tc>
        <w:tcPr>
          <w:tcW w:w="1786" w:type="dxa"/>
          <w:tcBorders>
            <w:bottom w:val="single" w:sz="4" w:space="0" w:color="auto"/>
          </w:tcBorders>
          <w:shd w:val="clear" w:color="auto" w:fill="auto"/>
          <w:vAlign w:val="bottom"/>
        </w:tcPr>
        <w:p w14:paraId="0A53E5C8" w14:textId="77777777" w:rsidR="00B4229B" w:rsidRPr="00B4229B" w:rsidRDefault="00B4229B" w:rsidP="00B4229B">
          <w:pPr>
            <w:pStyle w:val="HCh"/>
            <w:spacing w:after="80"/>
            <w:ind w:left="14" w:right="0" w:firstLine="0"/>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4FA2EF7D" w14:textId="77777777" w:rsidR="00B4229B" w:rsidRDefault="00B4229B" w:rsidP="00B4229B">
          <w:pPr>
            <w:pStyle w:val="Header"/>
            <w:spacing w:after="120"/>
          </w:pPr>
        </w:p>
      </w:tc>
      <w:tc>
        <w:tcPr>
          <w:tcW w:w="6523" w:type="dxa"/>
          <w:gridSpan w:val="3"/>
          <w:tcBorders>
            <w:bottom w:val="single" w:sz="4" w:space="0" w:color="auto"/>
          </w:tcBorders>
          <w:shd w:val="clear" w:color="auto" w:fill="auto"/>
          <w:vAlign w:val="bottom"/>
        </w:tcPr>
        <w:p w14:paraId="38CA7357" w14:textId="77777777" w:rsidR="00B4229B" w:rsidRPr="00B4229B" w:rsidRDefault="00B4229B" w:rsidP="00B4229B">
          <w:pPr>
            <w:spacing w:line="380" w:lineRule="exact"/>
            <w:jc w:val="right"/>
          </w:pPr>
          <w:r>
            <w:rPr>
              <w:sz w:val="40"/>
            </w:rPr>
            <w:t>CEDAW</w:t>
          </w:r>
          <w:r>
            <w:t>/C/MAR/Q/5-6</w:t>
          </w:r>
        </w:p>
      </w:tc>
    </w:tr>
    <w:tr w:rsidR="00B4229B" w:rsidRPr="00B4229B" w14:paraId="70BCA96B" w14:textId="77777777" w:rsidTr="00B4229B">
      <w:trPr>
        <w:trHeight w:hRule="exact" w:val="2880"/>
      </w:trPr>
      <w:tc>
        <w:tcPr>
          <w:tcW w:w="1282" w:type="dxa"/>
          <w:tcBorders>
            <w:top w:val="single" w:sz="4" w:space="0" w:color="auto"/>
            <w:bottom w:val="single" w:sz="12" w:space="0" w:color="auto"/>
          </w:tcBorders>
          <w:shd w:val="clear" w:color="auto" w:fill="auto"/>
        </w:tcPr>
        <w:p w14:paraId="242CDEF2" w14:textId="77777777" w:rsidR="00B4229B" w:rsidRDefault="00B4229B" w:rsidP="00B4229B">
          <w:pPr>
            <w:pStyle w:val="Header"/>
            <w:spacing w:before="120"/>
            <w:jc w:val="center"/>
          </w:pPr>
          <w:r>
            <w:t xml:space="preserve"> </w:t>
          </w:r>
          <w:r>
            <w:rPr>
              <w:noProof/>
            </w:rPr>
            <w:drawing>
              <wp:inline distT="0" distB="0" distL="0" distR="0" wp14:anchorId="01C2CBF9" wp14:editId="2917C7F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p w14:paraId="6871A2DC" w14:textId="77777777" w:rsidR="00B4229B" w:rsidRPr="00B4229B" w:rsidRDefault="00B4229B" w:rsidP="00B4229B">
          <w:pPr>
            <w:pStyle w:val="Header"/>
            <w:spacing w:before="120"/>
            <w:jc w:val="center"/>
          </w:pPr>
        </w:p>
      </w:tc>
      <w:tc>
        <w:tcPr>
          <w:tcW w:w="5227" w:type="dxa"/>
          <w:gridSpan w:val="3"/>
          <w:tcBorders>
            <w:top w:val="single" w:sz="4" w:space="0" w:color="auto"/>
            <w:bottom w:val="single" w:sz="12" w:space="0" w:color="auto"/>
          </w:tcBorders>
          <w:shd w:val="clear" w:color="auto" w:fill="auto"/>
        </w:tcPr>
        <w:p w14:paraId="6A81AD8F" w14:textId="77777777" w:rsidR="00B4229B" w:rsidRPr="00B4229B" w:rsidRDefault="00B4229B" w:rsidP="00B4229B">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0BEC2669" w14:textId="77777777" w:rsidR="00B4229B" w:rsidRPr="00B4229B" w:rsidRDefault="00B4229B" w:rsidP="00B4229B">
          <w:pPr>
            <w:pStyle w:val="Header"/>
            <w:spacing w:before="109"/>
          </w:pPr>
        </w:p>
      </w:tc>
      <w:tc>
        <w:tcPr>
          <w:tcW w:w="3100" w:type="dxa"/>
          <w:gridSpan w:val="2"/>
          <w:tcBorders>
            <w:top w:val="single" w:sz="4" w:space="0" w:color="auto"/>
            <w:bottom w:val="single" w:sz="12" w:space="0" w:color="auto"/>
          </w:tcBorders>
          <w:shd w:val="clear" w:color="auto" w:fill="auto"/>
        </w:tcPr>
        <w:p w14:paraId="7D8A4D5A" w14:textId="77777777" w:rsidR="00B4229B" w:rsidRDefault="00B4229B" w:rsidP="00B4229B">
          <w:pPr>
            <w:pStyle w:val="Distribution"/>
            <w:bidi w:val="0"/>
            <w:spacing w:before="240"/>
          </w:pPr>
          <w:r>
            <w:t>Distr.: General</w:t>
          </w:r>
        </w:p>
        <w:p w14:paraId="3DC67347" w14:textId="77777777" w:rsidR="00B4229B" w:rsidRDefault="00B4229B" w:rsidP="00B4229B">
          <w:pPr>
            <w:pStyle w:val="Publication"/>
            <w:bidi w:val="0"/>
          </w:pPr>
          <w:r>
            <w:t>17 November 2020</w:t>
          </w:r>
        </w:p>
        <w:p w14:paraId="01412EC2" w14:textId="77777777" w:rsidR="00B4229B" w:rsidRDefault="00B4229B" w:rsidP="00B4229B">
          <w:pPr>
            <w:bidi w:val="0"/>
            <w:spacing w:line="240" w:lineRule="exact"/>
            <w:jc w:val="left"/>
          </w:pPr>
          <w:r>
            <w:t>Arabic</w:t>
          </w:r>
        </w:p>
        <w:p w14:paraId="3CAB7249" w14:textId="77777777" w:rsidR="00B4229B" w:rsidRDefault="00B4229B" w:rsidP="00B4229B">
          <w:pPr>
            <w:pStyle w:val="Original"/>
            <w:bidi w:val="0"/>
          </w:pPr>
          <w:r>
            <w:t>Original: Arabic/English/French/</w:t>
          </w:r>
        </w:p>
        <w:p w14:paraId="184C4200" w14:textId="77777777" w:rsidR="00B4229B" w:rsidRDefault="00B4229B" w:rsidP="00B4229B">
          <w:pPr>
            <w:pStyle w:val="Original"/>
            <w:bidi w:val="0"/>
          </w:pPr>
          <w:r>
            <w:t>Spanish</w:t>
          </w:r>
        </w:p>
        <w:p w14:paraId="408CB305" w14:textId="77777777" w:rsidR="00B4229B" w:rsidRPr="00B4229B" w:rsidRDefault="00B4229B" w:rsidP="00B4229B">
          <w:pPr>
            <w:bidi w:val="0"/>
            <w:spacing w:line="240" w:lineRule="exact"/>
            <w:jc w:val="left"/>
          </w:pPr>
        </w:p>
      </w:tc>
    </w:tr>
  </w:tbl>
  <w:p w14:paraId="10BC6F93" w14:textId="77777777" w:rsidR="00B4229B" w:rsidRPr="00B4229B" w:rsidRDefault="00B4229B" w:rsidP="00B4229B">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 w:numId="19">
    <w:abstractNumId w:val="0"/>
  </w:num>
  <w:num w:numId="20">
    <w:abstractNumId w:val="2"/>
  </w:num>
  <w:num w:numId="21">
    <w:abstractNumId w:val="1"/>
  </w:num>
  <w:num w:numId="22">
    <w:abstractNumId w:val="0"/>
  </w:num>
  <w:num w:numId="23">
    <w:abstractNumId w:val="2"/>
  </w:num>
  <w:num w:numId="24">
    <w:abstractNumId w:val="1"/>
  </w:num>
  <w:num w:numId="25">
    <w:abstractNumId w:val="0"/>
  </w:num>
  <w:num w:numId="26">
    <w:abstractNumId w:val="2"/>
  </w:num>
  <w:num w:numId="27">
    <w:abstractNumId w:val="1"/>
  </w:num>
  <w:num w:numId="28">
    <w:abstractNumId w:val="0"/>
  </w:num>
  <w:num w:numId="29">
    <w:abstractNumId w:val="2"/>
  </w:num>
  <w:num w:numId="30">
    <w:abstractNumId w:val="1"/>
  </w:num>
  <w:num w:numId="31">
    <w:abstractNumId w:val="0"/>
  </w:num>
  <w:num w:numId="32">
    <w:abstractNumId w:val="2"/>
  </w:num>
  <w:num w:numId="33">
    <w:abstractNumId w:val="1"/>
  </w:num>
  <w:num w:numId="34">
    <w:abstractNumId w:val="0"/>
  </w:num>
  <w:num w:numId="35">
    <w:abstractNumId w:val="2"/>
  </w:num>
  <w:num w:numId="36">
    <w:abstractNumId w:val="1"/>
  </w:num>
  <w:num w:numId="37">
    <w:abstractNumId w:val="0"/>
  </w:num>
  <w:num w:numId="38">
    <w:abstractNumId w:val="2"/>
  </w:num>
  <w:num w:numId="3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5473*"/>
    <w:docVar w:name="CreationDt" w:val="12/7/2020 3:54: PM"/>
    <w:docVar w:name="DocCategory" w:val="Doc"/>
    <w:docVar w:name="DocType" w:val="Final"/>
    <w:docVar w:name="DutyStation" w:val="New York"/>
    <w:docVar w:name="FooterJN" w:val="20-15473"/>
    <w:docVar w:name="jobn" w:val="20-15473 (A)"/>
    <w:docVar w:name="jobnDT" w:val="20-15473 (A)   071220"/>
    <w:docVar w:name="jobnDTDT" w:val="20-15473 (A)   071220   071220"/>
    <w:docVar w:name="JobNo" w:val="2015473A"/>
    <w:docVar w:name="LocalDrive" w:val="-1"/>
    <w:docVar w:name="OandT" w:val=" "/>
    <w:docVar w:name="sss1" w:val="CEDAW/C/MAR/Q/5-6"/>
    <w:docVar w:name="sss2" w:val="-"/>
    <w:docVar w:name="Symbol1" w:val="CEDAW/C/MAR/Q/5-6"/>
    <w:docVar w:name="Symbol2" w:val="-"/>
  </w:docVars>
  <w:rsids>
    <w:rsidRoot w:val="00554AAF"/>
    <w:rsid w:val="000020C4"/>
    <w:rsid w:val="0000693B"/>
    <w:rsid w:val="000170D3"/>
    <w:rsid w:val="00024DD0"/>
    <w:rsid w:val="0002744A"/>
    <w:rsid w:val="000311C9"/>
    <w:rsid w:val="000344E4"/>
    <w:rsid w:val="000407DB"/>
    <w:rsid w:val="00042425"/>
    <w:rsid w:val="00043290"/>
    <w:rsid w:val="00047F6A"/>
    <w:rsid w:val="00050883"/>
    <w:rsid w:val="0005137B"/>
    <w:rsid w:val="00056AA7"/>
    <w:rsid w:val="00056D9B"/>
    <w:rsid w:val="00063439"/>
    <w:rsid w:val="0006648F"/>
    <w:rsid w:val="00070E09"/>
    <w:rsid w:val="00073CC9"/>
    <w:rsid w:val="00087310"/>
    <w:rsid w:val="00092439"/>
    <w:rsid w:val="000927B5"/>
    <w:rsid w:val="0009732C"/>
    <w:rsid w:val="000974BE"/>
    <w:rsid w:val="000A4151"/>
    <w:rsid w:val="000B640C"/>
    <w:rsid w:val="000B7407"/>
    <w:rsid w:val="000C14A2"/>
    <w:rsid w:val="000C4EED"/>
    <w:rsid w:val="000C6370"/>
    <w:rsid w:val="000D2CEC"/>
    <w:rsid w:val="000D60B0"/>
    <w:rsid w:val="000E3517"/>
    <w:rsid w:val="000F0BB1"/>
    <w:rsid w:val="000F195A"/>
    <w:rsid w:val="000F3F48"/>
    <w:rsid w:val="00100A90"/>
    <w:rsid w:val="00101EE8"/>
    <w:rsid w:val="00102521"/>
    <w:rsid w:val="0010461F"/>
    <w:rsid w:val="001057EA"/>
    <w:rsid w:val="00113349"/>
    <w:rsid w:val="0012522B"/>
    <w:rsid w:val="001316CC"/>
    <w:rsid w:val="00132672"/>
    <w:rsid w:val="001327A6"/>
    <w:rsid w:val="0014041B"/>
    <w:rsid w:val="00143096"/>
    <w:rsid w:val="00146735"/>
    <w:rsid w:val="001519A9"/>
    <w:rsid w:val="001568A8"/>
    <w:rsid w:val="001651C7"/>
    <w:rsid w:val="00165F18"/>
    <w:rsid w:val="00170A5E"/>
    <w:rsid w:val="001737F8"/>
    <w:rsid w:val="0017398E"/>
    <w:rsid w:val="001769EF"/>
    <w:rsid w:val="001775EA"/>
    <w:rsid w:val="0018030C"/>
    <w:rsid w:val="00182D99"/>
    <w:rsid w:val="00185BA9"/>
    <w:rsid w:val="00186708"/>
    <w:rsid w:val="00187870"/>
    <w:rsid w:val="001947FE"/>
    <w:rsid w:val="00194C85"/>
    <w:rsid w:val="001A015D"/>
    <w:rsid w:val="001A0D70"/>
    <w:rsid w:val="001A5B00"/>
    <w:rsid w:val="001B2183"/>
    <w:rsid w:val="001B59EE"/>
    <w:rsid w:val="001C0561"/>
    <w:rsid w:val="001C6531"/>
    <w:rsid w:val="001D1606"/>
    <w:rsid w:val="001E2BD4"/>
    <w:rsid w:val="001E5A5A"/>
    <w:rsid w:val="001E5A7A"/>
    <w:rsid w:val="001F5E6E"/>
    <w:rsid w:val="001F6786"/>
    <w:rsid w:val="00202177"/>
    <w:rsid w:val="0020295C"/>
    <w:rsid w:val="00212285"/>
    <w:rsid w:val="002141DD"/>
    <w:rsid w:val="00233E2A"/>
    <w:rsid w:val="00236A29"/>
    <w:rsid w:val="00237A82"/>
    <w:rsid w:val="002416C5"/>
    <w:rsid w:val="00246052"/>
    <w:rsid w:val="0025002E"/>
    <w:rsid w:val="0025075C"/>
    <w:rsid w:val="0025236C"/>
    <w:rsid w:val="00252B9B"/>
    <w:rsid w:val="00252D19"/>
    <w:rsid w:val="0025486A"/>
    <w:rsid w:val="002567D7"/>
    <w:rsid w:val="002606E6"/>
    <w:rsid w:val="00262A33"/>
    <w:rsid w:val="0026372E"/>
    <w:rsid w:val="00266F59"/>
    <w:rsid w:val="00267500"/>
    <w:rsid w:val="00267D73"/>
    <w:rsid w:val="00272B6C"/>
    <w:rsid w:val="00272B72"/>
    <w:rsid w:val="00273E91"/>
    <w:rsid w:val="00274D87"/>
    <w:rsid w:val="00275EB3"/>
    <w:rsid w:val="0027623A"/>
    <w:rsid w:val="00277DFB"/>
    <w:rsid w:val="00281D6B"/>
    <w:rsid w:val="0028685E"/>
    <w:rsid w:val="00290F2F"/>
    <w:rsid w:val="002937DA"/>
    <w:rsid w:val="002971E7"/>
    <w:rsid w:val="002971F5"/>
    <w:rsid w:val="002A09C6"/>
    <w:rsid w:val="002A6916"/>
    <w:rsid w:val="002B0A3E"/>
    <w:rsid w:val="002B120A"/>
    <w:rsid w:val="002B4F37"/>
    <w:rsid w:val="002B6D25"/>
    <w:rsid w:val="002C2AF2"/>
    <w:rsid w:val="002C3561"/>
    <w:rsid w:val="002C4866"/>
    <w:rsid w:val="002C4E1B"/>
    <w:rsid w:val="002D1607"/>
    <w:rsid w:val="002D58BC"/>
    <w:rsid w:val="002E1490"/>
    <w:rsid w:val="002E1CE4"/>
    <w:rsid w:val="002E750A"/>
    <w:rsid w:val="002F0398"/>
    <w:rsid w:val="002F0573"/>
    <w:rsid w:val="002F0ADA"/>
    <w:rsid w:val="002F1211"/>
    <w:rsid w:val="002F7737"/>
    <w:rsid w:val="0030222E"/>
    <w:rsid w:val="0030254E"/>
    <w:rsid w:val="003048E9"/>
    <w:rsid w:val="00306E54"/>
    <w:rsid w:val="00307CFF"/>
    <w:rsid w:val="003102AE"/>
    <w:rsid w:val="00310FA5"/>
    <w:rsid w:val="00311B5B"/>
    <w:rsid w:val="00312162"/>
    <w:rsid w:val="00312525"/>
    <w:rsid w:val="003246E7"/>
    <w:rsid w:val="003367E5"/>
    <w:rsid w:val="00345B6F"/>
    <w:rsid w:val="003501D5"/>
    <w:rsid w:val="00351324"/>
    <w:rsid w:val="00357DC0"/>
    <w:rsid w:val="00360571"/>
    <w:rsid w:val="0036512C"/>
    <w:rsid w:val="00366E5B"/>
    <w:rsid w:val="003676A8"/>
    <w:rsid w:val="00371AC4"/>
    <w:rsid w:val="003769FD"/>
    <w:rsid w:val="00376CFA"/>
    <w:rsid w:val="003772FC"/>
    <w:rsid w:val="00380821"/>
    <w:rsid w:val="00383A67"/>
    <w:rsid w:val="00383CA8"/>
    <w:rsid w:val="00383EF3"/>
    <w:rsid w:val="00385F27"/>
    <w:rsid w:val="00391AA1"/>
    <w:rsid w:val="00393929"/>
    <w:rsid w:val="003A65ED"/>
    <w:rsid w:val="003B1EB7"/>
    <w:rsid w:val="003B5183"/>
    <w:rsid w:val="003C4B86"/>
    <w:rsid w:val="003D050D"/>
    <w:rsid w:val="003D3CD9"/>
    <w:rsid w:val="003D42DF"/>
    <w:rsid w:val="003D4612"/>
    <w:rsid w:val="003D5F1C"/>
    <w:rsid w:val="003E1BB9"/>
    <w:rsid w:val="003E26D7"/>
    <w:rsid w:val="003E4110"/>
    <w:rsid w:val="003E4647"/>
    <w:rsid w:val="003E6DF8"/>
    <w:rsid w:val="003E7BBB"/>
    <w:rsid w:val="003F4B8C"/>
    <w:rsid w:val="00401BDF"/>
    <w:rsid w:val="004053F7"/>
    <w:rsid w:val="004077BA"/>
    <w:rsid w:val="00411BBD"/>
    <w:rsid w:val="00415922"/>
    <w:rsid w:val="00421658"/>
    <w:rsid w:val="00423BD7"/>
    <w:rsid w:val="00426BAF"/>
    <w:rsid w:val="0042757D"/>
    <w:rsid w:val="00437C14"/>
    <w:rsid w:val="00441A9F"/>
    <w:rsid w:val="00445C58"/>
    <w:rsid w:val="00445C64"/>
    <w:rsid w:val="004527C9"/>
    <w:rsid w:val="00453069"/>
    <w:rsid w:val="004653CD"/>
    <w:rsid w:val="00465B26"/>
    <w:rsid w:val="00467905"/>
    <w:rsid w:val="00471C89"/>
    <w:rsid w:val="00475FF6"/>
    <w:rsid w:val="0048330E"/>
    <w:rsid w:val="00483F5B"/>
    <w:rsid w:val="00490874"/>
    <w:rsid w:val="0049408F"/>
    <w:rsid w:val="00494EE2"/>
    <w:rsid w:val="00496E83"/>
    <w:rsid w:val="00497193"/>
    <w:rsid w:val="004A112A"/>
    <w:rsid w:val="004A2329"/>
    <w:rsid w:val="004A2886"/>
    <w:rsid w:val="004A694F"/>
    <w:rsid w:val="004A6D3C"/>
    <w:rsid w:val="004B14A0"/>
    <w:rsid w:val="004B1CBB"/>
    <w:rsid w:val="004B2CC5"/>
    <w:rsid w:val="004B440C"/>
    <w:rsid w:val="004C219B"/>
    <w:rsid w:val="004D1B0C"/>
    <w:rsid w:val="004D38AC"/>
    <w:rsid w:val="004D3A7F"/>
    <w:rsid w:val="004D3ACE"/>
    <w:rsid w:val="004D4EA9"/>
    <w:rsid w:val="004D4EE2"/>
    <w:rsid w:val="004E40B3"/>
    <w:rsid w:val="004F0963"/>
    <w:rsid w:val="004F0D2B"/>
    <w:rsid w:val="004F1402"/>
    <w:rsid w:val="004F33CC"/>
    <w:rsid w:val="004F59EC"/>
    <w:rsid w:val="004F75CD"/>
    <w:rsid w:val="005003FF"/>
    <w:rsid w:val="00502029"/>
    <w:rsid w:val="0050659B"/>
    <w:rsid w:val="00520086"/>
    <w:rsid w:val="00521CAC"/>
    <w:rsid w:val="0052301E"/>
    <w:rsid w:val="0052427E"/>
    <w:rsid w:val="005243A0"/>
    <w:rsid w:val="00524A2E"/>
    <w:rsid w:val="005279DE"/>
    <w:rsid w:val="00534772"/>
    <w:rsid w:val="00537FCD"/>
    <w:rsid w:val="0054039D"/>
    <w:rsid w:val="00541189"/>
    <w:rsid w:val="00542173"/>
    <w:rsid w:val="00542632"/>
    <w:rsid w:val="00544324"/>
    <w:rsid w:val="00545F76"/>
    <w:rsid w:val="00551E87"/>
    <w:rsid w:val="005545BB"/>
    <w:rsid w:val="00554AAF"/>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2EA3"/>
    <w:rsid w:val="005A45EC"/>
    <w:rsid w:val="005A6D7B"/>
    <w:rsid w:val="005A6DC0"/>
    <w:rsid w:val="005B0557"/>
    <w:rsid w:val="005B1F57"/>
    <w:rsid w:val="005B2267"/>
    <w:rsid w:val="005B2F0C"/>
    <w:rsid w:val="005B4C28"/>
    <w:rsid w:val="005B4FEF"/>
    <w:rsid w:val="005C07BD"/>
    <w:rsid w:val="005C2239"/>
    <w:rsid w:val="005C2ECE"/>
    <w:rsid w:val="005C46A7"/>
    <w:rsid w:val="005C7BF8"/>
    <w:rsid w:val="005C7CE6"/>
    <w:rsid w:val="005C7ED8"/>
    <w:rsid w:val="005D2FC5"/>
    <w:rsid w:val="005D5B76"/>
    <w:rsid w:val="005D73E4"/>
    <w:rsid w:val="005E46BF"/>
    <w:rsid w:val="005F193E"/>
    <w:rsid w:val="005F5797"/>
    <w:rsid w:val="005F71AB"/>
    <w:rsid w:val="006007BD"/>
    <w:rsid w:val="00601566"/>
    <w:rsid w:val="00601A5F"/>
    <w:rsid w:val="006046A6"/>
    <w:rsid w:val="00612939"/>
    <w:rsid w:val="00616E82"/>
    <w:rsid w:val="006218A3"/>
    <w:rsid w:val="00631D41"/>
    <w:rsid w:val="00633F4D"/>
    <w:rsid w:val="0063553C"/>
    <w:rsid w:val="00636D4E"/>
    <w:rsid w:val="00644F87"/>
    <w:rsid w:val="00654B3F"/>
    <w:rsid w:val="00656203"/>
    <w:rsid w:val="006564CE"/>
    <w:rsid w:val="00660DF1"/>
    <w:rsid w:val="00663F64"/>
    <w:rsid w:val="0068436E"/>
    <w:rsid w:val="00684F05"/>
    <w:rsid w:val="00685439"/>
    <w:rsid w:val="006905A9"/>
    <w:rsid w:val="00692B46"/>
    <w:rsid w:val="00692C45"/>
    <w:rsid w:val="00692FDB"/>
    <w:rsid w:val="00693CF9"/>
    <w:rsid w:val="00696B7A"/>
    <w:rsid w:val="00697121"/>
    <w:rsid w:val="006972A2"/>
    <w:rsid w:val="006A1E4E"/>
    <w:rsid w:val="006A3A3B"/>
    <w:rsid w:val="006A4832"/>
    <w:rsid w:val="006C1E40"/>
    <w:rsid w:val="006C38EE"/>
    <w:rsid w:val="006D1A46"/>
    <w:rsid w:val="006D3170"/>
    <w:rsid w:val="006D5013"/>
    <w:rsid w:val="006E127C"/>
    <w:rsid w:val="006E7E51"/>
    <w:rsid w:val="006F1FA9"/>
    <w:rsid w:val="006F4577"/>
    <w:rsid w:val="006F7BB7"/>
    <w:rsid w:val="007006FC"/>
    <w:rsid w:val="00700F06"/>
    <w:rsid w:val="007020AD"/>
    <w:rsid w:val="007025AD"/>
    <w:rsid w:val="00704929"/>
    <w:rsid w:val="00707854"/>
    <w:rsid w:val="007139A0"/>
    <w:rsid w:val="00714319"/>
    <w:rsid w:val="0071531E"/>
    <w:rsid w:val="0071645B"/>
    <w:rsid w:val="00716E9D"/>
    <w:rsid w:val="0073328E"/>
    <w:rsid w:val="00735F09"/>
    <w:rsid w:val="007407B6"/>
    <w:rsid w:val="00740D62"/>
    <w:rsid w:val="00745A2C"/>
    <w:rsid w:val="00745DBF"/>
    <w:rsid w:val="00746252"/>
    <w:rsid w:val="00747AB2"/>
    <w:rsid w:val="00747B47"/>
    <w:rsid w:val="00747B9E"/>
    <w:rsid w:val="007524BE"/>
    <w:rsid w:val="007525FA"/>
    <w:rsid w:val="00756CB3"/>
    <w:rsid w:val="007668E3"/>
    <w:rsid w:val="00766B3B"/>
    <w:rsid w:val="00767151"/>
    <w:rsid w:val="00770CF8"/>
    <w:rsid w:val="00774FF0"/>
    <w:rsid w:val="007752F6"/>
    <w:rsid w:val="0078262F"/>
    <w:rsid w:val="00784325"/>
    <w:rsid w:val="00784F2B"/>
    <w:rsid w:val="00786F0C"/>
    <w:rsid w:val="0079046D"/>
    <w:rsid w:val="007925B2"/>
    <w:rsid w:val="0079753A"/>
    <w:rsid w:val="00797800"/>
    <w:rsid w:val="007A06FD"/>
    <w:rsid w:val="007A296C"/>
    <w:rsid w:val="007A3AD0"/>
    <w:rsid w:val="007A6DD9"/>
    <w:rsid w:val="007A72F0"/>
    <w:rsid w:val="007B28CC"/>
    <w:rsid w:val="007B3D2E"/>
    <w:rsid w:val="007B3DC8"/>
    <w:rsid w:val="007B5729"/>
    <w:rsid w:val="007B6E17"/>
    <w:rsid w:val="007C7274"/>
    <w:rsid w:val="007D489C"/>
    <w:rsid w:val="007D60E0"/>
    <w:rsid w:val="007D6B8D"/>
    <w:rsid w:val="007D7E16"/>
    <w:rsid w:val="007E1412"/>
    <w:rsid w:val="007E32B9"/>
    <w:rsid w:val="007E3FAD"/>
    <w:rsid w:val="007E43A7"/>
    <w:rsid w:val="00802997"/>
    <w:rsid w:val="008029C9"/>
    <w:rsid w:val="0081284F"/>
    <w:rsid w:val="00814843"/>
    <w:rsid w:val="008170DE"/>
    <w:rsid w:val="00820B87"/>
    <w:rsid w:val="00830E32"/>
    <w:rsid w:val="00837224"/>
    <w:rsid w:val="00843535"/>
    <w:rsid w:val="00844FC4"/>
    <w:rsid w:val="00845A14"/>
    <w:rsid w:val="00846A4A"/>
    <w:rsid w:val="008472A0"/>
    <w:rsid w:val="00852D3F"/>
    <w:rsid w:val="0085331D"/>
    <w:rsid w:val="00853F0F"/>
    <w:rsid w:val="00854B93"/>
    <w:rsid w:val="008569BB"/>
    <w:rsid w:val="00856E52"/>
    <w:rsid w:val="00861BB3"/>
    <w:rsid w:val="008624AF"/>
    <w:rsid w:val="00863182"/>
    <w:rsid w:val="00870280"/>
    <w:rsid w:val="00873002"/>
    <w:rsid w:val="00873289"/>
    <w:rsid w:val="00873A11"/>
    <w:rsid w:val="00873AF9"/>
    <w:rsid w:val="008768CC"/>
    <w:rsid w:val="00881022"/>
    <w:rsid w:val="0088317F"/>
    <w:rsid w:val="00887330"/>
    <w:rsid w:val="008913BC"/>
    <w:rsid w:val="00892E83"/>
    <w:rsid w:val="00895AEE"/>
    <w:rsid w:val="008A068D"/>
    <w:rsid w:val="008A3FCA"/>
    <w:rsid w:val="008B7F99"/>
    <w:rsid w:val="008C15A1"/>
    <w:rsid w:val="008C6270"/>
    <w:rsid w:val="008D1C04"/>
    <w:rsid w:val="008E2483"/>
    <w:rsid w:val="008E739A"/>
    <w:rsid w:val="008F04A0"/>
    <w:rsid w:val="008F3D2C"/>
    <w:rsid w:val="008F419C"/>
    <w:rsid w:val="008F5850"/>
    <w:rsid w:val="008F64A7"/>
    <w:rsid w:val="0090012B"/>
    <w:rsid w:val="00901625"/>
    <w:rsid w:val="0090351F"/>
    <w:rsid w:val="009124C9"/>
    <w:rsid w:val="00914215"/>
    <w:rsid w:val="009164F8"/>
    <w:rsid w:val="0094754A"/>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91AE1"/>
    <w:rsid w:val="009927C0"/>
    <w:rsid w:val="00994D9F"/>
    <w:rsid w:val="00995138"/>
    <w:rsid w:val="00996063"/>
    <w:rsid w:val="009961E6"/>
    <w:rsid w:val="009975A9"/>
    <w:rsid w:val="009A0B6C"/>
    <w:rsid w:val="009A66AE"/>
    <w:rsid w:val="009B0AF7"/>
    <w:rsid w:val="009B168F"/>
    <w:rsid w:val="009B1C48"/>
    <w:rsid w:val="009B4A58"/>
    <w:rsid w:val="009B6C08"/>
    <w:rsid w:val="009B6C65"/>
    <w:rsid w:val="009B752D"/>
    <w:rsid w:val="009C0017"/>
    <w:rsid w:val="009C15F4"/>
    <w:rsid w:val="009C785C"/>
    <w:rsid w:val="009D106A"/>
    <w:rsid w:val="009D1F5B"/>
    <w:rsid w:val="009D25F3"/>
    <w:rsid w:val="009D62A3"/>
    <w:rsid w:val="009E23AC"/>
    <w:rsid w:val="009E2A1F"/>
    <w:rsid w:val="009E5241"/>
    <w:rsid w:val="009F231F"/>
    <w:rsid w:val="009F3ACB"/>
    <w:rsid w:val="009F3B34"/>
    <w:rsid w:val="009F5698"/>
    <w:rsid w:val="009F60C8"/>
    <w:rsid w:val="00A027B2"/>
    <w:rsid w:val="00A140D9"/>
    <w:rsid w:val="00A14A6C"/>
    <w:rsid w:val="00A156A3"/>
    <w:rsid w:val="00A248A9"/>
    <w:rsid w:val="00A25CE3"/>
    <w:rsid w:val="00A27978"/>
    <w:rsid w:val="00A31113"/>
    <w:rsid w:val="00A36A6A"/>
    <w:rsid w:val="00A376EC"/>
    <w:rsid w:val="00A37C4B"/>
    <w:rsid w:val="00A4281D"/>
    <w:rsid w:val="00A43192"/>
    <w:rsid w:val="00A47282"/>
    <w:rsid w:val="00A50243"/>
    <w:rsid w:val="00A50991"/>
    <w:rsid w:val="00A51F13"/>
    <w:rsid w:val="00A56F63"/>
    <w:rsid w:val="00A6077A"/>
    <w:rsid w:val="00A66F66"/>
    <w:rsid w:val="00A71AE5"/>
    <w:rsid w:val="00A7670F"/>
    <w:rsid w:val="00A777E2"/>
    <w:rsid w:val="00A77F16"/>
    <w:rsid w:val="00A82F84"/>
    <w:rsid w:val="00A84144"/>
    <w:rsid w:val="00A90909"/>
    <w:rsid w:val="00A92F60"/>
    <w:rsid w:val="00A93FB9"/>
    <w:rsid w:val="00A96202"/>
    <w:rsid w:val="00AA0963"/>
    <w:rsid w:val="00AA1E16"/>
    <w:rsid w:val="00AA4125"/>
    <w:rsid w:val="00AA4171"/>
    <w:rsid w:val="00AB6265"/>
    <w:rsid w:val="00AB77AB"/>
    <w:rsid w:val="00AC002C"/>
    <w:rsid w:val="00AC0E42"/>
    <w:rsid w:val="00AC2EE0"/>
    <w:rsid w:val="00AC33D8"/>
    <w:rsid w:val="00AC6CDD"/>
    <w:rsid w:val="00AD1A68"/>
    <w:rsid w:val="00AD38D0"/>
    <w:rsid w:val="00AD5D6A"/>
    <w:rsid w:val="00AE108C"/>
    <w:rsid w:val="00AE3AF5"/>
    <w:rsid w:val="00AE5AE2"/>
    <w:rsid w:val="00AF1A53"/>
    <w:rsid w:val="00AF43A0"/>
    <w:rsid w:val="00AF7AC7"/>
    <w:rsid w:val="00B005CC"/>
    <w:rsid w:val="00B0341A"/>
    <w:rsid w:val="00B05ADC"/>
    <w:rsid w:val="00B113DA"/>
    <w:rsid w:val="00B15159"/>
    <w:rsid w:val="00B17D31"/>
    <w:rsid w:val="00B17F65"/>
    <w:rsid w:val="00B214DC"/>
    <w:rsid w:val="00B272BE"/>
    <w:rsid w:val="00B3471A"/>
    <w:rsid w:val="00B35B5C"/>
    <w:rsid w:val="00B36AFF"/>
    <w:rsid w:val="00B37A36"/>
    <w:rsid w:val="00B4229B"/>
    <w:rsid w:val="00B424BC"/>
    <w:rsid w:val="00B44BC4"/>
    <w:rsid w:val="00B51C04"/>
    <w:rsid w:val="00B5784C"/>
    <w:rsid w:val="00B60553"/>
    <w:rsid w:val="00B658AA"/>
    <w:rsid w:val="00B66B1A"/>
    <w:rsid w:val="00B77D2C"/>
    <w:rsid w:val="00B82BE9"/>
    <w:rsid w:val="00B9542C"/>
    <w:rsid w:val="00B9543E"/>
    <w:rsid w:val="00B95560"/>
    <w:rsid w:val="00B9745D"/>
    <w:rsid w:val="00BA3B29"/>
    <w:rsid w:val="00BA7893"/>
    <w:rsid w:val="00BA7FAB"/>
    <w:rsid w:val="00BB6B6E"/>
    <w:rsid w:val="00BC2F4C"/>
    <w:rsid w:val="00BC43AD"/>
    <w:rsid w:val="00BC4A05"/>
    <w:rsid w:val="00BC567D"/>
    <w:rsid w:val="00BC6BA6"/>
    <w:rsid w:val="00BD1767"/>
    <w:rsid w:val="00BD1A36"/>
    <w:rsid w:val="00BD4FE5"/>
    <w:rsid w:val="00BD684C"/>
    <w:rsid w:val="00BE15C1"/>
    <w:rsid w:val="00BE35A1"/>
    <w:rsid w:val="00BE384A"/>
    <w:rsid w:val="00BE5AAB"/>
    <w:rsid w:val="00BF0B15"/>
    <w:rsid w:val="00BF0F4F"/>
    <w:rsid w:val="00BF6397"/>
    <w:rsid w:val="00C000FD"/>
    <w:rsid w:val="00C05F8E"/>
    <w:rsid w:val="00C12CBB"/>
    <w:rsid w:val="00C16F77"/>
    <w:rsid w:val="00C17384"/>
    <w:rsid w:val="00C17412"/>
    <w:rsid w:val="00C17FF4"/>
    <w:rsid w:val="00C23C58"/>
    <w:rsid w:val="00C25A2D"/>
    <w:rsid w:val="00C260F8"/>
    <w:rsid w:val="00C3050C"/>
    <w:rsid w:val="00C32889"/>
    <w:rsid w:val="00C34B99"/>
    <w:rsid w:val="00C40CC8"/>
    <w:rsid w:val="00C4284C"/>
    <w:rsid w:val="00C43FBE"/>
    <w:rsid w:val="00C449C6"/>
    <w:rsid w:val="00C44AA1"/>
    <w:rsid w:val="00C52142"/>
    <w:rsid w:val="00C564B0"/>
    <w:rsid w:val="00C61F0B"/>
    <w:rsid w:val="00C6283F"/>
    <w:rsid w:val="00C6582C"/>
    <w:rsid w:val="00C662AF"/>
    <w:rsid w:val="00C71487"/>
    <w:rsid w:val="00C735D5"/>
    <w:rsid w:val="00C73ED1"/>
    <w:rsid w:val="00C7606D"/>
    <w:rsid w:val="00C814A5"/>
    <w:rsid w:val="00C8258D"/>
    <w:rsid w:val="00C82932"/>
    <w:rsid w:val="00C84B2B"/>
    <w:rsid w:val="00C855F6"/>
    <w:rsid w:val="00C96573"/>
    <w:rsid w:val="00CA17B1"/>
    <w:rsid w:val="00CA1C73"/>
    <w:rsid w:val="00CA286A"/>
    <w:rsid w:val="00CA4791"/>
    <w:rsid w:val="00CA7205"/>
    <w:rsid w:val="00CB50B6"/>
    <w:rsid w:val="00CC04B5"/>
    <w:rsid w:val="00CC36B6"/>
    <w:rsid w:val="00CC5CD9"/>
    <w:rsid w:val="00CD03C6"/>
    <w:rsid w:val="00CD0BB8"/>
    <w:rsid w:val="00CD3849"/>
    <w:rsid w:val="00CE0509"/>
    <w:rsid w:val="00CE2D9C"/>
    <w:rsid w:val="00CE41B0"/>
    <w:rsid w:val="00CF4D77"/>
    <w:rsid w:val="00CF4E68"/>
    <w:rsid w:val="00CF7384"/>
    <w:rsid w:val="00D00717"/>
    <w:rsid w:val="00D0526B"/>
    <w:rsid w:val="00D063D3"/>
    <w:rsid w:val="00D221F3"/>
    <w:rsid w:val="00D2343D"/>
    <w:rsid w:val="00D30EAE"/>
    <w:rsid w:val="00D318F1"/>
    <w:rsid w:val="00D329A8"/>
    <w:rsid w:val="00D40B0E"/>
    <w:rsid w:val="00D416C2"/>
    <w:rsid w:val="00D44FE0"/>
    <w:rsid w:val="00D45275"/>
    <w:rsid w:val="00D4694F"/>
    <w:rsid w:val="00D50B56"/>
    <w:rsid w:val="00D51E19"/>
    <w:rsid w:val="00D52C87"/>
    <w:rsid w:val="00D5423E"/>
    <w:rsid w:val="00D56EDD"/>
    <w:rsid w:val="00D66413"/>
    <w:rsid w:val="00D77952"/>
    <w:rsid w:val="00D810DB"/>
    <w:rsid w:val="00D84B95"/>
    <w:rsid w:val="00D851B1"/>
    <w:rsid w:val="00DA284A"/>
    <w:rsid w:val="00DA46A0"/>
    <w:rsid w:val="00DA66B7"/>
    <w:rsid w:val="00DB0224"/>
    <w:rsid w:val="00DB0865"/>
    <w:rsid w:val="00DB0C91"/>
    <w:rsid w:val="00DB7206"/>
    <w:rsid w:val="00DC36C8"/>
    <w:rsid w:val="00DC5A01"/>
    <w:rsid w:val="00DC5C1E"/>
    <w:rsid w:val="00DD2895"/>
    <w:rsid w:val="00DE5433"/>
    <w:rsid w:val="00DE68A7"/>
    <w:rsid w:val="00DF2A65"/>
    <w:rsid w:val="00DF2AE6"/>
    <w:rsid w:val="00DF5A43"/>
    <w:rsid w:val="00DF5F38"/>
    <w:rsid w:val="00DF6AA9"/>
    <w:rsid w:val="00DF7639"/>
    <w:rsid w:val="00E04526"/>
    <w:rsid w:val="00E04912"/>
    <w:rsid w:val="00E069D7"/>
    <w:rsid w:val="00E072D1"/>
    <w:rsid w:val="00E07BAA"/>
    <w:rsid w:val="00E1179E"/>
    <w:rsid w:val="00E13585"/>
    <w:rsid w:val="00E14180"/>
    <w:rsid w:val="00E21491"/>
    <w:rsid w:val="00E21D3D"/>
    <w:rsid w:val="00E23336"/>
    <w:rsid w:val="00E31661"/>
    <w:rsid w:val="00E32B52"/>
    <w:rsid w:val="00E34040"/>
    <w:rsid w:val="00E35D91"/>
    <w:rsid w:val="00E3652F"/>
    <w:rsid w:val="00E46D06"/>
    <w:rsid w:val="00E47EB8"/>
    <w:rsid w:val="00E521D4"/>
    <w:rsid w:val="00E52F1E"/>
    <w:rsid w:val="00E53850"/>
    <w:rsid w:val="00E63B11"/>
    <w:rsid w:val="00E704FD"/>
    <w:rsid w:val="00E71F5F"/>
    <w:rsid w:val="00E750E1"/>
    <w:rsid w:val="00E7795A"/>
    <w:rsid w:val="00E801F2"/>
    <w:rsid w:val="00E829A3"/>
    <w:rsid w:val="00E8305F"/>
    <w:rsid w:val="00E9114A"/>
    <w:rsid w:val="00EA0D5B"/>
    <w:rsid w:val="00EA2D5E"/>
    <w:rsid w:val="00EA3948"/>
    <w:rsid w:val="00EA489C"/>
    <w:rsid w:val="00EA7B59"/>
    <w:rsid w:val="00EB0CA7"/>
    <w:rsid w:val="00EB344D"/>
    <w:rsid w:val="00EB4992"/>
    <w:rsid w:val="00EC012A"/>
    <w:rsid w:val="00EC2B29"/>
    <w:rsid w:val="00EC5217"/>
    <w:rsid w:val="00ED251D"/>
    <w:rsid w:val="00ED3C2E"/>
    <w:rsid w:val="00EE150C"/>
    <w:rsid w:val="00EF0947"/>
    <w:rsid w:val="00EF151A"/>
    <w:rsid w:val="00EF2E52"/>
    <w:rsid w:val="00EF3C9E"/>
    <w:rsid w:val="00EF4F48"/>
    <w:rsid w:val="00EF4F85"/>
    <w:rsid w:val="00F004A8"/>
    <w:rsid w:val="00F031FB"/>
    <w:rsid w:val="00F13AD1"/>
    <w:rsid w:val="00F15C1B"/>
    <w:rsid w:val="00F21102"/>
    <w:rsid w:val="00F23C00"/>
    <w:rsid w:val="00F24202"/>
    <w:rsid w:val="00F247BA"/>
    <w:rsid w:val="00F32228"/>
    <w:rsid w:val="00F32E4A"/>
    <w:rsid w:val="00F36D8C"/>
    <w:rsid w:val="00F4710F"/>
    <w:rsid w:val="00F53DA5"/>
    <w:rsid w:val="00F571D1"/>
    <w:rsid w:val="00F57DED"/>
    <w:rsid w:val="00F6751B"/>
    <w:rsid w:val="00F67E74"/>
    <w:rsid w:val="00F70658"/>
    <w:rsid w:val="00F80A81"/>
    <w:rsid w:val="00F854C9"/>
    <w:rsid w:val="00F90A71"/>
    <w:rsid w:val="00F923A5"/>
    <w:rsid w:val="00F9320A"/>
    <w:rsid w:val="00F93545"/>
    <w:rsid w:val="00F93FCF"/>
    <w:rsid w:val="00F96337"/>
    <w:rsid w:val="00F96FBA"/>
    <w:rsid w:val="00FB0C1B"/>
    <w:rsid w:val="00FB2B5B"/>
    <w:rsid w:val="00FB469E"/>
    <w:rsid w:val="00FB4E06"/>
    <w:rsid w:val="00FB6C6C"/>
    <w:rsid w:val="00FC26F2"/>
    <w:rsid w:val="00FC3483"/>
    <w:rsid w:val="00FC4303"/>
    <w:rsid w:val="00FC4D68"/>
    <w:rsid w:val="00FC56D7"/>
    <w:rsid w:val="00FD2ADA"/>
    <w:rsid w:val="00FD5AB0"/>
    <w:rsid w:val="00FD675B"/>
    <w:rsid w:val="00FE221C"/>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573826"/>
  <w15:chartTrackingRefBased/>
  <w15:docId w15:val="{BF45FC5B-9EF0-4908-976C-B2E50D0A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A5F"/>
    <w:pPr>
      <w:bidi/>
      <w:spacing w:line="360" w:lineRule="exact"/>
      <w:jc w:val="lowKashida"/>
    </w:pPr>
    <w:rPr>
      <w:rFonts w:eastAsiaTheme="minorHAnsi" w:cs="Simplified Arabic"/>
      <w:kern w:val="14"/>
      <w:szCs w:val="22"/>
      <w:lang w:eastAsia="en-US"/>
    </w:rPr>
  </w:style>
  <w:style w:type="paragraph" w:styleId="Heading1">
    <w:name w:val="heading 1"/>
    <w:basedOn w:val="Normal"/>
    <w:next w:val="Normal"/>
    <w:link w:val="Heading1Char"/>
    <w:rsid w:val="00601A5F"/>
    <w:pPr>
      <w:keepNext/>
      <w:outlineLvl w:val="0"/>
    </w:pPr>
    <w:rPr>
      <w:sz w:val="24"/>
      <w:szCs w:val="24"/>
    </w:rPr>
  </w:style>
  <w:style w:type="paragraph" w:styleId="Heading2">
    <w:name w:val="heading 2"/>
    <w:basedOn w:val="Normal"/>
    <w:next w:val="Normal"/>
    <w:link w:val="Heading2Char"/>
    <w:qFormat/>
    <w:rsid w:val="00601A5F"/>
    <w:pPr>
      <w:outlineLvl w:val="1"/>
    </w:pPr>
  </w:style>
  <w:style w:type="paragraph" w:styleId="Heading3">
    <w:name w:val="heading 3"/>
    <w:basedOn w:val="Normal"/>
    <w:next w:val="Normal"/>
    <w:link w:val="Heading3Char"/>
    <w:qFormat/>
    <w:rsid w:val="00601A5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601A5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
      <w:bCs/>
      <w:sz w:val="26"/>
      <w:szCs w:val="26"/>
    </w:rPr>
  </w:style>
  <w:style w:type="paragraph" w:customStyle="1" w:styleId="HCh">
    <w:name w:val="_ H _Ch"/>
    <w:basedOn w:val="H1"/>
    <w:next w:val="SingleTxt"/>
    <w:qFormat/>
    <w:rsid w:val="00601A5F"/>
    <w:pPr>
      <w:spacing w:line="440" w:lineRule="exact"/>
      <w:jc w:val="mediumKashida"/>
    </w:pPr>
    <w:rPr>
      <w:rFonts w:eastAsiaTheme="minorEastAsia"/>
      <w:spacing w:val="-2"/>
      <w:sz w:val="30"/>
      <w:szCs w:val="30"/>
    </w:rPr>
  </w:style>
  <w:style w:type="character" w:styleId="CommentReference">
    <w:name w:val="annotation reference"/>
    <w:basedOn w:val="DefaultParagraphFont"/>
    <w:semiHidden/>
    <w:rsid w:val="00601A5F"/>
    <w:rPr>
      <w:sz w:val="6"/>
      <w:szCs w:val="9"/>
    </w:rPr>
  </w:style>
  <w:style w:type="paragraph" w:styleId="FootnoteText">
    <w:name w:val="footnote text"/>
    <w:basedOn w:val="Normal"/>
    <w:link w:val="FootnoteTextChar"/>
    <w:rsid w:val="00601A5F"/>
    <w:pPr>
      <w:tabs>
        <w:tab w:val="right" w:pos="418"/>
      </w:tabs>
      <w:spacing w:line="280" w:lineRule="exact"/>
      <w:ind w:left="662" w:right="662" w:hanging="662"/>
    </w:pPr>
    <w:rPr>
      <w:sz w:val="17"/>
      <w:szCs w:val="18"/>
    </w:rPr>
  </w:style>
  <w:style w:type="paragraph" w:styleId="EndnoteText">
    <w:name w:val="endnote text"/>
    <w:basedOn w:val="FootnoteText"/>
    <w:link w:val="EndnoteTextChar"/>
    <w:semiHidden/>
    <w:rsid w:val="00601A5F"/>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601A5F"/>
    <w:rPr>
      <w:rFonts w:ascii="Times New Roman" w:hAnsi="Times New Roman" w:cs="Simplified Arabic"/>
      <w:color w:val="auto"/>
      <w:spacing w:val="5"/>
      <w:w w:val="103"/>
      <w:kern w:val="14"/>
      <w:position w:val="0"/>
      <w:sz w:val="17"/>
      <w:szCs w:val="18"/>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601A5F"/>
    <w:rPr>
      <w:rFonts w:ascii="Tahoma" w:hAnsi="Tahoma" w:cs="Tahoma"/>
      <w:sz w:val="16"/>
      <w:szCs w:val="16"/>
    </w:rPr>
  </w:style>
  <w:style w:type="paragraph" w:customStyle="1" w:styleId="HM">
    <w:name w:val="_ H __M"/>
    <w:basedOn w:val="HCh"/>
    <w:next w:val="Normal"/>
    <w:qFormat/>
    <w:rsid w:val="00601A5F"/>
    <w:pPr>
      <w:suppressAutoHyphens/>
      <w:spacing w:line="520" w:lineRule="exact"/>
    </w:pPr>
    <w:rPr>
      <w:spacing w:val="-3"/>
      <w:sz w:val="48"/>
      <w:szCs w:val="48"/>
    </w:rPr>
  </w:style>
  <w:style w:type="paragraph" w:customStyle="1" w:styleId="SingleTxt">
    <w:name w:val="__Single Txt"/>
    <w:basedOn w:val="Normal"/>
    <w:qFormat/>
    <w:rsid w:val="00601A5F"/>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H23">
    <w:name w:val="_ H_2/3"/>
    <w:basedOn w:val="H1"/>
    <w:next w:val="SingleTxt"/>
    <w:qFormat/>
    <w:rsid w:val="00601A5F"/>
    <w:pPr>
      <w:spacing w:line="360" w:lineRule="exact"/>
      <w:ind w:left="1264" w:right="1264" w:hanging="1264"/>
      <w:outlineLvl w:val="1"/>
    </w:pPr>
    <w:rPr>
      <w:rFonts w:eastAsiaTheme="minorEastAsia"/>
      <w:spacing w:val="2"/>
      <w:sz w:val="22"/>
      <w:szCs w:val="22"/>
    </w:rPr>
  </w:style>
  <w:style w:type="paragraph" w:customStyle="1" w:styleId="H4">
    <w:name w:val="_ H_4"/>
    <w:basedOn w:val="Normal"/>
    <w:next w:val="Normal"/>
    <w:qFormat/>
    <w:rsid w:val="00601A5F"/>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3"/>
    </w:pPr>
    <w:rPr>
      <w:i/>
      <w:iCs/>
      <w:spacing w:val="2"/>
    </w:rPr>
  </w:style>
  <w:style w:type="paragraph" w:customStyle="1" w:styleId="H56">
    <w:name w:val="_ H_5/6"/>
    <w:basedOn w:val="Normal"/>
    <w:next w:val="Normal"/>
    <w:qFormat/>
    <w:rsid w:val="00601A5F"/>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4"/>
    </w:pPr>
  </w:style>
  <w:style w:type="paragraph" w:customStyle="1" w:styleId="DualTxt">
    <w:name w:val="__Dual Txt"/>
    <w:basedOn w:val="Normal"/>
    <w:qFormat/>
    <w:rsid w:val="00601A5F"/>
    <w:pPr>
      <w:tabs>
        <w:tab w:val="left" w:pos="662"/>
        <w:tab w:val="left" w:pos="1325"/>
        <w:tab w:val="left" w:pos="1987"/>
        <w:tab w:val="left" w:pos="2650"/>
        <w:tab w:val="left" w:pos="3312"/>
        <w:tab w:val="left" w:pos="3974"/>
        <w:tab w:val="left" w:pos="4637"/>
      </w:tabs>
      <w:spacing w:after="120"/>
    </w:pPr>
    <w:rPr>
      <w:rFonts w:eastAsiaTheme="minorEastAsia"/>
    </w:rPr>
  </w:style>
  <w:style w:type="paragraph" w:customStyle="1" w:styleId="JDualTxt">
    <w:name w:val="J__Dual Txt"/>
    <w:basedOn w:val="Normal"/>
    <w:qFormat/>
    <w:rsid w:val="00601A5F"/>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601A5F"/>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601A5F"/>
    <w:rPr>
      <w:rFonts w:eastAsiaTheme="minorHAnsi"/>
      <w:b/>
      <w:bCs/>
      <w:kern w:val="14"/>
      <w:sz w:val="17"/>
      <w:szCs w:val="25"/>
      <w:lang w:eastAsia="en-US"/>
    </w:rPr>
  </w:style>
  <w:style w:type="paragraph" w:styleId="Header">
    <w:name w:val="header"/>
    <w:link w:val="HeaderChar"/>
    <w:qFormat/>
    <w:rsid w:val="00601A5F"/>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601A5F"/>
    <w:rPr>
      <w:rFonts w:eastAsiaTheme="minorHAnsi"/>
      <w:b/>
      <w:bCs/>
      <w:w w:val="105"/>
      <w:kern w:val="14"/>
      <w:sz w:val="17"/>
      <w:szCs w:val="25"/>
      <w:lang w:eastAsia="en-US"/>
    </w:rPr>
  </w:style>
  <w:style w:type="character" w:customStyle="1" w:styleId="Heading3Char">
    <w:name w:val="Heading 3 Char"/>
    <w:basedOn w:val="DefaultParagraphFont"/>
    <w:link w:val="Heading3"/>
    <w:rsid w:val="00601A5F"/>
    <w:rPr>
      <w:rFonts w:ascii="Arial" w:eastAsiaTheme="majorEastAsia" w:hAnsi="Arial" w:cs="Arial"/>
      <w:b/>
      <w:bCs/>
      <w:kern w:val="14"/>
      <w:sz w:val="26"/>
      <w:szCs w:val="26"/>
      <w:lang w:eastAsia="en-US"/>
    </w:rPr>
  </w:style>
  <w:style w:type="paragraph" w:customStyle="1" w:styleId="JSingleTxt">
    <w:name w:val="J__Single Txt"/>
    <w:basedOn w:val="Normal"/>
    <w:qFormat/>
    <w:rsid w:val="00601A5F"/>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601A5F"/>
    <w:pPr>
      <w:spacing w:after="120" w:line="440" w:lineRule="exact"/>
      <w:jc w:val="center"/>
    </w:pPr>
    <w:rPr>
      <w:b/>
      <w:bCs/>
      <w:sz w:val="25"/>
      <w:szCs w:val="38"/>
    </w:rPr>
  </w:style>
  <w:style w:type="paragraph" w:customStyle="1" w:styleId="JH1">
    <w:name w:val="J_H_1"/>
    <w:basedOn w:val="JCH"/>
    <w:qFormat/>
    <w:rsid w:val="00601A5F"/>
    <w:pPr>
      <w:spacing w:line="420" w:lineRule="exact"/>
    </w:pPr>
    <w:rPr>
      <w:sz w:val="23"/>
      <w:szCs w:val="34"/>
    </w:rPr>
  </w:style>
  <w:style w:type="paragraph" w:customStyle="1" w:styleId="JH2">
    <w:name w:val="J_H_2"/>
    <w:basedOn w:val="JH1"/>
    <w:qFormat/>
    <w:rsid w:val="00601A5F"/>
    <w:pPr>
      <w:spacing w:line="400" w:lineRule="exact"/>
    </w:pPr>
    <w:rPr>
      <w:sz w:val="20"/>
      <w:szCs w:val="30"/>
    </w:rPr>
  </w:style>
  <w:style w:type="paragraph" w:customStyle="1" w:styleId="JSmall">
    <w:name w:val="J_Small"/>
    <w:basedOn w:val="JSingleTxt"/>
    <w:next w:val="JSingleTxt"/>
    <w:qFormat/>
    <w:rsid w:val="00601A5F"/>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01A5F"/>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601A5F"/>
    <w:rPr>
      <w:sz w:val="14"/>
      <w:szCs w:val="16"/>
    </w:rPr>
  </w:style>
  <w:style w:type="paragraph" w:customStyle="1" w:styleId="SmallX">
    <w:name w:val="SmallX"/>
    <w:basedOn w:val="Small"/>
    <w:next w:val="Normal"/>
    <w:qFormat/>
    <w:rsid w:val="00601A5F"/>
    <w:pPr>
      <w:spacing w:line="240" w:lineRule="exact"/>
    </w:pPr>
    <w:rPr>
      <w:spacing w:val="6"/>
      <w:w w:val="106"/>
      <w:sz w:val="14"/>
      <w:szCs w:val="21"/>
    </w:rPr>
  </w:style>
  <w:style w:type="paragraph" w:customStyle="1" w:styleId="XLarge">
    <w:name w:val="XLarge"/>
    <w:basedOn w:val="HM"/>
    <w:qFormat/>
    <w:rsid w:val="00601A5F"/>
    <w:pPr>
      <w:tabs>
        <w:tab w:val="right" w:leader="dot" w:pos="360"/>
      </w:tabs>
      <w:spacing w:line="580" w:lineRule="exact"/>
      <w:ind w:left="0" w:right="0" w:firstLine="0"/>
      <w:jc w:val="right"/>
    </w:pPr>
    <w:rPr>
      <w:spacing w:val="-4"/>
      <w:w w:val="98"/>
      <w:sz w:val="40"/>
      <w:szCs w:val="50"/>
    </w:rPr>
  </w:style>
  <w:style w:type="paragraph" w:customStyle="1" w:styleId="XXLarge">
    <w:name w:val="XXLarge"/>
    <w:basedOn w:val="XLarge"/>
    <w:next w:val="Normal"/>
    <w:qFormat/>
    <w:rsid w:val="00601A5F"/>
    <w:pPr>
      <w:spacing w:line="820" w:lineRule="exact"/>
    </w:pPr>
    <w:rPr>
      <w:spacing w:val="-8"/>
      <w:w w:val="96"/>
      <w:sz w:val="57"/>
      <w:szCs w:val="68"/>
    </w:rPr>
  </w:style>
  <w:style w:type="paragraph" w:customStyle="1" w:styleId="Distribution">
    <w:name w:val="Distribution"/>
    <w:basedOn w:val="Normal"/>
    <w:next w:val="Normal"/>
    <w:qFormat/>
    <w:rsid w:val="00601A5F"/>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601A5F"/>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601A5F"/>
    <w:pPr>
      <w:tabs>
        <w:tab w:val="left" w:pos="662"/>
        <w:tab w:val="left" w:pos="1267"/>
        <w:tab w:val="left" w:pos="1987"/>
        <w:tab w:val="left" w:pos="2650"/>
      </w:tabs>
      <w:spacing w:line="240" w:lineRule="exact"/>
    </w:pPr>
  </w:style>
  <w:style w:type="paragraph" w:customStyle="1" w:styleId="ReleaseDate">
    <w:name w:val="Release Date"/>
    <w:next w:val="Footer"/>
    <w:qFormat/>
    <w:rsid w:val="00601A5F"/>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601A5F"/>
    <w:pPr>
      <w:tabs>
        <w:tab w:val="left" w:pos="662"/>
        <w:tab w:val="left" w:pos="1987"/>
        <w:tab w:val="left" w:pos="2650"/>
      </w:tabs>
      <w:spacing w:after="0"/>
      <w:ind w:left="663" w:hanging="663"/>
    </w:pPr>
  </w:style>
  <w:style w:type="paragraph" w:customStyle="1" w:styleId="Committee">
    <w:name w:val="Committee"/>
    <w:basedOn w:val="H1"/>
    <w:qFormat/>
    <w:rsid w:val="00601A5F"/>
    <w:pPr>
      <w:tabs>
        <w:tab w:val="left" w:pos="662"/>
        <w:tab w:val="left" w:pos="1987"/>
        <w:tab w:val="left" w:pos="2650"/>
      </w:tabs>
      <w:ind w:right="1264"/>
    </w:pPr>
  </w:style>
  <w:style w:type="paragraph" w:customStyle="1" w:styleId="AgendaItemNormal">
    <w:name w:val="Agenda_Item_Normal"/>
    <w:next w:val="Normal"/>
    <w:qFormat/>
    <w:rsid w:val="00601A5F"/>
    <w:pPr>
      <w:bidi/>
      <w:spacing w:line="360" w:lineRule="exact"/>
      <w:jc w:val="lowKashida"/>
    </w:pPr>
    <w:rPr>
      <w:rFonts w:eastAsiaTheme="minorHAnsi" w:cs="Simplified Arabic"/>
      <w:w w:val="103"/>
      <w:kern w:val="14"/>
      <w:sz w:val="22"/>
      <w:szCs w:val="22"/>
      <w:lang w:eastAsia="en-US"/>
    </w:rPr>
  </w:style>
  <w:style w:type="paragraph" w:customStyle="1" w:styleId="Sponsors">
    <w:name w:val="Sponsors"/>
    <w:basedOn w:val="H23"/>
    <w:next w:val="Normal"/>
    <w:qFormat/>
    <w:rsid w:val="00601A5F"/>
  </w:style>
  <w:style w:type="paragraph" w:customStyle="1" w:styleId="TitleHCH">
    <w:name w:val="Title_H_CH"/>
    <w:basedOn w:val="H1"/>
    <w:next w:val="SingleTxt"/>
    <w:qFormat/>
    <w:rsid w:val="00601A5F"/>
    <w:pPr>
      <w:spacing w:line="440" w:lineRule="exact"/>
      <w:ind w:left="1264" w:right="1264" w:hanging="1264"/>
    </w:pPr>
    <w:rPr>
      <w:rFonts w:eastAsiaTheme="minorEastAsia"/>
      <w:spacing w:val="-2"/>
      <w:sz w:val="30"/>
      <w:szCs w:val="30"/>
    </w:rPr>
  </w:style>
  <w:style w:type="paragraph" w:customStyle="1" w:styleId="TitleH1">
    <w:name w:val="Title_H1"/>
    <w:basedOn w:val="Normal"/>
    <w:next w:val="SingleTxt"/>
    <w:qFormat/>
    <w:rsid w:val="00601A5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4" w:right="1264" w:hanging="1264"/>
      <w:outlineLvl w:val="0"/>
    </w:pPr>
    <w:rPr>
      <w:b/>
      <w:bCs/>
      <w:sz w:val="26"/>
      <w:szCs w:val="26"/>
    </w:rPr>
  </w:style>
  <w:style w:type="paragraph" w:customStyle="1" w:styleId="TitleH2">
    <w:name w:val="Title_H2"/>
    <w:basedOn w:val="H1"/>
    <w:next w:val="SingleTxt"/>
    <w:qFormat/>
    <w:rsid w:val="00601A5F"/>
    <w:pPr>
      <w:spacing w:before="360" w:line="360" w:lineRule="exact"/>
      <w:ind w:left="1264" w:right="1264" w:hanging="1264"/>
      <w:outlineLvl w:val="1"/>
    </w:pPr>
    <w:rPr>
      <w:rFonts w:eastAsiaTheme="minorEastAsia"/>
      <w:spacing w:val="2"/>
      <w:sz w:val="22"/>
      <w:szCs w:val="22"/>
    </w:rPr>
  </w:style>
  <w:style w:type="character" w:styleId="Hyperlink">
    <w:name w:val="Hyperlink"/>
    <w:basedOn w:val="DefaultParagraphFont"/>
    <w:rsid w:val="00601A5F"/>
    <w:rPr>
      <w:color w:val="0000FF"/>
      <w:u w:val="none"/>
    </w:rPr>
  </w:style>
  <w:style w:type="character" w:styleId="FollowedHyperlink">
    <w:name w:val="FollowedHyperlink"/>
    <w:basedOn w:val="DefaultParagraphFont"/>
    <w:rsid w:val="00601A5F"/>
    <w:rPr>
      <w:i w:val="0"/>
      <w:color w:val="0000FF"/>
      <w:u w:val="none"/>
    </w:rPr>
  </w:style>
  <w:style w:type="paragraph" w:customStyle="1" w:styleId="Bullet1">
    <w:name w:val="Bullet 1"/>
    <w:basedOn w:val="Normal"/>
    <w:qFormat/>
    <w:rsid w:val="00601A5F"/>
    <w:pPr>
      <w:numPr>
        <w:numId w:val="37"/>
      </w:numPr>
      <w:spacing w:after="120"/>
      <w:ind w:right="1264"/>
    </w:pPr>
  </w:style>
  <w:style w:type="paragraph" w:customStyle="1" w:styleId="Bullet2">
    <w:name w:val="Bullet 2"/>
    <w:basedOn w:val="Normal"/>
    <w:qFormat/>
    <w:rsid w:val="00601A5F"/>
    <w:pPr>
      <w:numPr>
        <w:numId w:val="38"/>
      </w:numPr>
      <w:spacing w:after="120"/>
      <w:ind w:right="1264"/>
    </w:pPr>
  </w:style>
  <w:style w:type="character" w:styleId="EndnoteReference">
    <w:name w:val="endnote reference"/>
    <w:basedOn w:val="DefaultParagraphFont"/>
    <w:semiHidden/>
    <w:rsid w:val="00601A5F"/>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601A5F"/>
    <w:pPr>
      <w:numPr>
        <w:numId w:val="39"/>
      </w:numPr>
    </w:pPr>
  </w:style>
  <w:style w:type="paragraph" w:customStyle="1" w:styleId="AgendaTitleH2">
    <w:name w:val="Agenda_Title_H2"/>
    <w:basedOn w:val="H1"/>
    <w:next w:val="Normal"/>
    <w:qFormat/>
    <w:rsid w:val="00601A5F"/>
    <w:pPr>
      <w:spacing w:line="360" w:lineRule="exact"/>
      <w:outlineLvl w:val="1"/>
    </w:pPr>
    <w:rPr>
      <w:spacing w:val="2"/>
      <w:sz w:val="22"/>
      <w:szCs w:val="22"/>
    </w:rPr>
  </w:style>
  <w:style w:type="character" w:customStyle="1" w:styleId="BalloonTextChar">
    <w:name w:val="Balloon Text Char"/>
    <w:basedOn w:val="DefaultParagraphFont"/>
    <w:link w:val="BalloonText"/>
    <w:semiHidden/>
    <w:rsid w:val="00601A5F"/>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601A5F"/>
    <w:rPr>
      <w:rFonts w:eastAsiaTheme="minorHAnsi" w:cs="Simplified Arabic"/>
      <w:kern w:val="14"/>
      <w:sz w:val="17"/>
      <w:szCs w:val="18"/>
      <w:lang w:eastAsia="en-US"/>
    </w:rPr>
  </w:style>
  <w:style w:type="character" w:customStyle="1" w:styleId="EndnoteTextChar">
    <w:name w:val="Endnote Text Char"/>
    <w:basedOn w:val="DefaultParagraphFont"/>
    <w:link w:val="EndnoteText"/>
    <w:semiHidden/>
    <w:rsid w:val="00601A5F"/>
    <w:rPr>
      <w:rFonts w:eastAsiaTheme="minorHAnsi" w:cs="Simplified Arabic"/>
      <w:kern w:val="14"/>
      <w:sz w:val="17"/>
      <w:szCs w:val="18"/>
      <w:lang w:eastAsia="en-US"/>
    </w:rPr>
  </w:style>
  <w:style w:type="character" w:customStyle="1" w:styleId="Heading1Char">
    <w:name w:val="Heading 1 Char"/>
    <w:basedOn w:val="DefaultParagraphFont"/>
    <w:link w:val="Heading1"/>
    <w:rsid w:val="00601A5F"/>
    <w:rPr>
      <w:rFonts w:eastAsiaTheme="minorHAnsi" w:cs="Simplified Arabic"/>
      <w:kern w:val="14"/>
      <w:sz w:val="24"/>
      <w:szCs w:val="24"/>
      <w:lang w:eastAsia="en-US"/>
    </w:rPr>
  </w:style>
  <w:style w:type="character" w:customStyle="1" w:styleId="Heading2Char">
    <w:name w:val="Heading 2 Char"/>
    <w:basedOn w:val="DefaultParagraphFont"/>
    <w:link w:val="Heading2"/>
    <w:rsid w:val="00601A5F"/>
    <w:rPr>
      <w:rFonts w:eastAsiaTheme="minorHAnsi" w:cs="Simplified Arabic"/>
      <w:kern w:val="14"/>
      <w:sz w:val="22"/>
      <w:szCs w:val="22"/>
      <w:lang w:eastAsia="en-US"/>
    </w:rPr>
  </w:style>
  <w:style w:type="paragraph" w:customStyle="1" w:styleId="STitleM">
    <w:name w:val="S_Title_M"/>
    <w:basedOn w:val="Normal"/>
    <w:next w:val="Normal"/>
    <w:qFormat/>
    <w:rsid w:val="00B15159"/>
    <w:pPr>
      <w:keepNext/>
      <w:keepLines/>
      <w:tabs>
        <w:tab w:val="left" w:leader="dot" w:pos="360"/>
      </w:tabs>
      <w:suppressAutoHyphens/>
      <w:spacing w:line="600" w:lineRule="exact"/>
      <w:ind w:left="1267" w:right="1267"/>
      <w:outlineLvl w:val="0"/>
    </w:pPr>
    <w:rPr>
      <w:rFonts w:ascii="Traditional Arabic" w:hAnsi="Traditional Arabic"/>
      <w:b/>
      <w:bCs/>
      <w:spacing w:val="-4"/>
      <w:w w:val="98"/>
      <w:sz w:val="54"/>
      <w:szCs w:val="54"/>
    </w:rPr>
  </w:style>
  <w:style w:type="paragraph" w:customStyle="1" w:styleId="STitleS">
    <w:name w:val="S_Title_S"/>
    <w:basedOn w:val="HCh"/>
    <w:next w:val="Normal"/>
    <w:qFormat/>
    <w:rsid w:val="00B15159"/>
    <w:pPr>
      <w:spacing w:line="600" w:lineRule="exact"/>
    </w:pPr>
    <w:rPr>
      <w:rFonts w:ascii="Traditional Arabic" w:hAnsi="Traditional Arabic"/>
      <w:w w:val="103"/>
      <w:sz w:val="60"/>
      <w:szCs w:val="60"/>
    </w:rPr>
  </w:style>
  <w:style w:type="paragraph" w:customStyle="1" w:styleId="STitleL">
    <w:name w:val="S_Title_L"/>
    <w:basedOn w:val="XLarge"/>
    <w:next w:val="Normal"/>
    <w:qFormat/>
    <w:rsid w:val="00B15159"/>
    <w:pPr>
      <w:jc w:val="both"/>
      <w:outlineLvl w:val="9"/>
    </w:pPr>
    <w:rPr>
      <w:spacing w:val="-8"/>
      <w:w w:val="96"/>
      <w:sz w:val="50"/>
    </w:rPr>
  </w:style>
  <w:style w:type="paragraph" w:customStyle="1" w:styleId="SummaryRecord">
    <w:name w:val="SummaryRecord"/>
    <w:basedOn w:val="H23"/>
    <w:next w:val="Session"/>
    <w:qFormat/>
    <w:rsid w:val="00B15159"/>
    <w:pPr>
      <w:tabs>
        <w:tab w:val="left" w:pos="662"/>
        <w:tab w:val="left" w:pos="1987"/>
        <w:tab w:val="left" w:pos="2650"/>
      </w:tabs>
      <w:spacing w:after="0"/>
      <w:ind w:left="662" w:hanging="662"/>
    </w:pPr>
  </w:style>
  <w:style w:type="paragraph" w:customStyle="1" w:styleId="SRMeetingInfo">
    <w:name w:val="SR_Meeting_Info"/>
    <w:next w:val="Normal"/>
    <w:qFormat/>
    <w:rsid w:val="00B15159"/>
    <w:pPr>
      <w:spacing w:line="360" w:lineRule="exact"/>
      <w:jc w:val="both"/>
    </w:pPr>
    <w:rPr>
      <w:rFonts w:eastAsiaTheme="minorHAnsi" w:cs="Simplified Arabic"/>
      <w:w w:val="103"/>
      <w:kern w:val="14"/>
      <w:sz w:val="22"/>
      <w:szCs w:val="22"/>
      <w:lang w:eastAsia="en-US"/>
    </w:rPr>
  </w:style>
  <w:style w:type="paragraph" w:customStyle="1" w:styleId="SRContents">
    <w:name w:val="SR_Contents"/>
    <w:basedOn w:val="Normal"/>
    <w:qFormat/>
    <w:rsid w:val="00B15159"/>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B15159"/>
    <w:pPr>
      <w:spacing w:line="360" w:lineRule="exact"/>
      <w:jc w:val="both"/>
    </w:pPr>
    <w:rPr>
      <w:rFonts w:eastAsiaTheme="minorHAnsi" w:cs="Simplified Arabic"/>
      <w:kern w:val="14"/>
      <w:sz w:val="28"/>
      <w:szCs w:val="28"/>
      <w:lang w:eastAsia="en-US"/>
    </w:rPr>
  </w:style>
  <w:style w:type="paragraph" w:customStyle="1" w:styleId="AgendaItemTitle">
    <w:name w:val="Agenda_Item_Title"/>
    <w:basedOn w:val="H1"/>
    <w:next w:val="Normal"/>
    <w:qFormat/>
    <w:rsid w:val="00B15159"/>
    <w:pPr>
      <w:spacing w:line="360" w:lineRule="exact"/>
      <w:ind w:right="5760"/>
      <w:outlineLvl w:val="1"/>
    </w:pPr>
    <w:rPr>
      <w:spacing w:val="2"/>
      <w:sz w:val="28"/>
      <w:szCs w:val="28"/>
    </w:rPr>
  </w:style>
  <w:style w:type="paragraph" w:customStyle="1" w:styleId="DecisionNumber">
    <w:name w:val="DecisionNumber"/>
    <w:basedOn w:val="H1"/>
    <w:next w:val="Normal"/>
    <w:qFormat/>
    <w:rsid w:val="00B15159"/>
    <w:pPr>
      <w:spacing w:line="360" w:lineRule="exact"/>
      <w:ind w:right="5760"/>
      <w:outlineLvl w:val="1"/>
    </w:pPr>
    <w:rPr>
      <w:spacing w:val="2"/>
      <w:sz w:val="28"/>
      <w:szCs w:val="28"/>
    </w:rPr>
  </w:style>
  <w:style w:type="paragraph" w:customStyle="1" w:styleId="DecisionTitle">
    <w:name w:val="DecisionTitle"/>
    <w:basedOn w:val="H1"/>
    <w:next w:val="Normal"/>
    <w:qFormat/>
    <w:rsid w:val="00B15159"/>
    <w:pPr>
      <w:spacing w:line="360" w:lineRule="exact"/>
      <w:ind w:right="5760"/>
      <w:outlineLvl w:val="1"/>
    </w:pPr>
    <w:rPr>
      <w:spacing w:val="2"/>
      <w:sz w:val="28"/>
      <w:szCs w:val="28"/>
    </w:rPr>
  </w:style>
  <w:style w:type="paragraph" w:customStyle="1" w:styleId="MeetingNumber">
    <w:name w:val="MeetingNumber"/>
    <w:basedOn w:val="H1"/>
    <w:next w:val="Normal"/>
    <w:qFormat/>
    <w:rsid w:val="00B15159"/>
    <w:pPr>
      <w:spacing w:line="360" w:lineRule="exact"/>
      <w:ind w:right="5760"/>
      <w:outlineLvl w:val="1"/>
    </w:pPr>
    <w:rPr>
      <w:spacing w:val="2"/>
      <w:sz w:val="28"/>
      <w:szCs w:val="28"/>
    </w:rPr>
  </w:style>
  <w:style w:type="table" w:styleId="TableGrid">
    <w:name w:val="Table Grid"/>
    <w:basedOn w:val="TableNormal"/>
    <w:uiPriority w:val="59"/>
    <w:rsid w:val="00B15159"/>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B4229B"/>
    <w:pPr>
      <w:spacing w:line="240" w:lineRule="auto"/>
    </w:pPr>
    <w:rPr>
      <w:szCs w:val="20"/>
    </w:rPr>
  </w:style>
  <w:style w:type="character" w:customStyle="1" w:styleId="CommentTextChar">
    <w:name w:val="Comment Text Char"/>
    <w:basedOn w:val="DefaultParagraphFont"/>
    <w:link w:val="CommentText"/>
    <w:semiHidden/>
    <w:rsid w:val="00B4229B"/>
    <w:rPr>
      <w:rFonts w:eastAsiaTheme="minorHAnsi" w:cs="Simplified Arabic"/>
      <w:kern w:val="14"/>
      <w:lang w:eastAsia="en-US"/>
    </w:rPr>
  </w:style>
  <w:style w:type="paragraph" w:styleId="CommentSubject">
    <w:name w:val="annotation subject"/>
    <w:basedOn w:val="CommentText"/>
    <w:next w:val="CommentText"/>
    <w:link w:val="CommentSubjectChar"/>
    <w:semiHidden/>
    <w:unhideWhenUsed/>
    <w:rsid w:val="00B4229B"/>
    <w:rPr>
      <w:b/>
      <w:bCs/>
    </w:rPr>
  </w:style>
  <w:style w:type="character" w:customStyle="1" w:styleId="CommentSubjectChar">
    <w:name w:val="Comment Subject Char"/>
    <w:basedOn w:val="CommentTextChar"/>
    <w:link w:val="CommentSubject"/>
    <w:semiHidden/>
    <w:rsid w:val="00B4229B"/>
    <w:rPr>
      <w:rFonts w:eastAsiaTheme="minorHAnsi" w:cs="Simplified Arabic"/>
      <w:b/>
      <w:bCs/>
      <w:kern w:val="14"/>
      <w:lang w:eastAsia="en-US"/>
    </w:rPr>
  </w:style>
  <w:style w:type="character" w:styleId="UnresolvedMention">
    <w:name w:val="Unresolved Mention"/>
    <w:basedOn w:val="DefaultParagraphFont"/>
    <w:uiPriority w:val="99"/>
    <w:semiHidden/>
    <w:unhideWhenUsed/>
    <w:rsid w:val="006D5013"/>
    <w:rPr>
      <w:color w:val="605E5C"/>
      <w:shd w:val="clear" w:color="auto" w:fill="E1DFDD"/>
    </w:rPr>
  </w:style>
  <w:style w:type="paragraph" w:styleId="Revision">
    <w:name w:val="Revision"/>
    <w:hidden/>
    <w:uiPriority w:val="99"/>
    <w:semiHidden/>
    <w:rsid w:val="008C15A1"/>
    <w:rPr>
      <w:rFonts w:eastAsiaTheme="minorHAnsi" w:cs="Simplified Arabic"/>
      <w:kern w:val="1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ar/CEDAW/C/MAR/CO/4" TargetMode="External"/><Relationship Id="rId3" Type="http://schemas.openxmlformats.org/officeDocument/2006/relationships/styles" Target="styles.xml"/><Relationship Id="rId21" Type="http://schemas.openxmlformats.org/officeDocument/2006/relationships/hyperlink" Target="https://undocs.org/ar/CEDAW/C/MAR/CO/4"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ar/CEDAW/C/MAR/5-6"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ar/CEDAW/C/MAR/CO/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undocs.org/ar/CEDAW/C/MAR/CO/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4F4C2-443F-4F03-8797-63FCEFE97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2472</Words>
  <Characters>14092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16531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Ahmad Jouejati</dc:creator>
  <cp:keywords/>
  <dc:description/>
  <cp:lastModifiedBy>Test User</cp:lastModifiedBy>
  <cp:revision>3</cp:revision>
  <cp:lastPrinted>2020-12-17T17:24:00Z</cp:lastPrinted>
  <dcterms:created xsi:type="dcterms:W3CDTF">2020-12-17T17:23:00Z</dcterms:created>
  <dcterms:modified xsi:type="dcterms:W3CDTF">2020-12-17T17:25:00Z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2015473</vt:lpwstr>
  </property>
  <property fmtid="{D5CDD505-2E9C-101B-9397-08002B2CF9AE}" pid="3" name="ODSRefJobNo">
    <vt:lpwstr>2031981A</vt:lpwstr>
  </property>
  <property fmtid="{D5CDD505-2E9C-101B-9397-08002B2CF9AE}" pid="4" name="Symbol1">
    <vt:lpwstr>CEDAW/C/MAR/Q/5-6</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Arabic</vt:lpwstr>
  </property>
  <property fmtid="{D5CDD505-2E9C-101B-9397-08002B2CF9AE}" pid="12" name="Distribution">
    <vt:lpwstr>General</vt:lpwstr>
  </property>
  <property fmtid="{D5CDD505-2E9C-101B-9397-08002B2CF9AE}" pid="13" name="Publication Date">
    <vt:lpwstr>17 November 2020</vt:lpwstr>
  </property>
  <property fmtid="{D5CDD505-2E9C-101B-9397-08002B2CF9AE}" pid="14" name="Original">
    <vt:lpwstr>Arabic/English/French/</vt:lpwstr>
  </property>
  <property fmtid="{D5CDD505-2E9C-101B-9397-08002B2CF9AE}" pid="15" name="Release Date">
    <vt:lpwstr/>
  </property>
  <property fmtid="{D5CDD505-2E9C-101B-9397-08002B2CF9AE}" pid="16" name="Title1">
    <vt:lpwstr>		قائمة القضايا والأسئلة المتعلقة بالتقرير الجامع للتقريرين الدوريين الخامس والسادس للمغرب*_x000d_</vt:lpwstr>
  </property>
  <property fmtid="{D5CDD505-2E9C-101B-9397-08002B2CF9AE}" pid="17" name="Title2">
    <vt:lpwstr>		الإطار التشريعي وتعريف التمييز ضد المرأة_x000d_</vt:lpwstr>
  </property>
</Properties>
</file>