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01D" w:rsidRDefault="00C4601D" w:rsidP="00C4601D">
      <w:pPr>
        <w:spacing w:line="240" w:lineRule="auto"/>
        <w:jc w:val="left"/>
        <w:rPr>
          <w:szCs w:val="6"/>
        </w:rPr>
        <w:sectPr w:rsidR="00C4601D" w:rsidSect="00C4601D">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C35CB1" w:rsidRPr="00C35CB1" w:rsidRDefault="00C35CB1" w:rsidP="00C35CB1">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lang w:val="fr-CA"/>
        </w:rPr>
      </w:pPr>
      <w:r w:rsidRPr="00C35CB1">
        <w:rPr>
          <w:rFonts w:hint="cs"/>
          <w:rtl/>
        </w:rPr>
        <w:t>لجنة القضاء على التمييز ضد المرأة</w:t>
      </w:r>
    </w:p>
    <w:p w:rsidR="00C35CB1" w:rsidRPr="00C35CB1" w:rsidRDefault="00C35CB1" w:rsidP="00C35CB1">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lowKashida"/>
        <w:rPr>
          <w:lang w:val="fr-CA"/>
        </w:rPr>
      </w:pPr>
      <w:r w:rsidRPr="00C35CB1">
        <w:rPr>
          <w:rFonts w:hint="cs"/>
          <w:rtl/>
        </w:rPr>
        <w:t>الفريق العامل لما قبل الدورة</w:t>
      </w:r>
    </w:p>
    <w:p w:rsidR="00C35CB1" w:rsidRPr="00C35CB1" w:rsidRDefault="00C35CB1" w:rsidP="00C35CB1">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lowKashida"/>
        <w:rPr>
          <w:rFonts w:hint="cs"/>
          <w:rtl/>
        </w:rPr>
      </w:pPr>
      <w:r w:rsidRPr="00C35CB1">
        <w:rPr>
          <w:rFonts w:hint="cs"/>
          <w:rtl/>
        </w:rPr>
        <w:t xml:space="preserve">الدورة الثانية </w:t>
      </w:r>
      <w:r w:rsidR="00D666E0">
        <w:rPr>
          <w:rFonts w:hint="cs"/>
          <w:rtl/>
        </w:rPr>
        <w:t>و</w:t>
      </w:r>
      <w:r w:rsidR="00BB6B48">
        <w:rPr>
          <w:rFonts w:hint="cs"/>
          <w:rtl/>
        </w:rPr>
        <w:t>الأربعون</w:t>
      </w:r>
    </w:p>
    <w:p w:rsidR="00CD3849" w:rsidRDefault="00C35CB1" w:rsidP="00765A56">
      <w:pPr>
        <w:tabs>
          <w:tab w:val="left" w:pos="662"/>
          <w:tab w:val="left" w:pos="1267"/>
          <w:tab w:val="left" w:pos="1987"/>
          <w:tab w:val="left" w:pos="2650"/>
        </w:tabs>
        <w:rPr>
          <w:rFonts w:hint="cs"/>
          <w:rtl/>
        </w:rPr>
      </w:pPr>
      <w:r w:rsidRPr="00C35CB1">
        <w:rPr>
          <w:rFonts w:hint="cs"/>
          <w:rtl/>
        </w:rPr>
        <w:t xml:space="preserve">20 تشرين الأول/أكتوبر </w:t>
      </w:r>
      <w:r>
        <w:rPr>
          <w:rFonts w:hint="cs"/>
          <w:rtl/>
        </w:rPr>
        <w:t xml:space="preserve">- </w:t>
      </w:r>
      <w:r w:rsidRPr="00C35CB1">
        <w:rPr>
          <w:rFonts w:hint="cs"/>
          <w:rtl/>
        </w:rPr>
        <w:t>7</w:t>
      </w:r>
      <w:r w:rsidR="00765A56">
        <w:rPr>
          <w:rFonts w:hint="cs"/>
          <w:rtl/>
        </w:rPr>
        <w:t xml:space="preserve"> </w:t>
      </w:r>
      <w:r w:rsidRPr="00C35CB1">
        <w:rPr>
          <w:rFonts w:hint="cs"/>
          <w:rtl/>
        </w:rPr>
        <w:t>تشرين الثاني/نوفمبر 2008</w:t>
      </w:r>
    </w:p>
    <w:p w:rsidR="00C35CB1" w:rsidRPr="00C35CB1" w:rsidRDefault="00C35CB1" w:rsidP="00C35CB1">
      <w:pPr>
        <w:pStyle w:val="SingleTxt"/>
        <w:spacing w:after="0" w:line="120" w:lineRule="exact"/>
        <w:rPr>
          <w:rFonts w:hint="cs"/>
          <w:sz w:val="10"/>
          <w:rtl/>
        </w:rPr>
      </w:pPr>
    </w:p>
    <w:p w:rsidR="00C35CB1" w:rsidRPr="00C35CB1" w:rsidRDefault="00C35CB1" w:rsidP="00C35CB1">
      <w:pPr>
        <w:pStyle w:val="SingleTxt"/>
        <w:spacing w:after="0" w:line="120" w:lineRule="exact"/>
        <w:rPr>
          <w:rFonts w:hint="cs"/>
          <w:sz w:val="10"/>
          <w:rtl/>
        </w:rPr>
      </w:pPr>
    </w:p>
    <w:p w:rsidR="00C35CB1" w:rsidRPr="00C35CB1" w:rsidRDefault="00C35CB1" w:rsidP="00C35CB1">
      <w:pPr>
        <w:pStyle w:val="SingleTxt"/>
        <w:spacing w:after="0" w:line="120" w:lineRule="exact"/>
        <w:rPr>
          <w:rFonts w:hint="cs"/>
          <w:sz w:val="10"/>
          <w:rtl/>
        </w:rPr>
      </w:pPr>
    </w:p>
    <w:p w:rsidR="00C35CB1" w:rsidRPr="001D593A" w:rsidRDefault="00C35CB1" w:rsidP="004A18A2">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Pr="001D593A">
        <w:rPr>
          <w:rFonts w:hint="cs"/>
          <w:rtl/>
        </w:rPr>
        <w:t xml:space="preserve">الردود على </w:t>
      </w:r>
      <w:r w:rsidR="004A18A2">
        <w:rPr>
          <w:rFonts w:hint="cs"/>
          <w:rtl/>
        </w:rPr>
        <w:t xml:space="preserve">قائمة </w:t>
      </w:r>
      <w:r w:rsidRPr="001D593A">
        <w:rPr>
          <w:rFonts w:hint="cs"/>
          <w:rtl/>
        </w:rPr>
        <w:t>المسائل المطروحة فيما يتعلق بالنظر في التقرير الدوري الخامس</w:t>
      </w:r>
    </w:p>
    <w:p w:rsidR="00C35CB1" w:rsidRPr="00C35CB1" w:rsidRDefault="00C35CB1" w:rsidP="00C35CB1">
      <w:pPr>
        <w:spacing w:line="120" w:lineRule="exact"/>
        <w:rPr>
          <w:rFonts w:hint="cs"/>
          <w:b/>
          <w:bCs/>
          <w:sz w:val="10"/>
          <w:szCs w:val="32"/>
          <w:rtl/>
        </w:rPr>
      </w:pPr>
    </w:p>
    <w:p w:rsidR="00C35CB1" w:rsidRPr="00C35CB1" w:rsidRDefault="00C35CB1" w:rsidP="00C35CB1">
      <w:pPr>
        <w:spacing w:line="120" w:lineRule="exact"/>
        <w:rPr>
          <w:rFonts w:hint="cs"/>
          <w:b/>
          <w:bCs/>
          <w:sz w:val="10"/>
          <w:szCs w:val="32"/>
          <w:rtl/>
        </w:rPr>
      </w:pPr>
    </w:p>
    <w:p w:rsidR="00C35CB1" w:rsidRPr="009628E5" w:rsidRDefault="00C35CB1" w:rsidP="00C35CB1">
      <w:pPr>
        <w:framePr w:w="9792" w:h="432" w:hSpace="187" w:wrap="around" w:hAnchor="page" w:x="1196" w:yAlign="bottom"/>
        <w:spacing w:line="240" w:lineRule="auto"/>
        <w:rPr>
          <w:szCs w:val="10"/>
          <w:rtl/>
        </w:rPr>
      </w:pPr>
    </w:p>
    <w:p w:rsidR="00C35CB1" w:rsidRPr="009628E5" w:rsidRDefault="00C35CB1" w:rsidP="00C35CB1">
      <w:pPr>
        <w:framePr w:w="9792" w:h="432" w:hSpace="187" w:wrap="around" w:hAnchor="page" w:x="1196" w:yAlign="bottom"/>
        <w:spacing w:line="240" w:lineRule="auto"/>
        <w:rPr>
          <w:szCs w:val="6"/>
          <w:rtl/>
        </w:rPr>
      </w:pPr>
    </w:p>
    <w:p w:rsidR="00C35CB1" w:rsidRPr="009628E5" w:rsidRDefault="00C35CB1" w:rsidP="00C35CB1">
      <w:pPr>
        <w:framePr w:w="9792" w:h="432" w:hSpace="187" w:wrap="around" w:hAnchor="page" w:x="1196" w:yAlign="bottom"/>
        <w:tabs>
          <w:tab w:val="right" w:pos="1195"/>
          <w:tab w:val="left" w:pos="1267"/>
        </w:tabs>
        <w:spacing w:after="80" w:line="300" w:lineRule="exact"/>
        <w:ind w:left="1267" w:right="1267" w:hanging="547"/>
        <w:rPr>
          <w:rFonts w:hint="cs"/>
          <w:sz w:val="17"/>
          <w:szCs w:val="26"/>
        </w:rPr>
      </w:pPr>
      <w:r>
        <w:rPr>
          <w:noProof/>
          <w:w w:val="100"/>
        </w:rPr>
        <w:pict>
          <v:line id="_x0000_s1026" style="position:absolute;left:0;text-align:left;z-index:1" from="396pt,-1pt" to="468pt,-1pt">
            <w10:wrap anchorx="page"/>
          </v:line>
        </w:pict>
      </w:r>
      <w:r>
        <w:rPr>
          <w:rFonts w:hint="cs"/>
          <w:sz w:val="17"/>
          <w:szCs w:val="26"/>
          <w:rtl/>
        </w:rPr>
        <w:tab/>
        <w:t>*</w:t>
      </w:r>
      <w:r>
        <w:rPr>
          <w:rFonts w:hint="cs"/>
          <w:sz w:val="17"/>
          <w:szCs w:val="26"/>
          <w:rtl/>
        </w:rPr>
        <w:tab/>
      </w:r>
      <w:r w:rsidRPr="00C35CB1">
        <w:rPr>
          <w:rFonts w:hint="cs"/>
          <w:sz w:val="17"/>
          <w:szCs w:val="26"/>
          <w:rtl/>
        </w:rPr>
        <w:t>يعمّم هذا التقرير بدون تحرير رسمي.</w:t>
      </w:r>
    </w:p>
    <w:p w:rsidR="00C35CB1" w:rsidRDefault="00C35CB1" w:rsidP="00C35CB1">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Fonts w:hint="cs"/>
          <w:rtl/>
        </w:rPr>
      </w:pPr>
      <w:r>
        <w:rPr>
          <w:rFonts w:hint="cs"/>
          <w:rtl/>
        </w:rPr>
        <w:tab/>
      </w:r>
      <w:r>
        <w:rPr>
          <w:rFonts w:hint="cs"/>
          <w:rtl/>
        </w:rPr>
        <w:tab/>
      </w:r>
      <w:r w:rsidRPr="001D593A">
        <w:rPr>
          <w:rFonts w:hint="cs"/>
          <w:rtl/>
        </w:rPr>
        <w:t>مدغشقر</w:t>
      </w:r>
      <w:r w:rsidRPr="00467A3E">
        <w:rPr>
          <w:rFonts w:hint="cs"/>
          <w:sz w:val="20"/>
          <w:szCs w:val="30"/>
          <w:rtl/>
        </w:rPr>
        <w:t>*</w:t>
      </w:r>
    </w:p>
    <w:p w:rsidR="00C35CB1" w:rsidRPr="00C35CB1" w:rsidRDefault="00C35CB1" w:rsidP="000516B0">
      <w:pPr>
        <w:pStyle w:val="HCh"/>
        <w:tabs>
          <w:tab w:val="right" w:pos="1022"/>
          <w:tab w:val="left" w:pos="1267"/>
          <w:tab w:val="left" w:pos="1930"/>
          <w:tab w:val="left" w:pos="2592"/>
          <w:tab w:val="left" w:pos="3254"/>
          <w:tab w:val="left" w:pos="3917"/>
          <w:tab w:val="left" w:pos="4579"/>
          <w:tab w:val="left" w:pos="5242"/>
          <w:tab w:val="left" w:pos="5904"/>
          <w:tab w:val="left" w:pos="6566"/>
        </w:tabs>
        <w:spacing w:line="20" w:lineRule="exact"/>
        <w:ind w:left="1267" w:right="1267" w:hanging="1267"/>
        <w:rPr>
          <w:rFonts w:hint="cs"/>
          <w:sz w:val="10"/>
          <w:rtl/>
        </w:rPr>
      </w:pPr>
      <w:r>
        <w:rPr>
          <w:rtl/>
        </w:rPr>
        <w:br w:type="page"/>
      </w:r>
    </w:p>
    <w:p w:rsidR="00281C01" w:rsidRDefault="00281C01" w:rsidP="00281C01">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 xml:space="preserve">الردود على </w:t>
      </w:r>
      <w:r w:rsidRPr="00CD08E0">
        <w:rPr>
          <w:rtl/>
        </w:rPr>
        <w:t xml:space="preserve">القضايا والأسئلة </w:t>
      </w:r>
      <w:r>
        <w:rPr>
          <w:rFonts w:hint="cs"/>
          <w:rtl/>
        </w:rPr>
        <w:t xml:space="preserve">المطروحة </w:t>
      </w:r>
      <w:r w:rsidRPr="00CD08E0">
        <w:rPr>
          <w:rtl/>
        </w:rPr>
        <w:t xml:space="preserve">فيما يتعلق بالنظر في التقرير </w:t>
      </w:r>
      <w:r>
        <w:rPr>
          <w:rFonts w:hint="cs"/>
          <w:rtl/>
        </w:rPr>
        <w:t>ا</w:t>
      </w:r>
      <w:r w:rsidRPr="00CD08E0">
        <w:rPr>
          <w:rFonts w:hint="cs"/>
          <w:rtl/>
        </w:rPr>
        <w:t>لدوري</w:t>
      </w:r>
      <w:r>
        <w:rPr>
          <w:rFonts w:hint="cs"/>
          <w:rtl/>
        </w:rPr>
        <w:t xml:space="preserve"> لمدغشقر</w:t>
      </w:r>
    </w:p>
    <w:p w:rsidR="00281C01" w:rsidRPr="00281C01" w:rsidRDefault="00281C01" w:rsidP="00281C01">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rPr>
      </w:pPr>
    </w:p>
    <w:p w:rsidR="00C35CB1" w:rsidRPr="00C35CB1" w:rsidRDefault="00C35CB1" w:rsidP="00C35CB1">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Pr="00C35CB1">
        <w:rPr>
          <w:rFonts w:hint="cs"/>
          <w:rtl/>
        </w:rPr>
        <w:t>لمحة عامة</w:t>
      </w:r>
    </w:p>
    <w:p w:rsidR="00BA462B" w:rsidRDefault="00C35CB1" w:rsidP="00C35CB1">
      <w:pPr>
        <w:pStyle w:val="SingleTxt"/>
        <w:rPr>
          <w:rFonts w:hint="cs"/>
          <w:rtl/>
        </w:rPr>
      </w:pPr>
      <w:r w:rsidRPr="00C35CB1">
        <w:rPr>
          <w:rFonts w:hint="cs"/>
          <w:rtl/>
        </w:rPr>
        <w:t>1</w:t>
      </w:r>
      <w:r>
        <w:rPr>
          <w:rFonts w:hint="cs"/>
          <w:rtl/>
        </w:rPr>
        <w:t xml:space="preserve"> -</w:t>
      </w:r>
      <w:r>
        <w:rPr>
          <w:rFonts w:hint="cs"/>
          <w:rtl/>
        </w:rPr>
        <w:tab/>
      </w:r>
      <w:r w:rsidRPr="00C35CB1">
        <w:rPr>
          <w:rFonts w:hint="cs"/>
          <w:rtl/>
        </w:rPr>
        <w:t>أعدت تقرير مدغشقر الموحد الجامع للتقارير الثاني والثالث والرابع والخامس لجنة مشتركة بين الوزارات شاركت في عضويتها المنظمات غير الحكومية.</w:t>
      </w:r>
    </w:p>
    <w:p w:rsidR="00BA462B" w:rsidRDefault="00467A3E" w:rsidP="00467A3E">
      <w:pPr>
        <w:pStyle w:val="SingleTxt"/>
        <w:rPr>
          <w:rFonts w:hint="cs"/>
          <w:rtl/>
        </w:rPr>
      </w:pPr>
      <w:r>
        <w:rPr>
          <w:rFonts w:hint="cs"/>
          <w:rtl/>
        </w:rPr>
        <w:tab/>
      </w:r>
      <w:r w:rsidR="00C35CB1" w:rsidRPr="00C35CB1">
        <w:rPr>
          <w:rFonts w:hint="cs"/>
          <w:rtl/>
        </w:rPr>
        <w:t>وتتمثل مهمة تلك اللجنة، المنشأة بموجب القرار المشترك بين الوزارات عدد 18600/2003</w:t>
      </w:r>
      <w:r w:rsidR="00765A56">
        <w:rPr>
          <w:rFonts w:hint="cs"/>
          <w:rtl/>
        </w:rPr>
        <w:t xml:space="preserve"> </w:t>
      </w:r>
      <w:r w:rsidR="00C35CB1" w:rsidRPr="00C35CB1">
        <w:rPr>
          <w:rFonts w:hint="cs"/>
          <w:rtl/>
        </w:rPr>
        <w:t>المؤرخ 30 تشرين الأول</w:t>
      </w:r>
      <w:r w:rsidR="00BB6B48">
        <w:rPr>
          <w:rFonts w:hint="cs"/>
          <w:rtl/>
        </w:rPr>
        <w:t>/</w:t>
      </w:r>
      <w:r w:rsidR="00C35CB1" w:rsidRPr="00C35CB1">
        <w:rPr>
          <w:rFonts w:hint="cs"/>
          <w:rtl/>
        </w:rPr>
        <w:t>أكتوبر 2003، والمؤلف من ممثلين للوزارات الأساسية المعنية بالمسائل المتصلة بتطبيق الصكوك القانونية الدولية التي صدقت عليها مدغشقر وممثلين لمنظمات غير حكومية، في تدارك التأخير في إعداد وتقديم التقارير الأولية والدورية إلى هيئات متابعة المعاهدات في الأمم المتحدة</w:t>
      </w:r>
      <w:r w:rsidR="0015762F">
        <w:rPr>
          <w:rFonts w:hint="cs"/>
          <w:rtl/>
        </w:rPr>
        <w:t>.</w:t>
      </w:r>
    </w:p>
    <w:p w:rsidR="00BA462B" w:rsidRDefault="00467A3E" w:rsidP="00BB6B48">
      <w:pPr>
        <w:pStyle w:val="SingleTxt"/>
        <w:rPr>
          <w:rFonts w:hint="cs"/>
          <w:rtl/>
        </w:rPr>
      </w:pPr>
      <w:r>
        <w:rPr>
          <w:rFonts w:hint="cs"/>
          <w:rtl/>
        </w:rPr>
        <w:tab/>
      </w:r>
      <w:r w:rsidR="00C35CB1" w:rsidRPr="00C35CB1">
        <w:rPr>
          <w:rFonts w:hint="cs"/>
          <w:rtl/>
        </w:rPr>
        <w:t>وقد تولّت هذه الهيئة، المسماة</w:t>
      </w:r>
      <w:r w:rsidR="00BB6B48">
        <w:rPr>
          <w:rFonts w:hint="cs"/>
          <w:rtl/>
        </w:rPr>
        <w:t xml:space="preserve"> ”</w:t>
      </w:r>
      <w:r w:rsidR="00C35CB1" w:rsidRPr="00C35CB1">
        <w:rPr>
          <w:rFonts w:hint="cs"/>
          <w:rtl/>
        </w:rPr>
        <w:t>لجنة صياغة التقارير الأولية والدورية المتعلقة بحقوق الإنسان</w:t>
      </w:r>
      <w:r w:rsidR="00BB6B48">
        <w:rPr>
          <w:rFonts w:hint="eastAsia"/>
          <w:rtl/>
        </w:rPr>
        <w:t>“</w:t>
      </w:r>
      <w:r w:rsidR="00C35CB1" w:rsidRPr="00C35CB1">
        <w:rPr>
          <w:rFonts w:hint="cs"/>
          <w:rtl/>
        </w:rPr>
        <w:t xml:space="preserve"> صياغة التقارير التي سجّل تأخير في تقديمها، بما فيها التقرير المتعلق بتطبيق </w:t>
      </w:r>
      <w:r w:rsidR="00BA462B">
        <w:rPr>
          <w:rFonts w:hint="cs"/>
          <w:rtl/>
        </w:rPr>
        <w:t>اتفاقية</w:t>
      </w:r>
      <w:r w:rsidR="00C35CB1" w:rsidRPr="00C35CB1">
        <w:rPr>
          <w:rFonts w:hint="cs"/>
          <w:rtl/>
        </w:rPr>
        <w:t xml:space="preserve"> القضاء على جميع أشكال التمييز ضد المرأة</w:t>
      </w:r>
      <w:r w:rsidR="0015762F">
        <w:rPr>
          <w:rFonts w:hint="cs"/>
          <w:rtl/>
        </w:rPr>
        <w:t>.</w:t>
      </w:r>
    </w:p>
    <w:p w:rsidR="00BA462B" w:rsidRDefault="00467A3E" w:rsidP="00765A56">
      <w:pPr>
        <w:pStyle w:val="SingleTxt"/>
        <w:rPr>
          <w:rFonts w:hint="cs"/>
          <w:rtl/>
        </w:rPr>
      </w:pPr>
      <w:r>
        <w:rPr>
          <w:rFonts w:hint="cs"/>
          <w:rtl/>
        </w:rPr>
        <w:tab/>
      </w:r>
      <w:r w:rsidR="00C35CB1" w:rsidRPr="00C35CB1">
        <w:rPr>
          <w:rFonts w:hint="cs"/>
          <w:rtl/>
        </w:rPr>
        <w:t>وللعلم، نذكر أن مدغشقر تمكنت من تقديم تقاريرها عن تطبيق تلك ال</w:t>
      </w:r>
      <w:r w:rsidR="00BA462B">
        <w:rPr>
          <w:rFonts w:hint="cs"/>
          <w:rtl/>
        </w:rPr>
        <w:t>اتفاقية</w:t>
      </w:r>
      <w:r w:rsidR="00C35CB1" w:rsidRPr="00C35CB1">
        <w:rPr>
          <w:rFonts w:hint="cs"/>
          <w:rtl/>
        </w:rPr>
        <w:t xml:space="preserve"> في عام 2004</w:t>
      </w:r>
      <w:r w:rsidR="00765A56">
        <w:rPr>
          <w:rFonts w:hint="cs"/>
          <w:rtl/>
        </w:rPr>
        <w:t xml:space="preserve"> </w:t>
      </w:r>
      <w:r w:rsidR="00C35CB1" w:rsidRPr="00C35CB1">
        <w:rPr>
          <w:rFonts w:hint="cs"/>
          <w:rtl/>
        </w:rPr>
        <w:t>وعن تطبيق العهد الدولي الخاص بالحقوق المدنية والسياسية في عام 2007</w:t>
      </w:r>
      <w:r w:rsidR="0015762F">
        <w:rPr>
          <w:rFonts w:hint="cs"/>
          <w:rtl/>
        </w:rPr>
        <w:t>.</w:t>
      </w:r>
    </w:p>
    <w:p w:rsidR="00BA462B" w:rsidRDefault="004A18A2" w:rsidP="00C35CB1">
      <w:pPr>
        <w:pStyle w:val="SingleTxt"/>
        <w:rPr>
          <w:rFonts w:hint="cs"/>
          <w:rtl/>
        </w:rPr>
      </w:pPr>
      <w:r>
        <w:rPr>
          <w:rFonts w:hint="cs"/>
          <w:rtl/>
        </w:rPr>
        <w:tab/>
      </w:r>
      <w:r w:rsidR="00D666E0">
        <w:rPr>
          <w:rFonts w:hint="cs"/>
          <w:rtl/>
        </w:rPr>
        <w:t>و</w:t>
      </w:r>
      <w:r w:rsidR="00C35CB1" w:rsidRPr="00C35CB1">
        <w:rPr>
          <w:rFonts w:hint="cs"/>
          <w:rtl/>
        </w:rPr>
        <w:t xml:space="preserve">لم يجر بعد النظر في التقارير الأخرى التي أعدت بشأن تطبيق قرارات المجلس الاقتصادي </w:t>
      </w:r>
      <w:r w:rsidR="00D666E0">
        <w:rPr>
          <w:rFonts w:hint="cs"/>
          <w:rtl/>
        </w:rPr>
        <w:t>و</w:t>
      </w:r>
      <w:r w:rsidR="00C35CB1" w:rsidRPr="00C35CB1">
        <w:rPr>
          <w:rFonts w:hint="cs"/>
          <w:rtl/>
        </w:rPr>
        <w:t xml:space="preserve">الاجتماعي </w:t>
      </w:r>
      <w:r w:rsidR="00D666E0">
        <w:rPr>
          <w:rFonts w:hint="cs"/>
          <w:rtl/>
        </w:rPr>
        <w:t>و</w:t>
      </w:r>
      <w:r w:rsidR="00C35CB1" w:rsidRPr="00C35CB1">
        <w:rPr>
          <w:rFonts w:hint="cs"/>
          <w:rtl/>
        </w:rPr>
        <w:t>مركز الحقوق ال</w:t>
      </w:r>
      <w:r w:rsidR="00BA462B">
        <w:rPr>
          <w:rFonts w:hint="cs"/>
          <w:rtl/>
        </w:rPr>
        <w:t>اقتصادية</w:t>
      </w:r>
      <w:r w:rsidR="0015762F">
        <w:rPr>
          <w:rFonts w:hint="cs"/>
          <w:rtl/>
        </w:rPr>
        <w:t>.</w:t>
      </w:r>
    </w:p>
    <w:p w:rsidR="00BA462B" w:rsidRDefault="00467A3E" w:rsidP="00C35CB1">
      <w:pPr>
        <w:pStyle w:val="SingleTxt"/>
        <w:rPr>
          <w:rFonts w:hint="cs"/>
          <w:rtl/>
        </w:rPr>
      </w:pPr>
      <w:r>
        <w:rPr>
          <w:rFonts w:hint="cs"/>
          <w:rtl/>
        </w:rPr>
        <w:tab/>
      </w:r>
      <w:r w:rsidR="00D666E0">
        <w:rPr>
          <w:rFonts w:hint="cs"/>
          <w:rtl/>
        </w:rPr>
        <w:t>و</w:t>
      </w:r>
      <w:r w:rsidR="00C35CB1" w:rsidRPr="00C35CB1">
        <w:rPr>
          <w:rFonts w:hint="cs"/>
          <w:rtl/>
        </w:rPr>
        <w:t xml:space="preserve">قد تحققت مشاركة المرأة في إعداد التقرير من خلال حضور النساء المنتميات لمنظمات غير حكومية عاملة في مجال حماية حقوق الإنسان </w:t>
      </w:r>
      <w:r w:rsidR="00D666E0">
        <w:rPr>
          <w:rFonts w:hint="cs"/>
          <w:rtl/>
        </w:rPr>
        <w:t>و</w:t>
      </w:r>
      <w:r w:rsidR="00C35CB1" w:rsidRPr="00C35CB1">
        <w:rPr>
          <w:rFonts w:hint="cs"/>
          <w:rtl/>
        </w:rPr>
        <w:t>بوجه أخصّ في ميدان الحقوق الأساسية للمرأة</w:t>
      </w:r>
      <w:r w:rsidR="0015762F">
        <w:rPr>
          <w:rFonts w:hint="cs"/>
          <w:rtl/>
        </w:rPr>
        <w:t>.</w:t>
      </w:r>
    </w:p>
    <w:p w:rsidR="00BA462B" w:rsidRDefault="00467A3E" w:rsidP="00C35CB1">
      <w:pPr>
        <w:pStyle w:val="SingleTxt"/>
        <w:rPr>
          <w:rFonts w:hint="cs"/>
          <w:rtl/>
        </w:rPr>
      </w:pPr>
      <w:r>
        <w:rPr>
          <w:rFonts w:hint="cs"/>
          <w:rtl/>
        </w:rPr>
        <w:tab/>
      </w:r>
      <w:r w:rsidR="00D666E0">
        <w:rPr>
          <w:rFonts w:hint="cs"/>
          <w:rtl/>
        </w:rPr>
        <w:t>و</w:t>
      </w:r>
      <w:r w:rsidR="00C35CB1" w:rsidRPr="00C35CB1">
        <w:rPr>
          <w:rFonts w:hint="cs"/>
          <w:rtl/>
        </w:rPr>
        <w:t>من مجموع الستة عشر عضوا في لجنة الصياغة على مستوى الرؤساء السابقين لعواصم المقاطعات كانت</w:t>
      </w:r>
      <w:r w:rsidR="006145D0">
        <w:rPr>
          <w:rFonts w:hint="cs"/>
          <w:rtl/>
        </w:rPr>
        <w:t xml:space="preserve"> 11 ا</w:t>
      </w:r>
      <w:r w:rsidR="00C35CB1" w:rsidRPr="00C35CB1">
        <w:rPr>
          <w:rFonts w:hint="cs"/>
          <w:rtl/>
        </w:rPr>
        <w:t>مرأة</w:t>
      </w:r>
      <w:r w:rsidR="0015762F">
        <w:rPr>
          <w:rFonts w:hint="cs"/>
          <w:rtl/>
        </w:rPr>
        <w:t>.</w:t>
      </w:r>
    </w:p>
    <w:p w:rsidR="00BA462B" w:rsidRDefault="00C35CB1" w:rsidP="00C35CB1">
      <w:pPr>
        <w:pStyle w:val="SingleTxt"/>
        <w:rPr>
          <w:rFonts w:hint="cs"/>
          <w:rtl/>
        </w:rPr>
      </w:pPr>
      <w:r w:rsidRPr="00C35CB1">
        <w:rPr>
          <w:rFonts w:hint="cs"/>
          <w:rtl/>
        </w:rPr>
        <w:t>2</w:t>
      </w:r>
      <w:r w:rsidR="00D666E0">
        <w:rPr>
          <w:rFonts w:hint="cs"/>
          <w:rtl/>
        </w:rPr>
        <w:t xml:space="preserve"> -</w:t>
      </w:r>
      <w:r w:rsidR="00D666E0">
        <w:rPr>
          <w:rFonts w:hint="cs"/>
          <w:rtl/>
        </w:rPr>
        <w:tab/>
        <w:t>و</w:t>
      </w:r>
      <w:r w:rsidRPr="00C35CB1">
        <w:rPr>
          <w:rFonts w:hint="cs"/>
          <w:rtl/>
        </w:rPr>
        <w:t>تضم أيضا عضوية لجنة صياغة التقارير مسؤولين عن الاتصال من كل الوزارات المعنية.</w:t>
      </w:r>
    </w:p>
    <w:p w:rsidR="00C35CB1" w:rsidRPr="00C35CB1" w:rsidRDefault="00467A3E" w:rsidP="00C35CB1">
      <w:pPr>
        <w:pStyle w:val="SingleTxt"/>
        <w:rPr>
          <w:rFonts w:hint="cs"/>
          <w:rtl/>
        </w:rPr>
      </w:pPr>
      <w:r>
        <w:rPr>
          <w:rFonts w:hint="cs"/>
          <w:rtl/>
        </w:rPr>
        <w:tab/>
      </w:r>
      <w:r w:rsidR="00D666E0">
        <w:rPr>
          <w:rFonts w:hint="cs"/>
          <w:rtl/>
        </w:rPr>
        <w:t>و</w:t>
      </w:r>
      <w:r w:rsidR="00C35CB1" w:rsidRPr="00C35CB1">
        <w:rPr>
          <w:rFonts w:hint="cs"/>
          <w:rtl/>
        </w:rPr>
        <w:t>يتولى مس</w:t>
      </w:r>
      <w:r w:rsidR="006145D0">
        <w:rPr>
          <w:rFonts w:hint="cs"/>
          <w:rtl/>
        </w:rPr>
        <w:t>ؤولون في إدارة المعهد الوطني للإحصاءات توفير البيانات الإ</w:t>
      </w:r>
      <w:r w:rsidR="00C35CB1" w:rsidRPr="00C35CB1">
        <w:rPr>
          <w:rFonts w:hint="cs"/>
          <w:rtl/>
        </w:rPr>
        <w:t>حصائية المبوّبة بحسب نوع الجنس.</w:t>
      </w:r>
    </w:p>
    <w:p w:rsidR="00C35CB1" w:rsidRPr="00C35CB1" w:rsidRDefault="00467A3E" w:rsidP="00C35CB1">
      <w:pPr>
        <w:pStyle w:val="SingleTxt"/>
        <w:rPr>
          <w:rFonts w:hint="cs"/>
          <w:rtl/>
        </w:rPr>
      </w:pPr>
      <w:r>
        <w:rPr>
          <w:rFonts w:hint="cs"/>
          <w:rtl/>
        </w:rPr>
        <w:tab/>
      </w:r>
      <w:r w:rsidR="00D666E0">
        <w:rPr>
          <w:rFonts w:hint="cs"/>
          <w:rtl/>
        </w:rPr>
        <w:t>و</w:t>
      </w:r>
      <w:r w:rsidR="00C35CB1" w:rsidRPr="00C35CB1">
        <w:rPr>
          <w:rFonts w:hint="cs"/>
          <w:rtl/>
        </w:rPr>
        <w:t xml:space="preserve">قد وضعت المعلومات المجمّعة في الحسبان في إعداد </w:t>
      </w:r>
      <w:r w:rsidR="00D666E0">
        <w:rPr>
          <w:rFonts w:hint="cs"/>
          <w:rtl/>
        </w:rPr>
        <w:t>و</w:t>
      </w:r>
      <w:r w:rsidR="00C35CB1" w:rsidRPr="00C35CB1">
        <w:rPr>
          <w:rFonts w:hint="cs"/>
          <w:rtl/>
        </w:rPr>
        <w:t>تنفيذ البرامج ال</w:t>
      </w:r>
      <w:r w:rsidR="006145D0">
        <w:rPr>
          <w:rFonts w:hint="cs"/>
          <w:rtl/>
        </w:rPr>
        <w:t>مضطلع بها في إطار حماية حقوق الإ</w:t>
      </w:r>
      <w:r w:rsidR="00C35CB1" w:rsidRPr="00C35CB1">
        <w:rPr>
          <w:rFonts w:hint="cs"/>
          <w:rtl/>
        </w:rPr>
        <w:t>نسان</w:t>
      </w:r>
      <w:r w:rsidR="0015762F">
        <w:rPr>
          <w:rFonts w:hint="cs"/>
          <w:rtl/>
        </w:rPr>
        <w:t>.</w:t>
      </w:r>
    </w:p>
    <w:p w:rsidR="00BA462B" w:rsidRDefault="00467A3E" w:rsidP="00C35CB1">
      <w:pPr>
        <w:pStyle w:val="SingleTxt"/>
        <w:rPr>
          <w:rFonts w:hint="cs"/>
          <w:rtl/>
        </w:rPr>
      </w:pPr>
      <w:r>
        <w:rPr>
          <w:rFonts w:hint="cs"/>
          <w:rtl/>
        </w:rPr>
        <w:tab/>
      </w:r>
      <w:r w:rsidR="00D666E0">
        <w:rPr>
          <w:rFonts w:hint="cs"/>
          <w:rtl/>
        </w:rPr>
        <w:t>و</w:t>
      </w:r>
      <w:r w:rsidR="00C35CB1" w:rsidRPr="00C35CB1">
        <w:rPr>
          <w:rFonts w:hint="cs"/>
          <w:rtl/>
        </w:rPr>
        <w:t>تقدم تلك البيانات في هذا التقرير وفقا لكل سؤال مطروح.</w:t>
      </w:r>
    </w:p>
    <w:p w:rsidR="00BA462B" w:rsidRDefault="00467A3E" w:rsidP="00765A56">
      <w:pPr>
        <w:pStyle w:val="SingleTxt"/>
        <w:rPr>
          <w:rFonts w:hint="cs"/>
          <w:rtl/>
        </w:rPr>
      </w:pPr>
      <w:r>
        <w:rPr>
          <w:rFonts w:hint="cs"/>
          <w:rtl/>
        </w:rPr>
        <w:tab/>
      </w:r>
      <w:r w:rsidR="00D666E0">
        <w:rPr>
          <w:rFonts w:hint="cs"/>
          <w:rtl/>
        </w:rPr>
        <w:t>و</w:t>
      </w:r>
      <w:r w:rsidR="000A5EC7">
        <w:rPr>
          <w:rFonts w:hint="cs"/>
          <w:rtl/>
        </w:rPr>
        <w:t>تقاس الإ</w:t>
      </w:r>
      <w:r w:rsidR="00C35CB1" w:rsidRPr="00C35CB1">
        <w:rPr>
          <w:rFonts w:hint="cs"/>
          <w:rtl/>
        </w:rPr>
        <w:t>نجازات التي تم تحقيقها بالمقارنة بين الحالة التي كانت سائدة من قبل والحالة</w:t>
      </w:r>
      <w:r w:rsidR="00765A56">
        <w:rPr>
          <w:rFonts w:hint="cs"/>
          <w:rtl/>
        </w:rPr>
        <w:t xml:space="preserve"> </w:t>
      </w:r>
      <w:r w:rsidR="00C35CB1" w:rsidRPr="00C35CB1">
        <w:rPr>
          <w:rFonts w:hint="cs"/>
          <w:rtl/>
        </w:rPr>
        <w:t>في وقت إعداد التقرير،</w:t>
      </w:r>
      <w:r w:rsidR="00765A56">
        <w:rPr>
          <w:rFonts w:hint="cs"/>
          <w:rtl/>
        </w:rPr>
        <w:t xml:space="preserve"> </w:t>
      </w:r>
      <w:r w:rsidR="00D666E0">
        <w:rPr>
          <w:rFonts w:hint="cs"/>
          <w:rtl/>
        </w:rPr>
        <w:t>و</w:t>
      </w:r>
      <w:r w:rsidR="00C35CB1" w:rsidRPr="00C35CB1">
        <w:rPr>
          <w:rFonts w:hint="cs"/>
          <w:rtl/>
        </w:rPr>
        <w:t>ذلك في الميدان التشريعي أو التنظيمي أو في ميادين أخرى.</w:t>
      </w:r>
    </w:p>
    <w:p w:rsidR="00467A3E" w:rsidRPr="00467A3E" w:rsidRDefault="00467A3E" w:rsidP="00467A3E">
      <w:pPr>
        <w:pStyle w:val="SingleTxt"/>
        <w:spacing w:after="0" w:line="120" w:lineRule="exact"/>
        <w:rPr>
          <w:rFonts w:hint="cs"/>
          <w:b/>
          <w:bCs/>
          <w:sz w:val="10"/>
          <w:rtl/>
        </w:rPr>
      </w:pPr>
    </w:p>
    <w:p w:rsidR="00BA462B" w:rsidRDefault="00C35CB1" w:rsidP="00C35CB1">
      <w:pPr>
        <w:pStyle w:val="SingleTxt"/>
        <w:rPr>
          <w:rFonts w:hint="cs"/>
          <w:b/>
          <w:bCs/>
          <w:rtl/>
        </w:rPr>
      </w:pPr>
      <w:r w:rsidRPr="00C35CB1">
        <w:rPr>
          <w:rFonts w:hint="cs"/>
          <w:b/>
          <w:bCs/>
          <w:rtl/>
        </w:rPr>
        <w:t xml:space="preserve">الإطار الدستوري </w:t>
      </w:r>
      <w:r w:rsidR="00D666E0">
        <w:rPr>
          <w:rFonts w:hint="cs"/>
          <w:b/>
          <w:bCs/>
          <w:rtl/>
        </w:rPr>
        <w:t>و</w:t>
      </w:r>
      <w:r w:rsidRPr="00C35CB1">
        <w:rPr>
          <w:rFonts w:hint="cs"/>
          <w:b/>
          <w:bCs/>
          <w:rtl/>
        </w:rPr>
        <w:t xml:space="preserve">التشريعي </w:t>
      </w:r>
      <w:r w:rsidR="00D666E0">
        <w:rPr>
          <w:rFonts w:hint="cs"/>
          <w:b/>
          <w:bCs/>
          <w:rtl/>
        </w:rPr>
        <w:t>و</w:t>
      </w:r>
      <w:r w:rsidRPr="00C35CB1">
        <w:rPr>
          <w:rFonts w:hint="cs"/>
          <w:b/>
          <w:bCs/>
          <w:rtl/>
        </w:rPr>
        <w:t>المؤسسي</w:t>
      </w:r>
    </w:p>
    <w:p w:rsidR="00C35CB1" w:rsidRPr="00C35CB1" w:rsidRDefault="00C35CB1" w:rsidP="00467A3E">
      <w:pPr>
        <w:pStyle w:val="SingleTxt"/>
        <w:rPr>
          <w:rFonts w:hint="cs"/>
          <w:rtl/>
        </w:rPr>
      </w:pPr>
      <w:r w:rsidRPr="00C35CB1">
        <w:rPr>
          <w:rFonts w:hint="cs"/>
          <w:rtl/>
        </w:rPr>
        <w:t xml:space="preserve">3 </w:t>
      </w:r>
      <w:r w:rsidR="00467A3E">
        <w:rPr>
          <w:rFonts w:hint="cs"/>
          <w:rtl/>
        </w:rPr>
        <w:t>-</w:t>
      </w:r>
      <w:r w:rsidR="00467A3E">
        <w:rPr>
          <w:rFonts w:hint="cs"/>
          <w:rtl/>
        </w:rPr>
        <w:tab/>
      </w:r>
      <w:r w:rsidRPr="00C35CB1">
        <w:rPr>
          <w:rFonts w:hint="cs"/>
          <w:rtl/>
        </w:rPr>
        <w:t xml:space="preserve">اعتمدت إصلاحات تشريعية بهدف تحقيق المساواة في الحقوق بين الرجل </w:t>
      </w:r>
      <w:r w:rsidR="00D666E0">
        <w:rPr>
          <w:rFonts w:hint="cs"/>
          <w:rtl/>
        </w:rPr>
        <w:t>و</w:t>
      </w:r>
      <w:r w:rsidRPr="00C35CB1">
        <w:rPr>
          <w:rFonts w:hint="cs"/>
          <w:rtl/>
        </w:rPr>
        <w:t>المرأة</w:t>
      </w:r>
      <w:r w:rsidR="0015762F">
        <w:rPr>
          <w:rFonts w:hint="cs"/>
          <w:rtl/>
        </w:rPr>
        <w:t>.</w:t>
      </w:r>
      <w:r w:rsidRPr="00C35CB1">
        <w:rPr>
          <w:rFonts w:hint="cs"/>
          <w:rtl/>
        </w:rPr>
        <w:t xml:space="preserve"> </w:t>
      </w:r>
      <w:r w:rsidR="00D666E0">
        <w:rPr>
          <w:rFonts w:hint="cs"/>
          <w:rtl/>
        </w:rPr>
        <w:t>و</w:t>
      </w:r>
      <w:r w:rsidRPr="00C35CB1">
        <w:rPr>
          <w:rFonts w:hint="cs"/>
          <w:rtl/>
        </w:rPr>
        <w:t xml:space="preserve">قد أنجزت هذه الإصلاحات بغية إلغاء تشريعات معينة ذات طابع تمييزي </w:t>
      </w:r>
      <w:r w:rsidR="00D666E0">
        <w:rPr>
          <w:rFonts w:hint="cs"/>
          <w:rtl/>
        </w:rPr>
        <w:t>و</w:t>
      </w:r>
      <w:r w:rsidRPr="00C35CB1">
        <w:rPr>
          <w:rFonts w:hint="cs"/>
          <w:rtl/>
        </w:rPr>
        <w:t>جائرة في حق المرأة.</w:t>
      </w:r>
    </w:p>
    <w:p w:rsidR="00467A3E" w:rsidRPr="00467A3E" w:rsidRDefault="00467A3E" w:rsidP="00467A3E">
      <w:pPr>
        <w:pStyle w:val="SingleTxt"/>
        <w:spacing w:after="0" w:line="120" w:lineRule="exact"/>
        <w:rPr>
          <w:rFonts w:hint="cs"/>
          <w:i/>
          <w:iCs/>
          <w:sz w:val="10"/>
          <w:rtl/>
        </w:rPr>
      </w:pPr>
    </w:p>
    <w:p w:rsidR="00C35CB1" w:rsidRPr="00C35CB1" w:rsidRDefault="00C35CB1" w:rsidP="00C35CB1">
      <w:pPr>
        <w:pStyle w:val="SingleTxt"/>
        <w:rPr>
          <w:rFonts w:hint="cs"/>
          <w:i/>
          <w:iCs/>
          <w:rtl/>
        </w:rPr>
      </w:pPr>
      <w:r w:rsidRPr="00C35CB1">
        <w:rPr>
          <w:rFonts w:hint="cs"/>
          <w:i/>
          <w:iCs/>
          <w:rtl/>
        </w:rPr>
        <w:t>بخصوص الجنسية</w:t>
      </w:r>
    </w:p>
    <w:p w:rsidR="00C35CB1" w:rsidRPr="00C35CB1" w:rsidRDefault="00467A3E" w:rsidP="00467A3E">
      <w:pPr>
        <w:pStyle w:val="SingleTxt"/>
        <w:rPr>
          <w:rFonts w:hint="cs"/>
          <w:rtl/>
        </w:rPr>
      </w:pPr>
      <w:r>
        <w:rPr>
          <w:rFonts w:hint="cs"/>
          <w:rtl/>
        </w:rPr>
        <w:tab/>
      </w:r>
      <w:r w:rsidR="00C35CB1" w:rsidRPr="00C35CB1">
        <w:rPr>
          <w:rFonts w:hint="cs"/>
          <w:rtl/>
        </w:rPr>
        <w:t xml:space="preserve">بغية تدارك عدم المساواة في الحقوق بين المرأة </w:t>
      </w:r>
      <w:r w:rsidR="00D666E0">
        <w:rPr>
          <w:rFonts w:hint="cs"/>
          <w:rtl/>
        </w:rPr>
        <w:t>و</w:t>
      </w:r>
      <w:r w:rsidR="00C35CB1" w:rsidRPr="00C35CB1">
        <w:rPr>
          <w:rFonts w:hint="cs"/>
          <w:rtl/>
        </w:rPr>
        <w:t>الرجل في مجال الجنسية، اعتمد البرلمان حديثا</w:t>
      </w:r>
      <w:r>
        <w:rPr>
          <w:rFonts w:hint="cs"/>
          <w:rtl/>
        </w:rPr>
        <w:t>،</w:t>
      </w:r>
      <w:r w:rsidR="00C35CB1" w:rsidRPr="00C35CB1">
        <w:rPr>
          <w:rFonts w:hint="cs"/>
          <w:rtl/>
        </w:rPr>
        <w:t xml:space="preserve"> في دورته العادية الأولى لعام 2008</w:t>
      </w:r>
      <w:r>
        <w:rPr>
          <w:rFonts w:hint="cs"/>
          <w:rtl/>
        </w:rPr>
        <w:t>،</w:t>
      </w:r>
      <w:r w:rsidR="00C35CB1" w:rsidRPr="00C35CB1">
        <w:rPr>
          <w:rFonts w:hint="cs"/>
          <w:rtl/>
        </w:rPr>
        <w:t xml:space="preserve"> القانون عدد 2008</w:t>
      </w:r>
      <w:r>
        <w:rPr>
          <w:rFonts w:hint="cs"/>
          <w:rtl/>
        </w:rPr>
        <w:t>-</w:t>
      </w:r>
      <w:r w:rsidR="00C35CB1" w:rsidRPr="00C35CB1">
        <w:rPr>
          <w:rFonts w:hint="cs"/>
          <w:rtl/>
        </w:rPr>
        <w:t>17 المؤرخ 2</w:t>
      </w:r>
      <w:r>
        <w:rPr>
          <w:rFonts w:hint="cs"/>
          <w:rtl/>
        </w:rPr>
        <w:t> </w:t>
      </w:r>
      <w:r w:rsidR="00C35CB1" w:rsidRPr="00C35CB1">
        <w:rPr>
          <w:rFonts w:hint="cs"/>
          <w:rtl/>
        </w:rPr>
        <w:t>تموز/يولي</w:t>
      </w:r>
      <w:r w:rsidR="006145D0">
        <w:rPr>
          <w:rFonts w:hint="cs"/>
          <w:rtl/>
        </w:rPr>
        <w:t>ه</w:t>
      </w:r>
      <w:r w:rsidR="00C35CB1" w:rsidRPr="00C35CB1">
        <w:rPr>
          <w:rFonts w:hint="cs"/>
          <w:rtl/>
        </w:rPr>
        <w:t xml:space="preserve"> 2008 الذي يأذن بالتصديق على الاتفاقية المتعلقة بجنسية المرأة المتزوجة.</w:t>
      </w:r>
    </w:p>
    <w:p w:rsidR="00C35CB1" w:rsidRPr="00C35CB1" w:rsidRDefault="00467A3E" w:rsidP="00C35CB1">
      <w:pPr>
        <w:pStyle w:val="SingleTxt"/>
        <w:rPr>
          <w:rFonts w:hint="cs"/>
          <w:rtl/>
        </w:rPr>
      </w:pPr>
      <w:r>
        <w:rPr>
          <w:rFonts w:hint="cs"/>
          <w:rtl/>
        </w:rPr>
        <w:tab/>
      </w:r>
      <w:r w:rsidR="00D666E0">
        <w:rPr>
          <w:rFonts w:hint="cs"/>
          <w:rtl/>
        </w:rPr>
        <w:t>و</w:t>
      </w:r>
      <w:r w:rsidR="00C35CB1" w:rsidRPr="00C35CB1">
        <w:rPr>
          <w:rFonts w:hint="cs"/>
          <w:rtl/>
        </w:rPr>
        <w:t>بعد التصديق على هذه الاتفاقية، ستنقّح أحكام معيّنة في قانون الجنسية بهدف تحسين وضع المرأة في هذا المجال.</w:t>
      </w:r>
    </w:p>
    <w:p w:rsidR="00467A3E" w:rsidRPr="00467A3E" w:rsidRDefault="00467A3E" w:rsidP="00467A3E">
      <w:pPr>
        <w:pStyle w:val="SingleTxt"/>
        <w:spacing w:after="0" w:line="120" w:lineRule="exact"/>
        <w:rPr>
          <w:rFonts w:hint="cs"/>
          <w:i/>
          <w:iCs/>
          <w:sz w:val="10"/>
          <w:rtl/>
        </w:rPr>
      </w:pPr>
    </w:p>
    <w:p w:rsidR="00C35CB1" w:rsidRPr="00C35CB1" w:rsidRDefault="00C35CB1" w:rsidP="00C35CB1">
      <w:pPr>
        <w:pStyle w:val="SingleTxt"/>
        <w:rPr>
          <w:rFonts w:hint="cs"/>
          <w:i/>
          <w:iCs/>
          <w:rtl/>
        </w:rPr>
      </w:pPr>
      <w:r w:rsidRPr="00C35CB1">
        <w:rPr>
          <w:rFonts w:hint="cs"/>
          <w:i/>
          <w:iCs/>
          <w:rtl/>
        </w:rPr>
        <w:t>الإصلاحات التشريعية المعتمدة الأخرى</w:t>
      </w:r>
    </w:p>
    <w:p w:rsidR="00BA462B" w:rsidRDefault="00C35CB1" w:rsidP="00C35CB1">
      <w:pPr>
        <w:pStyle w:val="SingleTxt"/>
        <w:rPr>
          <w:rFonts w:hint="cs"/>
          <w:rtl/>
        </w:rPr>
      </w:pPr>
      <w:r w:rsidRPr="00C35CB1">
        <w:rPr>
          <w:rFonts w:hint="cs"/>
          <w:rtl/>
        </w:rPr>
        <w:t>4</w:t>
      </w:r>
      <w:r w:rsidR="00D666E0">
        <w:rPr>
          <w:rFonts w:hint="cs"/>
          <w:rtl/>
        </w:rPr>
        <w:t xml:space="preserve"> -</w:t>
      </w:r>
      <w:r w:rsidR="00D666E0">
        <w:rPr>
          <w:rFonts w:hint="cs"/>
          <w:rtl/>
        </w:rPr>
        <w:tab/>
      </w:r>
      <w:r w:rsidRPr="00C35CB1">
        <w:rPr>
          <w:rFonts w:hint="cs"/>
          <w:rtl/>
        </w:rPr>
        <w:t xml:space="preserve">بغية إنهاء التمييز على أساس جنساني </w:t>
      </w:r>
      <w:r w:rsidR="00D666E0">
        <w:rPr>
          <w:rFonts w:hint="cs"/>
          <w:rtl/>
        </w:rPr>
        <w:t>و</w:t>
      </w:r>
      <w:r w:rsidRPr="00C35CB1">
        <w:rPr>
          <w:rFonts w:hint="cs"/>
          <w:rtl/>
        </w:rPr>
        <w:t xml:space="preserve">على أساس السن في مجال الزواج، تم تعديل المادة 3 من القانون الجديد 2007 </w:t>
      </w:r>
      <w:r w:rsidR="00B63C07">
        <w:rPr>
          <w:rtl/>
        </w:rPr>
        <w:t>-</w:t>
      </w:r>
      <w:r w:rsidRPr="00C35CB1">
        <w:rPr>
          <w:rFonts w:hint="cs"/>
          <w:rtl/>
        </w:rPr>
        <w:t xml:space="preserve"> 22 المؤرخ 20 نيسان /أبريل 2007 المتعلق بالزواج </w:t>
      </w:r>
      <w:r w:rsidR="00D666E0">
        <w:rPr>
          <w:rFonts w:hint="cs"/>
          <w:rtl/>
        </w:rPr>
        <w:t>و</w:t>
      </w:r>
      <w:r w:rsidRPr="00C35CB1">
        <w:rPr>
          <w:rFonts w:hint="cs"/>
          <w:rtl/>
        </w:rPr>
        <w:t>أنظمة العلاقات العائلية فأصبحت تحدد 18 عاما سنا قانونيا للزواج بالنسبة للرجل والمرأة.</w:t>
      </w:r>
    </w:p>
    <w:p w:rsidR="00C35CB1" w:rsidRPr="00C35CB1" w:rsidRDefault="00C35CB1" w:rsidP="00467A3E">
      <w:pPr>
        <w:pStyle w:val="SingleTxt"/>
        <w:rPr>
          <w:rFonts w:hint="cs"/>
          <w:i/>
          <w:iCs/>
          <w:rtl/>
        </w:rPr>
      </w:pPr>
      <w:r w:rsidRPr="00C35CB1">
        <w:rPr>
          <w:rFonts w:hint="cs"/>
          <w:rtl/>
        </w:rPr>
        <w:t>5</w:t>
      </w:r>
      <w:r w:rsidR="00467A3E">
        <w:rPr>
          <w:rFonts w:hint="cs"/>
          <w:rtl/>
        </w:rPr>
        <w:t xml:space="preserve"> </w:t>
      </w:r>
      <w:r w:rsidRPr="00C35CB1">
        <w:rPr>
          <w:rFonts w:hint="cs"/>
          <w:rtl/>
        </w:rPr>
        <w:t>و</w:t>
      </w:r>
      <w:r w:rsidR="00467A3E">
        <w:rPr>
          <w:rFonts w:hint="cs"/>
          <w:rtl/>
        </w:rPr>
        <w:t xml:space="preserve"> </w:t>
      </w:r>
      <w:r w:rsidRPr="00C35CB1">
        <w:rPr>
          <w:rFonts w:hint="cs"/>
          <w:rtl/>
        </w:rPr>
        <w:t xml:space="preserve">6 </w:t>
      </w:r>
      <w:r w:rsidR="00467A3E">
        <w:rPr>
          <w:rFonts w:hint="cs"/>
          <w:rtl/>
        </w:rPr>
        <w:t>-</w:t>
      </w:r>
      <w:r w:rsidRPr="00C35CB1">
        <w:rPr>
          <w:rFonts w:hint="cs"/>
          <w:rtl/>
        </w:rPr>
        <w:t xml:space="preserve"> </w:t>
      </w:r>
      <w:r w:rsidRPr="00C35CB1">
        <w:rPr>
          <w:rFonts w:hint="cs"/>
          <w:i/>
          <w:iCs/>
          <w:rtl/>
        </w:rPr>
        <w:t xml:space="preserve">الأثر المباشر للاتفاقية وإمكانية الاحتجاج بها أمام المحاكم الوطنية </w:t>
      </w:r>
    </w:p>
    <w:p w:rsidR="00C35CB1" w:rsidRPr="00C35CB1" w:rsidRDefault="00467A3E" w:rsidP="000A5EC7">
      <w:pPr>
        <w:pStyle w:val="SingleTxt"/>
        <w:rPr>
          <w:rFonts w:hint="cs"/>
          <w:i/>
          <w:iCs/>
          <w:rtl/>
        </w:rPr>
      </w:pPr>
      <w:r>
        <w:rPr>
          <w:rFonts w:hint="cs"/>
          <w:rtl/>
        </w:rPr>
        <w:tab/>
      </w:r>
      <w:r w:rsidR="00C35CB1" w:rsidRPr="00C35CB1">
        <w:rPr>
          <w:rFonts w:hint="cs"/>
          <w:rtl/>
        </w:rPr>
        <w:t>ينص دستور الجمهورية الملغاشية في ديباجته على أن</w:t>
      </w:r>
      <w:r w:rsidR="00BB6B48">
        <w:rPr>
          <w:rFonts w:hint="cs"/>
          <w:rtl/>
        </w:rPr>
        <w:t xml:space="preserve"> ”</w:t>
      </w:r>
      <w:r w:rsidR="00C35CB1" w:rsidRPr="00C35CB1">
        <w:rPr>
          <w:rFonts w:hint="cs"/>
          <w:rtl/>
        </w:rPr>
        <w:t>…</w:t>
      </w:r>
      <w:r w:rsidR="000A5EC7">
        <w:rPr>
          <w:rFonts w:hint="cs"/>
          <w:rtl/>
        </w:rPr>
        <w:t xml:space="preserve"> </w:t>
      </w:r>
      <w:r w:rsidR="00C35CB1" w:rsidRPr="00C35CB1">
        <w:rPr>
          <w:rFonts w:hint="cs"/>
          <w:rtl/>
        </w:rPr>
        <w:t xml:space="preserve">الاتفاقية المتصلة بحقوق المرأة </w:t>
      </w:r>
      <w:r w:rsidR="00D666E0">
        <w:rPr>
          <w:rFonts w:hint="cs"/>
          <w:rtl/>
        </w:rPr>
        <w:t>و</w:t>
      </w:r>
      <w:r w:rsidR="00C35CB1" w:rsidRPr="00C35CB1">
        <w:rPr>
          <w:rFonts w:hint="cs"/>
          <w:rtl/>
        </w:rPr>
        <w:t>الطفل</w:t>
      </w:r>
      <w:r w:rsidR="000A5EC7">
        <w:rPr>
          <w:rFonts w:hint="cs"/>
          <w:rtl/>
        </w:rPr>
        <w:t xml:space="preserve"> </w:t>
      </w:r>
      <w:r w:rsidR="00C35CB1" w:rsidRPr="00C35CB1">
        <w:rPr>
          <w:rFonts w:hint="cs"/>
          <w:rtl/>
        </w:rPr>
        <w:t>…</w:t>
      </w:r>
      <w:r w:rsidR="000A5EC7">
        <w:rPr>
          <w:rFonts w:hint="cs"/>
          <w:rtl/>
        </w:rPr>
        <w:t xml:space="preserve"> </w:t>
      </w:r>
      <w:r w:rsidR="00C35CB1" w:rsidRPr="00C35CB1">
        <w:rPr>
          <w:rFonts w:hint="cs"/>
          <w:rtl/>
        </w:rPr>
        <w:t>تعتبر جميعا جزءا لا يتجزأ من القانون الوضعي</w:t>
      </w:r>
      <w:r w:rsidR="00BB6B48">
        <w:rPr>
          <w:rFonts w:hint="eastAsia"/>
          <w:rtl/>
        </w:rPr>
        <w:t>“</w:t>
      </w:r>
      <w:r w:rsidR="0015762F">
        <w:rPr>
          <w:rFonts w:hint="cs"/>
          <w:rtl/>
        </w:rPr>
        <w:t>.</w:t>
      </w:r>
      <w:r w:rsidR="00C35CB1" w:rsidRPr="00C35CB1">
        <w:rPr>
          <w:rFonts w:hint="cs"/>
          <w:rtl/>
        </w:rPr>
        <w:t xml:space="preserve"> </w:t>
      </w:r>
      <w:r w:rsidR="00D666E0">
        <w:rPr>
          <w:rFonts w:hint="cs"/>
          <w:rtl/>
        </w:rPr>
        <w:t>و</w:t>
      </w:r>
      <w:r w:rsidR="00C35CB1" w:rsidRPr="00C35CB1">
        <w:rPr>
          <w:rFonts w:hint="cs"/>
          <w:rtl/>
        </w:rPr>
        <w:t>من جهة أخرى، تنص الفقرة الفرعية 4 من المادة 132 على أن</w:t>
      </w:r>
      <w:r w:rsidR="00BB6B48">
        <w:rPr>
          <w:rFonts w:hint="cs"/>
          <w:rtl/>
        </w:rPr>
        <w:t xml:space="preserve"> ”</w:t>
      </w:r>
      <w:r w:rsidR="00C35CB1" w:rsidRPr="00C35CB1">
        <w:rPr>
          <w:rFonts w:hint="cs"/>
          <w:i/>
          <w:iCs/>
          <w:rtl/>
        </w:rPr>
        <w:t>المعاهدات أ</w:t>
      </w:r>
      <w:r w:rsidR="00D666E0">
        <w:rPr>
          <w:rFonts w:hint="cs"/>
          <w:i/>
          <w:iCs/>
          <w:rtl/>
        </w:rPr>
        <w:t xml:space="preserve">و </w:t>
      </w:r>
      <w:r w:rsidR="00C35CB1" w:rsidRPr="00C35CB1">
        <w:rPr>
          <w:rFonts w:hint="cs"/>
          <w:i/>
          <w:iCs/>
          <w:rtl/>
        </w:rPr>
        <w:t>الاتفاقات المصدّق عليها أو المقبولة على النحو الواجب تكتسب فور نشرها سلطة أعلى من سلطة القوانين</w:t>
      </w:r>
      <w:r w:rsidR="000A5EC7">
        <w:rPr>
          <w:rFonts w:hint="cs"/>
          <w:i/>
          <w:iCs/>
          <w:rtl/>
        </w:rPr>
        <w:t xml:space="preserve"> </w:t>
      </w:r>
      <w:r w:rsidR="00C35CB1" w:rsidRPr="00C35CB1">
        <w:rPr>
          <w:rFonts w:hint="cs"/>
          <w:i/>
          <w:iCs/>
          <w:rtl/>
        </w:rPr>
        <w:t>...</w:t>
      </w:r>
      <w:r w:rsidR="00BB6B48">
        <w:rPr>
          <w:rFonts w:hint="eastAsia"/>
          <w:i/>
          <w:iCs/>
          <w:rtl/>
        </w:rPr>
        <w:t>“</w:t>
      </w:r>
      <w:r w:rsidR="000A5EC7">
        <w:rPr>
          <w:rFonts w:hint="cs"/>
          <w:i/>
          <w:iCs/>
          <w:rtl/>
        </w:rPr>
        <w:t>.</w:t>
      </w:r>
    </w:p>
    <w:p w:rsidR="00BA462B" w:rsidRDefault="00467A3E" w:rsidP="00C35CB1">
      <w:pPr>
        <w:pStyle w:val="SingleTxt"/>
        <w:rPr>
          <w:rFonts w:hint="cs"/>
          <w:rtl/>
        </w:rPr>
      </w:pPr>
      <w:r>
        <w:rPr>
          <w:rFonts w:hint="cs"/>
          <w:rtl/>
        </w:rPr>
        <w:tab/>
      </w:r>
      <w:r w:rsidR="00D666E0">
        <w:rPr>
          <w:rFonts w:hint="cs"/>
          <w:rtl/>
        </w:rPr>
        <w:t>و</w:t>
      </w:r>
      <w:r w:rsidR="006145D0">
        <w:rPr>
          <w:rFonts w:hint="cs"/>
          <w:rtl/>
        </w:rPr>
        <w:t>يكرّس التطبيق المتض</w:t>
      </w:r>
      <w:r w:rsidR="00C35CB1" w:rsidRPr="00C35CB1">
        <w:rPr>
          <w:rFonts w:hint="cs"/>
          <w:rtl/>
        </w:rPr>
        <w:t xml:space="preserve">افر لهذين الحكمين الانطباق المباشر للاتفاقية </w:t>
      </w:r>
      <w:r w:rsidR="00D666E0">
        <w:rPr>
          <w:rFonts w:hint="cs"/>
          <w:rtl/>
        </w:rPr>
        <w:t>و</w:t>
      </w:r>
      <w:r w:rsidR="00C35CB1" w:rsidRPr="00C35CB1">
        <w:rPr>
          <w:rFonts w:hint="cs"/>
          <w:rtl/>
        </w:rPr>
        <w:t>سيادتها بالنسبة للقانون الداخلي.</w:t>
      </w:r>
    </w:p>
    <w:p w:rsidR="00C35CB1" w:rsidRPr="00C35CB1" w:rsidRDefault="00467A3E" w:rsidP="00C35CB1">
      <w:pPr>
        <w:pStyle w:val="SingleTxt"/>
        <w:rPr>
          <w:rFonts w:hint="cs"/>
          <w:rtl/>
        </w:rPr>
      </w:pPr>
      <w:r>
        <w:rPr>
          <w:rFonts w:hint="cs"/>
          <w:rtl/>
        </w:rPr>
        <w:tab/>
      </w:r>
      <w:r w:rsidR="00D666E0">
        <w:rPr>
          <w:rFonts w:hint="cs"/>
          <w:rtl/>
        </w:rPr>
        <w:t>و</w:t>
      </w:r>
      <w:r w:rsidR="00C35CB1" w:rsidRPr="00C35CB1">
        <w:rPr>
          <w:rFonts w:hint="cs"/>
          <w:rtl/>
        </w:rPr>
        <w:t xml:space="preserve">هكذا، فإنه يجوز للمواطنات الاحتجاج بالاتفاقية أمام المحاكم. </w:t>
      </w:r>
      <w:r w:rsidR="00D666E0">
        <w:rPr>
          <w:rFonts w:hint="cs"/>
          <w:rtl/>
        </w:rPr>
        <w:t>و</w:t>
      </w:r>
      <w:r w:rsidR="00C35CB1" w:rsidRPr="00C35CB1">
        <w:rPr>
          <w:rFonts w:hint="cs"/>
          <w:rtl/>
        </w:rPr>
        <w:t xml:space="preserve">تتحمل المحاكم واجب تطبيقها في الحالات التي تكون فيها أحكامها قد انتهكت. </w:t>
      </w:r>
      <w:r w:rsidR="00D666E0">
        <w:rPr>
          <w:rFonts w:hint="cs"/>
          <w:rtl/>
        </w:rPr>
        <w:t>و</w:t>
      </w:r>
      <w:r w:rsidR="00C35CB1" w:rsidRPr="00C35CB1">
        <w:rPr>
          <w:rFonts w:hint="cs"/>
          <w:rtl/>
        </w:rPr>
        <w:t>سينطبق هذا بالتالي حين يتعلق الانتهاك بتمييز على أساس جنساني.</w:t>
      </w:r>
    </w:p>
    <w:p w:rsidR="00BA462B" w:rsidRDefault="00467A3E" w:rsidP="00C35CB1">
      <w:pPr>
        <w:pStyle w:val="SingleTxt"/>
        <w:rPr>
          <w:rFonts w:hint="cs"/>
          <w:rtl/>
        </w:rPr>
      </w:pPr>
      <w:r>
        <w:rPr>
          <w:rFonts w:hint="cs"/>
          <w:rtl/>
        </w:rPr>
        <w:tab/>
      </w:r>
      <w:r w:rsidR="00D666E0">
        <w:rPr>
          <w:rFonts w:hint="cs"/>
          <w:rtl/>
        </w:rPr>
        <w:t>و</w:t>
      </w:r>
      <w:r w:rsidR="00C35CB1" w:rsidRPr="00C35CB1">
        <w:rPr>
          <w:rFonts w:hint="cs"/>
          <w:rtl/>
        </w:rPr>
        <w:t>قد أصدرت المحكمة العليا في قرارها 231 المؤرخ 5 أيلول</w:t>
      </w:r>
      <w:r w:rsidR="00BB6B48">
        <w:rPr>
          <w:rFonts w:hint="cs"/>
          <w:rtl/>
        </w:rPr>
        <w:t>/</w:t>
      </w:r>
      <w:r w:rsidR="00C35CB1" w:rsidRPr="00C35CB1">
        <w:rPr>
          <w:rFonts w:hint="cs"/>
          <w:rtl/>
        </w:rPr>
        <w:t>سبتمبر 2003 حكما لفائدة السيدة دوغان التي كانت</w:t>
      </w:r>
      <w:r w:rsidR="0015762F">
        <w:rPr>
          <w:rFonts w:hint="cs"/>
          <w:rtl/>
        </w:rPr>
        <w:t>،</w:t>
      </w:r>
      <w:r w:rsidR="00C35CB1" w:rsidRPr="00C35CB1">
        <w:rPr>
          <w:rFonts w:hint="cs"/>
          <w:rtl/>
        </w:rPr>
        <w:t xml:space="preserve"> في جملة أمور أخرى، ضحية تمييز على أساس جنساني.</w:t>
      </w:r>
    </w:p>
    <w:p w:rsidR="00BA462B" w:rsidRDefault="00467A3E" w:rsidP="00C35CB1">
      <w:pPr>
        <w:pStyle w:val="SingleTxt"/>
        <w:rPr>
          <w:rFonts w:hint="cs"/>
          <w:rtl/>
        </w:rPr>
      </w:pPr>
      <w:r>
        <w:rPr>
          <w:rFonts w:hint="cs"/>
          <w:rtl/>
        </w:rPr>
        <w:tab/>
      </w:r>
      <w:r w:rsidR="00D666E0">
        <w:rPr>
          <w:rFonts w:hint="cs"/>
          <w:rtl/>
        </w:rPr>
        <w:t>و</w:t>
      </w:r>
      <w:r w:rsidR="00C35CB1" w:rsidRPr="00C35CB1">
        <w:rPr>
          <w:rFonts w:hint="cs"/>
          <w:rtl/>
        </w:rPr>
        <w:t>من جهة أخرى، يتعين التأكيد على أن الانطباق المباشر للمعاهدات لا يجوز في حالات معيّنة. يحدث هذا حين يتطلب انطباق تلك المعاهدات القيام</w:t>
      </w:r>
      <w:r w:rsidR="0015762F">
        <w:rPr>
          <w:rFonts w:hint="cs"/>
          <w:rtl/>
        </w:rPr>
        <w:t>،</w:t>
      </w:r>
      <w:r w:rsidR="00E71DD0">
        <w:rPr>
          <w:rFonts w:hint="cs"/>
          <w:rtl/>
        </w:rPr>
        <w:t xml:space="preserve"> مسبقا، بتنقيح التشريع</w:t>
      </w:r>
      <w:r w:rsidR="00E71DD0">
        <w:rPr>
          <w:rFonts w:hint="eastAsia"/>
          <w:rtl/>
        </w:rPr>
        <w:t> </w:t>
      </w:r>
      <w:r w:rsidR="00C35CB1" w:rsidRPr="00C35CB1">
        <w:rPr>
          <w:rFonts w:hint="cs"/>
          <w:rtl/>
        </w:rPr>
        <w:t>الوطني.</w:t>
      </w:r>
    </w:p>
    <w:p w:rsidR="00BA462B" w:rsidRDefault="00467A3E" w:rsidP="00C35CB1">
      <w:pPr>
        <w:pStyle w:val="SingleTxt"/>
        <w:rPr>
          <w:rFonts w:hint="cs"/>
          <w:rtl/>
        </w:rPr>
      </w:pPr>
      <w:r>
        <w:rPr>
          <w:rFonts w:hint="cs"/>
          <w:rtl/>
        </w:rPr>
        <w:tab/>
      </w:r>
      <w:r w:rsidR="00D666E0">
        <w:rPr>
          <w:rFonts w:hint="cs"/>
          <w:rtl/>
        </w:rPr>
        <w:t>و</w:t>
      </w:r>
      <w:r w:rsidR="006145D0">
        <w:rPr>
          <w:rFonts w:hint="cs"/>
          <w:rtl/>
        </w:rPr>
        <w:t>في هذا الصدد، كان إ</w:t>
      </w:r>
      <w:r w:rsidR="00C35CB1" w:rsidRPr="00C35CB1">
        <w:rPr>
          <w:rFonts w:hint="cs"/>
          <w:rtl/>
        </w:rPr>
        <w:t xml:space="preserve">صلاح التشريع المتعلق بالزواج لازما من أجل رفع السن القانوني للزواج إلى 18 عاما دون تمييز بين الرجل </w:t>
      </w:r>
      <w:r w:rsidR="00D666E0">
        <w:rPr>
          <w:rFonts w:hint="cs"/>
          <w:rtl/>
        </w:rPr>
        <w:t>و</w:t>
      </w:r>
      <w:r w:rsidR="00C35CB1" w:rsidRPr="00C35CB1">
        <w:rPr>
          <w:rFonts w:hint="cs"/>
          <w:rtl/>
        </w:rPr>
        <w:t xml:space="preserve">المرأة، </w:t>
      </w:r>
      <w:r w:rsidR="00D666E0">
        <w:rPr>
          <w:rFonts w:hint="cs"/>
          <w:rtl/>
        </w:rPr>
        <w:t>و</w:t>
      </w:r>
      <w:r w:rsidR="00C35CB1" w:rsidRPr="00C35CB1">
        <w:rPr>
          <w:rFonts w:hint="cs"/>
          <w:rtl/>
        </w:rPr>
        <w:t>تمّ بالتالي اعتماد القانون الجديد المشار إليه أعلاه.</w:t>
      </w:r>
    </w:p>
    <w:p w:rsidR="00C35CB1" w:rsidRPr="00C35CB1" w:rsidRDefault="00467A3E" w:rsidP="00C35CB1">
      <w:pPr>
        <w:pStyle w:val="SingleTxt"/>
        <w:rPr>
          <w:rFonts w:hint="cs"/>
          <w:rtl/>
        </w:rPr>
      </w:pPr>
      <w:r>
        <w:rPr>
          <w:rFonts w:hint="cs"/>
          <w:rtl/>
        </w:rPr>
        <w:tab/>
      </w:r>
      <w:r w:rsidR="00D666E0">
        <w:rPr>
          <w:rFonts w:hint="cs"/>
          <w:rtl/>
        </w:rPr>
        <w:t>و</w:t>
      </w:r>
      <w:r w:rsidR="00C35CB1" w:rsidRPr="00C35CB1">
        <w:rPr>
          <w:rFonts w:hint="cs"/>
          <w:rtl/>
        </w:rPr>
        <w:t>قد ألغى القانون الجديد المعتمد الأحكام التمييزية التي كانت تحدد السن الأدنى لتوقيع عقد زواج ب</w:t>
      </w:r>
      <w:r w:rsidR="000A5EC7">
        <w:rPr>
          <w:rFonts w:hint="cs"/>
          <w:rtl/>
        </w:rPr>
        <w:t>ـ</w:t>
      </w:r>
      <w:r w:rsidR="00C35CB1" w:rsidRPr="00C35CB1">
        <w:rPr>
          <w:rFonts w:hint="cs"/>
          <w:rtl/>
        </w:rPr>
        <w:t xml:space="preserve"> 14 سنة بالنسبة للمرأة و 17 سنة بالنسبة للرجل.</w:t>
      </w:r>
    </w:p>
    <w:p w:rsidR="00BA462B" w:rsidRDefault="00467A3E" w:rsidP="00C35CB1">
      <w:pPr>
        <w:pStyle w:val="SingleTxt"/>
        <w:rPr>
          <w:rFonts w:hint="cs"/>
          <w:rtl/>
        </w:rPr>
      </w:pPr>
      <w:r>
        <w:rPr>
          <w:rFonts w:hint="cs"/>
          <w:rtl/>
        </w:rPr>
        <w:tab/>
      </w:r>
      <w:r w:rsidR="00D666E0">
        <w:rPr>
          <w:rFonts w:hint="cs"/>
          <w:rtl/>
        </w:rPr>
        <w:t>و</w:t>
      </w:r>
      <w:r w:rsidR="00C35CB1" w:rsidRPr="00C35CB1">
        <w:rPr>
          <w:rFonts w:hint="cs"/>
          <w:rtl/>
        </w:rPr>
        <w:t>قد تقرر نفس الشيء في مجال القانون الجنائي.</w:t>
      </w:r>
    </w:p>
    <w:p w:rsidR="00C35CB1" w:rsidRPr="00C35CB1" w:rsidRDefault="00467A3E" w:rsidP="006145D0">
      <w:pPr>
        <w:pStyle w:val="SingleTxt"/>
        <w:rPr>
          <w:rFonts w:hint="cs"/>
          <w:rtl/>
        </w:rPr>
      </w:pPr>
      <w:r>
        <w:rPr>
          <w:rFonts w:hint="cs"/>
          <w:rtl/>
        </w:rPr>
        <w:tab/>
      </w:r>
      <w:r w:rsidR="00D666E0">
        <w:rPr>
          <w:rFonts w:hint="cs"/>
          <w:rtl/>
        </w:rPr>
        <w:t>و</w:t>
      </w:r>
      <w:r w:rsidR="00C35CB1" w:rsidRPr="00C35CB1">
        <w:rPr>
          <w:rFonts w:hint="cs"/>
          <w:rtl/>
        </w:rPr>
        <w:t xml:space="preserve">لوضع حد لتطبيق قانون تمييزي ضد المرأة التي تعاقب بأكثر صرامة من الرجل في حالة </w:t>
      </w:r>
      <w:r w:rsidR="006145D0" w:rsidRPr="00C35CB1">
        <w:rPr>
          <w:rFonts w:hint="cs"/>
          <w:rtl/>
        </w:rPr>
        <w:t>الزنا</w:t>
      </w:r>
      <w:r w:rsidR="00C35CB1" w:rsidRPr="00C35CB1">
        <w:rPr>
          <w:rFonts w:hint="cs"/>
          <w:rtl/>
        </w:rPr>
        <w:t>، تعيّن تعديل أحكام المواد من 336 إلى 338 من القانون الجنائي بواسطة القانون</w:t>
      </w:r>
      <w:r w:rsidR="006145D0">
        <w:rPr>
          <w:rFonts w:hint="cs"/>
          <w:rtl/>
        </w:rPr>
        <w:t xml:space="preserve"> 96-9</w:t>
      </w:r>
      <w:r w:rsidR="00C35CB1" w:rsidRPr="00C35CB1">
        <w:rPr>
          <w:rFonts w:hint="cs"/>
          <w:rtl/>
        </w:rPr>
        <w:t xml:space="preserve"> المؤرخ 9 آب/أغسطس 1996</w:t>
      </w:r>
      <w:r w:rsidR="0015762F">
        <w:rPr>
          <w:rFonts w:hint="cs"/>
          <w:rtl/>
        </w:rPr>
        <w:t>.</w:t>
      </w:r>
      <w:r w:rsidR="00C35CB1" w:rsidRPr="00C35CB1">
        <w:rPr>
          <w:rFonts w:hint="cs"/>
          <w:rtl/>
        </w:rPr>
        <w:t xml:space="preserve"> </w:t>
      </w:r>
      <w:r w:rsidR="00D666E0">
        <w:rPr>
          <w:rFonts w:hint="cs"/>
          <w:rtl/>
        </w:rPr>
        <w:t>و</w:t>
      </w:r>
      <w:r w:rsidR="00C35CB1" w:rsidRPr="00C35CB1">
        <w:rPr>
          <w:rFonts w:hint="cs"/>
          <w:rtl/>
        </w:rPr>
        <w:t xml:space="preserve">تفرض الآن نفس العقوبة على الزوجين في حالة </w:t>
      </w:r>
      <w:r w:rsidR="006145D0" w:rsidRPr="00C35CB1">
        <w:rPr>
          <w:rFonts w:hint="cs"/>
          <w:rtl/>
        </w:rPr>
        <w:t>الزنا</w:t>
      </w:r>
      <w:r w:rsidR="00C35CB1" w:rsidRPr="00C35CB1">
        <w:rPr>
          <w:rFonts w:hint="cs"/>
          <w:rtl/>
        </w:rPr>
        <w:t>، أي بالسجن لمدة تتراوح من ثلاثة أشهر إلى سنة واحدة أو بغرامة قدرها من 000 200 إلى 000 000 3 فرنك منغاشي</w:t>
      </w:r>
      <w:r w:rsidR="0015762F">
        <w:rPr>
          <w:rFonts w:hint="cs"/>
          <w:rtl/>
        </w:rPr>
        <w:t>.</w:t>
      </w:r>
    </w:p>
    <w:p w:rsidR="00C35CB1" w:rsidRPr="00C35CB1" w:rsidRDefault="00467A3E" w:rsidP="00C35CB1">
      <w:pPr>
        <w:pStyle w:val="SingleTxt"/>
        <w:rPr>
          <w:rFonts w:hint="cs"/>
          <w:rtl/>
        </w:rPr>
      </w:pPr>
      <w:r>
        <w:rPr>
          <w:rFonts w:hint="cs"/>
          <w:rtl/>
        </w:rPr>
        <w:tab/>
      </w:r>
      <w:r w:rsidR="00D666E0">
        <w:rPr>
          <w:rFonts w:hint="cs"/>
          <w:rtl/>
        </w:rPr>
        <w:t>و</w:t>
      </w:r>
      <w:r w:rsidR="00C35CB1" w:rsidRPr="00C35CB1">
        <w:rPr>
          <w:rFonts w:hint="cs"/>
          <w:rtl/>
        </w:rPr>
        <w:t xml:space="preserve">يكرّس هذا التعديل المساواة أمام القانون </w:t>
      </w:r>
      <w:r w:rsidR="00D666E0">
        <w:rPr>
          <w:rFonts w:hint="cs"/>
          <w:rtl/>
        </w:rPr>
        <w:t>و</w:t>
      </w:r>
      <w:r w:rsidR="00C35CB1" w:rsidRPr="00C35CB1">
        <w:rPr>
          <w:rFonts w:hint="cs"/>
          <w:rtl/>
        </w:rPr>
        <w:t>المحاكم.</w:t>
      </w:r>
    </w:p>
    <w:p w:rsidR="00BA462B" w:rsidRDefault="00467A3E" w:rsidP="00C35CB1">
      <w:pPr>
        <w:pStyle w:val="SingleTxt"/>
        <w:rPr>
          <w:rFonts w:hint="cs"/>
          <w:rtl/>
        </w:rPr>
      </w:pPr>
      <w:r>
        <w:rPr>
          <w:rFonts w:hint="cs"/>
          <w:rtl/>
        </w:rPr>
        <w:tab/>
      </w:r>
      <w:r w:rsidR="00D666E0">
        <w:rPr>
          <w:rFonts w:hint="cs"/>
          <w:rtl/>
        </w:rPr>
        <w:t>و</w:t>
      </w:r>
      <w:r w:rsidR="00C35CB1" w:rsidRPr="00C35CB1">
        <w:rPr>
          <w:rFonts w:hint="cs"/>
          <w:rtl/>
        </w:rPr>
        <w:t>بالرغم من الإمكانية المتاحة للمواطنين بأن يحتجوا بالاتفاقية أمام المحاكم</w:t>
      </w:r>
      <w:r w:rsidR="000A5EC7">
        <w:rPr>
          <w:rFonts w:hint="cs"/>
          <w:rtl/>
        </w:rPr>
        <w:t>،</w:t>
      </w:r>
      <w:r w:rsidR="00C35CB1" w:rsidRPr="00C35CB1">
        <w:rPr>
          <w:rFonts w:hint="cs"/>
          <w:rtl/>
        </w:rPr>
        <w:t xml:space="preserve"> </w:t>
      </w:r>
      <w:r w:rsidR="00D666E0">
        <w:rPr>
          <w:rFonts w:hint="cs"/>
          <w:rtl/>
        </w:rPr>
        <w:t>و</w:t>
      </w:r>
      <w:r w:rsidR="00C35CB1" w:rsidRPr="00C35CB1">
        <w:rPr>
          <w:rFonts w:hint="cs"/>
          <w:rtl/>
        </w:rPr>
        <w:t>من تحمّل المحاكم واجب تطبيقها، ينبغي الإقرار بندرة قرارات المحاكم التي تشير إلى تطبيق المعاهدات المصدّق عليها حتى الآن.</w:t>
      </w:r>
    </w:p>
    <w:p w:rsidR="00C35CB1" w:rsidRPr="00C35CB1" w:rsidRDefault="00467A3E" w:rsidP="00C35CB1">
      <w:pPr>
        <w:pStyle w:val="SingleTxt"/>
        <w:rPr>
          <w:rFonts w:hint="cs"/>
          <w:rtl/>
        </w:rPr>
      </w:pPr>
      <w:r>
        <w:rPr>
          <w:rFonts w:hint="cs"/>
          <w:rtl/>
        </w:rPr>
        <w:tab/>
      </w:r>
      <w:r w:rsidR="00D666E0">
        <w:rPr>
          <w:rFonts w:hint="cs"/>
          <w:rtl/>
        </w:rPr>
        <w:t>و</w:t>
      </w:r>
      <w:r w:rsidR="00C35CB1" w:rsidRPr="00C35CB1">
        <w:rPr>
          <w:rFonts w:hint="cs"/>
          <w:rtl/>
        </w:rPr>
        <w:t>قد بادرت وزارة العدل</w:t>
      </w:r>
      <w:r w:rsidR="000A5EC7">
        <w:rPr>
          <w:rFonts w:hint="cs"/>
          <w:rtl/>
        </w:rPr>
        <w:t>،</w:t>
      </w:r>
      <w:r w:rsidR="00C35CB1" w:rsidRPr="00C35CB1">
        <w:rPr>
          <w:rFonts w:hint="cs"/>
          <w:rtl/>
        </w:rPr>
        <w:t xml:space="preserve"> إدراكا منها بهذا النقص، بالاضطلاع ببرنامج لترويج الصكوك القانونية المتعلقة بحقوق الإنسان لدى المواطنين وتعميمها في دورات التدريب للمسؤولين عن إنفاذ القوانين.</w:t>
      </w:r>
    </w:p>
    <w:p w:rsidR="00467A3E" w:rsidRPr="00467A3E" w:rsidRDefault="00467A3E" w:rsidP="00467A3E">
      <w:pPr>
        <w:pStyle w:val="SingleTxt"/>
        <w:spacing w:after="0" w:line="120" w:lineRule="exact"/>
        <w:rPr>
          <w:rFonts w:hint="cs"/>
          <w:i/>
          <w:iCs/>
          <w:sz w:val="10"/>
          <w:rtl/>
        </w:rPr>
      </w:pPr>
    </w:p>
    <w:p w:rsidR="00C35CB1" w:rsidRPr="00C35CB1" w:rsidRDefault="00C35CB1" w:rsidP="00467A3E">
      <w:pPr>
        <w:pStyle w:val="SingleTxt"/>
        <w:keepNext/>
        <w:rPr>
          <w:rFonts w:hint="cs"/>
          <w:i/>
          <w:iCs/>
          <w:rtl/>
        </w:rPr>
      </w:pPr>
      <w:r w:rsidRPr="00C35CB1">
        <w:rPr>
          <w:rFonts w:hint="cs"/>
          <w:i/>
          <w:iCs/>
          <w:rtl/>
        </w:rPr>
        <w:t>ترويج الاتفاقية</w:t>
      </w:r>
    </w:p>
    <w:p w:rsidR="00BA462B" w:rsidRDefault="00467A3E" w:rsidP="00467A3E">
      <w:pPr>
        <w:pStyle w:val="SingleTxt"/>
        <w:rPr>
          <w:rFonts w:hint="cs"/>
          <w:rtl/>
        </w:rPr>
      </w:pPr>
      <w:r>
        <w:rPr>
          <w:rFonts w:hint="cs"/>
          <w:rtl/>
        </w:rPr>
        <w:tab/>
      </w:r>
      <w:r w:rsidR="00C35CB1" w:rsidRPr="00C35CB1">
        <w:rPr>
          <w:rFonts w:hint="cs"/>
          <w:rtl/>
        </w:rPr>
        <w:t xml:space="preserve">لكي يعلم السكان بالمعاهدات المتعلقة بحقوق الإنسان، بما فيها الاتفاقية، </w:t>
      </w:r>
      <w:r w:rsidR="00D666E0">
        <w:rPr>
          <w:rFonts w:hint="cs"/>
          <w:rtl/>
        </w:rPr>
        <w:t>و</w:t>
      </w:r>
      <w:r w:rsidR="00C35CB1" w:rsidRPr="00C35CB1">
        <w:rPr>
          <w:rFonts w:hint="cs"/>
          <w:rtl/>
        </w:rPr>
        <w:t xml:space="preserve">يحتجوا بها أمام المحاكم </w:t>
      </w:r>
      <w:r w:rsidR="00D666E0">
        <w:rPr>
          <w:rFonts w:hint="cs"/>
          <w:rtl/>
        </w:rPr>
        <w:t>و</w:t>
      </w:r>
      <w:r w:rsidR="00C35CB1" w:rsidRPr="00C35CB1">
        <w:rPr>
          <w:rFonts w:hint="cs"/>
          <w:rtl/>
        </w:rPr>
        <w:t xml:space="preserve">يطالبوا بحقوقهم التي تحميها الصكوك القانونية الدولية، أنتجت وزارة العدل شريطا سينمائيا يظهر مختلف أشكال العنف ضد المرأة </w:t>
      </w:r>
      <w:r w:rsidR="00D666E0">
        <w:rPr>
          <w:rFonts w:hint="cs"/>
          <w:rtl/>
        </w:rPr>
        <w:t>و</w:t>
      </w:r>
      <w:r w:rsidR="00C35CB1" w:rsidRPr="00C35CB1">
        <w:rPr>
          <w:rFonts w:hint="cs"/>
          <w:rtl/>
        </w:rPr>
        <w:t xml:space="preserve">الإجراءات الواجب اتباعها للتظلم لدى السلطات المختصة. </w:t>
      </w:r>
      <w:r w:rsidR="00D666E0">
        <w:rPr>
          <w:rFonts w:hint="cs"/>
          <w:rtl/>
        </w:rPr>
        <w:t>و</w:t>
      </w:r>
      <w:r w:rsidR="00C35CB1" w:rsidRPr="00C35CB1">
        <w:rPr>
          <w:rFonts w:hint="cs"/>
          <w:rtl/>
        </w:rPr>
        <w:t>قد بثّت هذا الشريط</w:t>
      </w:r>
      <w:r w:rsidRPr="00467A3E">
        <w:rPr>
          <w:vertAlign w:val="superscript"/>
          <w:rtl/>
        </w:rPr>
        <w:t>(</w:t>
      </w:r>
      <w:r>
        <w:rPr>
          <w:rStyle w:val="FootnoteReference"/>
          <w:rtl/>
        </w:rPr>
        <w:footnoteReference w:id="1"/>
      </w:r>
      <w:r w:rsidRPr="00467A3E">
        <w:rPr>
          <w:vertAlign w:val="superscript"/>
          <w:rtl/>
        </w:rPr>
        <w:t>)</w:t>
      </w:r>
      <w:r>
        <w:rPr>
          <w:rFonts w:hint="cs"/>
          <w:rtl/>
        </w:rPr>
        <w:t xml:space="preserve"> </w:t>
      </w:r>
      <w:r w:rsidR="00C35CB1" w:rsidRPr="00C35CB1">
        <w:rPr>
          <w:rFonts w:hint="cs"/>
          <w:rtl/>
        </w:rPr>
        <w:t>أربع محطات تلفزيونية</w:t>
      </w:r>
      <w:r w:rsidRPr="00467A3E">
        <w:rPr>
          <w:vertAlign w:val="superscript"/>
          <w:rtl/>
        </w:rPr>
        <w:t>(</w:t>
      </w:r>
      <w:r>
        <w:rPr>
          <w:rStyle w:val="FootnoteReference"/>
          <w:rtl/>
        </w:rPr>
        <w:footnoteReference w:id="2"/>
      </w:r>
      <w:r w:rsidRPr="00467A3E">
        <w:rPr>
          <w:vertAlign w:val="superscript"/>
          <w:rtl/>
        </w:rPr>
        <w:t>)</w:t>
      </w:r>
      <w:r>
        <w:rPr>
          <w:rFonts w:hint="cs"/>
          <w:rtl/>
        </w:rPr>
        <w:t xml:space="preserve"> في 8 </w:t>
      </w:r>
      <w:r w:rsidR="00765A56">
        <w:rPr>
          <w:rFonts w:hint="cs"/>
          <w:rtl/>
        </w:rPr>
        <w:t>آ</w:t>
      </w:r>
      <w:r w:rsidR="00C35CB1" w:rsidRPr="00C35CB1">
        <w:rPr>
          <w:rFonts w:hint="cs"/>
          <w:rtl/>
        </w:rPr>
        <w:t>ذار/مارس 2008 بمناسبة الاحتفال باليوم الدولي للمرأة، وهو يستخدم حاليا كأداة للتوعية المتواصلة من أجل مكافحة أشكال العنف ضد المرأة.</w:t>
      </w:r>
    </w:p>
    <w:p w:rsidR="00C35CB1" w:rsidRPr="00C35CB1" w:rsidRDefault="00467A3E" w:rsidP="00765A56">
      <w:pPr>
        <w:pStyle w:val="SingleTxt"/>
        <w:rPr>
          <w:rFonts w:hint="cs"/>
          <w:rtl/>
        </w:rPr>
      </w:pPr>
      <w:r>
        <w:rPr>
          <w:rFonts w:hint="cs"/>
          <w:rtl/>
        </w:rPr>
        <w:tab/>
      </w:r>
      <w:r w:rsidR="00D666E0">
        <w:rPr>
          <w:rFonts w:hint="cs"/>
          <w:rtl/>
        </w:rPr>
        <w:t>و</w:t>
      </w:r>
      <w:r w:rsidR="00C35CB1" w:rsidRPr="00C35CB1">
        <w:rPr>
          <w:rFonts w:hint="cs"/>
          <w:rtl/>
        </w:rPr>
        <w:t xml:space="preserve">توجد أيضا دائرة في وزارة العدل متخصصة في ترويج النصوص. </w:t>
      </w:r>
      <w:r w:rsidR="00D666E0">
        <w:rPr>
          <w:rFonts w:hint="cs"/>
          <w:rtl/>
        </w:rPr>
        <w:t>و</w:t>
      </w:r>
      <w:r w:rsidR="00C35CB1" w:rsidRPr="00C35CB1">
        <w:rPr>
          <w:rFonts w:hint="cs"/>
          <w:rtl/>
        </w:rPr>
        <w:t>تشارك هذه الدائرة على نحو مطّرد في نشر النصوص القانونية من خلال برامج إذاعية</w:t>
      </w:r>
      <w:r w:rsidR="00765A56">
        <w:rPr>
          <w:rFonts w:hint="cs"/>
          <w:rtl/>
          <w:lang w:val="fr-CA"/>
        </w:rPr>
        <w:t xml:space="preserve"> </w:t>
      </w:r>
      <w:r w:rsidR="00C35CB1" w:rsidRPr="00C35CB1">
        <w:rPr>
          <w:rFonts w:hint="cs"/>
          <w:rtl/>
        </w:rPr>
        <w:t xml:space="preserve">وتلفزيونية باستخدام تقنيات تيسّر فهم الاتفاقية </w:t>
      </w:r>
      <w:r w:rsidR="00D666E0">
        <w:rPr>
          <w:rFonts w:hint="cs"/>
          <w:rtl/>
        </w:rPr>
        <w:t>و</w:t>
      </w:r>
      <w:r w:rsidR="00C35CB1" w:rsidRPr="00C35CB1">
        <w:rPr>
          <w:rFonts w:hint="cs"/>
          <w:rtl/>
        </w:rPr>
        <w:t>الإجراءات المنطبقة لعرض المطالبات على السلطات القضائية المختصة.</w:t>
      </w:r>
    </w:p>
    <w:p w:rsidR="004A18A2" w:rsidRDefault="00467A3E" w:rsidP="006145D0">
      <w:pPr>
        <w:pStyle w:val="SingleTxt"/>
        <w:rPr>
          <w:rFonts w:hint="cs"/>
          <w:rtl/>
        </w:rPr>
      </w:pPr>
      <w:r>
        <w:rPr>
          <w:rFonts w:hint="cs"/>
          <w:rtl/>
        </w:rPr>
        <w:tab/>
      </w:r>
      <w:r w:rsidR="00D666E0">
        <w:rPr>
          <w:rFonts w:hint="cs"/>
          <w:rtl/>
        </w:rPr>
        <w:t>و</w:t>
      </w:r>
      <w:r w:rsidR="00C35CB1" w:rsidRPr="00C35CB1">
        <w:rPr>
          <w:rFonts w:hint="cs"/>
          <w:rtl/>
        </w:rPr>
        <w:t xml:space="preserve">بموجب المرسوم رقم 2008/438 المؤرخ 5 </w:t>
      </w:r>
      <w:r w:rsidR="006145D0">
        <w:rPr>
          <w:rFonts w:hint="cs"/>
          <w:rtl/>
        </w:rPr>
        <w:t>أ</w:t>
      </w:r>
      <w:r w:rsidR="00C35CB1" w:rsidRPr="00C35CB1">
        <w:rPr>
          <w:rFonts w:hint="cs"/>
          <w:rtl/>
        </w:rPr>
        <w:t xml:space="preserve">يار/مايو </w:t>
      </w:r>
      <w:r w:rsidR="006145D0">
        <w:rPr>
          <w:rFonts w:hint="cs"/>
          <w:rtl/>
        </w:rPr>
        <w:t>2008 أنشئت حديثا إدارة لحقوق الإ</w:t>
      </w:r>
      <w:r w:rsidR="00C35CB1" w:rsidRPr="00C35CB1">
        <w:rPr>
          <w:rFonts w:hint="cs"/>
          <w:rtl/>
        </w:rPr>
        <w:t xml:space="preserve">نسان في وزارة العدل. </w:t>
      </w:r>
      <w:r w:rsidR="00D666E0">
        <w:rPr>
          <w:rFonts w:hint="cs"/>
          <w:rtl/>
        </w:rPr>
        <w:t>و</w:t>
      </w:r>
      <w:r w:rsidR="00C35CB1" w:rsidRPr="00C35CB1">
        <w:rPr>
          <w:rFonts w:hint="cs"/>
          <w:rtl/>
        </w:rPr>
        <w:t>هذه الإدارة مكلّفة، في جملة أمور أخرى، بتنفيذ برنامج متعدد السنوات للفترة من 2008 إلى 2011</w:t>
      </w:r>
      <w:r w:rsidR="0015762F">
        <w:rPr>
          <w:rFonts w:hint="cs"/>
          <w:rtl/>
        </w:rPr>
        <w:t>،</w:t>
      </w:r>
      <w:r w:rsidR="00C35CB1" w:rsidRPr="00C35CB1">
        <w:rPr>
          <w:rFonts w:hint="cs"/>
          <w:rtl/>
        </w:rPr>
        <w:t xml:space="preserve"> بدعم من برنامج الأمم المتحدة الإنمائي. </w:t>
      </w:r>
      <w:r w:rsidR="00D666E0">
        <w:rPr>
          <w:rFonts w:hint="cs"/>
          <w:rtl/>
        </w:rPr>
        <w:t>و</w:t>
      </w:r>
      <w:r w:rsidR="00C35CB1" w:rsidRPr="00C35CB1">
        <w:rPr>
          <w:rFonts w:hint="cs"/>
          <w:rtl/>
        </w:rPr>
        <w:t xml:space="preserve">يهدف هذا البرنامج إلى كفالة أن يكون المواطنون على علم بحقوقهم </w:t>
      </w:r>
      <w:r w:rsidR="00D666E0">
        <w:rPr>
          <w:rFonts w:hint="cs"/>
          <w:rtl/>
        </w:rPr>
        <w:t>و</w:t>
      </w:r>
      <w:r w:rsidR="00C35CB1" w:rsidRPr="00C35CB1">
        <w:rPr>
          <w:rFonts w:hint="cs"/>
          <w:rtl/>
        </w:rPr>
        <w:t>أن يتمكنوا من المطالبة بها أمام المحاكم المختصة.</w:t>
      </w:r>
    </w:p>
    <w:p w:rsidR="00BA462B" w:rsidRDefault="004A18A2" w:rsidP="006145D0">
      <w:pPr>
        <w:pStyle w:val="SingleTxt"/>
        <w:rPr>
          <w:rFonts w:hint="cs"/>
          <w:rtl/>
        </w:rPr>
      </w:pPr>
      <w:r>
        <w:rPr>
          <w:rFonts w:hint="cs"/>
          <w:rtl/>
        </w:rPr>
        <w:tab/>
      </w:r>
      <w:r w:rsidR="00D666E0">
        <w:rPr>
          <w:rFonts w:hint="cs"/>
          <w:rtl/>
        </w:rPr>
        <w:t>و</w:t>
      </w:r>
      <w:r w:rsidR="00C35CB1" w:rsidRPr="00C35CB1">
        <w:rPr>
          <w:rFonts w:hint="cs"/>
          <w:rtl/>
        </w:rPr>
        <w:t xml:space="preserve">الغرض هو زيادة عدد السوابق القضائية التي تتضمن إشارة إلى تطبيق الاتفاقية، وفقا لمختلف القرارات النهائية الصادرة عن هيئات المتابعة للمعاهدات، </w:t>
      </w:r>
      <w:r w:rsidR="00D666E0">
        <w:rPr>
          <w:rFonts w:hint="cs"/>
          <w:rtl/>
        </w:rPr>
        <w:t>و</w:t>
      </w:r>
      <w:r w:rsidR="00C35CB1" w:rsidRPr="00C35CB1">
        <w:rPr>
          <w:rFonts w:hint="cs"/>
          <w:rtl/>
        </w:rPr>
        <w:t>منها</w:t>
      </w:r>
      <w:r w:rsidR="00BB6B48">
        <w:rPr>
          <w:rFonts w:hint="cs"/>
          <w:rtl/>
        </w:rPr>
        <w:t xml:space="preserve"> قرارات اللجنة المعنية بحقوق الإ</w:t>
      </w:r>
      <w:r w:rsidR="00C35CB1" w:rsidRPr="00C35CB1">
        <w:rPr>
          <w:rFonts w:hint="cs"/>
          <w:rtl/>
        </w:rPr>
        <w:t>نسان في عام 2007</w:t>
      </w:r>
      <w:r w:rsidR="0015762F">
        <w:rPr>
          <w:rFonts w:hint="cs"/>
          <w:rtl/>
        </w:rPr>
        <w:t>.</w:t>
      </w:r>
      <w:r w:rsidR="00C35CB1" w:rsidRPr="00C35CB1">
        <w:rPr>
          <w:rFonts w:hint="cs"/>
          <w:rtl/>
        </w:rPr>
        <w:t xml:space="preserve"> </w:t>
      </w:r>
    </w:p>
    <w:p w:rsidR="00467A3E" w:rsidRPr="00467A3E" w:rsidRDefault="00467A3E" w:rsidP="00467A3E">
      <w:pPr>
        <w:pStyle w:val="SingleTxt"/>
        <w:spacing w:after="0" w:line="120" w:lineRule="exact"/>
        <w:rPr>
          <w:rFonts w:hint="cs"/>
          <w:i/>
          <w:iCs/>
          <w:sz w:val="10"/>
          <w:rtl/>
        </w:rPr>
      </w:pPr>
    </w:p>
    <w:p w:rsidR="00C35CB1" w:rsidRPr="00C35CB1" w:rsidRDefault="00C35CB1" w:rsidP="00765A56">
      <w:pPr>
        <w:pStyle w:val="SingleTxt"/>
        <w:rPr>
          <w:rFonts w:hint="cs"/>
          <w:i/>
          <w:iCs/>
          <w:vertAlign w:val="superscript"/>
          <w:rtl/>
        </w:rPr>
      </w:pPr>
      <w:r w:rsidRPr="00C35CB1">
        <w:rPr>
          <w:rFonts w:hint="cs"/>
          <w:i/>
          <w:iCs/>
          <w:rtl/>
        </w:rPr>
        <w:t xml:space="preserve">دورات التدريب للمسؤولين على </w:t>
      </w:r>
      <w:r w:rsidR="00BB6B48">
        <w:rPr>
          <w:rFonts w:hint="cs"/>
          <w:i/>
          <w:iCs/>
          <w:rtl/>
        </w:rPr>
        <w:t>إنفاذ</w:t>
      </w:r>
      <w:r w:rsidRPr="00C35CB1">
        <w:rPr>
          <w:rFonts w:hint="cs"/>
          <w:i/>
          <w:iCs/>
          <w:rtl/>
        </w:rPr>
        <w:t xml:space="preserve"> القوانين</w:t>
      </w:r>
    </w:p>
    <w:p w:rsidR="00BA462B" w:rsidRDefault="00467A3E" w:rsidP="00E71DD0">
      <w:pPr>
        <w:pStyle w:val="SingleTxt"/>
        <w:rPr>
          <w:rFonts w:hint="cs"/>
          <w:rtl/>
        </w:rPr>
      </w:pPr>
      <w:r>
        <w:rPr>
          <w:rFonts w:hint="cs"/>
          <w:rtl/>
        </w:rPr>
        <w:tab/>
      </w:r>
      <w:r w:rsidR="00C35CB1" w:rsidRPr="00C35CB1">
        <w:rPr>
          <w:rFonts w:hint="cs"/>
          <w:rtl/>
        </w:rPr>
        <w:t xml:space="preserve">في أربع ولايات قضائية لمحاكم ابتدائية، هي محاكم انتالاها، </w:t>
      </w:r>
      <w:r w:rsidR="00D666E0">
        <w:rPr>
          <w:rFonts w:hint="cs"/>
          <w:rtl/>
        </w:rPr>
        <w:t>و</w:t>
      </w:r>
      <w:r w:rsidR="00C35CB1" w:rsidRPr="00C35CB1">
        <w:rPr>
          <w:rFonts w:hint="cs"/>
          <w:rtl/>
        </w:rPr>
        <w:t xml:space="preserve">ماننجاري، </w:t>
      </w:r>
      <w:r w:rsidR="00D666E0">
        <w:rPr>
          <w:rFonts w:hint="cs"/>
          <w:rtl/>
        </w:rPr>
        <w:t>و</w:t>
      </w:r>
      <w:r w:rsidR="00C35CB1" w:rsidRPr="00C35CB1">
        <w:rPr>
          <w:rFonts w:hint="cs"/>
          <w:rtl/>
        </w:rPr>
        <w:t xml:space="preserve">تاولانيا، </w:t>
      </w:r>
      <w:r w:rsidR="00D666E0">
        <w:rPr>
          <w:rFonts w:hint="cs"/>
          <w:rtl/>
        </w:rPr>
        <w:t>و</w:t>
      </w:r>
      <w:r w:rsidR="00C35CB1" w:rsidRPr="00C35CB1">
        <w:rPr>
          <w:rFonts w:hint="cs"/>
          <w:rtl/>
        </w:rPr>
        <w:t xml:space="preserve">موروندافا، حصل المسؤولون عن </w:t>
      </w:r>
      <w:r w:rsidR="00BB6B48">
        <w:rPr>
          <w:rFonts w:hint="cs"/>
          <w:rtl/>
        </w:rPr>
        <w:t>إنفاذ</w:t>
      </w:r>
      <w:r w:rsidR="00C35CB1" w:rsidRPr="00C35CB1">
        <w:rPr>
          <w:rFonts w:hint="cs"/>
          <w:rtl/>
        </w:rPr>
        <w:t xml:space="preserve"> القوانين، في عام 2007، بمن فيهم القضاة </w:t>
      </w:r>
      <w:r w:rsidR="00D666E0">
        <w:rPr>
          <w:rFonts w:hint="cs"/>
          <w:rtl/>
        </w:rPr>
        <w:t>و</w:t>
      </w:r>
      <w:r w:rsidR="00C35CB1" w:rsidRPr="00C35CB1">
        <w:rPr>
          <w:rFonts w:hint="cs"/>
          <w:rtl/>
        </w:rPr>
        <w:t xml:space="preserve">ضبّاط الشرطة العدلية </w:t>
      </w:r>
      <w:r w:rsidR="00D666E0">
        <w:rPr>
          <w:rFonts w:hint="cs"/>
          <w:rtl/>
        </w:rPr>
        <w:t>و</w:t>
      </w:r>
      <w:r w:rsidR="00C35CB1" w:rsidRPr="00C35CB1">
        <w:rPr>
          <w:rFonts w:hint="cs"/>
          <w:rtl/>
        </w:rPr>
        <w:t xml:space="preserve">السلطات إدارة السجون، على تدريب أولي في مجال تطبيق </w:t>
      </w:r>
      <w:r w:rsidR="00D666E0">
        <w:rPr>
          <w:rFonts w:hint="cs"/>
          <w:rtl/>
        </w:rPr>
        <w:t>و</w:t>
      </w:r>
      <w:r w:rsidR="00C35CB1" w:rsidRPr="00C35CB1">
        <w:rPr>
          <w:rFonts w:hint="cs"/>
          <w:rtl/>
        </w:rPr>
        <w:t>احترام</w:t>
      </w:r>
      <w:r w:rsidR="00E71DD0">
        <w:rPr>
          <w:rFonts w:hint="eastAsia"/>
          <w:rtl/>
        </w:rPr>
        <w:t> </w:t>
      </w:r>
      <w:r w:rsidR="00C35CB1" w:rsidRPr="00C35CB1">
        <w:rPr>
          <w:rFonts w:hint="cs"/>
          <w:rtl/>
        </w:rPr>
        <w:t>الاتفاقية.</w:t>
      </w:r>
    </w:p>
    <w:p w:rsidR="00BA462B" w:rsidRDefault="00467A3E" w:rsidP="00E71DD0">
      <w:pPr>
        <w:pStyle w:val="SingleTxt"/>
        <w:rPr>
          <w:rFonts w:hint="cs"/>
          <w:rtl/>
        </w:rPr>
      </w:pPr>
      <w:r>
        <w:rPr>
          <w:rFonts w:hint="cs"/>
          <w:rtl/>
        </w:rPr>
        <w:tab/>
      </w:r>
      <w:r w:rsidR="00D666E0">
        <w:rPr>
          <w:rFonts w:hint="cs"/>
          <w:rtl/>
        </w:rPr>
        <w:t>و</w:t>
      </w:r>
      <w:r w:rsidR="00C35CB1" w:rsidRPr="00C35CB1">
        <w:rPr>
          <w:rFonts w:hint="cs"/>
          <w:rtl/>
        </w:rPr>
        <w:t xml:space="preserve">اشترك كذلك في التدريب مسؤولو الادّعاء العام، </w:t>
      </w:r>
      <w:r w:rsidR="00D666E0">
        <w:rPr>
          <w:rFonts w:hint="cs"/>
          <w:rtl/>
        </w:rPr>
        <w:t>و</w:t>
      </w:r>
      <w:r w:rsidR="00C35CB1" w:rsidRPr="00C35CB1">
        <w:rPr>
          <w:rFonts w:hint="cs"/>
          <w:rtl/>
        </w:rPr>
        <w:t xml:space="preserve">ممثلو المنظمات غير الحكومية، </w:t>
      </w:r>
      <w:r w:rsidR="00D666E0">
        <w:rPr>
          <w:rFonts w:hint="cs"/>
          <w:rtl/>
        </w:rPr>
        <w:t>و</w:t>
      </w:r>
      <w:r w:rsidR="00C35CB1" w:rsidRPr="00C35CB1">
        <w:rPr>
          <w:rFonts w:hint="cs"/>
          <w:rtl/>
        </w:rPr>
        <w:t xml:space="preserve">كذلك صحفيون محليون. </w:t>
      </w:r>
      <w:r w:rsidR="00D666E0">
        <w:rPr>
          <w:rFonts w:hint="cs"/>
          <w:rtl/>
        </w:rPr>
        <w:t>و</w:t>
      </w:r>
      <w:r w:rsidR="00C35CB1" w:rsidRPr="00C35CB1">
        <w:rPr>
          <w:rFonts w:hint="cs"/>
          <w:rtl/>
        </w:rPr>
        <w:t>حضر كل واحدة من هذه الدورات التدريبية زهاء الخمسين</w:t>
      </w:r>
      <w:r w:rsidR="00E71DD0">
        <w:rPr>
          <w:rFonts w:hint="eastAsia"/>
          <w:rtl/>
        </w:rPr>
        <w:t> </w:t>
      </w:r>
      <w:r w:rsidR="00C35CB1" w:rsidRPr="00C35CB1">
        <w:rPr>
          <w:rFonts w:hint="cs"/>
          <w:rtl/>
        </w:rPr>
        <w:t>مشاركا.</w:t>
      </w:r>
    </w:p>
    <w:p w:rsidR="00BA462B" w:rsidRDefault="00467A3E" w:rsidP="00C35CB1">
      <w:pPr>
        <w:pStyle w:val="SingleTxt"/>
        <w:rPr>
          <w:rFonts w:hint="cs"/>
          <w:rtl/>
        </w:rPr>
      </w:pPr>
      <w:r>
        <w:rPr>
          <w:rFonts w:hint="cs"/>
          <w:rtl/>
        </w:rPr>
        <w:tab/>
      </w:r>
      <w:r w:rsidR="00D666E0">
        <w:rPr>
          <w:rFonts w:hint="cs"/>
          <w:rtl/>
        </w:rPr>
        <w:t>و</w:t>
      </w:r>
      <w:r w:rsidR="00C35CB1" w:rsidRPr="00C35CB1">
        <w:rPr>
          <w:rFonts w:hint="cs"/>
          <w:rtl/>
        </w:rPr>
        <w:t xml:space="preserve">سيجرى توسيع نطاق هذا التدريب ليشمل مسؤولي محاكم ماناكارا، </w:t>
      </w:r>
      <w:r w:rsidR="00D666E0">
        <w:rPr>
          <w:rFonts w:hint="cs"/>
          <w:rtl/>
        </w:rPr>
        <w:t>و</w:t>
      </w:r>
      <w:r w:rsidR="00C35CB1" w:rsidRPr="00C35CB1">
        <w:rPr>
          <w:rFonts w:hint="cs"/>
          <w:rtl/>
        </w:rPr>
        <w:t xml:space="preserve">فارافنيانا، </w:t>
      </w:r>
      <w:r w:rsidR="00D666E0">
        <w:rPr>
          <w:rFonts w:hint="cs"/>
          <w:rtl/>
        </w:rPr>
        <w:t>و</w:t>
      </w:r>
      <w:r w:rsidR="00C35CB1" w:rsidRPr="00C35CB1">
        <w:rPr>
          <w:rFonts w:hint="cs"/>
          <w:rtl/>
        </w:rPr>
        <w:t>توليار، في عام 2008.</w:t>
      </w:r>
    </w:p>
    <w:p w:rsidR="00C35CB1" w:rsidRPr="00C35CB1" w:rsidRDefault="00467A3E" w:rsidP="00765A56">
      <w:pPr>
        <w:pStyle w:val="SingleTxt"/>
        <w:rPr>
          <w:lang w:val="fr-CA"/>
        </w:rPr>
      </w:pPr>
      <w:r>
        <w:rPr>
          <w:rFonts w:hint="cs"/>
          <w:rtl/>
        </w:rPr>
        <w:tab/>
      </w:r>
      <w:r w:rsidR="00D666E0">
        <w:rPr>
          <w:rFonts w:hint="cs"/>
          <w:rtl/>
        </w:rPr>
        <w:t>و</w:t>
      </w:r>
      <w:r w:rsidR="00C35CB1" w:rsidRPr="00C35CB1">
        <w:rPr>
          <w:rFonts w:hint="cs"/>
          <w:rtl/>
        </w:rPr>
        <w:t>تعتزم الحكومة توفير دورات تدريبية مماثلة</w:t>
      </w:r>
      <w:r w:rsidR="0015762F">
        <w:rPr>
          <w:rFonts w:hint="cs"/>
          <w:rtl/>
        </w:rPr>
        <w:t>،</w:t>
      </w:r>
      <w:r w:rsidR="00C35CB1" w:rsidRPr="00C35CB1">
        <w:rPr>
          <w:rFonts w:hint="cs"/>
          <w:rtl/>
        </w:rPr>
        <w:t xml:space="preserve"> في الفترة من الآن إلى عام 2011 في 18 ولاية قضائية من مجموع 36 محكمة ابتدائية قائمة. </w:t>
      </w:r>
      <w:r w:rsidR="00D666E0">
        <w:rPr>
          <w:rFonts w:hint="cs"/>
          <w:rtl/>
        </w:rPr>
        <w:t>و</w:t>
      </w:r>
      <w:r w:rsidR="00C35CB1" w:rsidRPr="00C35CB1">
        <w:rPr>
          <w:rFonts w:hint="cs"/>
          <w:rtl/>
        </w:rPr>
        <w:t>ستنظّم</w:t>
      </w:r>
      <w:r w:rsidR="00765A56">
        <w:rPr>
          <w:rFonts w:hint="cs"/>
          <w:rtl/>
        </w:rPr>
        <w:t xml:space="preserve"> </w:t>
      </w:r>
      <w:r w:rsidR="00C35CB1" w:rsidRPr="00C35CB1">
        <w:rPr>
          <w:rFonts w:hint="cs"/>
          <w:rtl/>
        </w:rPr>
        <w:t xml:space="preserve">كذلك دورات تدريبية مماثلة على مستوى المدرسة الوطنية للقضاء </w:t>
      </w:r>
      <w:r w:rsidR="00D666E0">
        <w:rPr>
          <w:rFonts w:hint="cs"/>
          <w:rtl/>
        </w:rPr>
        <w:t>و</w:t>
      </w:r>
      <w:r w:rsidR="00C35CB1" w:rsidRPr="00C35CB1">
        <w:rPr>
          <w:rFonts w:hint="cs"/>
          <w:rtl/>
        </w:rPr>
        <w:t xml:space="preserve">سجلات المحاكم، </w:t>
      </w:r>
      <w:r w:rsidR="00D666E0">
        <w:rPr>
          <w:rFonts w:hint="cs"/>
          <w:rtl/>
        </w:rPr>
        <w:t>و</w:t>
      </w:r>
      <w:r w:rsidR="00C35CB1" w:rsidRPr="00C35CB1">
        <w:rPr>
          <w:rFonts w:hint="cs"/>
          <w:rtl/>
        </w:rPr>
        <w:t xml:space="preserve">على مستوى المدرسة الوطنية لإدارة السجون، في إطار دورات التدريب الأولي </w:t>
      </w:r>
      <w:r w:rsidR="00D666E0">
        <w:rPr>
          <w:rFonts w:hint="cs"/>
          <w:rtl/>
        </w:rPr>
        <w:t>و</w:t>
      </w:r>
      <w:r w:rsidR="00C35CB1" w:rsidRPr="00C35CB1">
        <w:rPr>
          <w:rFonts w:hint="cs"/>
          <w:rtl/>
        </w:rPr>
        <w:t>التدريب المتواصل.</w:t>
      </w:r>
    </w:p>
    <w:p w:rsidR="00BA462B" w:rsidRDefault="00C35CB1" w:rsidP="00C35CB1">
      <w:pPr>
        <w:pStyle w:val="SingleTxt"/>
        <w:rPr>
          <w:rFonts w:hint="cs"/>
          <w:rtl/>
        </w:rPr>
      </w:pPr>
      <w:r w:rsidRPr="00C35CB1">
        <w:rPr>
          <w:rFonts w:hint="cs"/>
          <w:rtl/>
        </w:rPr>
        <w:t>7</w:t>
      </w:r>
      <w:r w:rsidR="00D666E0">
        <w:rPr>
          <w:rFonts w:hint="cs"/>
          <w:rtl/>
        </w:rPr>
        <w:t xml:space="preserve"> -</w:t>
      </w:r>
      <w:r w:rsidR="00D666E0">
        <w:rPr>
          <w:rFonts w:hint="cs"/>
          <w:rtl/>
        </w:rPr>
        <w:tab/>
      </w:r>
      <w:r w:rsidRPr="00C35CB1">
        <w:rPr>
          <w:rFonts w:hint="cs"/>
          <w:rtl/>
        </w:rPr>
        <w:t>يعرّف الدستور التمييز بعبارات عامة إلى حد ما. بيد أنه ينص بوضوح في ديباجته</w:t>
      </w:r>
      <w:r w:rsidR="000A5EC7">
        <w:rPr>
          <w:rFonts w:hint="cs"/>
          <w:rtl/>
        </w:rPr>
        <w:t>،</w:t>
      </w:r>
      <w:r w:rsidRPr="00C35CB1">
        <w:rPr>
          <w:rFonts w:hint="cs"/>
          <w:rtl/>
        </w:rPr>
        <w:t xml:space="preserve"> على النحو المذكور أعلاه، على أن اتفاقية القضاء على جميع أشكال التمييز ضد المرأة جزء لا يتجزّأ من القانون الوضعي الملغاشي.</w:t>
      </w:r>
    </w:p>
    <w:p w:rsidR="00BA462B" w:rsidRDefault="00467A3E" w:rsidP="00E71DD0">
      <w:pPr>
        <w:pStyle w:val="SingleTxt"/>
        <w:rPr>
          <w:rFonts w:hint="cs"/>
          <w:rtl/>
        </w:rPr>
      </w:pPr>
      <w:r>
        <w:rPr>
          <w:rFonts w:hint="cs"/>
          <w:rtl/>
        </w:rPr>
        <w:tab/>
      </w:r>
      <w:r w:rsidR="00D666E0">
        <w:rPr>
          <w:rFonts w:hint="cs"/>
          <w:rtl/>
        </w:rPr>
        <w:t>و</w:t>
      </w:r>
      <w:r w:rsidR="00C35CB1" w:rsidRPr="00C35CB1">
        <w:rPr>
          <w:rFonts w:hint="cs"/>
          <w:rtl/>
        </w:rPr>
        <w:t>بالتالي، فإن تعريف التمييز الوارد في الاتفاقية قد أدرج في القانون الداخلي</w:t>
      </w:r>
      <w:r w:rsidR="00E71DD0">
        <w:rPr>
          <w:rFonts w:hint="eastAsia"/>
          <w:rtl/>
        </w:rPr>
        <w:t> </w:t>
      </w:r>
      <w:r w:rsidR="00C35CB1" w:rsidRPr="00C35CB1">
        <w:rPr>
          <w:rFonts w:hint="cs"/>
          <w:rtl/>
        </w:rPr>
        <w:t>لمدغشقر.</w:t>
      </w:r>
    </w:p>
    <w:p w:rsidR="00C35CB1" w:rsidRPr="00C35CB1" w:rsidRDefault="00467A3E" w:rsidP="006145D0">
      <w:pPr>
        <w:pStyle w:val="SingleTxt"/>
        <w:rPr>
          <w:rFonts w:hint="cs"/>
          <w:rtl/>
        </w:rPr>
      </w:pPr>
      <w:r>
        <w:rPr>
          <w:rFonts w:hint="cs"/>
          <w:rtl/>
        </w:rPr>
        <w:tab/>
      </w:r>
      <w:r w:rsidR="00D666E0">
        <w:rPr>
          <w:rFonts w:hint="cs"/>
          <w:rtl/>
        </w:rPr>
        <w:t>و</w:t>
      </w:r>
      <w:r w:rsidR="00C35CB1" w:rsidRPr="00C35CB1">
        <w:rPr>
          <w:rFonts w:hint="cs"/>
          <w:rtl/>
        </w:rPr>
        <w:t>على كل حال،</w:t>
      </w:r>
      <w:r w:rsidR="00765A56">
        <w:rPr>
          <w:rFonts w:hint="cs"/>
          <w:rtl/>
        </w:rPr>
        <w:t xml:space="preserve"> </w:t>
      </w:r>
      <w:r w:rsidR="00C35CB1" w:rsidRPr="00C35CB1">
        <w:rPr>
          <w:rFonts w:hint="cs"/>
          <w:rtl/>
        </w:rPr>
        <w:t xml:space="preserve">فإن حظر التمييز يفرض على الدولة </w:t>
      </w:r>
      <w:r w:rsidR="006145D0">
        <w:rPr>
          <w:rFonts w:hint="cs"/>
          <w:rtl/>
        </w:rPr>
        <w:t>ا</w:t>
      </w:r>
      <w:r w:rsidR="00C35CB1" w:rsidRPr="00C35CB1">
        <w:rPr>
          <w:rFonts w:hint="cs"/>
          <w:rtl/>
        </w:rPr>
        <w:t xml:space="preserve">لتزاما سلبيا ألا وهو الالتزام بالامتناع عن ارتكاب أفعال تمييزية أو الاحتفاظ في التشريع بأحكام تمييزية ضد المرأة. </w:t>
      </w:r>
      <w:r w:rsidR="00D666E0">
        <w:rPr>
          <w:rFonts w:hint="cs"/>
          <w:rtl/>
        </w:rPr>
        <w:t>و</w:t>
      </w:r>
      <w:r w:rsidR="00C35CB1" w:rsidRPr="00C35CB1">
        <w:rPr>
          <w:rFonts w:hint="cs"/>
          <w:rtl/>
        </w:rPr>
        <w:t>ينطوي هذا الحظر كذلك على التزام إيجابي بإقامة آليات للتظلّم متاحة للضحايا لكي يتمكنوا من المطالبة بجبر الأضرار الناجمة عن التمييز.</w:t>
      </w:r>
    </w:p>
    <w:p w:rsidR="00467A3E" w:rsidRPr="00467A3E" w:rsidRDefault="00467A3E" w:rsidP="00467A3E">
      <w:pPr>
        <w:pStyle w:val="SingleTxt"/>
        <w:spacing w:after="0" w:line="120" w:lineRule="exact"/>
        <w:rPr>
          <w:rFonts w:hint="cs"/>
          <w:b/>
          <w:bCs/>
          <w:sz w:val="10"/>
          <w:rtl/>
        </w:rPr>
      </w:pPr>
    </w:p>
    <w:p w:rsidR="00C35CB1" w:rsidRPr="00C35CB1" w:rsidRDefault="00C35CB1" w:rsidP="00C35CB1">
      <w:pPr>
        <w:pStyle w:val="SingleTxt"/>
        <w:rPr>
          <w:rFonts w:hint="cs"/>
          <w:b/>
          <w:bCs/>
          <w:rtl/>
        </w:rPr>
      </w:pPr>
      <w:r w:rsidRPr="00C35CB1">
        <w:rPr>
          <w:rFonts w:hint="cs"/>
          <w:b/>
          <w:bCs/>
          <w:rtl/>
        </w:rPr>
        <w:t xml:space="preserve">القوالب النمطية </w:t>
      </w:r>
      <w:r w:rsidR="00D666E0">
        <w:rPr>
          <w:rFonts w:hint="cs"/>
          <w:b/>
          <w:bCs/>
          <w:rtl/>
        </w:rPr>
        <w:t>و</w:t>
      </w:r>
      <w:r w:rsidRPr="00C35CB1">
        <w:rPr>
          <w:rFonts w:hint="cs"/>
          <w:b/>
          <w:bCs/>
          <w:rtl/>
        </w:rPr>
        <w:t>التعليم</w:t>
      </w:r>
    </w:p>
    <w:p w:rsidR="00C35CB1" w:rsidRPr="00C35CB1" w:rsidRDefault="00C35CB1" w:rsidP="00C35CB1">
      <w:pPr>
        <w:pStyle w:val="SingleTxt"/>
        <w:rPr>
          <w:rFonts w:hint="cs"/>
          <w:i/>
          <w:iCs/>
          <w:rtl/>
        </w:rPr>
      </w:pPr>
      <w:r w:rsidRPr="00C35CB1">
        <w:rPr>
          <w:rFonts w:hint="cs"/>
          <w:i/>
          <w:iCs/>
          <w:rtl/>
        </w:rPr>
        <w:t xml:space="preserve">العادات </w:t>
      </w:r>
      <w:r w:rsidR="00D666E0">
        <w:rPr>
          <w:rFonts w:hint="cs"/>
          <w:i/>
          <w:iCs/>
          <w:rtl/>
        </w:rPr>
        <w:t>و</w:t>
      </w:r>
      <w:r w:rsidRPr="00C35CB1">
        <w:rPr>
          <w:rFonts w:hint="cs"/>
          <w:i/>
          <w:iCs/>
          <w:rtl/>
        </w:rPr>
        <w:t>الممارسات التمييزية ضد المرأة</w:t>
      </w:r>
    </w:p>
    <w:p w:rsidR="00BA462B" w:rsidRDefault="00C35CB1" w:rsidP="00C35CB1">
      <w:pPr>
        <w:pStyle w:val="SingleTxt"/>
        <w:rPr>
          <w:rFonts w:hint="cs"/>
          <w:rtl/>
        </w:rPr>
      </w:pPr>
      <w:r w:rsidRPr="00C35CB1">
        <w:rPr>
          <w:rFonts w:hint="cs"/>
          <w:rtl/>
        </w:rPr>
        <w:t>8</w:t>
      </w:r>
      <w:r w:rsidR="00D666E0">
        <w:rPr>
          <w:rFonts w:hint="cs"/>
          <w:rtl/>
        </w:rPr>
        <w:t xml:space="preserve"> -</w:t>
      </w:r>
      <w:r w:rsidR="00D666E0">
        <w:rPr>
          <w:rFonts w:hint="cs"/>
          <w:rtl/>
        </w:rPr>
        <w:tab/>
      </w:r>
      <w:r w:rsidRPr="00C35CB1">
        <w:rPr>
          <w:rFonts w:hint="cs"/>
          <w:rtl/>
        </w:rPr>
        <w:t xml:space="preserve">بغية التصدي للعادات </w:t>
      </w:r>
      <w:r w:rsidR="00D666E0">
        <w:rPr>
          <w:rFonts w:hint="cs"/>
          <w:rtl/>
        </w:rPr>
        <w:t>و</w:t>
      </w:r>
      <w:r w:rsidRPr="00C35CB1">
        <w:rPr>
          <w:rFonts w:hint="cs"/>
          <w:rtl/>
        </w:rPr>
        <w:t xml:space="preserve">الممارسات التمييزية، </w:t>
      </w:r>
      <w:r w:rsidR="00D666E0">
        <w:rPr>
          <w:rFonts w:hint="cs"/>
          <w:rtl/>
        </w:rPr>
        <w:t>و</w:t>
      </w:r>
      <w:r w:rsidR="006145D0">
        <w:rPr>
          <w:rFonts w:hint="cs"/>
          <w:rtl/>
        </w:rPr>
        <w:t>بدعم من برنامج الأمم المتحدة الإ</w:t>
      </w:r>
      <w:r w:rsidRPr="00C35CB1">
        <w:rPr>
          <w:rFonts w:hint="cs"/>
          <w:rtl/>
        </w:rPr>
        <w:t xml:space="preserve">نمائي، أصدرت وزارة العدل تكليفا أجريت بموجبه دراستان لتحديد المصدر </w:t>
      </w:r>
      <w:r w:rsidR="00D666E0">
        <w:rPr>
          <w:rFonts w:hint="cs"/>
          <w:rtl/>
        </w:rPr>
        <w:t>و</w:t>
      </w:r>
      <w:r w:rsidRPr="00C35CB1">
        <w:rPr>
          <w:rFonts w:hint="cs"/>
          <w:rtl/>
        </w:rPr>
        <w:t xml:space="preserve">المحتوى </w:t>
      </w:r>
      <w:r w:rsidR="00D666E0">
        <w:rPr>
          <w:rFonts w:hint="cs"/>
          <w:rtl/>
        </w:rPr>
        <w:t>و</w:t>
      </w:r>
      <w:r w:rsidRPr="00C35CB1">
        <w:rPr>
          <w:rFonts w:hint="cs"/>
          <w:rtl/>
        </w:rPr>
        <w:t xml:space="preserve">النتائج للعادات التي تحول دون تطبيق الاتفاقية الفعال في الشمال الغربي لمدغشقر </w:t>
      </w:r>
      <w:r w:rsidR="00D666E0">
        <w:rPr>
          <w:rFonts w:hint="cs"/>
          <w:rtl/>
        </w:rPr>
        <w:t>و</w:t>
      </w:r>
      <w:r w:rsidRPr="00C35CB1">
        <w:rPr>
          <w:rFonts w:hint="cs"/>
          <w:rtl/>
        </w:rPr>
        <w:t>كذلك في منطقة ماننجاري الواقعة في الجنوب الشرقي للبلد.</w:t>
      </w:r>
    </w:p>
    <w:p w:rsidR="00BA462B" w:rsidRDefault="00467A3E" w:rsidP="00765A56">
      <w:pPr>
        <w:pStyle w:val="SingleTxt"/>
        <w:rPr>
          <w:rFonts w:hint="cs"/>
          <w:rtl/>
        </w:rPr>
      </w:pPr>
      <w:r>
        <w:rPr>
          <w:rFonts w:hint="cs"/>
          <w:rtl/>
        </w:rPr>
        <w:tab/>
      </w:r>
      <w:r w:rsidR="00C35CB1" w:rsidRPr="00C35CB1">
        <w:rPr>
          <w:rFonts w:hint="cs"/>
          <w:rtl/>
        </w:rPr>
        <w:t>في الشمال الغربي، اهتمت الدراسة بممارسة ما يسمى</w:t>
      </w:r>
      <w:r w:rsidR="00BB6B48">
        <w:rPr>
          <w:rFonts w:hint="cs"/>
          <w:rtl/>
        </w:rPr>
        <w:t xml:space="preserve"> </w:t>
      </w:r>
      <w:r w:rsidR="00BB6B48">
        <w:rPr>
          <w:rFonts w:hint="eastAsia"/>
          <w:rtl/>
        </w:rPr>
        <w:t>”</w:t>
      </w:r>
      <w:r w:rsidR="00C35CB1" w:rsidRPr="00C35CB1">
        <w:rPr>
          <w:rFonts w:hint="cs"/>
          <w:rtl/>
        </w:rPr>
        <w:t>مولاتري</w:t>
      </w:r>
      <w:r w:rsidR="00BB6B48">
        <w:rPr>
          <w:rFonts w:hint="eastAsia"/>
          <w:rtl/>
        </w:rPr>
        <w:t>“</w:t>
      </w:r>
      <w:r w:rsidR="00C35CB1" w:rsidRPr="00C35CB1">
        <w:rPr>
          <w:rFonts w:hint="cs"/>
          <w:rtl/>
        </w:rPr>
        <w:t xml:space="preserve"> التي تشكل في حالات معيّنة</w:t>
      </w:r>
      <w:r w:rsidR="00765A56">
        <w:rPr>
          <w:rFonts w:hint="cs"/>
          <w:rtl/>
        </w:rPr>
        <w:t xml:space="preserve"> </w:t>
      </w:r>
      <w:r w:rsidR="00C35CB1" w:rsidRPr="00C35CB1">
        <w:rPr>
          <w:rFonts w:hint="cs"/>
          <w:rtl/>
        </w:rPr>
        <w:t>مصدرا لحرمان المرأة بصورة تعسّفية من حريتها الأساسية في اختيار الرجل ستتزوجه</w:t>
      </w:r>
      <w:r w:rsidR="00416A5F">
        <w:rPr>
          <w:rFonts w:hint="cs"/>
          <w:rtl/>
        </w:rPr>
        <w:t xml:space="preserve"> </w:t>
      </w:r>
      <w:r w:rsidR="00C35CB1" w:rsidRPr="00C35CB1">
        <w:rPr>
          <w:rFonts w:hint="cs"/>
          <w:rtl/>
        </w:rPr>
        <w:t>(الزواج القسري)</w:t>
      </w:r>
      <w:r w:rsidR="0015762F">
        <w:rPr>
          <w:rFonts w:hint="cs"/>
          <w:rtl/>
        </w:rPr>
        <w:t>.</w:t>
      </w:r>
      <w:r w:rsidR="00C35CB1" w:rsidRPr="00C35CB1">
        <w:rPr>
          <w:rFonts w:hint="cs"/>
          <w:rtl/>
        </w:rPr>
        <w:t xml:space="preserve"> إن الممارسة التشويهية لهذه العادة في تزايد في هذا الجزء من الجزيرة، </w:t>
      </w:r>
      <w:r w:rsidR="00D666E0">
        <w:rPr>
          <w:rFonts w:hint="cs"/>
          <w:rtl/>
        </w:rPr>
        <w:t>و</w:t>
      </w:r>
      <w:r w:rsidR="00C35CB1" w:rsidRPr="00C35CB1">
        <w:rPr>
          <w:rFonts w:hint="cs"/>
          <w:rtl/>
        </w:rPr>
        <w:t>هي تحول دون معاملة النساء بنفس الطريقة التي تعامل بها النساء الأخريات اللاتي لا ينتمين إلى جماعة تسيميهاتي.</w:t>
      </w:r>
    </w:p>
    <w:p w:rsidR="00BA462B" w:rsidRDefault="00467A3E" w:rsidP="00C35CB1">
      <w:pPr>
        <w:pStyle w:val="SingleTxt"/>
        <w:rPr>
          <w:rFonts w:hint="cs"/>
          <w:rtl/>
        </w:rPr>
      </w:pPr>
      <w:r>
        <w:rPr>
          <w:rFonts w:hint="cs"/>
          <w:rtl/>
        </w:rPr>
        <w:tab/>
      </w:r>
      <w:r w:rsidR="00D666E0">
        <w:rPr>
          <w:rFonts w:hint="cs"/>
          <w:rtl/>
        </w:rPr>
        <w:t>و</w:t>
      </w:r>
      <w:r w:rsidR="00C35CB1" w:rsidRPr="00C35CB1">
        <w:rPr>
          <w:rFonts w:hint="cs"/>
          <w:rtl/>
        </w:rPr>
        <w:t>في ماننجاري، كشفت الدراسة عن الحقائق المتعلقة بهذه العادة التي تفرض التفريط في المواليد التوائم.</w:t>
      </w:r>
    </w:p>
    <w:p w:rsidR="00BA462B" w:rsidRDefault="00467A3E" w:rsidP="00E71DD0">
      <w:pPr>
        <w:pStyle w:val="SingleTxt"/>
        <w:rPr>
          <w:rFonts w:hint="cs"/>
          <w:rtl/>
        </w:rPr>
      </w:pPr>
      <w:r>
        <w:rPr>
          <w:rFonts w:hint="cs"/>
          <w:rtl/>
        </w:rPr>
        <w:tab/>
      </w:r>
      <w:r w:rsidR="00D666E0">
        <w:rPr>
          <w:rFonts w:hint="cs"/>
          <w:rtl/>
        </w:rPr>
        <w:t>و</w:t>
      </w:r>
      <w:r w:rsidR="00C35CB1" w:rsidRPr="00C35CB1">
        <w:rPr>
          <w:rFonts w:hint="cs"/>
          <w:rtl/>
        </w:rPr>
        <w:t xml:space="preserve">من أجل التخلي تدريجيا عن هذه العادات، برمجت وزارة العدل لعقد حلقات عمل للحوار على الأصعدة المحلي </w:t>
      </w:r>
      <w:r w:rsidR="00D666E0">
        <w:rPr>
          <w:rFonts w:hint="cs"/>
          <w:rtl/>
        </w:rPr>
        <w:t>و</w:t>
      </w:r>
      <w:r w:rsidR="00C35CB1" w:rsidRPr="00C35CB1">
        <w:rPr>
          <w:rFonts w:hint="cs"/>
          <w:rtl/>
        </w:rPr>
        <w:t xml:space="preserve">الإقليمي </w:t>
      </w:r>
      <w:r w:rsidR="00D666E0">
        <w:rPr>
          <w:rFonts w:hint="cs"/>
          <w:rtl/>
        </w:rPr>
        <w:t>و</w:t>
      </w:r>
      <w:r w:rsidR="00C35CB1" w:rsidRPr="00C35CB1">
        <w:rPr>
          <w:rFonts w:hint="cs"/>
          <w:rtl/>
        </w:rPr>
        <w:t xml:space="preserve">الوطني. </w:t>
      </w:r>
      <w:r w:rsidR="00D666E0">
        <w:rPr>
          <w:rFonts w:hint="cs"/>
          <w:rtl/>
        </w:rPr>
        <w:t>و</w:t>
      </w:r>
      <w:r w:rsidR="00C35CB1" w:rsidRPr="00C35CB1">
        <w:rPr>
          <w:rFonts w:hint="cs"/>
          <w:rtl/>
        </w:rPr>
        <w:t xml:space="preserve">يتمثل الهدف في تحقيق المشاركة النشطة من جميع الجهات الفاعلة المحلية في حلقات العمل هذه </w:t>
      </w:r>
      <w:r w:rsidR="00D666E0">
        <w:rPr>
          <w:rFonts w:hint="cs"/>
          <w:rtl/>
        </w:rPr>
        <w:t>و</w:t>
      </w:r>
      <w:r w:rsidR="00C35CB1" w:rsidRPr="00C35CB1">
        <w:rPr>
          <w:rFonts w:hint="cs"/>
          <w:rtl/>
        </w:rPr>
        <w:t>التزامها الطوعي بتوعية مجموع</w:t>
      </w:r>
      <w:r w:rsidR="00E71DD0">
        <w:rPr>
          <w:rFonts w:hint="eastAsia"/>
          <w:rtl/>
        </w:rPr>
        <w:t> </w:t>
      </w:r>
      <w:r w:rsidR="00C35CB1" w:rsidRPr="00C35CB1">
        <w:rPr>
          <w:rFonts w:hint="cs"/>
          <w:rtl/>
        </w:rPr>
        <w:t>السكان.</w:t>
      </w:r>
    </w:p>
    <w:p w:rsidR="00C35CB1" w:rsidRPr="00C35CB1" w:rsidRDefault="00467A3E" w:rsidP="006145D0">
      <w:pPr>
        <w:pStyle w:val="SingleTxt"/>
        <w:rPr>
          <w:rFonts w:hint="cs"/>
          <w:rtl/>
        </w:rPr>
      </w:pPr>
      <w:r>
        <w:rPr>
          <w:rFonts w:hint="cs"/>
          <w:rtl/>
        </w:rPr>
        <w:tab/>
      </w:r>
      <w:r w:rsidR="00D666E0">
        <w:rPr>
          <w:rFonts w:hint="cs"/>
          <w:rtl/>
        </w:rPr>
        <w:t>و</w:t>
      </w:r>
      <w:r w:rsidR="00C35CB1" w:rsidRPr="00C35CB1">
        <w:rPr>
          <w:rFonts w:hint="cs"/>
          <w:rtl/>
        </w:rPr>
        <w:t xml:space="preserve">سيجرى إشراك ممثلي المسؤولين الحكوميين </w:t>
      </w:r>
      <w:r w:rsidR="00D666E0">
        <w:rPr>
          <w:rFonts w:hint="cs"/>
          <w:rtl/>
        </w:rPr>
        <w:t>و</w:t>
      </w:r>
      <w:r w:rsidR="00C35CB1" w:rsidRPr="00C35CB1">
        <w:rPr>
          <w:rFonts w:hint="cs"/>
          <w:rtl/>
        </w:rPr>
        <w:t>غير الحكوميين على مستوى كل منطقة من مناطق التدخل.</w:t>
      </w:r>
    </w:p>
    <w:p w:rsidR="00416A5F" w:rsidRDefault="00467A3E" w:rsidP="00416A5F">
      <w:pPr>
        <w:pStyle w:val="SingleTxt"/>
        <w:rPr>
          <w:rFonts w:hint="cs"/>
          <w:rtl/>
        </w:rPr>
      </w:pPr>
      <w:r>
        <w:rPr>
          <w:rFonts w:hint="cs"/>
          <w:rtl/>
        </w:rPr>
        <w:tab/>
      </w:r>
      <w:r w:rsidR="00D666E0">
        <w:rPr>
          <w:rFonts w:hint="cs"/>
          <w:rtl/>
        </w:rPr>
        <w:t>و</w:t>
      </w:r>
      <w:r w:rsidR="00C35CB1" w:rsidRPr="00C35CB1">
        <w:rPr>
          <w:rFonts w:hint="cs"/>
          <w:rtl/>
        </w:rPr>
        <w:t xml:space="preserve">هكذا فسيجرى إشراك مسؤولي المناطق </w:t>
      </w:r>
      <w:r w:rsidR="00D666E0">
        <w:rPr>
          <w:rFonts w:hint="cs"/>
          <w:rtl/>
        </w:rPr>
        <w:t>و</w:t>
      </w:r>
      <w:r w:rsidR="00C35CB1" w:rsidRPr="00C35CB1">
        <w:rPr>
          <w:rFonts w:hint="cs"/>
          <w:rtl/>
        </w:rPr>
        <w:t xml:space="preserve">الأقاليم </w:t>
      </w:r>
      <w:r w:rsidR="00D666E0">
        <w:rPr>
          <w:rFonts w:hint="cs"/>
          <w:rtl/>
        </w:rPr>
        <w:t>و</w:t>
      </w:r>
      <w:r w:rsidR="00C35CB1" w:rsidRPr="00C35CB1">
        <w:rPr>
          <w:rFonts w:hint="cs"/>
          <w:rtl/>
        </w:rPr>
        <w:t>البلديات</w:t>
      </w:r>
      <w:r w:rsidR="0015762F">
        <w:rPr>
          <w:rFonts w:hint="cs"/>
          <w:rtl/>
        </w:rPr>
        <w:t>،</w:t>
      </w:r>
      <w:r w:rsidR="00C35CB1" w:rsidRPr="00C35CB1">
        <w:rPr>
          <w:rFonts w:hint="cs"/>
          <w:rtl/>
        </w:rPr>
        <w:t xml:space="preserve"> </w:t>
      </w:r>
      <w:r w:rsidR="00D666E0">
        <w:rPr>
          <w:rFonts w:hint="cs"/>
          <w:rtl/>
        </w:rPr>
        <w:t>و</w:t>
      </w:r>
      <w:r w:rsidR="00C35CB1" w:rsidRPr="00C35CB1">
        <w:rPr>
          <w:rFonts w:hint="cs"/>
          <w:rtl/>
        </w:rPr>
        <w:t xml:space="preserve">رؤساء الأحياء، </w:t>
      </w:r>
      <w:r w:rsidR="00D666E0">
        <w:rPr>
          <w:rFonts w:hint="cs"/>
          <w:rtl/>
        </w:rPr>
        <w:t>و</w:t>
      </w:r>
      <w:r w:rsidR="00C35CB1" w:rsidRPr="00C35CB1">
        <w:rPr>
          <w:rFonts w:hint="cs"/>
          <w:rtl/>
        </w:rPr>
        <w:t xml:space="preserve">الدوائر اللامركزية للعدالة </w:t>
      </w:r>
      <w:r w:rsidR="00D666E0">
        <w:rPr>
          <w:rFonts w:hint="cs"/>
          <w:rtl/>
        </w:rPr>
        <w:t>و</w:t>
      </w:r>
      <w:r w:rsidR="00C35CB1" w:rsidRPr="00C35CB1">
        <w:rPr>
          <w:rFonts w:hint="cs"/>
          <w:rtl/>
        </w:rPr>
        <w:t xml:space="preserve">التعليم </w:t>
      </w:r>
      <w:r w:rsidR="00D666E0">
        <w:rPr>
          <w:rFonts w:hint="cs"/>
          <w:rtl/>
        </w:rPr>
        <w:t>و</w:t>
      </w:r>
      <w:r w:rsidR="00C35CB1" w:rsidRPr="00C35CB1">
        <w:rPr>
          <w:rFonts w:hint="cs"/>
          <w:rtl/>
        </w:rPr>
        <w:t xml:space="preserve">الصحة </w:t>
      </w:r>
      <w:r w:rsidR="00D666E0">
        <w:rPr>
          <w:rFonts w:hint="cs"/>
          <w:rtl/>
        </w:rPr>
        <w:t>و</w:t>
      </w:r>
      <w:r w:rsidR="00C35CB1" w:rsidRPr="00C35CB1">
        <w:rPr>
          <w:rFonts w:hint="cs"/>
          <w:rtl/>
        </w:rPr>
        <w:t>الثقافة</w:t>
      </w:r>
      <w:r w:rsidR="00416A5F">
        <w:rPr>
          <w:rFonts w:hint="cs"/>
          <w:rtl/>
        </w:rPr>
        <w:t>.</w:t>
      </w:r>
    </w:p>
    <w:p w:rsidR="00BA462B" w:rsidRDefault="00467A3E" w:rsidP="00416A5F">
      <w:pPr>
        <w:pStyle w:val="SingleTxt"/>
        <w:rPr>
          <w:rFonts w:hint="cs"/>
          <w:rtl/>
        </w:rPr>
      </w:pPr>
      <w:r>
        <w:rPr>
          <w:rFonts w:hint="cs"/>
          <w:rtl/>
        </w:rPr>
        <w:tab/>
      </w:r>
      <w:r w:rsidR="00D666E0">
        <w:rPr>
          <w:rFonts w:hint="cs"/>
          <w:rtl/>
        </w:rPr>
        <w:t>و</w:t>
      </w:r>
      <w:r w:rsidR="00C35CB1" w:rsidRPr="00C35CB1">
        <w:rPr>
          <w:rFonts w:hint="cs"/>
          <w:rtl/>
        </w:rPr>
        <w:t xml:space="preserve">يستهدف إشراك المجتمع المدني من خلال ممثلين لنقابة المحامين </w:t>
      </w:r>
      <w:r w:rsidR="00D666E0">
        <w:rPr>
          <w:rFonts w:hint="cs"/>
          <w:rtl/>
        </w:rPr>
        <w:t>و</w:t>
      </w:r>
      <w:r w:rsidR="00C35CB1" w:rsidRPr="00C35CB1">
        <w:rPr>
          <w:rFonts w:hint="cs"/>
          <w:rtl/>
        </w:rPr>
        <w:t xml:space="preserve">الصحافة </w:t>
      </w:r>
      <w:r w:rsidR="00D666E0">
        <w:rPr>
          <w:rFonts w:hint="cs"/>
          <w:rtl/>
        </w:rPr>
        <w:t>و</w:t>
      </w:r>
      <w:r w:rsidR="00C35CB1" w:rsidRPr="00C35CB1">
        <w:rPr>
          <w:rFonts w:hint="cs"/>
          <w:rtl/>
        </w:rPr>
        <w:t xml:space="preserve">المنظمات غير الحكومية </w:t>
      </w:r>
      <w:r w:rsidR="00D666E0">
        <w:rPr>
          <w:rFonts w:hint="cs"/>
          <w:rtl/>
        </w:rPr>
        <w:t>و</w:t>
      </w:r>
      <w:r w:rsidR="00C35CB1" w:rsidRPr="00C35CB1">
        <w:rPr>
          <w:rFonts w:hint="cs"/>
          <w:rtl/>
        </w:rPr>
        <w:t xml:space="preserve">القادة العرفيين </w:t>
      </w:r>
      <w:r w:rsidR="00D666E0">
        <w:rPr>
          <w:rFonts w:hint="cs"/>
          <w:rtl/>
        </w:rPr>
        <w:t>و</w:t>
      </w:r>
      <w:r w:rsidR="00C35CB1" w:rsidRPr="00C35CB1">
        <w:rPr>
          <w:rFonts w:hint="cs"/>
          <w:rtl/>
        </w:rPr>
        <w:t xml:space="preserve">الدينيين </w:t>
      </w:r>
      <w:r w:rsidR="00D666E0">
        <w:rPr>
          <w:rFonts w:hint="cs"/>
          <w:rtl/>
        </w:rPr>
        <w:t>و</w:t>
      </w:r>
      <w:r w:rsidR="00C35CB1" w:rsidRPr="00C35CB1">
        <w:rPr>
          <w:rFonts w:hint="cs"/>
          <w:rtl/>
        </w:rPr>
        <w:t xml:space="preserve">لمراكز الاستقبال التابعة للقطاعين العام </w:t>
      </w:r>
      <w:r w:rsidR="00D666E0">
        <w:rPr>
          <w:rFonts w:hint="cs"/>
          <w:rtl/>
        </w:rPr>
        <w:t>و</w:t>
      </w:r>
      <w:r w:rsidR="00C35CB1" w:rsidRPr="00C35CB1">
        <w:rPr>
          <w:rFonts w:hint="cs"/>
          <w:rtl/>
        </w:rPr>
        <w:t>الخاص.</w:t>
      </w:r>
    </w:p>
    <w:p w:rsidR="00BA462B" w:rsidRDefault="00467A3E" w:rsidP="00765A56">
      <w:pPr>
        <w:pStyle w:val="SingleTxt"/>
        <w:rPr>
          <w:rFonts w:hint="cs"/>
          <w:rtl/>
        </w:rPr>
      </w:pPr>
      <w:r>
        <w:rPr>
          <w:rFonts w:hint="cs"/>
          <w:rtl/>
        </w:rPr>
        <w:tab/>
      </w:r>
      <w:r w:rsidR="00D666E0">
        <w:rPr>
          <w:rFonts w:hint="cs"/>
          <w:rtl/>
        </w:rPr>
        <w:t>و</w:t>
      </w:r>
      <w:r w:rsidR="00C35CB1" w:rsidRPr="00C35CB1">
        <w:rPr>
          <w:rFonts w:hint="cs"/>
          <w:rtl/>
        </w:rPr>
        <w:t>من</w:t>
      </w:r>
      <w:r>
        <w:rPr>
          <w:rFonts w:hint="cs"/>
          <w:rtl/>
        </w:rPr>
        <w:t xml:space="preserve"> شأن هذه الحوارات ذات الطابع الإ</w:t>
      </w:r>
      <w:r w:rsidR="00C35CB1" w:rsidRPr="00C35CB1">
        <w:rPr>
          <w:rFonts w:hint="cs"/>
          <w:rtl/>
        </w:rPr>
        <w:t>شراكي</w:t>
      </w:r>
      <w:r w:rsidR="00765A56">
        <w:rPr>
          <w:rFonts w:hint="cs"/>
          <w:rtl/>
        </w:rPr>
        <w:t xml:space="preserve"> </w:t>
      </w:r>
      <w:r w:rsidR="00D666E0">
        <w:rPr>
          <w:rFonts w:hint="cs"/>
          <w:rtl/>
        </w:rPr>
        <w:t>و</w:t>
      </w:r>
      <w:r w:rsidR="00C35CB1" w:rsidRPr="00C35CB1">
        <w:rPr>
          <w:rFonts w:hint="cs"/>
          <w:rtl/>
        </w:rPr>
        <w:t xml:space="preserve">التفاعلي أن تؤدي إلى وضع خارطة طريق قبل إعداد سياسة وطنية لمكافحة جميع الممارسات العرفية التمييزية من أجل تغيير العقلية </w:t>
      </w:r>
      <w:r w:rsidR="00D666E0">
        <w:rPr>
          <w:rFonts w:hint="cs"/>
          <w:rtl/>
        </w:rPr>
        <w:t>و</w:t>
      </w:r>
      <w:r w:rsidR="00C35CB1" w:rsidRPr="00C35CB1">
        <w:rPr>
          <w:rFonts w:hint="cs"/>
          <w:rtl/>
        </w:rPr>
        <w:t>السلوك.</w:t>
      </w:r>
    </w:p>
    <w:p w:rsidR="00BA462B" w:rsidRDefault="00467A3E" w:rsidP="00C35CB1">
      <w:pPr>
        <w:pStyle w:val="SingleTxt"/>
        <w:rPr>
          <w:rFonts w:hint="cs"/>
          <w:rtl/>
        </w:rPr>
      </w:pPr>
      <w:r>
        <w:rPr>
          <w:rFonts w:hint="cs"/>
          <w:rtl/>
        </w:rPr>
        <w:tab/>
      </w:r>
      <w:r w:rsidR="00D666E0">
        <w:rPr>
          <w:rFonts w:hint="cs"/>
          <w:rtl/>
        </w:rPr>
        <w:t>و</w:t>
      </w:r>
      <w:r w:rsidR="00C35CB1" w:rsidRPr="00C35CB1">
        <w:rPr>
          <w:rFonts w:hint="cs"/>
          <w:rtl/>
        </w:rPr>
        <w:t>قد تمّ تحرير مواد تستخدم في أنشطة التوعية من أجل تحقيق فعالية هذه المكافحة.</w:t>
      </w:r>
    </w:p>
    <w:p w:rsidR="00C35CB1" w:rsidRPr="00C35CB1" w:rsidRDefault="00C35CB1" w:rsidP="00765A56">
      <w:pPr>
        <w:pStyle w:val="SingleTxt"/>
        <w:rPr>
          <w:rFonts w:hint="cs"/>
          <w:rtl/>
        </w:rPr>
      </w:pPr>
      <w:r w:rsidRPr="00C35CB1">
        <w:rPr>
          <w:rFonts w:hint="cs"/>
          <w:rtl/>
        </w:rPr>
        <w:t>9</w:t>
      </w:r>
      <w:r w:rsidR="00D666E0">
        <w:rPr>
          <w:rFonts w:hint="cs"/>
          <w:rtl/>
        </w:rPr>
        <w:t xml:space="preserve"> -</w:t>
      </w:r>
      <w:r w:rsidR="00D666E0">
        <w:rPr>
          <w:rFonts w:hint="cs"/>
          <w:rtl/>
        </w:rPr>
        <w:tab/>
      </w:r>
      <w:r w:rsidRPr="00C35CB1">
        <w:rPr>
          <w:rFonts w:hint="cs"/>
          <w:i/>
          <w:iCs/>
          <w:rtl/>
        </w:rPr>
        <w:t>خطة العمل الوطني للنهوض بالمرأة</w:t>
      </w:r>
    </w:p>
    <w:p w:rsidR="00C35CB1" w:rsidRPr="00C35CB1" w:rsidRDefault="00467A3E" w:rsidP="00C35CB1">
      <w:pPr>
        <w:pStyle w:val="SingleTxt"/>
        <w:rPr>
          <w:rFonts w:hint="cs"/>
          <w:rtl/>
        </w:rPr>
      </w:pPr>
      <w:r>
        <w:rPr>
          <w:rFonts w:hint="cs"/>
          <w:rtl/>
        </w:rPr>
        <w:tab/>
      </w:r>
      <w:r w:rsidR="00C35CB1" w:rsidRPr="00C35CB1">
        <w:rPr>
          <w:rFonts w:hint="cs"/>
          <w:rtl/>
        </w:rPr>
        <w:t xml:space="preserve">لقد كان تنفيذ خطة العمل الوطني للنهوض بالمرأة الأساس الذي أدى إلى اعتماد التدابير التشريعية </w:t>
      </w:r>
      <w:r w:rsidR="00D666E0">
        <w:rPr>
          <w:rFonts w:hint="cs"/>
          <w:rtl/>
        </w:rPr>
        <w:t>و</w:t>
      </w:r>
      <w:r w:rsidR="00C35CB1" w:rsidRPr="00C35CB1">
        <w:rPr>
          <w:rFonts w:hint="cs"/>
          <w:rtl/>
        </w:rPr>
        <w:t>التنظيمية المذكورة في هذه الوثيقة.</w:t>
      </w:r>
    </w:p>
    <w:p w:rsidR="00C35CB1" w:rsidRPr="00C35CB1" w:rsidRDefault="00467A3E" w:rsidP="00BB6B48">
      <w:pPr>
        <w:pStyle w:val="SingleTxt"/>
        <w:rPr>
          <w:rFonts w:hint="cs"/>
          <w:rtl/>
        </w:rPr>
      </w:pPr>
      <w:r>
        <w:rPr>
          <w:rFonts w:hint="cs"/>
          <w:rtl/>
        </w:rPr>
        <w:tab/>
      </w:r>
      <w:r w:rsidR="00D666E0">
        <w:rPr>
          <w:rFonts w:hint="cs"/>
          <w:rtl/>
        </w:rPr>
        <w:t>و</w:t>
      </w:r>
      <w:r w:rsidR="00C35CB1" w:rsidRPr="00C35CB1">
        <w:rPr>
          <w:rFonts w:hint="cs"/>
          <w:rtl/>
        </w:rPr>
        <w:t>تهدف هذه التدابير المسمّاة</w:t>
      </w:r>
      <w:r w:rsidR="00BB6B48">
        <w:rPr>
          <w:rFonts w:hint="cs"/>
          <w:rtl/>
        </w:rPr>
        <w:t xml:space="preserve"> ”</w:t>
      </w:r>
      <w:r w:rsidR="00C35CB1" w:rsidRPr="00C35CB1">
        <w:rPr>
          <w:rFonts w:hint="cs"/>
          <w:rtl/>
        </w:rPr>
        <w:t>ميرالنتا</w:t>
      </w:r>
      <w:r w:rsidR="00BB6B48">
        <w:rPr>
          <w:rFonts w:hint="eastAsia"/>
          <w:rtl/>
        </w:rPr>
        <w:t>“</w:t>
      </w:r>
      <w:r w:rsidR="00C35CB1" w:rsidRPr="00C35CB1">
        <w:rPr>
          <w:rFonts w:hint="cs"/>
          <w:rtl/>
        </w:rPr>
        <w:t xml:space="preserve"> إلى تعزيز المساواة بين الرجال </w:t>
      </w:r>
      <w:r w:rsidR="00D666E0">
        <w:rPr>
          <w:rFonts w:hint="cs"/>
          <w:rtl/>
        </w:rPr>
        <w:t>و</w:t>
      </w:r>
      <w:r w:rsidR="00C35CB1" w:rsidRPr="00C35CB1">
        <w:rPr>
          <w:rFonts w:hint="cs"/>
          <w:rtl/>
        </w:rPr>
        <w:t>النساء:</w:t>
      </w:r>
    </w:p>
    <w:p w:rsidR="00C35CB1" w:rsidRPr="00C35CB1" w:rsidRDefault="00467A3E" w:rsidP="00467A3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val="fr-CA"/>
        </w:rPr>
      </w:pPr>
      <w:r>
        <w:rPr>
          <w:rFonts w:hint="cs"/>
          <w:rtl/>
        </w:rPr>
        <w:tab/>
        <w:t>•</w:t>
      </w:r>
      <w:r>
        <w:rPr>
          <w:rFonts w:hint="cs"/>
          <w:rtl/>
        </w:rPr>
        <w:tab/>
      </w:r>
      <w:r w:rsidR="00C35CB1" w:rsidRPr="00C35CB1">
        <w:rPr>
          <w:rFonts w:hint="cs"/>
          <w:rtl/>
        </w:rPr>
        <w:t>أمام القانون؛</w:t>
      </w:r>
    </w:p>
    <w:p w:rsidR="00C35CB1" w:rsidRPr="00C35CB1" w:rsidRDefault="00467A3E" w:rsidP="00467A3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val="fr-CA"/>
        </w:rPr>
      </w:pPr>
      <w:r>
        <w:rPr>
          <w:rFonts w:hint="cs"/>
          <w:rtl/>
        </w:rPr>
        <w:tab/>
        <w:t>•</w:t>
      </w:r>
      <w:r>
        <w:rPr>
          <w:rFonts w:hint="cs"/>
          <w:rtl/>
        </w:rPr>
        <w:tab/>
      </w:r>
      <w:r w:rsidR="00C35CB1" w:rsidRPr="00C35CB1">
        <w:rPr>
          <w:rFonts w:hint="cs"/>
          <w:rtl/>
        </w:rPr>
        <w:t xml:space="preserve">في مجال الحقوق </w:t>
      </w:r>
      <w:r w:rsidR="00D666E0">
        <w:rPr>
          <w:rFonts w:hint="cs"/>
          <w:rtl/>
        </w:rPr>
        <w:t>و</w:t>
      </w:r>
      <w:r w:rsidR="00C35CB1" w:rsidRPr="00C35CB1">
        <w:rPr>
          <w:rFonts w:hint="cs"/>
          <w:rtl/>
        </w:rPr>
        <w:t>الواجبات في ميادين</w:t>
      </w:r>
    </w:p>
    <w:p w:rsidR="00C35CB1" w:rsidRPr="00C35CB1" w:rsidRDefault="00467A3E" w:rsidP="00467A3E">
      <w:pPr>
        <w:pStyle w:val="SingleTxt"/>
        <w:rPr>
          <w:rFonts w:hint="cs"/>
          <w:lang w:val="fr-CA"/>
        </w:rPr>
      </w:pPr>
      <w:r>
        <w:rPr>
          <w:rFonts w:hint="cs"/>
          <w:rtl/>
        </w:rPr>
        <w:tab/>
        <w:t xml:space="preserve">-  </w:t>
      </w:r>
      <w:r w:rsidR="00C35CB1" w:rsidRPr="00C35CB1">
        <w:rPr>
          <w:rFonts w:hint="cs"/>
          <w:rtl/>
        </w:rPr>
        <w:t>الزواج؛</w:t>
      </w:r>
    </w:p>
    <w:p w:rsidR="00C35CB1" w:rsidRPr="00467A3E" w:rsidRDefault="00467A3E" w:rsidP="00467A3E">
      <w:pPr>
        <w:pStyle w:val="SingleTxt"/>
        <w:rPr>
          <w:rFonts w:hint="cs"/>
        </w:rPr>
      </w:pPr>
      <w:r>
        <w:rPr>
          <w:rFonts w:hint="cs"/>
          <w:rtl/>
        </w:rPr>
        <w:tab/>
        <w:t xml:space="preserve">-  </w:t>
      </w:r>
      <w:r w:rsidR="00C35CB1" w:rsidRPr="00C35CB1">
        <w:rPr>
          <w:rFonts w:hint="cs"/>
          <w:rtl/>
        </w:rPr>
        <w:t>مسؤولية الوالدين؛</w:t>
      </w:r>
    </w:p>
    <w:p w:rsidR="00C35CB1" w:rsidRPr="00467A3E" w:rsidRDefault="00467A3E" w:rsidP="00467A3E">
      <w:pPr>
        <w:pStyle w:val="SingleTxt"/>
        <w:rPr>
          <w:rFonts w:hint="cs"/>
        </w:rPr>
      </w:pPr>
      <w:r>
        <w:rPr>
          <w:rFonts w:hint="cs"/>
          <w:rtl/>
        </w:rPr>
        <w:tab/>
        <w:t xml:space="preserve">-  </w:t>
      </w:r>
      <w:r w:rsidR="00C35CB1" w:rsidRPr="00C35CB1">
        <w:rPr>
          <w:rFonts w:hint="cs"/>
          <w:rtl/>
        </w:rPr>
        <w:t>القدرة على إدارة الممتلكات الجماعية؛</w:t>
      </w:r>
    </w:p>
    <w:p w:rsidR="00C35CB1" w:rsidRPr="00467A3E" w:rsidRDefault="00467A3E" w:rsidP="00467A3E">
      <w:pPr>
        <w:pStyle w:val="SingleTxt"/>
        <w:rPr>
          <w:rFonts w:hint="cs"/>
        </w:rPr>
      </w:pPr>
      <w:r>
        <w:rPr>
          <w:rFonts w:hint="cs"/>
          <w:rtl/>
        </w:rPr>
        <w:tab/>
        <w:t xml:space="preserve">-  </w:t>
      </w:r>
      <w:r w:rsidR="00C35CB1" w:rsidRPr="00C35CB1">
        <w:rPr>
          <w:rFonts w:hint="cs"/>
          <w:rtl/>
        </w:rPr>
        <w:t>الخلافة؛</w:t>
      </w:r>
    </w:p>
    <w:p w:rsidR="00BA462B" w:rsidRDefault="00467A3E" w:rsidP="00467A3E">
      <w:pPr>
        <w:pStyle w:val="SingleTxt"/>
        <w:rPr>
          <w:rFonts w:hint="cs"/>
          <w:lang w:val="fr-CA"/>
        </w:rPr>
      </w:pPr>
      <w:r>
        <w:rPr>
          <w:rFonts w:hint="cs"/>
          <w:rtl/>
        </w:rPr>
        <w:tab/>
        <w:t xml:space="preserve">-  </w:t>
      </w:r>
      <w:r w:rsidR="00C35CB1" w:rsidRPr="00C35CB1">
        <w:rPr>
          <w:rFonts w:hint="cs"/>
          <w:rtl/>
        </w:rPr>
        <w:t>الحصول على عمل.</w:t>
      </w:r>
    </w:p>
    <w:p w:rsidR="00BA462B" w:rsidRDefault="00467A3E" w:rsidP="00C35CB1">
      <w:pPr>
        <w:pStyle w:val="SingleTxt"/>
        <w:rPr>
          <w:rFonts w:hint="cs"/>
          <w:rtl/>
        </w:rPr>
      </w:pPr>
      <w:r>
        <w:rPr>
          <w:rFonts w:hint="cs"/>
          <w:rtl/>
        </w:rPr>
        <w:tab/>
      </w:r>
      <w:r w:rsidR="00D666E0">
        <w:rPr>
          <w:rFonts w:hint="cs"/>
          <w:rtl/>
        </w:rPr>
        <w:t>و</w:t>
      </w:r>
      <w:r w:rsidR="00C35CB1" w:rsidRPr="00C35CB1">
        <w:rPr>
          <w:rFonts w:hint="cs"/>
          <w:rtl/>
        </w:rPr>
        <w:t>تراعي كل وزارة معنيّة البعد الجنساني في إعداد برنامج عملها</w:t>
      </w:r>
      <w:r w:rsidR="0015762F">
        <w:rPr>
          <w:rFonts w:hint="cs"/>
          <w:rtl/>
        </w:rPr>
        <w:t>.</w:t>
      </w:r>
      <w:r w:rsidR="00C35CB1" w:rsidRPr="00C35CB1">
        <w:rPr>
          <w:rFonts w:hint="cs"/>
          <w:rtl/>
        </w:rPr>
        <w:t xml:space="preserve"> </w:t>
      </w:r>
      <w:r w:rsidR="00D666E0">
        <w:rPr>
          <w:rFonts w:hint="cs"/>
          <w:rtl/>
        </w:rPr>
        <w:t>و</w:t>
      </w:r>
      <w:r w:rsidR="00C35CB1" w:rsidRPr="00C35CB1">
        <w:rPr>
          <w:rFonts w:hint="cs"/>
          <w:rtl/>
        </w:rPr>
        <w:t xml:space="preserve">يهدف </w:t>
      </w:r>
      <w:r w:rsidR="00416A5F">
        <w:rPr>
          <w:rFonts w:hint="cs"/>
          <w:rtl/>
        </w:rPr>
        <w:t>التكامل في إ</w:t>
      </w:r>
      <w:r w:rsidR="00C35CB1" w:rsidRPr="00C35CB1">
        <w:rPr>
          <w:rFonts w:hint="cs"/>
          <w:rtl/>
        </w:rPr>
        <w:t>نجاز هذه البرامج</w:t>
      </w:r>
      <w:r w:rsidR="000A5EC7">
        <w:rPr>
          <w:rFonts w:hint="cs"/>
          <w:rtl/>
        </w:rPr>
        <w:t>،</w:t>
      </w:r>
      <w:r w:rsidR="00C35CB1" w:rsidRPr="00C35CB1">
        <w:rPr>
          <w:rFonts w:hint="cs"/>
          <w:rtl/>
        </w:rPr>
        <w:t xml:space="preserve"> ذات الطابع الشامل لمختلف المجالات</w:t>
      </w:r>
      <w:r w:rsidR="000A5EC7">
        <w:rPr>
          <w:rFonts w:hint="cs"/>
          <w:rtl/>
        </w:rPr>
        <w:t>،</w:t>
      </w:r>
      <w:r w:rsidR="00C35CB1" w:rsidRPr="00C35CB1">
        <w:rPr>
          <w:rFonts w:hint="cs"/>
          <w:rtl/>
        </w:rPr>
        <w:t xml:space="preserve"> إلى بلوغ أهداف خطة العمل الوطني للنهوض بالمرأة.</w:t>
      </w:r>
    </w:p>
    <w:p w:rsidR="00C35CB1" w:rsidRPr="00C35CB1" w:rsidRDefault="00467A3E" w:rsidP="00C35CB1">
      <w:pPr>
        <w:pStyle w:val="SingleTxt"/>
        <w:rPr>
          <w:rFonts w:hint="cs"/>
          <w:rtl/>
        </w:rPr>
      </w:pPr>
      <w:r>
        <w:rPr>
          <w:rFonts w:hint="cs"/>
          <w:rtl/>
        </w:rPr>
        <w:tab/>
      </w:r>
      <w:r w:rsidR="00D666E0">
        <w:rPr>
          <w:rFonts w:hint="cs"/>
          <w:rtl/>
        </w:rPr>
        <w:t>و</w:t>
      </w:r>
      <w:r w:rsidR="00C35CB1" w:rsidRPr="00C35CB1">
        <w:rPr>
          <w:rFonts w:hint="cs"/>
          <w:rtl/>
        </w:rPr>
        <w:t>بهدف تحقيق الاستقلال الذاتي للمرأة، تم بذل جهود من أجل:</w:t>
      </w:r>
    </w:p>
    <w:p w:rsidR="00C35CB1" w:rsidRPr="00C35CB1" w:rsidRDefault="00467A3E" w:rsidP="00467A3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sidR="00D666E0">
        <w:rPr>
          <w:rFonts w:hint="cs"/>
          <w:rtl/>
        </w:rPr>
        <w:tab/>
      </w:r>
      <w:r w:rsidR="00C35CB1" w:rsidRPr="00C35CB1">
        <w:rPr>
          <w:rFonts w:hint="cs"/>
          <w:rtl/>
        </w:rPr>
        <w:t xml:space="preserve">تعزيز الأنشطة المدّرة للدخل لفائدة المرأة الحضرية </w:t>
      </w:r>
      <w:r w:rsidR="00D666E0">
        <w:rPr>
          <w:rFonts w:hint="cs"/>
          <w:rtl/>
        </w:rPr>
        <w:t>و</w:t>
      </w:r>
      <w:r w:rsidR="00C35CB1" w:rsidRPr="00C35CB1">
        <w:rPr>
          <w:rFonts w:hint="cs"/>
          <w:rtl/>
        </w:rPr>
        <w:t>الريفية؛</w:t>
      </w:r>
    </w:p>
    <w:p w:rsidR="00BA462B" w:rsidRDefault="00467A3E" w:rsidP="00467A3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sidR="00D666E0">
        <w:rPr>
          <w:rFonts w:hint="cs"/>
          <w:rtl/>
        </w:rPr>
        <w:tab/>
      </w:r>
      <w:r w:rsidR="00C35CB1" w:rsidRPr="00C35CB1">
        <w:rPr>
          <w:rFonts w:hint="cs"/>
          <w:rtl/>
        </w:rPr>
        <w:t>تيسير الحصول على الائتمان عن طريق إقامة نظام التمويلات الصغرى.</w:t>
      </w:r>
    </w:p>
    <w:p w:rsidR="00467A3E" w:rsidRPr="00467A3E" w:rsidRDefault="00467A3E" w:rsidP="00467A3E">
      <w:pPr>
        <w:pStyle w:val="SingleTxt"/>
        <w:spacing w:after="0" w:line="120" w:lineRule="exact"/>
        <w:rPr>
          <w:rFonts w:hint="cs"/>
          <w:sz w:val="10"/>
          <w:rtl/>
        </w:rPr>
      </w:pPr>
    </w:p>
    <w:p w:rsidR="00C35CB1" w:rsidRPr="00C35CB1" w:rsidRDefault="00C35CB1" w:rsidP="00765A56">
      <w:pPr>
        <w:pStyle w:val="SingleTxt"/>
        <w:rPr>
          <w:rFonts w:hint="cs"/>
          <w:i/>
          <w:iCs/>
          <w:rtl/>
        </w:rPr>
      </w:pPr>
      <w:r w:rsidRPr="00C35CB1">
        <w:rPr>
          <w:rFonts w:hint="cs"/>
          <w:rtl/>
        </w:rPr>
        <w:t>10</w:t>
      </w:r>
      <w:r w:rsidR="00D666E0">
        <w:rPr>
          <w:rFonts w:hint="cs"/>
          <w:rtl/>
        </w:rPr>
        <w:t xml:space="preserve"> -</w:t>
      </w:r>
      <w:r w:rsidR="00D666E0">
        <w:rPr>
          <w:rFonts w:hint="cs"/>
          <w:rtl/>
        </w:rPr>
        <w:tab/>
      </w:r>
      <w:r w:rsidRPr="00C35CB1">
        <w:rPr>
          <w:rFonts w:hint="cs"/>
          <w:i/>
          <w:iCs/>
          <w:rtl/>
        </w:rPr>
        <w:t>خطة العمل الوطني لتعليم الفتيات</w:t>
      </w:r>
      <w:r w:rsidR="00765A56">
        <w:rPr>
          <w:rFonts w:hint="cs"/>
          <w:i/>
          <w:iCs/>
          <w:rtl/>
        </w:rPr>
        <w:t xml:space="preserve"> </w:t>
      </w:r>
    </w:p>
    <w:p w:rsidR="00C35CB1" w:rsidRPr="00C35CB1" w:rsidRDefault="00467A3E" w:rsidP="00C35CB1">
      <w:pPr>
        <w:pStyle w:val="SingleTxt"/>
        <w:rPr>
          <w:rFonts w:hint="cs"/>
          <w:rtl/>
        </w:rPr>
      </w:pPr>
      <w:r>
        <w:rPr>
          <w:rFonts w:hint="cs"/>
          <w:rtl/>
        </w:rPr>
        <w:tab/>
      </w:r>
      <w:r w:rsidR="00C35CB1" w:rsidRPr="00C35CB1">
        <w:rPr>
          <w:rFonts w:hint="cs"/>
          <w:rtl/>
        </w:rPr>
        <w:t xml:space="preserve">مراعاة للقرارات </w:t>
      </w:r>
      <w:r w:rsidR="00D666E0">
        <w:rPr>
          <w:rFonts w:hint="cs"/>
          <w:rtl/>
        </w:rPr>
        <w:t>و</w:t>
      </w:r>
      <w:r w:rsidR="00C35CB1" w:rsidRPr="00C35CB1">
        <w:rPr>
          <w:rFonts w:hint="cs"/>
          <w:rtl/>
        </w:rPr>
        <w:t xml:space="preserve">التوصيات </w:t>
      </w:r>
      <w:r w:rsidR="00D666E0">
        <w:rPr>
          <w:rFonts w:hint="cs"/>
          <w:rtl/>
        </w:rPr>
        <w:t>و</w:t>
      </w:r>
      <w:r w:rsidR="00C35CB1" w:rsidRPr="00C35CB1">
        <w:rPr>
          <w:rFonts w:hint="cs"/>
          <w:rtl/>
        </w:rPr>
        <w:t>الإعلانات الصادرة عن مؤتمرات منها:</w:t>
      </w:r>
    </w:p>
    <w:p w:rsidR="00C35CB1" w:rsidRPr="00C35CB1" w:rsidRDefault="00467A3E" w:rsidP="00B63C07">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sidR="00B63C07">
        <w:rPr>
          <w:rFonts w:hint="cs"/>
          <w:rtl/>
        </w:rPr>
        <w:t>-</w:t>
      </w:r>
      <w:r w:rsidR="00D666E0">
        <w:rPr>
          <w:rFonts w:hint="cs"/>
          <w:rtl/>
        </w:rPr>
        <w:tab/>
      </w:r>
      <w:r w:rsidR="00C35CB1" w:rsidRPr="00C35CB1">
        <w:rPr>
          <w:rFonts w:hint="cs"/>
          <w:rtl/>
        </w:rPr>
        <w:t xml:space="preserve">مؤتمر القمة العالمي من أجل الطفل </w:t>
      </w:r>
      <w:r w:rsidR="00B63C07">
        <w:rPr>
          <w:rtl/>
        </w:rPr>
        <w:t>-</w:t>
      </w:r>
      <w:r w:rsidR="00C35CB1" w:rsidRPr="00C35CB1">
        <w:rPr>
          <w:rFonts w:hint="cs"/>
          <w:rtl/>
        </w:rPr>
        <w:t xml:space="preserve"> نيويورك 1990</w:t>
      </w:r>
      <w:r w:rsidR="00416A5F">
        <w:rPr>
          <w:rFonts w:hint="cs"/>
          <w:rtl/>
        </w:rPr>
        <w:t>؛</w:t>
      </w:r>
    </w:p>
    <w:p w:rsidR="00C35CB1" w:rsidRPr="00C35CB1" w:rsidRDefault="00467A3E" w:rsidP="00B63C07">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sidR="00B63C07">
        <w:rPr>
          <w:rFonts w:hint="cs"/>
          <w:rtl/>
        </w:rPr>
        <w:t>-</w:t>
      </w:r>
      <w:r>
        <w:rPr>
          <w:rFonts w:hint="cs"/>
          <w:rtl/>
        </w:rPr>
        <w:tab/>
      </w:r>
      <w:r w:rsidR="00C35CB1" w:rsidRPr="00C35CB1">
        <w:rPr>
          <w:rFonts w:hint="cs"/>
          <w:rtl/>
        </w:rPr>
        <w:t>المؤتمر العالمي المعن</w:t>
      </w:r>
      <w:r w:rsidR="00416A5F">
        <w:rPr>
          <w:rFonts w:hint="cs"/>
          <w:rtl/>
        </w:rPr>
        <w:t>ي بالتعليم للجميع - جومتيان 1990؛</w:t>
      </w:r>
    </w:p>
    <w:p w:rsidR="00C35CB1" w:rsidRPr="00C35CB1" w:rsidRDefault="00467A3E" w:rsidP="00B63C07">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sidR="00B63C07">
        <w:rPr>
          <w:rFonts w:hint="cs"/>
          <w:rtl/>
        </w:rPr>
        <w:t>-</w:t>
      </w:r>
      <w:r>
        <w:rPr>
          <w:rFonts w:hint="cs"/>
          <w:rtl/>
        </w:rPr>
        <w:tab/>
      </w:r>
      <w:r w:rsidR="006145D0">
        <w:rPr>
          <w:rFonts w:hint="cs"/>
          <w:rtl/>
        </w:rPr>
        <w:t>مؤتمر البلدان الأ</w:t>
      </w:r>
      <w:r w:rsidR="00C35CB1" w:rsidRPr="00C35CB1">
        <w:rPr>
          <w:rFonts w:hint="cs"/>
          <w:rtl/>
        </w:rPr>
        <w:t xml:space="preserve">فريقية المعني بتعليم الفتيات </w:t>
      </w:r>
      <w:r w:rsidR="00B63C07">
        <w:rPr>
          <w:rtl/>
        </w:rPr>
        <w:t>-</w:t>
      </w:r>
      <w:r w:rsidR="00416A5F">
        <w:rPr>
          <w:rFonts w:hint="cs"/>
          <w:rtl/>
        </w:rPr>
        <w:t xml:space="preserve"> واغادوغو 1993؛</w:t>
      </w:r>
    </w:p>
    <w:p w:rsidR="00C35CB1" w:rsidRDefault="00467A3E" w:rsidP="00B63C07">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sidR="00B63C07">
        <w:rPr>
          <w:rFonts w:hint="cs"/>
          <w:rtl/>
        </w:rPr>
        <w:t>-</w:t>
      </w:r>
      <w:r>
        <w:rPr>
          <w:rFonts w:hint="cs"/>
          <w:rtl/>
        </w:rPr>
        <w:tab/>
      </w:r>
      <w:r w:rsidR="00C35CB1" w:rsidRPr="00C35CB1">
        <w:rPr>
          <w:rFonts w:hint="cs"/>
          <w:rtl/>
        </w:rPr>
        <w:t xml:space="preserve">المؤتمر الدولي المعني بالتعليم في مجال السكان </w:t>
      </w:r>
      <w:r w:rsidR="00B63C07">
        <w:rPr>
          <w:rtl/>
        </w:rPr>
        <w:t>-</w:t>
      </w:r>
      <w:r w:rsidR="00C35CB1" w:rsidRPr="00C35CB1">
        <w:rPr>
          <w:rFonts w:hint="cs"/>
          <w:rtl/>
        </w:rPr>
        <w:t xml:space="preserve"> اسطنبول</w:t>
      </w:r>
      <w:r w:rsidR="00765A56">
        <w:rPr>
          <w:rFonts w:hint="cs"/>
          <w:rtl/>
        </w:rPr>
        <w:t xml:space="preserve"> </w:t>
      </w:r>
      <w:r w:rsidR="00416A5F">
        <w:rPr>
          <w:rFonts w:hint="cs"/>
          <w:rtl/>
        </w:rPr>
        <w:t>1993؛</w:t>
      </w:r>
    </w:p>
    <w:p w:rsidR="00BA462B" w:rsidRDefault="00467A3E" w:rsidP="00B63C07">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sidR="00B63C07">
        <w:rPr>
          <w:rFonts w:hint="cs"/>
          <w:rtl/>
        </w:rPr>
        <w:t>-</w:t>
      </w:r>
      <w:r>
        <w:rPr>
          <w:rFonts w:hint="cs"/>
          <w:rtl/>
        </w:rPr>
        <w:tab/>
      </w:r>
      <w:r w:rsidR="00C35CB1" w:rsidRPr="00C35CB1">
        <w:rPr>
          <w:rFonts w:hint="cs"/>
          <w:rtl/>
        </w:rPr>
        <w:t>مؤتمر ا</w:t>
      </w:r>
      <w:r w:rsidR="006145D0">
        <w:rPr>
          <w:rFonts w:hint="cs"/>
          <w:rtl/>
        </w:rPr>
        <w:t>لقمة لرؤساء دول منظمة الوحدة الأ</w:t>
      </w:r>
      <w:r w:rsidR="00C35CB1" w:rsidRPr="00C35CB1">
        <w:rPr>
          <w:rFonts w:hint="cs"/>
          <w:rtl/>
        </w:rPr>
        <w:t>فريقية</w:t>
      </w:r>
      <w:r w:rsidR="00416A5F">
        <w:rPr>
          <w:rFonts w:hint="cs"/>
          <w:rtl/>
        </w:rPr>
        <w:t xml:space="preserve"> </w:t>
      </w:r>
      <w:r w:rsidR="00C35CB1" w:rsidRPr="00C35CB1">
        <w:rPr>
          <w:rFonts w:hint="cs"/>
          <w:rtl/>
        </w:rPr>
        <w:t>- القاهرة 199</w:t>
      </w:r>
      <w:r w:rsidR="00B63C07">
        <w:rPr>
          <w:rFonts w:hint="cs"/>
          <w:rtl/>
        </w:rPr>
        <w:t>3</w:t>
      </w:r>
      <w:r w:rsidR="00416A5F">
        <w:rPr>
          <w:rFonts w:hint="cs"/>
          <w:rtl/>
        </w:rPr>
        <w:t>؛</w:t>
      </w:r>
    </w:p>
    <w:p w:rsidR="00B63C07" w:rsidRPr="00C35CB1" w:rsidRDefault="00B63C07" w:rsidP="00416A5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مؤتمر القمة العالمي</w:t>
      </w:r>
      <w:r w:rsidR="00416A5F">
        <w:rPr>
          <w:rFonts w:hint="cs"/>
          <w:rtl/>
        </w:rPr>
        <w:t xml:space="preserve"> المعني بالسكان والتنمية - القاهرة 1994.</w:t>
      </w:r>
    </w:p>
    <w:p w:rsidR="00C35CB1" w:rsidRPr="00C35CB1" w:rsidRDefault="00467A3E" w:rsidP="00467A3E">
      <w:pPr>
        <w:pStyle w:val="SingleTxt"/>
        <w:rPr>
          <w:rFonts w:hint="cs"/>
          <w:rtl/>
        </w:rPr>
      </w:pPr>
      <w:r>
        <w:rPr>
          <w:rFonts w:hint="cs"/>
          <w:rtl/>
        </w:rPr>
        <w:tab/>
      </w:r>
      <w:r w:rsidR="006145D0">
        <w:rPr>
          <w:rFonts w:hint="cs"/>
          <w:rtl/>
        </w:rPr>
        <w:t>ا</w:t>
      </w:r>
      <w:r w:rsidR="00C35CB1" w:rsidRPr="00C35CB1">
        <w:rPr>
          <w:rFonts w:hint="cs"/>
          <w:rtl/>
        </w:rPr>
        <w:t>عتمدت الحكومة الملغاشية الخطة الوطنية لتعليم الفتيات المسماة</w:t>
      </w:r>
      <w:r w:rsidR="00BB6B48">
        <w:rPr>
          <w:rFonts w:hint="cs"/>
          <w:rtl/>
        </w:rPr>
        <w:t xml:space="preserve"> ”</w:t>
      </w:r>
      <w:r w:rsidR="00C35CB1" w:rsidRPr="00C35CB1">
        <w:rPr>
          <w:rFonts w:hint="cs"/>
          <w:rtl/>
        </w:rPr>
        <w:t>باناف</w:t>
      </w:r>
      <w:r w:rsidR="00BB6B48">
        <w:rPr>
          <w:rFonts w:hint="eastAsia"/>
          <w:rtl/>
        </w:rPr>
        <w:t>“</w:t>
      </w:r>
      <w:r w:rsidR="00C35CB1" w:rsidRPr="00C35CB1">
        <w:rPr>
          <w:rFonts w:hint="cs"/>
          <w:rtl/>
        </w:rPr>
        <w:t>.</w:t>
      </w:r>
    </w:p>
    <w:p w:rsidR="00C35CB1" w:rsidRPr="00C35CB1" w:rsidRDefault="00467A3E" w:rsidP="00C35CB1">
      <w:pPr>
        <w:pStyle w:val="SingleTxt"/>
        <w:rPr>
          <w:rFonts w:hint="cs"/>
          <w:rtl/>
        </w:rPr>
      </w:pPr>
      <w:r>
        <w:rPr>
          <w:rFonts w:hint="cs"/>
          <w:rtl/>
        </w:rPr>
        <w:tab/>
      </w:r>
      <w:r w:rsidR="00D666E0">
        <w:rPr>
          <w:rFonts w:hint="cs"/>
          <w:rtl/>
        </w:rPr>
        <w:t>و</w:t>
      </w:r>
      <w:r w:rsidR="00C35CB1" w:rsidRPr="00C35CB1">
        <w:rPr>
          <w:rFonts w:hint="cs"/>
          <w:rtl/>
        </w:rPr>
        <w:t>تهدف هذه الخطة إلى:</w:t>
      </w:r>
    </w:p>
    <w:p w:rsidR="00C35CB1" w:rsidRPr="00C35CB1" w:rsidRDefault="00467A3E" w:rsidP="00B63C07">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sidR="00B63C07">
        <w:rPr>
          <w:rFonts w:hint="cs"/>
          <w:rtl/>
        </w:rPr>
        <w:t>-</w:t>
      </w:r>
      <w:r>
        <w:rPr>
          <w:rFonts w:hint="cs"/>
          <w:rtl/>
        </w:rPr>
        <w:tab/>
      </w:r>
      <w:r w:rsidR="00C35CB1" w:rsidRPr="00C35CB1">
        <w:rPr>
          <w:rFonts w:hint="cs"/>
          <w:rtl/>
        </w:rPr>
        <w:t xml:space="preserve">إعداد الفتيات لأداء مختلف الأدوار كزوجات </w:t>
      </w:r>
      <w:r w:rsidR="00D666E0">
        <w:rPr>
          <w:rFonts w:hint="cs"/>
          <w:rtl/>
        </w:rPr>
        <w:t>و</w:t>
      </w:r>
      <w:r w:rsidR="00C35CB1" w:rsidRPr="00C35CB1">
        <w:rPr>
          <w:rFonts w:hint="cs"/>
          <w:rtl/>
        </w:rPr>
        <w:t xml:space="preserve">أمهات </w:t>
      </w:r>
      <w:r w:rsidR="00D666E0">
        <w:rPr>
          <w:rFonts w:hint="cs"/>
          <w:rtl/>
        </w:rPr>
        <w:t>و</w:t>
      </w:r>
      <w:r w:rsidR="00C35CB1" w:rsidRPr="00C35CB1">
        <w:rPr>
          <w:rFonts w:hint="cs"/>
          <w:rtl/>
        </w:rPr>
        <w:t xml:space="preserve">مواطنات </w:t>
      </w:r>
      <w:r w:rsidR="00D666E0">
        <w:rPr>
          <w:rFonts w:hint="cs"/>
          <w:rtl/>
        </w:rPr>
        <w:t>و</w:t>
      </w:r>
      <w:r w:rsidR="00C35CB1" w:rsidRPr="00C35CB1">
        <w:rPr>
          <w:rFonts w:hint="cs"/>
          <w:rtl/>
        </w:rPr>
        <w:t>كعناصر فاعلة في</w:t>
      </w:r>
      <w:r w:rsidR="00765A56">
        <w:rPr>
          <w:rFonts w:hint="cs"/>
          <w:rtl/>
        </w:rPr>
        <w:t xml:space="preserve"> </w:t>
      </w:r>
      <w:r w:rsidR="00C35CB1" w:rsidRPr="00C35CB1">
        <w:rPr>
          <w:rFonts w:hint="cs"/>
          <w:rtl/>
        </w:rPr>
        <w:t xml:space="preserve">التنمية </w:t>
      </w:r>
      <w:r w:rsidR="00D666E0">
        <w:rPr>
          <w:rFonts w:hint="cs"/>
          <w:rtl/>
        </w:rPr>
        <w:t>و</w:t>
      </w:r>
      <w:r w:rsidR="00C35CB1" w:rsidRPr="00C35CB1">
        <w:rPr>
          <w:rFonts w:hint="cs"/>
          <w:rtl/>
        </w:rPr>
        <w:t>في تحقيق</w:t>
      </w:r>
      <w:r w:rsidR="00765A56">
        <w:rPr>
          <w:rFonts w:hint="cs"/>
          <w:rtl/>
        </w:rPr>
        <w:t xml:space="preserve"> </w:t>
      </w:r>
      <w:r w:rsidR="00416A5F">
        <w:rPr>
          <w:rFonts w:hint="cs"/>
          <w:rtl/>
        </w:rPr>
        <w:t>طاقاتهن الكامنة تحقيقا كاملا؛</w:t>
      </w:r>
    </w:p>
    <w:p w:rsidR="00C35CB1" w:rsidRPr="00C35CB1" w:rsidRDefault="00467A3E" w:rsidP="00B63C07">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sidR="00B63C07">
        <w:rPr>
          <w:rFonts w:hint="cs"/>
          <w:rtl/>
        </w:rPr>
        <w:t>-</w:t>
      </w:r>
      <w:r>
        <w:rPr>
          <w:rFonts w:hint="cs"/>
          <w:rtl/>
        </w:rPr>
        <w:tab/>
      </w:r>
      <w:r w:rsidR="00C35CB1" w:rsidRPr="00C35CB1">
        <w:rPr>
          <w:rFonts w:hint="cs"/>
          <w:rtl/>
        </w:rPr>
        <w:t xml:space="preserve">إزالة التفاوتات بين الأولاد </w:t>
      </w:r>
      <w:r w:rsidR="00D666E0">
        <w:rPr>
          <w:rFonts w:hint="cs"/>
          <w:rtl/>
        </w:rPr>
        <w:t>و</w:t>
      </w:r>
      <w:r w:rsidR="00C35CB1" w:rsidRPr="00C35CB1">
        <w:rPr>
          <w:rFonts w:hint="cs"/>
          <w:rtl/>
        </w:rPr>
        <w:t>الفتيات حيثما ظلت قائمة</w:t>
      </w:r>
      <w:r w:rsidR="00416A5F">
        <w:rPr>
          <w:rFonts w:hint="cs"/>
          <w:rtl/>
        </w:rPr>
        <w:t>؛</w:t>
      </w:r>
    </w:p>
    <w:p w:rsidR="00BA462B" w:rsidRDefault="00467A3E" w:rsidP="00B63C07">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sidR="00B63C07">
        <w:rPr>
          <w:rFonts w:hint="cs"/>
          <w:rtl/>
        </w:rPr>
        <w:t>-</w:t>
      </w:r>
      <w:r>
        <w:rPr>
          <w:rFonts w:hint="cs"/>
          <w:rtl/>
        </w:rPr>
        <w:tab/>
      </w:r>
      <w:r w:rsidR="00C35CB1" w:rsidRPr="00C35CB1">
        <w:rPr>
          <w:rFonts w:hint="cs"/>
          <w:rtl/>
        </w:rPr>
        <w:t xml:space="preserve">تهيئة الظروف المواتية لتوفير تعليم متميّز </w:t>
      </w:r>
      <w:r w:rsidR="00D666E0">
        <w:rPr>
          <w:rFonts w:hint="cs"/>
          <w:rtl/>
        </w:rPr>
        <w:t>و</w:t>
      </w:r>
      <w:r w:rsidR="006145D0">
        <w:rPr>
          <w:rFonts w:hint="cs"/>
          <w:rtl/>
        </w:rPr>
        <w:t>متناغ</w:t>
      </w:r>
      <w:r w:rsidR="00C35CB1" w:rsidRPr="00C35CB1">
        <w:rPr>
          <w:rFonts w:hint="cs"/>
          <w:rtl/>
        </w:rPr>
        <w:t>م للجنسين.</w:t>
      </w:r>
    </w:p>
    <w:p w:rsidR="00C35CB1" w:rsidRPr="00C35CB1" w:rsidRDefault="00467A3E" w:rsidP="00C35CB1">
      <w:pPr>
        <w:pStyle w:val="SingleTxt"/>
        <w:rPr>
          <w:rFonts w:hint="cs"/>
          <w:rtl/>
        </w:rPr>
      </w:pPr>
      <w:r>
        <w:rPr>
          <w:rFonts w:hint="cs"/>
          <w:rtl/>
        </w:rPr>
        <w:tab/>
      </w:r>
      <w:r w:rsidR="00D666E0">
        <w:rPr>
          <w:rFonts w:hint="cs"/>
          <w:rtl/>
        </w:rPr>
        <w:t>و</w:t>
      </w:r>
      <w:r w:rsidR="00C35CB1" w:rsidRPr="00C35CB1">
        <w:rPr>
          <w:rFonts w:hint="cs"/>
          <w:rtl/>
        </w:rPr>
        <w:t>تتمحور المكونات الأربعة لخطة العمل الوطني لتعليم الفتيات حول:</w:t>
      </w:r>
    </w:p>
    <w:p w:rsidR="00C35CB1" w:rsidRPr="00C35CB1" w:rsidRDefault="00467A3E" w:rsidP="00467A3E">
      <w:pPr>
        <w:pStyle w:val="SingleTxt"/>
        <w:rPr>
          <w:rFonts w:hint="cs"/>
          <w:rtl/>
        </w:rPr>
      </w:pPr>
      <w:r>
        <w:rPr>
          <w:rFonts w:hint="cs"/>
          <w:rtl/>
        </w:rPr>
        <w:tab/>
      </w:r>
      <w:r w:rsidR="00C35CB1" w:rsidRPr="00C35CB1">
        <w:rPr>
          <w:rFonts w:hint="cs"/>
          <w:rtl/>
        </w:rPr>
        <w:t>(أ)</w:t>
      </w:r>
      <w:r>
        <w:rPr>
          <w:rFonts w:hint="cs"/>
          <w:rtl/>
        </w:rPr>
        <w:tab/>
      </w:r>
      <w:r w:rsidR="00C35CB1" w:rsidRPr="00C35CB1">
        <w:rPr>
          <w:rFonts w:hint="cs"/>
          <w:rtl/>
        </w:rPr>
        <w:t>التعليم النظامي للفتيات بأهداف محددة:</w:t>
      </w:r>
    </w:p>
    <w:p w:rsidR="00C35CB1" w:rsidRPr="00C35CB1" w:rsidRDefault="00467A3E" w:rsidP="00B63C07">
      <w:pPr>
        <w:pStyle w:val="SingleTxt"/>
        <w:tabs>
          <w:tab w:val="clear" w:pos="3254"/>
          <w:tab w:val="left" w:pos="2949"/>
        </w:tabs>
        <w:ind w:left="2949" w:hanging="1682"/>
        <w:rPr>
          <w:rFonts w:hint="cs"/>
          <w:rtl/>
        </w:rPr>
      </w:pPr>
      <w:r>
        <w:rPr>
          <w:rFonts w:hint="cs"/>
          <w:rtl/>
        </w:rPr>
        <w:tab/>
      </w:r>
      <w:r>
        <w:rPr>
          <w:rFonts w:hint="cs"/>
          <w:rtl/>
        </w:rPr>
        <w:tab/>
      </w:r>
      <w:r w:rsidR="00B63C07">
        <w:rPr>
          <w:rFonts w:hint="cs"/>
          <w:rtl/>
        </w:rPr>
        <w:t>•</w:t>
      </w:r>
      <w:r>
        <w:rPr>
          <w:rtl/>
        </w:rPr>
        <w:tab/>
      </w:r>
      <w:r w:rsidR="00C35CB1" w:rsidRPr="00C35CB1">
        <w:rPr>
          <w:rFonts w:hint="cs"/>
          <w:rtl/>
        </w:rPr>
        <w:t>شمول التعليم الأساسي للجميع؛</w:t>
      </w:r>
    </w:p>
    <w:p w:rsidR="00C35CB1" w:rsidRPr="00C35CB1" w:rsidRDefault="00467A3E" w:rsidP="00B63C07">
      <w:pPr>
        <w:pStyle w:val="SingleTxt"/>
        <w:tabs>
          <w:tab w:val="clear" w:pos="3254"/>
          <w:tab w:val="left" w:pos="2949"/>
        </w:tabs>
        <w:ind w:left="2949" w:hanging="1682"/>
        <w:rPr>
          <w:rFonts w:hint="cs"/>
          <w:rtl/>
        </w:rPr>
      </w:pPr>
      <w:r>
        <w:rPr>
          <w:rFonts w:hint="cs"/>
          <w:rtl/>
        </w:rPr>
        <w:tab/>
      </w:r>
      <w:r>
        <w:rPr>
          <w:rFonts w:hint="cs"/>
          <w:rtl/>
        </w:rPr>
        <w:tab/>
      </w:r>
      <w:r w:rsidR="00B63C07">
        <w:rPr>
          <w:rFonts w:hint="cs"/>
          <w:rtl/>
        </w:rPr>
        <w:t>•</w:t>
      </w:r>
      <w:r>
        <w:rPr>
          <w:rtl/>
        </w:rPr>
        <w:tab/>
      </w:r>
      <w:r w:rsidR="00C35CB1" w:rsidRPr="00C35CB1">
        <w:rPr>
          <w:rFonts w:hint="cs"/>
          <w:rtl/>
        </w:rPr>
        <w:t xml:space="preserve">تحسين جودة التعليم </w:t>
      </w:r>
      <w:r w:rsidR="00D666E0">
        <w:rPr>
          <w:rFonts w:hint="cs"/>
          <w:rtl/>
        </w:rPr>
        <w:t>و</w:t>
      </w:r>
      <w:r w:rsidR="00C35CB1" w:rsidRPr="00C35CB1">
        <w:rPr>
          <w:rFonts w:hint="cs"/>
          <w:rtl/>
        </w:rPr>
        <w:t>ظروف تلقين المعارف؛</w:t>
      </w:r>
    </w:p>
    <w:p w:rsidR="00C35CB1" w:rsidRPr="00C35CB1" w:rsidRDefault="00467A3E" w:rsidP="00B63C07">
      <w:pPr>
        <w:pStyle w:val="SingleTxt"/>
        <w:tabs>
          <w:tab w:val="clear" w:pos="3254"/>
          <w:tab w:val="left" w:pos="2949"/>
        </w:tabs>
        <w:ind w:left="2949" w:hanging="1682"/>
        <w:rPr>
          <w:rFonts w:hint="cs"/>
          <w:rtl/>
        </w:rPr>
      </w:pPr>
      <w:r>
        <w:rPr>
          <w:rFonts w:hint="cs"/>
          <w:rtl/>
        </w:rPr>
        <w:tab/>
      </w:r>
      <w:r>
        <w:rPr>
          <w:rFonts w:hint="cs"/>
          <w:rtl/>
        </w:rPr>
        <w:tab/>
      </w:r>
      <w:r w:rsidR="00B63C07">
        <w:rPr>
          <w:rFonts w:hint="cs"/>
          <w:rtl/>
        </w:rPr>
        <w:t>•</w:t>
      </w:r>
      <w:r>
        <w:rPr>
          <w:rtl/>
        </w:rPr>
        <w:tab/>
      </w:r>
      <w:r w:rsidR="00C35CB1" w:rsidRPr="00C35CB1">
        <w:rPr>
          <w:rFonts w:hint="cs"/>
          <w:rtl/>
        </w:rPr>
        <w:t>تدارك أسباب الانقطاع عن التعليم الخاصة بالفتيات</w:t>
      </w:r>
      <w:r w:rsidR="000A5EC7">
        <w:rPr>
          <w:rFonts w:hint="cs"/>
          <w:rtl/>
        </w:rPr>
        <w:t>،</w:t>
      </w:r>
      <w:r w:rsidR="00C35CB1" w:rsidRPr="00C35CB1">
        <w:rPr>
          <w:rFonts w:hint="cs"/>
          <w:rtl/>
        </w:rPr>
        <w:t xml:space="preserve"> فضلا عن القضاء على الفصل بين الجنسين على مستوى التوجيه الدراسي؛</w:t>
      </w:r>
    </w:p>
    <w:p w:rsidR="00C35CB1" w:rsidRPr="00C35CB1" w:rsidRDefault="00467A3E" w:rsidP="00467A3E">
      <w:pPr>
        <w:pStyle w:val="SingleTxt"/>
        <w:rPr>
          <w:rFonts w:hint="cs"/>
          <w:rtl/>
        </w:rPr>
      </w:pPr>
      <w:r>
        <w:rPr>
          <w:rFonts w:hint="cs"/>
          <w:rtl/>
        </w:rPr>
        <w:tab/>
      </w:r>
      <w:r w:rsidR="00C35CB1" w:rsidRPr="00C35CB1">
        <w:rPr>
          <w:rFonts w:hint="cs"/>
          <w:rtl/>
        </w:rPr>
        <w:t>(ب)</w:t>
      </w:r>
      <w:r>
        <w:rPr>
          <w:rFonts w:hint="cs"/>
          <w:rtl/>
        </w:rPr>
        <w:tab/>
      </w:r>
      <w:r w:rsidR="00C35CB1" w:rsidRPr="00C35CB1">
        <w:rPr>
          <w:rFonts w:hint="cs"/>
          <w:rtl/>
        </w:rPr>
        <w:t>التعليم غير النظامي لتدريب الفتيات خارج النظام الدراسي؛</w:t>
      </w:r>
    </w:p>
    <w:p w:rsidR="00C35CB1" w:rsidRPr="00C35CB1" w:rsidRDefault="00467A3E" w:rsidP="00467A3E">
      <w:pPr>
        <w:pStyle w:val="SingleTxt"/>
        <w:rPr>
          <w:rFonts w:hint="cs"/>
          <w:rtl/>
        </w:rPr>
      </w:pPr>
      <w:r>
        <w:rPr>
          <w:rFonts w:hint="cs"/>
          <w:rtl/>
        </w:rPr>
        <w:tab/>
      </w:r>
      <w:r w:rsidR="00C35CB1" w:rsidRPr="00C35CB1">
        <w:rPr>
          <w:rFonts w:hint="cs"/>
          <w:rtl/>
        </w:rPr>
        <w:t>(ج)</w:t>
      </w:r>
      <w:r>
        <w:rPr>
          <w:rFonts w:hint="cs"/>
          <w:rtl/>
        </w:rPr>
        <w:tab/>
      </w:r>
      <w:r w:rsidR="00C35CB1" w:rsidRPr="00C35CB1">
        <w:rPr>
          <w:rFonts w:hint="cs"/>
          <w:rtl/>
        </w:rPr>
        <w:t xml:space="preserve">تيسير حصول الفتيات على التعليم </w:t>
      </w:r>
      <w:r w:rsidR="00D666E0">
        <w:rPr>
          <w:rFonts w:hint="cs"/>
          <w:rtl/>
        </w:rPr>
        <w:t>و</w:t>
      </w:r>
      <w:r w:rsidR="00C35CB1" w:rsidRPr="00C35CB1">
        <w:rPr>
          <w:rFonts w:hint="cs"/>
          <w:rtl/>
        </w:rPr>
        <w:t xml:space="preserve">تثقيف الأمهات الأميات، </w:t>
      </w:r>
      <w:r w:rsidR="00D666E0">
        <w:rPr>
          <w:rFonts w:hint="cs"/>
          <w:rtl/>
        </w:rPr>
        <w:t>و</w:t>
      </w:r>
      <w:r w:rsidR="006145D0">
        <w:rPr>
          <w:rFonts w:hint="cs"/>
          <w:rtl/>
        </w:rPr>
        <w:t>تحسين ظروف السكان الإ</w:t>
      </w:r>
      <w:r w:rsidR="00C35CB1" w:rsidRPr="00C35CB1">
        <w:rPr>
          <w:rFonts w:hint="cs"/>
          <w:rtl/>
        </w:rPr>
        <w:t>ناث</w:t>
      </w:r>
      <w:r w:rsidR="00416A5F">
        <w:rPr>
          <w:rFonts w:hint="cs"/>
          <w:rtl/>
        </w:rPr>
        <w:t>؛</w:t>
      </w:r>
    </w:p>
    <w:p w:rsidR="00BA462B" w:rsidRDefault="00467A3E" w:rsidP="00467A3E">
      <w:pPr>
        <w:pStyle w:val="SingleTxt"/>
        <w:rPr>
          <w:rFonts w:hint="cs"/>
          <w:rtl/>
        </w:rPr>
      </w:pPr>
      <w:r>
        <w:rPr>
          <w:rFonts w:hint="cs"/>
          <w:rtl/>
        </w:rPr>
        <w:tab/>
      </w:r>
      <w:r w:rsidR="00C35CB1" w:rsidRPr="00C35CB1">
        <w:rPr>
          <w:rFonts w:hint="cs"/>
          <w:rtl/>
        </w:rPr>
        <w:t>(د)</w:t>
      </w:r>
      <w:r>
        <w:rPr>
          <w:rFonts w:hint="cs"/>
          <w:rtl/>
        </w:rPr>
        <w:tab/>
      </w:r>
      <w:r w:rsidR="00C35CB1" w:rsidRPr="00C35CB1">
        <w:rPr>
          <w:rFonts w:hint="cs"/>
          <w:rtl/>
        </w:rPr>
        <w:t xml:space="preserve">إنجاز دراسات </w:t>
      </w:r>
      <w:r w:rsidR="00D666E0">
        <w:rPr>
          <w:rFonts w:hint="cs"/>
          <w:rtl/>
        </w:rPr>
        <w:t>و</w:t>
      </w:r>
      <w:r w:rsidR="00C35CB1" w:rsidRPr="00C35CB1">
        <w:rPr>
          <w:rFonts w:hint="cs"/>
          <w:rtl/>
        </w:rPr>
        <w:t>أبحاث متّصلة على وجه التحديد بتعليم الفتيات.</w:t>
      </w:r>
    </w:p>
    <w:p w:rsidR="00BA462B" w:rsidRDefault="00467A3E" w:rsidP="00C35CB1">
      <w:pPr>
        <w:pStyle w:val="SingleTxt"/>
        <w:rPr>
          <w:rFonts w:hint="cs"/>
          <w:rtl/>
        </w:rPr>
      </w:pPr>
      <w:r>
        <w:rPr>
          <w:rFonts w:hint="cs"/>
          <w:rtl/>
        </w:rPr>
        <w:tab/>
      </w:r>
      <w:r w:rsidR="00C35CB1" w:rsidRPr="00C35CB1">
        <w:rPr>
          <w:rFonts w:hint="cs"/>
          <w:rtl/>
        </w:rPr>
        <w:t xml:space="preserve">على صعيد التعليم النظامي، تم بذل جهود لإدراج عدم التمييز الجنساني في المقررات الدراسية </w:t>
      </w:r>
      <w:r w:rsidR="00D666E0">
        <w:rPr>
          <w:rFonts w:hint="cs"/>
          <w:rtl/>
        </w:rPr>
        <w:t>و</w:t>
      </w:r>
      <w:r w:rsidR="00C35CB1" w:rsidRPr="00C35CB1">
        <w:rPr>
          <w:rFonts w:hint="cs"/>
          <w:rtl/>
        </w:rPr>
        <w:t>في مواد التعليم الداعمة.</w:t>
      </w:r>
    </w:p>
    <w:p w:rsidR="00BA462B" w:rsidRDefault="00467A3E" w:rsidP="00C35CB1">
      <w:pPr>
        <w:pStyle w:val="SingleTxt"/>
        <w:rPr>
          <w:rFonts w:hint="cs"/>
          <w:rtl/>
        </w:rPr>
      </w:pPr>
      <w:r>
        <w:rPr>
          <w:rFonts w:hint="cs"/>
          <w:rtl/>
        </w:rPr>
        <w:tab/>
      </w:r>
      <w:r w:rsidR="00C35CB1" w:rsidRPr="00C35CB1">
        <w:rPr>
          <w:rFonts w:hint="cs"/>
          <w:rtl/>
        </w:rPr>
        <w:t xml:space="preserve">تم تجنيد المسؤولين البيداغوجيين لتسوية المشاكل المحددة المرتبطة بإعادة الإدماج المدرسي للأمهات العازبات الفتية </w:t>
      </w:r>
      <w:r w:rsidR="00D666E0">
        <w:rPr>
          <w:rFonts w:hint="cs"/>
          <w:rtl/>
        </w:rPr>
        <w:t>و</w:t>
      </w:r>
      <w:r w:rsidR="00C35CB1" w:rsidRPr="00C35CB1">
        <w:rPr>
          <w:rFonts w:hint="cs"/>
          <w:rtl/>
        </w:rPr>
        <w:t>لتهيئة الظروف التي تسمح للفتيات بالحصول على نفس التعليم الذي يتم توفيره للأولاد.</w:t>
      </w:r>
    </w:p>
    <w:p w:rsidR="00C35CB1" w:rsidRPr="00C35CB1" w:rsidRDefault="00467A3E" w:rsidP="00C35CB1">
      <w:pPr>
        <w:pStyle w:val="SingleTxt"/>
        <w:rPr>
          <w:rFonts w:hint="cs"/>
          <w:rtl/>
        </w:rPr>
      </w:pPr>
      <w:r>
        <w:rPr>
          <w:rFonts w:hint="cs"/>
          <w:rtl/>
        </w:rPr>
        <w:tab/>
      </w:r>
      <w:r w:rsidR="00D666E0">
        <w:rPr>
          <w:rFonts w:hint="cs"/>
          <w:rtl/>
        </w:rPr>
        <w:t>و</w:t>
      </w:r>
      <w:r w:rsidR="00C35CB1" w:rsidRPr="00C35CB1">
        <w:rPr>
          <w:rFonts w:hint="cs"/>
          <w:rtl/>
        </w:rPr>
        <w:t>على صعيد التعليم غير النظامي، تتوخى خطة العمل الوطني لتعليم الفتيات إنجاز برامج:</w:t>
      </w:r>
    </w:p>
    <w:p w:rsidR="00C35CB1" w:rsidRPr="00C35CB1" w:rsidRDefault="00467A3E" w:rsidP="00467A3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sidR="006145D0">
        <w:rPr>
          <w:rFonts w:hint="cs"/>
          <w:rtl/>
        </w:rPr>
        <w:t>-</w:t>
      </w:r>
      <w:r>
        <w:rPr>
          <w:rFonts w:hint="cs"/>
          <w:rtl/>
        </w:rPr>
        <w:tab/>
      </w:r>
      <w:r w:rsidR="006145D0">
        <w:rPr>
          <w:rFonts w:hint="cs"/>
          <w:rtl/>
        </w:rPr>
        <w:t>لإعادة الإ</w:t>
      </w:r>
      <w:r w:rsidR="00C35CB1" w:rsidRPr="00C35CB1">
        <w:rPr>
          <w:rFonts w:hint="cs"/>
          <w:rtl/>
        </w:rPr>
        <w:t>دماج</w:t>
      </w:r>
      <w:r w:rsidR="0015762F">
        <w:rPr>
          <w:rFonts w:hint="cs"/>
          <w:rtl/>
        </w:rPr>
        <w:t>؛</w:t>
      </w:r>
    </w:p>
    <w:p w:rsidR="00C35CB1" w:rsidRPr="00C35CB1" w:rsidRDefault="00467A3E" w:rsidP="00467A3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sidR="00C35CB1" w:rsidRPr="00C35CB1">
        <w:rPr>
          <w:rFonts w:hint="cs"/>
          <w:rtl/>
        </w:rPr>
        <w:t>-</w:t>
      </w:r>
      <w:r>
        <w:rPr>
          <w:rFonts w:hint="cs"/>
          <w:rtl/>
        </w:rPr>
        <w:tab/>
      </w:r>
      <w:r w:rsidR="00C35CB1" w:rsidRPr="00C35CB1">
        <w:rPr>
          <w:rFonts w:hint="cs"/>
          <w:rtl/>
        </w:rPr>
        <w:t>للإدماج المهني؛</w:t>
      </w:r>
    </w:p>
    <w:p w:rsidR="00BA462B" w:rsidRDefault="00467A3E" w:rsidP="00467A3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sidR="00C35CB1" w:rsidRPr="00C35CB1">
        <w:rPr>
          <w:rFonts w:hint="cs"/>
          <w:rtl/>
        </w:rPr>
        <w:t>-</w:t>
      </w:r>
      <w:r>
        <w:rPr>
          <w:rFonts w:hint="cs"/>
          <w:rtl/>
        </w:rPr>
        <w:tab/>
      </w:r>
      <w:r w:rsidR="00C35CB1" w:rsidRPr="00C35CB1">
        <w:rPr>
          <w:rFonts w:hint="cs"/>
          <w:rtl/>
        </w:rPr>
        <w:t>لخفض</w:t>
      </w:r>
      <w:r w:rsidR="00765A56">
        <w:rPr>
          <w:rFonts w:hint="cs"/>
          <w:rtl/>
        </w:rPr>
        <w:t xml:space="preserve"> </w:t>
      </w:r>
      <w:r w:rsidR="00C35CB1" w:rsidRPr="00C35CB1">
        <w:rPr>
          <w:rFonts w:hint="cs"/>
          <w:rtl/>
        </w:rPr>
        <w:t xml:space="preserve">معدل الأمية في أوساط الإناث بنسبة 15 في المائة </w:t>
      </w:r>
      <w:r w:rsidR="00D666E0">
        <w:rPr>
          <w:rFonts w:hint="cs"/>
          <w:rtl/>
        </w:rPr>
        <w:t>و</w:t>
      </w:r>
      <w:r w:rsidR="00C35CB1" w:rsidRPr="00C35CB1">
        <w:rPr>
          <w:rFonts w:hint="cs"/>
          <w:rtl/>
        </w:rPr>
        <w:t>ترويج التشريع غير التمييزي ضد المرأة.</w:t>
      </w:r>
    </w:p>
    <w:p w:rsidR="00C35CB1" w:rsidRPr="00B63C07" w:rsidRDefault="009328EE" w:rsidP="00C35CB1">
      <w:pPr>
        <w:pStyle w:val="SingleTxt"/>
        <w:rPr>
          <w:rFonts w:hint="cs"/>
          <w:i/>
          <w:iCs/>
          <w:rtl/>
        </w:rPr>
      </w:pPr>
      <w:r w:rsidRPr="00B63C07">
        <w:rPr>
          <w:rFonts w:hint="cs"/>
          <w:i/>
          <w:iCs/>
          <w:rtl/>
        </w:rPr>
        <w:t>النتائج المحرزة</w:t>
      </w:r>
    </w:p>
    <w:p w:rsidR="00BA462B" w:rsidRDefault="009328EE" w:rsidP="009328EE">
      <w:pPr>
        <w:pStyle w:val="SingleTxt"/>
        <w:rPr>
          <w:rFonts w:hint="cs"/>
          <w:rtl/>
        </w:rPr>
      </w:pPr>
      <w:r>
        <w:rPr>
          <w:rFonts w:hint="cs"/>
          <w:rtl/>
        </w:rPr>
        <w:tab/>
      </w:r>
      <w:r w:rsidR="00C35CB1" w:rsidRPr="00C35CB1">
        <w:rPr>
          <w:rFonts w:hint="cs"/>
          <w:rtl/>
        </w:rPr>
        <w:t xml:space="preserve">سمح تنفيذ خطة العمل الوطني لتعليم الفتيات بزيادة عدد الفتيات في المدارس الابتدائية. </w:t>
      </w:r>
      <w:r w:rsidR="00D666E0">
        <w:rPr>
          <w:rFonts w:hint="cs"/>
          <w:rtl/>
        </w:rPr>
        <w:t>و</w:t>
      </w:r>
      <w:r w:rsidR="00C35CB1" w:rsidRPr="00C35CB1">
        <w:rPr>
          <w:rFonts w:hint="cs"/>
          <w:rtl/>
        </w:rPr>
        <w:t xml:space="preserve">إذا كانت الفجوة الفاصلة بين النسبة الإجمالية لتسجيل الأولاد </w:t>
      </w:r>
      <w:r w:rsidR="00D666E0">
        <w:rPr>
          <w:rFonts w:hint="cs"/>
          <w:rtl/>
        </w:rPr>
        <w:t>و</w:t>
      </w:r>
      <w:r w:rsidR="00C35CB1" w:rsidRPr="00C35CB1">
        <w:rPr>
          <w:rFonts w:hint="cs"/>
          <w:rtl/>
        </w:rPr>
        <w:t>الفتيات بالمدارس تبلغ 12 نقطة في الفترة من 1991 و 1996 (</w:t>
      </w:r>
      <w:r>
        <w:rPr>
          <w:rFonts w:hint="cs"/>
          <w:rtl/>
          <w:lang w:val="fr-FR"/>
        </w:rPr>
        <w:t>102.9</w:t>
      </w:r>
      <w:r w:rsidR="00C35CB1" w:rsidRPr="00C35CB1">
        <w:rPr>
          <w:rFonts w:hint="cs"/>
          <w:rtl/>
        </w:rPr>
        <w:t xml:space="preserve"> في المائة مقابل </w:t>
      </w:r>
      <w:r>
        <w:rPr>
          <w:rFonts w:hint="cs"/>
          <w:rtl/>
          <w:lang w:val="fr-FR"/>
        </w:rPr>
        <w:t xml:space="preserve">89.5 </w:t>
      </w:r>
      <w:r w:rsidR="00C35CB1" w:rsidRPr="00C35CB1">
        <w:rPr>
          <w:rFonts w:hint="cs"/>
          <w:rtl/>
        </w:rPr>
        <w:t xml:space="preserve">في المائة )، فهي لم تعد في عام 2001 تتجاوز </w:t>
      </w:r>
      <w:r>
        <w:rPr>
          <w:rFonts w:hint="cs"/>
          <w:rtl/>
          <w:lang w:val="fr-FR"/>
        </w:rPr>
        <w:t>1.6</w:t>
      </w:r>
      <w:r w:rsidR="00C35CB1" w:rsidRPr="00C35CB1">
        <w:rPr>
          <w:rFonts w:hint="cs"/>
          <w:rtl/>
        </w:rPr>
        <w:t xml:space="preserve"> في المائة</w:t>
      </w:r>
      <w:r>
        <w:rPr>
          <w:rFonts w:hint="cs"/>
          <w:rtl/>
        </w:rPr>
        <w:t xml:space="preserve"> </w:t>
      </w:r>
      <w:r w:rsidR="00C35CB1" w:rsidRPr="00C35CB1">
        <w:rPr>
          <w:rFonts w:hint="cs"/>
          <w:rtl/>
        </w:rPr>
        <w:t>(</w:t>
      </w:r>
      <w:r>
        <w:rPr>
          <w:rFonts w:hint="cs"/>
          <w:rtl/>
          <w:lang w:val="fr-FR"/>
        </w:rPr>
        <w:t>117.4</w:t>
      </w:r>
      <w:r w:rsidR="00765A56">
        <w:rPr>
          <w:rFonts w:hint="cs"/>
          <w:rtl/>
          <w:lang w:val="fr-FR"/>
        </w:rPr>
        <w:t xml:space="preserve"> </w:t>
      </w:r>
      <w:r w:rsidR="00C35CB1" w:rsidRPr="00C35CB1">
        <w:rPr>
          <w:rFonts w:hint="cs"/>
          <w:rtl/>
        </w:rPr>
        <w:t xml:space="preserve">في المائة مقابل </w:t>
      </w:r>
      <w:r>
        <w:rPr>
          <w:rFonts w:hint="cs"/>
          <w:rtl/>
          <w:lang w:val="fr-FR"/>
        </w:rPr>
        <w:t>115.8</w:t>
      </w:r>
      <w:r w:rsidR="00C35CB1" w:rsidRPr="00C35CB1">
        <w:rPr>
          <w:rFonts w:hint="cs"/>
          <w:rtl/>
        </w:rPr>
        <w:t xml:space="preserve"> في المائة). </w:t>
      </w:r>
    </w:p>
    <w:p w:rsidR="00BA462B" w:rsidRDefault="009328EE" w:rsidP="006145D0">
      <w:pPr>
        <w:pStyle w:val="SingleTxt"/>
        <w:rPr>
          <w:rFonts w:hint="cs"/>
          <w:rtl/>
        </w:rPr>
      </w:pPr>
      <w:r>
        <w:rPr>
          <w:rFonts w:hint="cs"/>
          <w:rtl/>
        </w:rPr>
        <w:tab/>
      </w:r>
      <w:r w:rsidR="00D666E0">
        <w:rPr>
          <w:rFonts w:hint="cs"/>
          <w:rtl/>
        </w:rPr>
        <w:t>و</w:t>
      </w:r>
      <w:r w:rsidR="00C35CB1" w:rsidRPr="00C35CB1">
        <w:rPr>
          <w:rFonts w:hint="cs"/>
          <w:rtl/>
        </w:rPr>
        <w:t>في التعليم الثانوي</w:t>
      </w:r>
      <w:r w:rsidR="000A5EC7">
        <w:rPr>
          <w:rFonts w:hint="cs"/>
          <w:rtl/>
        </w:rPr>
        <w:t>،</w:t>
      </w:r>
      <w:r w:rsidR="00C35CB1" w:rsidRPr="00C35CB1">
        <w:rPr>
          <w:rFonts w:hint="cs"/>
          <w:rtl/>
        </w:rPr>
        <w:t xml:space="preserve"> تحققت المساواة في عام 2001</w:t>
      </w:r>
      <w:r w:rsidR="0015762F">
        <w:rPr>
          <w:rFonts w:hint="cs"/>
          <w:rtl/>
        </w:rPr>
        <w:t>.</w:t>
      </w:r>
      <w:r w:rsidR="00C35CB1" w:rsidRPr="00C35CB1">
        <w:rPr>
          <w:rFonts w:hint="cs"/>
          <w:rtl/>
        </w:rPr>
        <w:t xml:space="preserve"> بيد أنه ثمة تفاوتات ما</w:t>
      </w:r>
      <w:r w:rsidR="00382E75">
        <w:rPr>
          <w:rFonts w:hint="cs"/>
          <w:rtl/>
        </w:rPr>
        <w:t> </w:t>
      </w:r>
      <w:r w:rsidR="00C35CB1" w:rsidRPr="00C35CB1">
        <w:rPr>
          <w:rFonts w:hint="cs"/>
          <w:rtl/>
        </w:rPr>
        <w:t xml:space="preserve">زالت قائمة على مستوى المقاطعات السابقة، على نحو </w:t>
      </w:r>
      <w:r w:rsidR="006145D0">
        <w:rPr>
          <w:rFonts w:hint="cs"/>
          <w:rtl/>
        </w:rPr>
        <w:t>ما يتبيّن من إ</w:t>
      </w:r>
      <w:r w:rsidR="00C35CB1" w:rsidRPr="00C35CB1">
        <w:rPr>
          <w:rFonts w:hint="cs"/>
          <w:rtl/>
        </w:rPr>
        <w:t>حصاءات المرحلة الأولى من التعليم الثانوي باستثناء العاصمة حيث يتجاوز</w:t>
      </w:r>
      <w:r w:rsidR="006145D0">
        <w:rPr>
          <w:rFonts w:hint="cs"/>
          <w:rtl/>
        </w:rPr>
        <w:t xml:space="preserve"> </w:t>
      </w:r>
      <w:r w:rsidR="00C35CB1" w:rsidRPr="00C35CB1">
        <w:rPr>
          <w:rFonts w:hint="cs"/>
          <w:rtl/>
        </w:rPr>
        <w:t>عدد التلميذات</w:t>
      </w:r>
      <w:r w:rsidR="00765A56">
        <w:rPr>
          <w:rFonts w:hint="cs"/>
          <w:rtl/>
        </w:rPr>
        <w:t xml:space="preserve"> </w:t>
      </w:r>
      <w:r w:rsidR="00C35CB1" w:rsidRPr="00C35CB1">
        <w:rPr>
          <w:rFonts w:hint="cs"/>
          <w:rtl/>
        </w:rPr>
        <w:t>عدد أقرانهن الذكور.</w:t>
      </w:r>
    </w:p>
    <w:p w:rsidR="009328EE" w:rsidRPr="009328EE" w:rsidRDefault="009328EE" w:rsidP="009328EE">
      <w:pPr>
        <w:pStyle w:val="SingleTxt"/>
        <w:spacing w:after="0" w:line="120" w:lineRule="exact"/>
        <w:rPr>
          <w:rFonts w:hint="cs"/>
          <w:sz w:val="10"/>
          <w:rtl/>
        </w:rPr>
      </w:pPr>
    </w:p>
    <w:p w:rsidR="009328EE" w:rsidRDefault="00C35CB1" w:rsidP="009328EE">
      <w:pPr>
        <w:tabs>
          <w:tab w:val="left" w:pos="662"/>
          <w:tab w:val="left" w:pos="1267"/>
          <w:tab w:val="left" w:pos="1987"/>
          <w:tab w:val="left" w:pos="2650"/>
        </w:tabs>
        <w:rPr>
          <w:rFonts w:hint="cs"/>
          <w:rtl/>
        </w:rPr>
      </w:pPr>
      <w:r w:rsidRPr="00C35CB1">
        <w:rPr>
          <w:rFonts w:hint="cs"/>
          <w:rtl/>
        </w:rPr>
        <w:t>الجدول 1</w:t>
      </w:r>
    </w:p>
    <w:p w:rsidR="00C35CB1" w:rsidRPr="00C35CB1" w:rsidRDefault="00C35CB1" w:rsidP="000516B0">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lowKashida"/>
        <w:rPr>
          <w:rFonts w:hint="cs"/>
          <w:rtl/>
        </w:rPr>
      </w:pPr>
      <w:r w:rsidRPr="00C35CB1">
        <w:rPr>
          <w:rFonts w:hint="cs"/>
          <w:rtl/>
        </w:rPr>
        <w:t>جدول مقارن للتكافؤ بين حضور الإناث والذكور في المؤسسات الدراسية في مدغشقر والمقاطعات</w:t>
      </w:r>
      <w:r w:rsidR="001B2BBC">
        <w:rPr>
          <w:rFonts w:hint="cs"/>
          <w:rtl/>
        </w:rPr>
        <w:t> </w:t>
      </w:r>
      <w:r w:rsidRPr="00C35CB1">
        <w:rPr>
          <w:rFonts w:hint="cs"/>
          <w:rtl/>
        </w:rPr>
        <w:t xml:space="preserve">السابقة </w:t>
      </w:r>
    </w:p>
    <w:p w:rsidR="009328EE" w:rsidRPr="009328EE" w:rsidRDefault="009328EE" w:rsidP="009328EE">
      <w:pPr>
        <w:pStyle w:val="SingleTxt"/>
        <w:spacing w:after="0" w:line="120" w:lineRule="exact"/>
        <w:rPr>
          <w:rFonts w:hint="cs"/>
          <w:b/>
          <w:bCs/>
          <w:sz w:val="10"/>
          <w:rtl/>
        </w:rPr>
      </w:pPr>
    </w:p>
    <w:tbl>
      <w:tblPr>
        <w:tblStyle w:val="TableGrid"/>
        <w:bidiVisual/>
        <w:tblW w:w="98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1E0" w:firstRow="1" w:lastRow="1" w:firstColumn="1" w:lastColumn="1" w:noHBand="0" w:noVBand="0"/>
      </w:tblPr>
      <w:tblGrid>
        <w:gridCol w:w="1097"/>
        <w:gridCol w:w="709"/>
        <w:gridCol w:w="6"/>
        <w:gridCol w:w="722"/>
        <w:gridCol w:w="8"/>
        <w:gridCol w:w="585"/>
        <w:gridCol w:w="128"/>
        <w:gridCol w:w="8"/>
        <w:gridCol w:w="805"/>
        <w:gridCol w:w="6"/>
        <w:gridCol w:w="714"/>
        <w:gridCol w:w="6"/>
        <w:gridCol w:w="599"/>
        <w:gridCol w:w="128"/>
        <w:gridCol w:w="8"/>
        <w:gridCol w:w="699"/>
        <w:gridCol w:w="6"/>
        <w:gridCol w:w="714"/>
        <w:gridCol w:w="6"/>
        <w:gridCol w:w="602"/>
        <w:gridCol w:w="117"/>
        <w:gridCol w:w="19"/>
        <w:gridCol w:w="703"/>
        <w:gridCol w:w="10"/>
        <w:gridCol w:w="711"/>
        <w:gridCol w:w="10"/>
        <w:gridCol w:w="717"/>
        <w:gridCol w:w="16"/>
      </w:tblGrid>
      <w:tr w:rsidR="001B2BBC" w:rsidRPr="009328EE">
        <w:trPr>
          <w:cantSplit/>
          <w:jc w:val="center"/>
        </w:trPr>
        <w:tc>
          <w:tcPr>
            <w:tcW w:w="1097" w:type="dxa"/>
            <w:vMerge w:val="restart"/>
            <w:tcBorders>
              <w:top w:val="single" w:sz="4" w:space="0" w:color="auto"/>
            </w:tcBorders>
            <w:shd w:val="clear" w:color="auto" w:fill="auto"/>
            <w:vAlign w:val="bottom"/>
          </w:tcPr>
          <w:p w:rsidR="009328EE" w:rsidRPr="009328EE" w:rsidRDefault="009328EE" w:rsidP="001B2BBC">
            <w:pPr>
              <w:pStyle w:val="SingleTxt"/>
              <w:spacing w:before="60" w:after="60" w:line="240" w:lineRule="exact"/>
              <w:ind w:left="0" w:right="0"/>
              <w:rPr>
                <w:rFonts w:cs="Traditional Arabic" w:hint="cs"/>
                <w:sz w:val="16"/>
                <w:szCs w:val="24"/>
                <w:rtl/>
              </w:rPr>
            </w:pPr>
          </w:p>
        </w:tc>
        <w:tc>
          <w:tcPr>
            <w:tcW w:w="2030" w:type="dxa"/>
            <w:gridSpan w:val="5"/>
            <w:tcBorders>
              <w:top w:val="single" w:sz="4" w:space="0" w:color="auto"/>
              <w:bottom w:val="single" w:sz="4" w:space="0" w:color="auto"/>
            </w:tcBorders>
            <w:shd w:val="clear" w:color="auto" w:fill="auto"/>
            <w:vAlign w:val="bottom"/>
          </w:tcPr>
          <w:p w:rsidR="009328EE" w:rsidRPr="009328EE" w:rsidRDefault="009328EE" w:rsidP="001B2BBC">
            <w:pPr>
              <w:pStyle w:val="SingleTxt"/>
              <w:spacing w:before="60" w:after="60" w:line="240" w:lineRule="exact"/>
              <w:ind w:left="0" w:right="0"/>
              <w:jc w:val="center"/>
              <w:rPr>
                <w:rFonts w:cs="Traditional Arabic" w:hint="cs"/>
                <w:sz w:val="16"/>
                <w:szCs w:val="24"/>
                <w:rtl/>
              </w:rPr>
            </w:pPr>
            <w:r w:rsidRPr="009328EE">
              <w:rPr>
                <w:rFonts w:cs="Traditional Arabic" w:hint="cs"/>
                <w:sz w:val="16"/>
                <w:szCs w:val="24"/>
                <w:rtl/>
              </w:rPr>
              <w:t>1997-1998</w:t>
            </w:r>
          </w:p>
        </w:tc>
        <w:tc>
          <w:tcPr>
            <w:tcW w:w="136" w:type="dxa"/>
            <w:gridSpan w:val="2"/>
            <w:tcBorders>
              <w:top w:val="single" w:sz="4" w:space="0" w:color="auto"/>
            </w:tcBorders>
            <w:shd w:val="clear" w:color="auto" w:fill="auto"/>
            <w:vAlign w:val="bottom"/>
          </w:tcPr>
          <w:p w:rsidR="009328EE" w:rsidRPr="009328EE" w:rsidRDefault="009328EE" w:rsidP="001B2BBC">
            <w:pPr>
              <w:pStyle w:val="SingleTxt"/>
              <w:spacing w:before="60" w:after="60" w:line="240" w:lineRule="exact"/>
              <w:ind w:left="0" w:right="0"/>
              <w:jc w:val="center"/>
              <w:rPr>
                <w:rFonts w:hint="cs"/>
                <w:sz w:val="16"/>
                <w:szCs w:val="24"/>
                <w:rtl/>
              </w:rPr>
            </w:pPr>
          </w:p>
        </w:tc>
        <w:tc>
          <w:tcPr>
            <w:tcW w:w="2130" w:type="dxa"/>
            <w:gridSpan w:val="5"/>
            <w:tcBorders>
              <w:top w:val="single" w:sz="4" w:space="0" w:color="auto"/>
              <w:bottom w:val="single" w:sz="4" w:space="0" w:color="auto"/>
            </w:tcBorders>
            <w:shd w:val="clear" w:color="auto" w:fill="auto"/>
            <w:vAlign w:val="bottom"/>
          </w:tcPr>
          <w:p w:rsidR="009328EE" w:rsidRPr="009328EE" w:rsidRDefault="009328EE" w:rsidP="001B2BBC">
            <w:pPr>
              <w:pStyle w:val="SingleTxt"/>
              <w:spacing w:before="60" w:after="60" w:line="240" w:lineRule="exact"/>
              <w:ind w:left="0" w:right="0"/>
              <w:jc w:val="center"/>
              <w:rPr>
                <w:rFonts w:cs="Traditional Arabic" w:hint="cs"/>
                <w:sz w:val="16"/>
                <w:szCs w:val="24"/>
                <w:rtl/>
              </w:rPr>
            </w:pPr>
            <w:r w:rsidRPr="009328EE">
              <w:rPr>
                <w:rFonts w:cs="Traditional Arabic" w:hint="cs"/>
                <w:sz w:val="16"/>
                <w:szCs w:val="24"/>
                <w:rtl/>
              </w:rPr>
              <w:t>1998-1999</w:t>
            </w:r>
          </w:p>
        </w:tc>
        <w:tc>
          <w:tcPr>
            <w:tcW w:w="136" w:type="dxa"/>
            <w:gridSpan w:val="2"/>
            <w:tcBorders>
              <w:top w:val="single" w:sz="4" w:space="0" w:color="auto"/>
            </w:tcBorders>
            <w:shd w:val="clear" w:color="auto" w:fill="auto"/>
            <w:vAlign w:val="bottom"/>
          </w:tcPr>
          <w:p w:rsidR="009328EE" w:rsidRPr="009328EE" w:rsidRDefault="009328EE" w:rsidP="001B2BBC">
            <w:pPr>
              <w:pStyle w:val="SingleTxt"/>
              <w:spacing w:before="60" w:after="60" w:line="240" w:lineRule="exact"/>
              <w:ind w:left="0" w:right="0"/>
              <w:jc w:val="center"/>
              <w:rPr>
                <w:rFonts w:hint="cs"/>
                <w:sz w:val="16"/>
                <w:szCs w:val="24"/>
                <w:rtl/>
              </w:rPr>
            </w:pPr>
          </w:p>
        </w:tc>
        <w:tc>
          <w:tcPr>
            <w:tcW w:w="2027" w:type="dxa"/>
            <w:gridSpan w:val="5"/>
            <w:tcBorders>
              <w:top w:val="single" w:sz="4" w:space="0" w:color="auto"/>
              <w:bottom w:val="single" w:sz="4" w:space="0" w:color="auto"/>
            </w:tcBorders>
            <w:shd w:val="clear" w:color="auto" w:fill="auto"/>
            <w:vAlign w:val="bottom"/>
          </w:tcPr>
          <w:p w:rsidR="009328EE" w:rsidRPr="009328EE" w:rsidRDefault="009328EE" w:rsidP="001B2BBC">
            <w:pPr>
              <w:pStyle w:val="SingleTxt"/>
              <w:spacing w:before="60" w:after="60" w:line="240" w:lineRule="exact"/>
              <w:ind w:left="0" w:right="0"/>
              <w:jc w:val="center"/>
              <w:rPr>
                <w:rFonts w:cs="Traditional Arabic" w:hint="cs"/>
                <w:sz w:val="16"/>
                <w:szCs w:val="24"/>
                <w:rtl/>
              </w:rPr>
            </w:pPr>
            <w:r w:rsidRPr="009328EE">
              <w:rPr>
                <w:rFonts w:cs="Traditional Arabic" w:hint="cs"/>
                <w:sz w:val="16"/>
                <w:szCs w:val="24"/>
                <w:rtl/>
              </w:rPr>
              <w:t>1999-2000</w:t>
            </w:r>
          </w:p>
        </w:tc>
        <w:tc>
          <w:tcPr>
            <w:tcW w:w="136" w:type="dxa"/>
            <w:gridSpan w:val="2"/>
            <w:tcBorders>
              <w:top w:val="single" w:sz="4" w:space="0" w:color="auto"/>
            </w:tcBorders>
            <w:shd w:val="clear" w:color="auto" w:fill="auto"/>
            <w:vAlign w:val="bottom"/>
          </w:tcPr>
          <w:p w:rsidR="009328EE" w:rsidRPr="009328EE" w:rsidRDefault="009328EE" w:rsidP="001B2BBC">
            <w:pPr>
              <w:pStyle w:val="SingleTxt"/>
              <w:spacing w:before="60" w:after="60" w:line="240" w:lineRule="exact"/>
              <w:ind w:left="0" w:right="0"/>
              <w:jc w:val="center"/>
              <w:rPr>
                <w:rFonts w:hint="cs"/>
                <w:sz w:val="16"/>
                <w:szCs w:val="24"/>
                <w:rtl/>
              </w:rPr>
            </w:pPr>
          </w:p>
        </w:tc>
        <w:tc>
          <w:tcPr>
            <w:tcW w:w="2167" w:type="dxa"/>
            <w:gridSpan w:val="6"/>
            <w:tcBorders>
              <w:top w:val="single" w:sz="4" w:space="0" w:color="auto"/>
              <w:bottom w:val="single" w:sz="4" w:space="0" w:color="auto"/>
            </w:tcBorders>
            <w:shd w:val="clear" w:color="auto" w:fill="auto"/>
            <w:vAlign w:val="bottom"/>
          </w:tcPr>
          <w:p w:rsidR="009328EE" w:rsidRPr="009328EE" w:rsidRDefault="009328EE" w:rsidP="001B2BBC">
            <w:pPr>
              <w:pStyle w:val="SingleTxt"/>
              <w:spacing w:before="60" w:after="60" w:line="240" w:lineRule="exact"/>
              <w:ind w:left="0" w:right="0"/>
              <w:jc w:val="center"/>
              <w:rPr>
                <w:rFonts w:cs="Traditional Arabic" w:hint="cs"/>
                <w:sz w:val="16"/>
                <w:szCs w:val="24"/>
                <w:rtl/>
              </w:rPr>
            </w:pPr>
            <w:r w:rsidRPr="009328EE">
              <w:rPr>
                <w:rFonts w:cs="Traditional Arabic" w:hint="cs"/>
                <w:sz w:val="16"/>
                <w:szCs w:val="24"/>
                <w:rtl/>
              </w:rPr>
              <w:t>2001</w:t>
            </w:r>
          </w:p>
        </w:tc>
      </w:tr>
      <w:tr w:rsidR="001B2BBC" w:rsidRPr="009328EE">
        <w:trPr>
          <w:cantSplit/>
          <w:jc w:val="center"/>
        </w:trPr>
        <w:tc>
          <w:tcPr>
            <w:tcW w:w="1097" w:type="dxa"/>
            <w:vMerge/>
            <w:tcBorders>
              <w:bottom w:val="single" w:sz="12" w:space="0" w:color="auto"/>
            </w:tcBorders>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p>
        </w:tc>
        <w:tc>
          <w:tcPr>
            <w:tcW w:w="715" w:type="dxa"/>
            <w:gridSpan w:val="2"/>
            <w:tcBorders>
              <w:bottom w:val="single" w:sz="12" w:space="0" w:color="auto"/>
            </w:tcBorders>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r w:rsidRPr="009328EE">
              <w:rPr>
                <w:rFonts w:cs="Traditional Arabic" w:hint="cs"/>
                <w:sz w:val="16"/>
                <w:szCs w:val="24"/>
                <w:rtl/>
              </w:rPr>
              <w:t>ذكور</w:t>
            </w:r>
          </w:p>
        </w:tc>
        <w:tc>
          <w:tcPr>
            <w:tcW w:w="730" w:type="dxa"/>
            <w:gridSpan w:val="2"/>
            <w:tcBorders>
              <w:bottom w:val="single" w:sz="12" w:space="0" w:color="auto"/>
            </w:tcBorders>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r w:rsidRPr="009328EE">
              <w:rPr>
                <w:rFonts w:cs="Traditional Arabic" w:hint="cs"/>
                <w:sz w:val="16"/>
                <w:szCs w:val="24"/>
                <w:rtl/>
              </w:rPr>
              <w:t>إناث</w:t>
            </w:r>
          </w:p>
        </w:tc>
        <w:tc>
          <w:tcPr>
            <w:tcW w:w="721" w:type="dxa"/>
            <w:gridSpan w:val="3"/>
            <w:tcBorders>
              <w:bottom w:val="single" w:sz="12" w:space="0" w:color="auto"/>
            </w:tcBorders>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r w:rsidRPr="009328EE">
              <w:rPr>
                <w:rFonts w:cs="Traditional Arabic" w:hint="cs"/>
                <w:sz w:val="16"/>
                <w:szCs w:val="24"/>
                <w:rtl/>
              </w:rPr>
              <w:t>النسبة</w:t>
            </w:r>
          </w:p>
        </w:tc>
        <w:tc>
          <w:tcPr>
            <w:tcW w:w="811" w:type="dxa"/>
            <w:gridSpan w:val="2"/>
            <w:tcBorders>
              <w:bottom w:val="single" w:sz="12" w:space="0" w:color="auto"/>
            </w:tcBorders>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r w:rsidRPr="009328EE">
              <w:rPr>
                <w:rFonts w:cs="Traditional Arabic" w:hint="cs"/>
                <w:sz w:val="16"/>
                <w:szCs w:val="24"/>
                <w:rtl/>
              </w:rPr>
              <w:t>ذكور</w:t>
            </w:r>
          </w:p>
        </w:tc>
        <w:tc>
          <w:tcPr>
            <w:tcW w:w="720" w:type="dxa"/>
            <w:gridSpan w:val="2"/>
            <w:tcBorders>
              <w:bottom w:val="single" w:sz="12" w:space="0" w:color="auto"/>
            </w:tcBorders>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r w:rsidRPr="009328EE">
              <w:rPr>
                <w:rFonts w:cs="Traditional Arabic" w:hint="cs"/>
                <w:sz w:val="16"/>
                <w:szCs w:val="24"/>
                <w:rtl/>
              </w:rPr>
              <w:t>إناث</w:t>
            </w:r>
          </w:p>
        </w:tc>
        <w:tc>
          <w:tcPr>
            <w:tcW w:w="735" w:type="dxa"/>
            <w:gridSpan w:val="3"/>
            <w:tcBorders>
              <w:bottom w:val="single" w:sz="12" w:space="0" w:color="auto"/>
            </w:tcBorders>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r w:rsidRPr="009328EE">
              <w:rPr>
                <w:rFonts w:cs="Traditional Arabic" w:hint="cs"/>
                <w:sz w:val="16"/>
                <w:szCs w:val="24"/>
                <w:rtl/>
              </w:rPr>
              <w:t>النسبة</w:t>
            </w:r>
          </w:p>
        </w:tc>
        <w:tc>
          <w:tcPr>
            <w:tcW w:w="705" w:type="dxa"/>
            <w:gridSpan w:val="2"/>
            <w:tcBorders>
              <w:bottom w:val="single" w:sz="12" w:space="0" w:color="auto"/>
            </w:tcBorders>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r w:rsidRPr="009328EE">
              <w:rPr>
                <w:rFonts w:cs="Traditional Arabic" w:hint="cs"/>
                <w:sz w:val="16"/>
                <w:szCs w:val="24"/>
                <w:rtl/>
              </w:rPr>
              <w:t>ذكور</w:t>
            </w:r>
          </w:p>
        </w:tc>
        <w:tc>
          <w:tcPr>
            <w:tcW w:w="720" w:type="dxa"/>
            <w:gridSpan w:val="2"/>
            <w:tcBorders>
              <w:bottom w:val="single" w:sz="12" w:space="0" w:color="auto"/>
            </w:tcBorders>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r w:rsidRPr="009328EE">
              <w:rPr>
                <w:rFonts w:cs="Traditional Arabic" w:hint="cs"/>
                <w:sz w:val="16"/>
                <w:szCs w:val="24"/>
                <w:rtl/>
              </w:rPr>
              <w:t>إناث</w:t>
            </w:r>
          </w:p>
        </w:tc>
        <w:tc>
          <w:tcPr>
            <w:tcW w:w="738" w:type="dxa"/>
            <w:gridSpan w:val="3"/>
            <w:tcBorders>
              <w:bottom w:val="single" w:sz="12" w:space="0" w:color="auto"/>
            </w:tcBorders>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r w:rsidRPr="009328EE">
              <w:rPr>
                <w:rFonts w:cs="Traditional Arabic" w:hint="cs"/>
                <w:sz w:val="16"/>
                <w:szCs w:val="24"/>
                <w:rtl/>
              </w:rPr>
              <w:t>النسبة</w:t>
            </w:r>
          </w:p>
        </w:tc>
        <w:tc>
          <w:tcPr>
            <w:tcW w:w="713" w:type="dxa"/>
            <w:gridSpan w:val="2"/>
            <w:tcBorders>
              <w:top w:val="single" w:sz="4" w:space="0" w:color="auto"/>
              <w:bottom w:val="single" w:sz="12" w:space="0" w:color="auto"/>
            </w:tcBorders>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r w:rsidRPr="009328EE">
              <w:rPr>
                <w:rFonts w:cs="Traditional Arabic" w:hint="cs"/>
                <w:sz w:val="16"/>
                <w:szCs w:val="24"/>
                <w:rtl/>
              </w:rPr>
              <w:t>ذكور</w:t>
            </w:r>
          </w:p>
        </w:tc>
        <w:tc>
          <w:tcPr>
            <w:tcW w:w="721" w:type="dxa"/>
            <w:gridSpan w:val="2"/>
            <w:tcBorders>
              <w:top w:val="single" w:sz="4" w:space="0" w:color="auto"/>
              <w:bottom w:val="single" w:sz="12" w:space="0" w:color="auto"/>
            </w:tcBorders>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r w:rsidRPr="009328EE">
              <w:rPr>
                <w:rFonts w:cs="Traditional Arabic" w:hint="cs"/>
                <w:sz w:val="16"/>
                <w:szCs w:val="24"/>
                <w:rtl/>
              </w:rPr>
              <w:t>إناث</w:t>
            </w:r>
          </w:p>
        </w:tc>
        <w:tc>
          <w:tcPr>
            <w:tcW w:w="733" w:type="dxa"/>
            <w:gridSpan w:val="2"/>
            <w:tcBorders>
              <w:top w:val="single" w:sz="4" w:space="0" w:color="auto"/>
              <w:bottom w:val="single" w:sz="12" w:space="0" w:color="auto"/>
            </w:tcBorders>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r w:rsidRPr="009328EE">
              <w:rPr>
                <w:rFonts w:cs="Traditional Arabic" w:hint="cs"/>
                <w:sz w:val="16"/>
                <w:szCs w:val="24"/>
                <w:rtl/>
              </w:rPr>
              <w:t>النسبة</w:t>
            </w:r>
          </w:p>
        </w:tc>
      </w:tr>
      <w:tr w:rsidR="009328EE" w:rsidRPr="009328EE">
        <w:trPr>
          <w:gridAfter w:val="1"/>
          <w:wAfter w:w="16" w:type="dxa"/>
          <w:cantSplit/>
          <w:jc w:val="center"/>
        </w:trPr>
        <w:tc>
          <w:tcPr>
            <w:tcW w:w="1097" w:type="dxa"/>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r w:rsidRPr="009328EE">
              <w:rPr>
                <w:rFonts w:cs="Traditional Arabic" w:hint="cs"/>
                <w:sz w:val="16"/>
                <w:szCs w:val="24"/>
                <w:rtl/>
              </w:rPr>
              <w:t>مدغشقر</w:t>
            </w:r>
          </w:p>
        </w:tc>
        <w:tc>
          <w:tcPr>
            <w:tcW w:w="709" w:type="dxa"/>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r w:rsidRPr="009328EE">
              <w:rPr>
                <w:rFonts w:cs="Traditional Arabic" w:hint="cs"/>
                <w:sz w:val="16"/>
                <w:szCs w:val="24"/>
                <w:rtl/>
              </w:rPr>
              <w:t>19.4</w:t>
            </w:r>
          </w:p>
        </w:tc>
        <w:tc>
          <w:tcPr>
            <w:tcW w:w="728" w:type="dxa"/>
            <w:gridSpan w:val="2"/>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r w:rsidRPr="009328EE">
              <w:rPr>
                <w:rFonts w:cs="Traditional Arabic" w:hint="cs"/>
                <w:sz w:val="16"/>
                <w:szCs w:val="24"/>
                <w:rtl/>
              </w:rPr>
              <w:t>16.2</w:t>
            </w:r>
          </w:p>
        </w:tc>
        <w:tc>
          <w:tcPr>
            <w:tcW w:w="721" w:type="dxa"/>
            <w:gridSpan w:val="3"/>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r w:rsidRPr="009328EE">
              <w:rPr>
                <w:rFonts w:cs="Traditional Arabic" w:hint="cs"/>
                <w:sz w:val="16"/>
                <w:szCs w:val="24"/>
                <w:rtl/>
              </w:rPr>
              <w:t>1.0</w:t>
            </w:r>
          </w:p>
        </w:tc>
        <w:tc>
          <w:tcPr>
            <w:tcW w:w="813" w:type="dxa"/>
            <w:gridSpan w:val="2"/>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r w:rsidRPr="009328EE">
              <w:rPr>
                <w:rFonts w:cs="Traditional Arabic" w:hint="cs"/>
                <w:sz w:val="16"/>
                <w:szCs w:val="24"/>
                <w:rtl/>
              </w:rPr>
              <w:t>19.8</w:t>
            </w:r>
          </w:p>
        </w:tc>
        <w:tc>
          <w:tcPr>
            <w:tcW w:w="720" w:type="dxa"/>
            <w:gridSpan w:val="2"/>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r w:rsidRPr="009328EE">
              <w:rPr>
                <w:rFonts w:cs="Traditional Arabic" w:hint="cs"/>
                <w:sz w:val="16"/>
                <w:szCs w:val="24"/>
                <w:rtl/>
              </w:rPr>
              <w:t>19.9</w:t>
            </w:r>
          </w:p>
        </w:tc>
        <w:tc>
          <w:tcPr>
            <w:tcW w:w="733" w:type="dxa"/>
            <w:gridSpan w:val="3"/>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r w:rsidRPr="009328EE">
              <w:rPr>
                <w:rFonts w:cs="Traditional Arabic" w:hint="cs"/>
                <w:sz w:val="16"/>
                <w:szCs w:val="24"/>
                <w:rtl/>
              </w:rPr>
              <w:t>1.0</w:t>
            </w:r>
          </w:p>
        </w:tc>
        <w:tc>
          <w:tcPr>
            <w:tcW w:w="707" w:type="dxa"/>
            <w:gridSpan w:val="2"/>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r w:rsidRPr="009328EE">
              <w:rPr>
                <w:rFonts w:cs="Traditional Arabic" w:hint="cs"/>
                <w:sz w:val="16"/>
                <w:szCs w:val="24"/>
                <w:rtl/>
              </w:rPr>
              <w:t>20.4</w:t>
            </w:r>
          </w:p>
        </w:tc>
        <w:tc>
          <w:tcPr>
            <w:tcW w:w="720" w:type="dxa"/>
            <w:gridSpan w:val="2"/>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r w:rsidRPr="009328EE">
              <w:rPr>
                <w:rFonts w:cs="Traditional Arabic" w:hint="cs"/>
                <w:sz w:val="16"/>
                <w:szCs w:val="24"/>
                <w:rtl/>
              </w:rPr>
              <w:t>20.3</w:t>
            </w:r>
          </w:p>
        </w:tc>
        <w:tc>
          <w:tcPr>
            <w:tcW w:w="725" w:type="dxa"/>
            <w:gridSpan w:val="3"/>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r w:rsidRPr="009328EE">
              <w:rPr>
                <w:rFonts w:cs="Traditional Arabic" w:hint="cs"/>
                <w:sz w:val="16"/>
                <w:szCs w:val="24"/>
                <w:rtl/>
              </w:rPr>
              <w:t>1.0</w:t>
            </w:r>
          </w:p>
        </w:tc>
        <w:tc>
          <w:tcPr>
            <w:tcW w:w="722" w:type="dxa"/>
            <w:gridSpan w:val="2"/>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r w:rsidRPr="009328EE">
              <w:rPr>
                <w:rFonts w:cs="Traditional Arabic" w:hint="cs"/>
                <w:sz w:val="16"/>
                <w:szCs w:val="24"/>
                <w:rtl/>
              </w:rPr>
              <w:t>21.8</w:t>
            </w:r>
          </w:p>
        </w:tc>
        <w:tc>
          <w:tcPr>
            <w:tcW w:w="721" w:type="dxa"/>
            <w:gridSpan w:val="2"/>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r w:rsidRPr="009328EE">
              <w:rPr>
                <w:rFonts w:cs="Traditional Arabic" w:hint="cs"/>
                <w:sz w:val="16"/>
                <w:szCs w:val="24"/>
                <w:rtl/>
              </w:rPr>
              <w:t>21.8</w:t>
            </w:r>
          </w:p>
        </w:tc>
        <w:tc>
          <w:tcPr>
            <w:tcW w:w="727" w:type="dxa"/>
            <w:gridSpan w:val="2"/>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r w:rsidRPr="009328EE">
              <w:rPr>
                <w:rFonts w:cs="Traditional Arabic" w:hint="cs"/>
                <w:sz w:val="16"/>
                <w:szCs w:val="24"/>
                <w:rtl/>
              </w:rPr>
              <w:t>1.0</w:t>
            </w:r>
          </w:p>
        </w:tc>
      </w:tr>
      <w:tr w:rsidR="009328EE" w:rsidRPr="009328EE">
        <w:trPr>
          <w:gridAfter w:val="1"/>
          <w:wAfter w:w="16" w:type="dxa"/>
          <w:cantSplit/>
          <w:jc w:val="center"/>
        </w:trPr>
        <w:tc>
          <w:tcPr>
            <w:tcW w:w="1097" w:type="dxa"/>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r w:rsidRPr="009328EE">
              <w:rPr>
                <w:rFonts w:cs="Traditional Arabic" w:hint="cs"/>
                <w:sz w:val="16"/>
                <w:szCs w:val="24"/>
                <w:rtl/>
              </w:rPr>
              <w:t>انتاناناريفو</w:t>
            </w:r>
          </w:p>
        </w:tc>
        <w:tc>
          <w:tcPr>
            <w:tcW w:w="709" w:type="dxa"/>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r w:rsidRPr="009328EE">
              <w:rPr>
                <w:rFonts w:cs="Traditional Arabic" w:hint="cs"/>
                <w:sz w:val="16"/>
                <w:szCs w:val="24"/>
                <w:rtl/>
              </w:rPr>
              <w:t>26.4</w:t>
            </w:r>
          </w:p>
        </w:tc>
        <w:tc>
          <w:tcPr>
            <w:tcW w:w="728" w:type="dxa"/>
            <w:gridSpan w:val="2"/>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r w:rsidRPr="009328EE">
              <w:rPr>
                <w:rFonts w:cs="Traditional Arabic" w:hint="cs"/>
                <w:sz w:val="16"/>
                <w:szCs w:val="24"/>
                <w:rtl/>
              </w:rPr>
              <w:t>31</w:t>
            </w:r>
            <w:r w:rsidR="000A5EC7">
              <w:rPr>
                <w:rFonts w:cs="Traditional Arabic" w:hint="cs"/>
                <w:sz w:val="16"/>
                <w:szCs w:val="24"/>
                <w:rtl/>
              </w:rPr>
              <w:t>.</w:t>
            </w:r>
            <w:r w:rsidRPr="009328EE">
              <w:rPr>
                <w:rFonts w:cs="Traditional Arabic" w:hint="cs"/>
                <w:sz w:val="16"/>
                <w:szCs w:val="24"/>
                <w:rtl/>
              </w:rPr>
              <w:t>7</w:t>
            </w:r>
          </w:p>
        </w:tc>
        <w:tc>
          <w:tcPr>
            <w:tcW w:w="721" w:type="dxa"/>
            <w:gridSpan w:val="3"/>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r w:rsidRPr="009328EE">
              <w:rPr>
                <w:rFonts w:cs="Traditional Arabic" w:hint="cs"/>
                <w:sz w:val="16"/>
                <w:szCs w:val="24"/>
                <w:rtl/>
              </w:rPr>
              <w:t>1.2</w:t>
            </w:r>
          </w:p>
        </w:tc>
        <w:tc>
          <w:tcPr>
            <w:tcW w:w="813" w:type="dxa"/>
            <w:gridSpan w:val="2"/>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r w:rsidRPr="009328EE">
              <w:rPr>
                <w:rFonts w:cs="Traditional Arabic" w:hint="cs"/>
                <w:sz w:val="16"/>
                <w:szCs w:val="24"/>
                <w:rtl/>
              </w:rPr>
              <w:t>26.6</w:t>
            </w:r>
          </w:p>
        </w:tc>
        <w:tc>
          <w:tcPr>
            <w:tcW w:w="720" w:type="dxa"/>
            <w:gridSpan w:val="2"/>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r w:rsidRPr="009328EE">
              <w:rPr>
                <w:rFonts w:cs="Traditional Arabic" w:hint="cs"/>
                <w:sz w:val="16"/>
                <w:szCs w:val="24"/>
                <w:rtl/>
              </w:rPr>
              <w:t>31.6</w:t>
            </w:r>
          </w:p>
        </w:tc>
        <w:tc>
          <w:tcPr>
            <w:tcW w:w="733" w:type="dxa"/>
            <w:gridSpan w:val="3"/>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r w:rsidRPr="009328EE">
              <w:rPr>
                <w:rFonts w:cs="Traditional Arabic" w:hint="cs"/>
                <w:sz w:val="16"/>
                <w:szCs w:val="24"/>
                <w:rtl/>
              </w:rPr>
              <w:t>1.2</w:t>
            </w:r>
          </w:p>
        </w:tc>
        <w:tc>
          <w:tcPr>
            <w:tcW w:w="707" w:type="dxa"/>
            <w:gridSpan w:val="2"/>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r w:rsidRPr="009328EE">
              <w:rPr>
                <w:rFonts w:cs="Traditional Arabic" w:hint="cs"/>
                <w:sz w:val="16"/>
                <w:szCs w:val="24"/>
                <w:rtl/>
              </w:rPr>
              <w:t>27.5</w:t>
            </w:r>
          </w:p>
        </w:tc>
        <w:tc>
          <w:tcPr>
            <w:tcW w:w="720" w:type="dxa"/>
            <w:gridSpan w:val="2"/>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r w:rsidRPr="009328EE">
              <w:rPr>
                <w:rFonts w:cs="Traditional Arabic" w:hint="cs"/>
                <w:sz w:val="16"/>
                <w:szCs w:val="24"/>
                <w:rtl/>
              </w:rPr>
              <w:t>32.5</w:t>
            </w:r>
          </w:p>
        </w:tc>
        <w:tc>
          <w:tcPr>
            <w:tcW w:w="725" w:type="dxa"/>
            <w:gridSpan w:val="3"/>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r w:rsidRPr="009328EE">
              <w:rPr>
                <w:rFonts w:cs="Traditional Arabic" w:hint="cs"/>
                <w:sz w:val="16"/>
                <w:szCs w:val="24"/>
                <w:rtl/>
              </w:rPr>
              <w:t>1.2</w:t>
            </w:r>
          </w:p>
        </w:tc>
        <w:tc>
          <w:tcPr>
            <w:tcW w:w="722" w:type="dxa"/>
            <w:gridSpan w:val="2"/>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r w:rsidRPr="009328EE">
              <w:rPr>
                <w:rFonts w:cs="Traditional Arabic" w:hint="cs"/>
                <w:sz w:val="16"/>
                <w:szCs w:val="24"/>
                <w:rtl/>
              </w:rPr>
              <w:t>29.3</w:t>
            </w:r>
          </w:p>
        </w:tc>
        <w:tc>
          <w:tcPr>
            <w:tcW w:w="721" w:type="dxa"/>
            <w:gridSpan w:val="2"/>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r w:rsidRPr="009328EE">
              <w:rPr>
                <w:rFonts w:cs="Traditional Arabic" w:hint="cs"/>
                <w:sz w:val="16"/>
                <w:szCs w:val="24"/>
                <w:rtl/>
              </w:rPr>
              <w:t>34.7</w:t>
            </w:r>
          </w:p>
        </w:tc>
        <w:tc>
          <w:tcPr>
            <w:tcW w:w="727" w:type="dxa"/>
            <w:gridSpan w:val="2"/>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r w:rsidRPr="009328EE">
              <w:rPr>
                <w:rFonts w:cs="Traditional Arabic" w:hint="cs"/>
                <w:sz w:val="16"/>
                <w:szCs w:val="24"/>
                <w:rtl/>
              </w:rPr>
              <w:t>1.2</w:t>
            </w:r>
          </w:p>
        </w:tc>
      </w:tr>
      <w:tr w:rsidR="009328EE" w:rsidRPr="009328EE">
        <w:trPr>
          <w:gridAfter w:val="1"/>
          <w:wAfter w:w="16" w:type="dxa"/>
          <w:cantSplit/>
          <w:jc w:val="center"/>
        </w:trPr>
        <w:tc>
          <w:tcPr>
            <w:tcW w:w="1097" w:type="dxa"/>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r w:rsidRPr="009328EE">
              <w:rPr>
                <w:rFonts w:cs="Traditional Arabic" w:hint="cs"/>
                <w:sz w:val="16"/>
                <w:szCs w:val="24"/>
                <w:rtl/>
              </w:rPr>
              <w:t>انتسيرانانا</w:t>
            </w:r>
          </w:p>
        </w:tc>
        <w:tc>
          <w:tcPr>
            <w:tcW w:w="709" w:type="dxa"/>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r w:rsidRPr="009328EE">
              <w:rPr>
                <w:rFonts w:cs="Traditional Arabic" w:hint="cs"/>
                <w:sz w:val="16"/>
                <w:szCs w:val="24"/>
                <w:rtl/>
              </w:rPr>
              <w:t>26.4</w:t>
            </w:r>
          </w:p>
        </w:tc>
        <w:tc>
          <w:tcPr>
            <w:tcW w:w="728" w:type="dxa"/>
            <w:gridSpan w:val="2"/>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r w:rsidRPr="009328EE">
              <w:rPr>
                <w:rFonts w:cs="Traditional Arabic" w:hint="cs"/>
                <w:sz w:val="16"/>
                <w:szCs w:val="24"/>
                <w:rtl/>
              </w:rPr>
              <w:t>22.1</w:t>
            </w:r>
          </w:p>
        </w:tc>
        <w:tc>
          <w:tcPr>
            <w:tcW w:w="721" w:type="dxa"/>
            <w:gridSpan w:val="3"/>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r w:rsidRPr="009328EE">
              <w:rPr>
                <w:rFonts w:cs="Traditional Arabic" w:hint="cs"/>
                <w:sz w:val="16"/>
                <w:szCs w:val="24"/>
                <w:rtl/>
              </w:rPr>
              <w:t>0.9</w:t>
            </w:r>
          </w:p>
        </w:tc>
        <w:tc>
          <w:tcPr>
            <w:tcW w:w="813" w:type="dxa"/>
            <w:gridSpan w:val="2"/>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r w:rsidRPr="009328EE">
              <w:rPr>
                <w:rFonts w:cs="Traditional Arabic" w:hint="cs"/>
                <w:sz w:val="16"/>
                <w:szCs w:val="24"/>
                <w:rtl/>
              </w:rPr>
              <w:t>21.3</w:t>
            </w:r>
          </w:p>
        </w:tc>
        <w:tc>
          <w:tcPr>
            <w:tcW w:w="720" w:type="dxa"/>
            <w:gridSpan w:val="2"/>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r w:rsidRPr="009328EE">
              <w:rPr>
                <w:rFonts w:cs="Traditional Arabic" w:hint="cs"/>
                <w:sz w:val="16"/>
                <w:szCs w:val="24"/>
                <w:rtl/>
              </w:rPr>
              <w:t>19.0</w:t>
            </w:r>
          </w:p>
        </w:tc>
        <w:tc>
          <w:tcPr>
            <w:tcW w:w="733" w:type="dxa"/>
            <w:gridSpan w:val="3"/>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r w:rsidRPr="009328EE">
              <w:rPr>
                <w:rFonts w:cs="Traditional Arabic" w:hint="cs"/>
                <w:sz w:val="16"/>
                <w:szCs w:val="24"/>
                <w:rtl/>
              </w:rPr>
              <w:t>0.9</w:t>
            </w:r>
          </w:p>
        </w:tc>
        <w:tc>
          <w:tcPr>
            <w:tcW w:w="707" w:type="dxa"/>
            <w:gridSpan w:val="2"/>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r w:rsidRPr="009328EE">
              <w:rPr>
                <w:rFonts w:cs="Traditional Arabic" w:hint="cs"/>
                <w:sz w:val="16"/>
                <w:szCs w:val="24"/>
                <w:rtl/>
              </w:rPr>
              <w:t>23.8</w:t>
            </w:r>
          </w:p>
        </w:tc>
        <w:tc>
          <w:tcPr>
            <w:tcW w:w="720" w:type="dxa"/>
            <w:gridSpan w:val="2"/>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r w:rsidRPr="009328EE">
              <w:rPr>
                <w:rFonts w:cs="Traditional Arabic" w:hint="cs"/>
                <w:sz w:val="16"/>
                <w:szCs w:val="24"/>
                <w:rtl/>
              </w:rPr>
              <w:t>21.7</w:t>
            </w:r>
          </w:p>
        </w:tc>
        <w:tc>
          <w:tcPr>
            <w:tcW w:w="725" w:type="dxa"/>
            <w:gridSpan w:val="3"/>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r w:rsidRPr="009328EE">
              <w:rPr>
                <w:rFonts w:cs="Traditional Arabic" w:hint="cs"/>
                <w:sz w:val="16"/>
                <w:szCs w:val="24"/>
                <w:rtl/>
              </w:rPr>
              <w:t>0.9</w:t>
            </w:r>
          </w:p>
        </w:tc>
        <w:tc>
          <w:tcPr>
            <w:tcW w:w="722" w:type="dxa"/>
            <w:gridSpan w:val="2"/>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r w:rsidRPr="009328EE">
              <w:rPr>
                <w:rFonts w:cs="Traditional Arabic" w:hint="cs"/>
                <w:sz w:val="16"/>
                <w:szCs w:val="24"/>
                <w:rtl/>
              </w:rPr>
              <w:t>25.2</w:t>
            </w:r>
          </w:p>
        </w:tc>
        <w:tc>
          <w:tcPr>
            <w:tcW w:w="721" w:type="dxa"/>
            <w:gridSpan w:val="2"/>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r w:rsidRPr="009328EE">
              <w:rPr>
                <w:rFonts w:cs="Traditional Arabic" w:hint="cs"/>
                <w:sz w:val="16"/>
                <w:szCs w:val="24"/>
                <w:rtl/>
              </w:rPr>
              <w:t>22.7</w:t>
            </w:r>
          </w:p>
        </w:tc>
        <w:tc>
          <w:tcPr>
            <w:tcW w:w="727" w:type="dxa"/>
            <w:gridSpan w:val="2"/>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r w:rsidRPr="009328EE">
              <w:rPr>
                <w:rFonts w:cs="Traditional Arabic" w:hint="cs"/>
                <w:sz w:val="16"/>
                <w:szCs w:val="24"/>
                <w:rtl/>
              </w:rPr>
              <w:t>0.9</w:t>
            </w:r>
          </w:p>
        </w:tc>
      </w:tr>
      <w:tr w:rsidR="009328EE" w:rsidRPr="009328EE">
        <w:trPr>
          <w:gridAfter w:val="1"/>
          <w:wAfter w:w="16" w:type="dxa"/>
          <w:cantSplit/>
          <w:jc w:val="center"/>
        </w:trPr>
        <w:tc>
          <w:tcPr>
            <w:tcW w:w="1097" w:type="dxa"/>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r w:rsidRPr="009328EE">
              <w:rPr>
                <w:rFonts w:cs="Traditional Arabic" w:hint="cs"/>
                <w:sz w:val="16"/>
                <w:szCs w:val="24"/>
                <w:rtl/>
              </w:rPr>
              <w:t>فيانارانتسوا</w:t>
            </w:r>
          </w:p>
        </w:tc>
        <w:tc>
          <w:tcPr>
            <w:tcW w:w="709" w:type="dxa"/>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r w:rsidRPr="009328EE">
              <w:rPr>
                <w:rFonts w:cs="Traditional Arabic" w:hint="cs"/>
                <w:sz w:val="16"/>
                <w:szCs w:val="24"/>
                <w:rtl/>
              </w:rPr>
              <w:t>14.7</w:t>
            </w:r>
          </w:p>
        </w:tc>
        <w:tc>
          <w:tcPr>
            <w:tcW w:w="728" w:type="dxa"/>
            <w:gridSpan w:val="2"/>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r w:rsidRPr="009328EE">
              <w:rPr>
                <w:rFonts w:cs="Traditional Arabic" w:hint="cs"/>
                <w:sz w:val="16"/>
                <w:szCs w:val="24"/>
                <w:rtl/>
              </w:rPr>
              <w:t>15.1</w:t>
            </w:r>
          </w:p>
        </w:tc>
        <w:tc>
          <w:tcPr>
            <w:tcW w:w="721" w:type="dxa"/>
            <w:gridSpan w:val="3"/>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r w:rsidRPr="009328EE">
              <w:rPr>
                <w:rFonts w:cs="Traditional Arabic" w:hint="cs"/>
                <w:sz w:val="16"/>
                <w:szCs w:val="24"/>
                <w:rtl/>
              </w:rPr>
              <w:t>1.0</w:t>
            </w:r>
          </w:p>
        </w:tc>
        <w:tc>
          <w:tcPr>
            <w:tcW w:w="813" w:type="dxa"/>
            <w:gridSpan w:val="2"/>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r w:rsidRPr="009328EE">
              <w:rPr>
                <w:rFonts w:cs="Traditional Arabic" w:hint="cs"/>
                <w:sz w:val="16"/>
                <w:szCs w:val="24"/>
                <w:rtl/>
              </w:rPr>
              <w:t>16.0</w:t>
            </w:r>
          </w:p>
        </w:tc>
        <w:tc>
          <w:tcPr>
            <w:tcW w:w="720" w:type="dxa"/>
            <w:gridSpan w:val="2"/>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r w:rsidRPr="009328EE">
              <w:rPr>
                <w:rFonts w:cs="Traditional Arabic" w:hint="cs"/>
                <w:sz w:val="16"/>
                <w:szCs w:val="24"/>
                <w:rtl/>
              </w:rPr>
              <w:t>16.4</w:t>
            </w:r>
          </w:p>
        </w:tc>
        <w:tc>
          <w:tcPr>
            <w:tcW w:w="733" w:type="dxa"/>
            <w:gridSpan w:val="3"/>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r w:rsidRPr="009328EE">
              <w:rPr>
                <w:rFonts w:cs="Traditional Arabic" w:hint="cs"/>
                <w:sz w:val="16"/>
                <w:szCs w:val="24"/>
                <w:rtl/>
              </w:rPr>
              <w:t>1.0</w:t>
            </w:r>
          </w:p>
        </w:tc>
        <w:tc>
          <w:tcPr>
            <w:tcW w:w="707" w:type="dxa"/>
            <w:gridSpan w:val="2"/>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r w:rsidRPr="009328EE">
              <w:rPr>
                <w:rFonts w:cs="Traditional Arabic" w:hint="cs"/>
                <w:sz w:val="16"/>
                <w:szCs w:val="24"/>
                <w:rtl/>
              </w:rPr>
              <w:t>15.4</w:t>
            </w:r>
          </w:p>
        </w:tc>
        <w:tc>
          <w:tcPr>
            <w:tcW w:w="720" w:type="dxa"/>
            <w:gridSpan w:val="2"/>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r w:rsidRPr="009328EE">
              <w:rPr>
                <w:rFonts w:cs="Traditional Arabic" w:hint="cs"/>
                <w:sz w:val="16"/>
                <w:szCs w:val="24"/>
                <w:rtl/>
              </w:rPr>
              <w:t>15.3</w:t>
            </w:r>
          </w:p>
        </w:tc>
        <w:tc>
          <w:tcPr>
            <w:tcW w:w="725" w:type="dxa"/>
            <w:gridSpan w:val="3"/>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r w:rsidRPr="009328EE">
              <w:rPr>
                <w:rFonts w:cs="Traditional Arabic" w:hint="cs"/>
                <w:sz w:val="16"/>
                <w:szCs w:val="24"/>
                <w:rtl/>
              </w:rPr>
              <w:t>1.0</w:t>
            </w:r>
          </w:p>
        </w:tc>
        <w:tc>
          <w:tcPr>
            <w:tcW w:w="722" w:type="dxa"/>
            <w:gridSpan w:val="2"/>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r w:rsidRPr="009328EE">
              <w:rPr>
                <w:rFonts w:cs="Traditional Arabic" w:hint="cs"/>
                <w:sz w:val="16"/>
                <w:szCs w:val="24"/>
                <w:rtl/>
              </w:rPr>
              <w:t>16.1</w:t>
            </w:r>
          </w:p>
        </w:tc>
        <w:tc>
          <w:tcPr>
            <w:tcW w:w="721" w:type="dxa"/>
            <w:gridSpan w:val="2"/>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r w:rsidRPr="009328EE">
              <w:rPr>
                <w:rFonts w:cs="Traditional Arabic" w:hint="cs"/>
                <w:sz w:val="16"/>
                <w:szCs w:val="24"/>
                <w:rtl/>
              </w:rPr>
              <w:t>16.7</w:t>
            </w:r>
          </w:p>
        </w:tc>
        <w:tc>
          <w:tcPr>
            <w:tcW w:w="727" w:type="dxa"/>
            <w:gridSpan w:val="2"/>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r w:rsidRPr="009328EE">
              <w:rPr>
                <w:rFonts w:cs="Traditional Arabic" w:hint="cs"/>
                <w:sz w:val="16"/>
                <w:szCs w:val="24"/>
                <w:rtl/>
              </w:rPr>
              <w:t>1.0</w:t>
            </w:r>
          </w:p>
        </w:tc>
      </w:tr>
      <w:tr w:rsidR="009328EE" w:rsidRPr="009328EE">
        <w:trPr>
          <w:gridAfter w:val="1"/>
          <w:wAfter w:w="16" w:type="dxa"/>
          <w:cantSplit/>
          <w:jc w:val="center"/>
        </w:trPr>
        <w:tc>
          <w:tcPr>
            <w:tcW w:w="1097" w:type="dxa"/>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r w:rsidRPr="009328EE">
              <w:rPr>
                <w:rFonts w:cs="Traditional Arabic" w:hint="cs"/>
                <w:sz w:val="16"/>
                <w:szCs w:val="24"/>
                <w:rtl/>
              </w:rPr>
              <w:t>ماهامغا</w:t>
            </w:r>
          </w:p>
        </w:tc>
        <w:tc>
          <w:tcPr>
            <w:tcW w:w="709" w:type="dxa"/>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r w:rsidRPr="009328EE">
              <w:rPr>
                <w:rFonts w:cs="Traditional Arabic" w:hint="cs"/>
                <w:sz w:val="16"/>
                <w:szCs w:val="24"/>
                <w:rtl/>
              </w:rPr>
              <w:t>17.8</w:t>
            </w:r>
          </w:p>
        </w:tc>
        <w:tc>
          <w:tcPr>
            <w:tcW w:w="728" w:type="dxa"/>
            <w:gridSpan w:val="2"/>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r w:rsidRPr="009328EE">
              <w:rPr>
                <w:rFonts w:cs="Traditional Arabic" w:hint="cs"/>
                <w:sz w:val="16"/>
                <w:szCs w:val="24"/>
                <w:rtl/>
              </w:rPr>
              <w:t xml:space="preserve"> 12.7</w:t>
            </w:r>
          </w:p>
        </w:tc>
        <w:tc>
          <w:tcPr>
            <w:tcW w:w="721" w:type="dxa"/>
            <w:gridSpan w:val="3"/>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r w:rsidRPr="009328EE">
              <w:rPr>
                <w:rFonts w:cs="Traditional Arabic" w:hint="cs"/>
                <w:sz w:val="16"/>
                <w:szCs w:val="24"/>
                <w:rtl/>
              </w:rPr>
              <w:t>0.7</w:t>
            </w:r>
          </w:p>
        </w:tc>
        <w:tc>
          <w:tcPr>
            <w:tcW w:w="813" w:type="dxa"/>
            <w:gridSpan w:val="2"/>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r w:rsidRPr="009328EE">
              <w:rPr>
                <w:rFonts w:cs="Traditional Arabic" w:hint="cs"/>
                <w:sz w:val="16"/>
                <w:szCs w:val="24"/>
                <w:rtl/>
              </w:rPr>
              <w:t>18.4</w:t>
            </w:r>
          </w:p>
        </w:tc>
        <w:tc>
          <w:tcPr>
            <w:tcW w:w="720" w:type="dxa"/>
            <w:gridSpan w:val="2"/>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r w:rsidRPr="009328EE">
              <w:rPr>
                <w:rFonts w:cs="Traditional Arabic" w:hint="cs"/>
                <w:sz w:val="16"/>
                <w:szCs w:val="24"/>
                <w:rtl/>
              </w:rPr>
              <w:t>13.1</w:t>
            </w:r>
          </w:p>
        </w:tc>
        <w:tc>
          <w:tcPr>
            <w:tcW w:w="733" w:type="dxa"/>
            <w:gridSpan w:val="3"/>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r w:rsidRPr="009328EE">
              <w:rPr>
                <w:rFonts w:cs="Traditional Arabic" w:hint="cs"/>
                <w:sz w:val="16"/>
                <w:szCs w:val="24"/>
                <w:rtl/>
              </w:rPr>
              <w:t>0.7</w:t>
            </w:r>
          </w:p>
        </w:tc>
        <w:tc>
          <w:tcPr>
            <w:tcW w:w="707" w:type="dxa"/>
            <w:gridSpan w:val="2"/>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r w:rsidRPr="009328EE">
              <w:rPr>
                <w:rFonts w:cs="Traditional Arabic" w:hint="cs"/>
                <w:sz w:val="16"/>
                <w:szCs w:val="24"/>
                <w:rtl/>
              </w:rPr>
              <w:t>21.4</w:t>
            </w:r>
          </w:p>
        </w:tc>
        <w:tc>
          <w:tcPr>
            <w:tcW w:w="720" w:type="dxa"/>
            <w:gridSpan w:val="2"/>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r w:rsidRPr="009328EE">
              <w:rPr>
                <w:rFonts w:cs="Traditional Arabic" w:hint="cs"/>
                <w:sz w:val="16"/>
                <w:szCs w:val="24"/>
                <w:rtl/>
              </w:rPr>
              <w:t>15.8</w:t>
            </w:r>
          </w:p>
        </w:tc>
        <w:tc>
          <w:tcPr>
            <w:tcW w:w="725" w:type="dxa"/>
            <w:gridSpan w:val="3"/>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r w:rsidRPr="009328EE">
              <w:rPr>
                <w:rFonts w:cs="Traditional Arabic" w:hint="cs"/>
                <w:sz w:val="16"/>
                <w:szCs w:val="24"/>
                <w:rtl/>
              </w:rPr>
              <w:t>0.7</w:t>
            </w:r>
          </w:p>
        </w:tc>
        <w:tc>
          <w:tcPr>
            <w:tcW w:w="722" w:type="dxa"/>
            <w:gridSpan w:val="2"/>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r w:rsidRPr="009328EE">
              <w:rPr>
                <w:rFonts w:cs="Traditional Arabic" w:hint="cs"/>
                <w:sz w:val="16"/>
                <w:szCs w:val="24"/>
                <w:rtl/>
              </w:rPr>
              <w:t>23.9</w:t>
            </w:r>
          </w:p>
        </w:tc>
        <w:tc>
          <w:tcPr>
            <w:tcW w:w="721" w:type="dxa"/>
            <w:gridSpan w:val="2"/>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r w:rsidRPr="009328EE">
              <w:rPr>
                <w:rFonts w:cs="Traditional Arabic" w:hint="cs"/>
                <w:sz w:val="16"/>
                <w:szCs w:val="24"/>
                <w:rtl/>
              </w:rPr>
              <w:t>17.1</w:t>
            </w:r>
          </w:p>
        </w:tc>
        <w:tc>
          <w:tcPr>
            <w:tcW w:w="727" w:type="dxa"/>
            <w:gridSpan w:val="2"/>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r w:rsidRPr="009328EE">
              <w:rPr>
                <w:rFonts w:cs="Traditional Arabic" w:hint="cs"/>
                <w:sz w:val="16"/>
                <w:szCs w:val="24"/>
                <w:rtl/>
              </w:rPr>
              <w:t>0.7</w:t>
            </w:r>
          </w:p>
        </w:tc>
      </w:tr>
      <w:tr w:rsidR="009328EE" w:rsidRPr="009328EE">
        <w:trPr>
          <w:gridAfter w:val="1"/>
          <w:wAfter w:w="16" w:type="dxa"/>
          <w:cantSplit/>
          <w:jc w:val="center"/>
        </w:trPr>
        <w:tc>
          <w:tcPr>
            <w:tcW w:w="1097" w:type="dxa"/>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r w:rsidRPr="009328EE">
              <w:rPr>
                <w:rFonts w:cs="Traditional Arabic" w:hint="cs"/>
                <w:sz w:val="16"/>
                <w:szCs w:val="24"/>
                <w:rtl/>
              </w:rPr>
              <w:t>تواسينا</w:t>
            </w:r>
          </w:p>
        </w:tc>
        <w:tc>
          <w:tcPr>
            <w:tcW w:w="709" w:type="dxa"/>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r w:rsidRPr="009328EE">
              <w:rPr>
                <w:rFonts w:cs="Traditional Arabic" w:hint="cs"/>
                <w:sz w:val="16"/>
                <w:szCs w:val="24"/>
                <w:rtl/>
              </w:rPr>
              <w:t>18.0</w:t>
            </w:r>
          </w:p>
        </w:tc>
        <w:tc>
          <w:tcPr>
            <w:tcW w:w="728" w:type="dxa"/>
            <w:gridSpan w:val="2"/>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r w:rsidRPr="009328EE">
              <w:rPr>
                <w:rFonts w:cs="Traditional Arabic" w:hint="cs"/>
                <w:sz w:val="16"/>
                <w:szCs w:val="24"/>
                <w:rtl/>
              </w:rPr>
              <w:t>15.9</w:t>
            </w:r>
          </w:p>
        </w:tc>
        <w:tc>
          <w:tcPr>
            <w:tcW w:w="721" w:type="dxa"/>
            <w:gridSpan w:val="3"/>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r w:rsidRPr="009328EE">
              <w:rPr>
                <w:rFonts w:cs="Traditional Arabic" w:hint="cs"/>
                <w:sz w:val="16"/>
                <w:szCs w:val="24"/>
                <w:rtl/>
              </w:rPr>
              <w:t>0.9</w:t>
            </w:r>
          </w:p>
        </w:tc>
        <w:tc>
          <w:tcPr>
            <w:tcW w:w="813" w:type="dxa"/>
            <w:gridSpan w:val="2"/>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r w:rsidRPr="009328EE">
              <w:rPr>
                <w:rFonts w:cs="Traditional Arabic" w:hint="cs"/>
                <w:sz w:val="16"/>
                <w:szCs w:val="24"/>
                <w:rtl/>
              </w:rPr>
              <w:t>18.8</w:t>
            </w:r>
          </w:p>
        </w:tc>
        <w:tc>
          <w:tcPr>
            <w:tcW w:w="720" w:type="dxa"/>
            <w:gridSpan w:val="2"/>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r w:rsidRPr="009328EE">
              <w:rPr>
                <w:rFonts w:cs="Traditional Arabic" w:hint="cs"/>
                <w:sz w:val="16"/>
                <w:szCs w:val="24"/>
                <w:rtl/>
              </w:rPr>
              <w:t>19.5</w:t>
            </w:r>
          </w:p>
        </w:tc>
        <w:tc>
          <w:tcPr>
            <w:tcW w:w="733" w:type="dxa"/>
            <w:gridSpan w:val="3"/>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r w:rsidRPr="009328EE">
              <w:rPr>
                <w:rFonts w:cs="Traditional Arabic" w:hint="cs"/>
                <w:sz w:val="16"/>
                <w:szCs w:val="24"/>
                <w:rtl/>
              </w:rPr>
              <w:t>1.0</w:t>
            </w:r>
          </w:p>
        </w:tc>
        <w:tc>
          <w:tcPr>
            <w:tcW w:w="707" w:type="dxa"/>
            <w:gridSpan w:val="2"/>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r w:rsidRPr="009328EE">
              <w:rPr>
                <w:rFonts w:cs="Traditional Arabic" w:hint="cs"/>
                <w:sz w:val="16"/>
                <w:szCs w:val="24"/>
                <w:rtl/>
              </w:rPr>
              <w:t>17.9</w:t>
            </w:r>
          </w:p>
        </w:tc>
        <w:tc>
          <w:tcPr>
            <w:tcW w:w="720" w:type="dxa"/>
            <w:gridSpan w:val="2"/>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r w:rsidRPr="009328EE">
              <w:rPr>
                <w:rFonts w:cs="Traditional Arabic" w:hint="cs"/>
                <w:sz w:val="16"/>
                <w:szCs w:val="24"/>
                <w:rtl/>
              </w:rPr>
              <w:t>18.3</w:t>
            </w:r>
          </w:p>
        </w:tc>
        <w:tc>
          <w:tcPr>
            <w:tcW w:w="725" w:type="dxa"/>
            <w:gridSpan w:val="3"/>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r w:rsidRPr="009328EE">
              <w:rPr>
                <w:rFonts w:cs="Traditional Arabic" w:hint="cs"/>
                <w:sz w:val="16"/>
                <w:szCs w:val="24"/>
                <w:rtl/>
              </w:rPr>
              <w:t>1.0</w:t>
            </w:r>
          </w:p>
        </w:tc>
        <w:tc>
          <w:tcPr>
            <w:tcW w:w="722" w:type="dxa"/>
            <w:gridSpan w:val="2"/>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r w:rsidRPr="009328EE">
              <w:rPr>
                <w:rFonts w:cs="Traditional Arabic" w:hint="cs"/>
                <w:sz w:val="16"/>
                <w:szCs w:val="24"/>
                <w:rtl/>
              </w:rPr>
              <w:t>18.9</w:t>
            </w:r>
          </w:p>
        </w:tc>
        <w:tc>
          <w:tcPr>
            <w:tcW w:w="721" w:type="dxa"/>
            <w:gridSpan w:val="2"/>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r w:rsidRPr="009328EE">
              <w:rPr>
                <w:rFonts w:cs="Traditional Arabic" w:hint="cs"/>
                <w:sz w:val="16"/>
                <w:szCs w:val="24"/>
                <w:rtl/>
              </w:rPr>
              <w:t>19.6</w:t>
            </w:r>
          </w:p>
        </w:tc>
        <w:tc>
          <w:tcPr>
            <w:tcW w:w="727" w:type="dxa"/>
            <w:gridSpan w:val="2"/>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r w:rsidRPr="009328EE">
              <w:rPr>
                <w:rFonts w:cs="Traditional Arabic" w:hint="cs"/>
                <w:sz w:val="16"/>
                <w:szCs w:val="24"/>
                <w:rtl/>
              </w:rPr>
              <w:t>1.0</w:t>
            </w:r>
          </w:p>
        </w:tc>
      </w:tr>
      <w:tr w:rsidR="009328EE" w:rsidRPr="009328EE">
        <w:trPr>
          <w:gridAfter w:val="1"/>
          <w:wAfter w:w="16" w:type="dxa"/>
          <w:cantSplit/>
          <w:jc w:val="center"/>
        </w:trPr>
        <w:tc>
          <w:tcPr>
            <w:tcW w:w="1097" w:type="dxa"/>
            <w:tcBorders>
              <w:bottom w:val="single" w:sz="12" w:space="0" w:color="auto"/>
            </w:tcBorders>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r w:rsidRPr="009328EE">
              <w:rPr>
                <w:rFonts w:cs="Traditional Arabic" w:hint="cs"/>
                <w:sz w:val="16"/>
                <w:szCs w:val="24"/>
                <w:rtl/>
              </w:rPr>
              <w:t>توليارا</w:t>
            </w:r>
          </w:p>
        </w:tc>
        <w:tc>
          <w:tcPr>
            <w:tcW w:w="709" w:type="dxa"/>
            <w:tcBorders>
              <w:bottom w:val="single" w:sz="12" w:space="0" w:color="auto"/>
            </w:tcBorders>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r w:rsidRPr="009328EE">
              <w:rPr>
                <w:rFonts w:cs="Traditional Arabic" w:hint="cs"/>
                <w:sz w:val="16"/>
                <w:szCs w:val="24"/>
                <w:rtl/>
              </w:rPr>
              <w:t>10.9</w:t>
            </w:r>
          </w:p>
        </w:tc>
        <w:tc>
          <w:tcPr>
            <w:tcW w:w="728" w:type="dxa"/>
            <w:gridSpan w:val="2"/>
            <w:tcBorders>
              <w:bottom w:val="single" w:sz="12" w:space="0" w:color="auto"/>
            </w:tcBorders>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r w:rsidRPr="009328EE">
              <w:rPr>
                <w:rFonts w:cs="Traditional Arabic" w:hint="cs"/>
                <w:sz w:val="16"/>
                <w:szCs w:val="24"/>
                <w:rtl/>
              </w:rPr>
              <w:t>9.3</w:t>
            </w:r>
          </w:p>
        </w:tc>
        <w:tc>
          <w:tcPr>
            <w:tcW w:w="721" w:type="dxa"/>
            <w:gridSpan w:val="3"/>
            <w:tcBorders>
              <w:bottom w:val="single" w:sz="12" w:space="0" w:color="auto"/>
            </w:tcBorders>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r w:rsidRPr="009328EE">
              <w:rPr>
                <w:rFonts w:cs="Traditional Arabic" w:hint="cs"/>
                <w:sz w:val="16"/>
                <w:szCs w:val="24"/>
                <w:rtl/>
              </w:rPr>
              <w:t>0.9</w:t>
            </w:r>
          </w:p>
        </w:tc>
        <w:tc>
          <w:tcPr>
            <w:tcW w:w="813" w:type="dxa"/>
            <w:gridSpan w:val="2"/>
            <w:tcBorders>
              <w:bottom w:val="single" w:sz="12" w:space="0" w:color="auto"/>
            </w:tcBorders>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r w:rsidRPr="009328EE">
              <w:rPr>
                <w:rFonts w:cs="Traditional Arabic" w:hint="cs"/>
                <w:sz w:val="16"/>
                <w:szCs w:val="24"/>
                <w:rtl/>
              </w:rPr>
              <w:t>11.7</w:t>
            </w:r>
          </w:p>
        </w:tc>
        <w:tc>
          <w:tcPr>
            <w:tcW w:w="720" w:type="dxa"/>
            <w:gridSpan w:val="2"/>
            <w:tcBorders>
              <w:bottom w:val="single" w:sz="12" w:space="0" w:color="auto"/>
            </w:tcBorders>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r w:rsidRPr="009328EE">
              <w:rPr>
                <w:rFonts w:cs="Traditional Arabic" w:hint="cs"/>
                <w:sz w:val="16"/>
                <w:szCs w:val="24"/>
                <w:rtl/>
              </w:rPr>
              <w:t>9.7</w:t>
            </w:r>
          </w:p>
        </w:tc>
        <w:tc>
          <w:tcPr>
            <w:tcW w:w="733" w:type="dxa"/>
            <w:gridSpan w:val="3"/>
            <w:tcBorders>
              <w:bottom w:val="single" w:sz="12" w:space="0" w:color="auto"/>
            </w:tcBorders>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r w:rsidRPr="009328EE">
              <w:rPr>
                <w:rFonts w:cs="Traditional Arabic" w:hint="cs"/>
                <w:sz w:val="16"/>
                <w:szCs w:val="24"/>
                <w:rtl/>
              </w:rPr>
              <w:t>0.8</w:t>
            </w:r>
          </w:p>
        </w:tc>
        <w:tc>
          <w:tcPr>
            <w:tcW w:w="707" w:type="dxa"/>
            <w:gridSpan w:val="2"/>
            <w:tcBorders>
              <w:bottom w:val="single" w:sz="12" w:space="0" w:color="auto"/>
            </w:tcBorders>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r w:rsidRPr="009328EE">
              <w:rPr>
                <w:rFonts w:cs="Traditional Arabic" w:hint="cs"/>
                <w:sz w:val="16"/>
                <w:szCs w:val="24"/>
                <w:rtl/>
              </w:rPr>
              <w:t>11.9</w:t>
            </w:r>
          </w:p>
        </w:tc>
        <w:tc>
          <w:tcPr>
            <w:tcW w:w="720" w:type="dxa"/>
            <w:gridSpan w:val="2"/>
            <w:tcBorders>
              <w:bottom w:val="single" w:sz="12" w:space="0" w:color="auto"/>
            </w:tcBorders>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r w:rsidRPr="009328EE">
              <w:rPr>
                <w:rFonts w:cs="Traditional Arabic" w:hint="cs"/>
                <w:sz w:val="16"/>
                <w:szCs w:val="24"/>
                <w:rtl/>
              </w:rPr>
              <w:t>9.8</w:t>
            </w:r>
          </w:p>
        </w:tc>
        <w:tc>
          <w:tcPr>
            <w:tcW w:w="725" w:type="dxa"/>
            <w:gridSpan w:val="3"/>
            <w:tcBorders>
              <w:bottom w:val="single" w:sz="12" w:space="0" w:color="auto"/>
            </w:tcBorders>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r w:rsidRPr="009328EE">
              <w:rPr>
                <w:rFonts w:cs="Traditional Arabic" w:hint="cs"/>
                <w:sz w:val="16"/>
                <w:szCs w:val="24"/>
                <w:rtl/>
              </w:rPr>
              <w:t>0.8</w:t>
            </w:r>
          </w:p>
        </w:tc>
        <w:tc>
          <w:tcPr>
            <w:tcW w:w="722" w:type="dxa"/>
            <w:gridSpan w:val="2"/>
            <w:tcBorders>
              <w:bottom w:val="single" w:sz="12" w:space="0" w:color="auto"/>
            </w:tcBorders>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r w:rsidRPr="009328EE">
              <w:rPr>
                <w:rFonts w:cs="Traditional Arabic" w:hint="cs"/>
                <w:sz w:val="16"/>
                <w:szCs w:val="24"/>
                <w:rtl/>
              </w:rPr>
              <w:t>12.8</w:t>
            </w:r>
          </w:p>
        </w:tc>
        <w:tc>
          <w:tcPr>
            <w:tcW w:w="721" w:type="dxa"/>
            <w:gridSpan w:val="2"/>
            <w:tcBorders>
              <w:bottom w:val="single" w:sz="12" w:space="0" w:color="auto"/>
            </w:tcBorders>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r w:rsidRPr="009328EE">
              <w:rPr>
                <w:rFonts w:cs="Traditional Arabic" w:hint="cs"/>
                <w:sz w:val="16"/>
                <w:szCs w:val="24"/>
                <w:rtl/>
              </w:rPr>
              <w:t>10.7</w:t>
            </w:r>
          </w:p>
        </w:tc>
        <w:tc>
          <w:tcPr>
            <w:tcW w:w="727" w:type="dxa"/>
            <w:gridSpan w:val="2"/>
            <w:tcBorders>
              <w:bottom w:val="single" w:sz="12" w:space="0" w:color="auto"/>
            </w:tcBorders>
            <w:shd w:val="clear" w:color="auto" w:fill="auto"/>
            <w:vAlign w:val="bottom"/>
          </w:tcPr>
          <w:p w:rsidR="00C35CB1" w:rsidRPr="009328EE" w:rsidRDefault="00C35CB1" w:rsidP="001B2BBC">
            <w:pPr>
              <w:pStyle w:val="SingleTxt"/>
              <w:spacing w:before="60" w:after="60" w:line="240" w:lineRule="exact"/>
              <w:ind w:left="0" w:right="0"/>
              <w:rPr>
                <w:rFonts w:cs="Traditional Arabic" w:hint="cs"/>
                <w:sz w:val="16"/>
                <w:szCs w:val="24"/>
                <w:rtl/>
              </w:rPr>
            </w:pPr>
            <w:r w:rsidRPr="009328EE">
              <w:rPr>
                <w:rFonts w:cs="Traditional Arabic" w:hint="cs"/>
                <w:sz w:val="16"/>
                <w:szCs w:val="24"/>
                <w:rtl/>
              </w:rPr>
              <w:t>0.8</w:t>
            </w:r>
          </w:p>
        </w:tc>
      </w:tr>
    </w:tbl>
    <w:p w:rsidR="001B2BBC" w:rsidRPr="001B2BBC" w:rsidRDefault="001B2BBC" w:rsidP="001B2BBC">
      <w:pPr>
        <w:pStyle w:val="SingleTxt"/>
        <w:spacing w:after="0" w:line="120" w:lineRule="exact"/>
        <w:rPr>
          <w:sz w:val="10"/>
          <w:rtl/>
        </w:rPr>
      </w:pPr>
    </w:p>
    <w:p w:rsidR="00BA462B" w:rsidRDefault="00C35CB1" w:rsidP="001B2BBC">
      <w:pPr>
        <w:pStyle w:val="FootnoteText"/>
        <w:tabs>
          <w:tab w:val="clear" w:pos="418"/>
          <w:tab w:val="right" w:pos="662"/>
          <w:tab w:val="left" w:pos="763"/>
          <w:tab w:val="left" w:pos="1210"/>
          <w:tab w:val="left" w:pos="1685"/>
          <w:tab w:val="left" w:pos="2174"/>
          <w:tab w:val="left" w:pos="2650"/>
        </w:tabs>
        <w:spacing w:after="80"/>
        <w:ind w:left="763" w:right="0" w:hanging="763"/>
        <w:rPr>
          <w:rFonts w:hint="cs"/>
          <w:rtl/>
        </w:rPr>
      </w:pPr>
      <w:r w:rsidRPr="00C35CB1">
        <w:rPr>
          <w:rtl/>
        </w:rPr>
        <w:tab/>
      </w:r>
      <w:r w:rsidRPr="001B2BBC">
        <w:rPr>
          <w:rFonts w:hint="cs"/>
          <w:i/>
          <w:iCs/>
          <w:rtl/>
        </w:rPr>
        <w:t>المصدر</w:t>
      </w:r>
      <w:r w:rsidRPr="00C35CB1">
        <w:rPr>
          <w:rFonts w:hint="cs"/>
          <w:rtl/>
        </w:rPr>
        <w:t>:</w:t>
      </w:r>
      <w:r w:rsidR="001B2BBC">
        <w:rPr>
          <w:rFonts w:hint="cs"/>
          <w:rtl/>
        </w:rPr>
        <w:tab/>
      </w:r>
      <w:r w:rsidR="00416A5F">
        <w:rPr>
          <w:rFonts w:hint="cs"/>
          <w:rtl/>
        </w:rPr>
        <w:t>وزارة التربية الوطنية.</w:t>
      </w:r>
    </w:p>
    <w:p w:rsidR="001B2BBC" w:rsidRPr="001B2BBC" w:rsidRDefault="001B2BBC" w:rsidP="001B2BBC">
      <w:pPr>
        <w:pStyle w:val="SingleTxt"/>
        <w:spacing w:after="0" w:line="120" w:lineRule="exact"/>
        <w:rPr>
          <w:rFonts w:hint="cs"/>
          <w:sz w:val="10"/>
          <w:rtl/>
        </w:rPr>
      </w:pPr>
    </w:p>
    <w:p w:rsidR="001B2BBC" w:rsidRPr="001B2BBC" w:rsidRDefault="001B2BBC" w:rsidP="001B2BBC">
      <w:pPr>
        <w:pStyle w:val="SingleTxt"/>
        <w:spacing w:after="0" w:line="120" w:lineRule="exact"/>
        <w:rPr>
          <w:rFonts w:hint="cs"/>
          <w:sz w:val="10"/>
          <w:rtl/>
        </w:rPr>
      </w:pPr>
    </w:p>
    <w:p w:rsidR="00C35CB1" w:rsidRPr="00B63C07" w:rsidRDefault="00C35CB1" w:rsidP="00C35CB1">
      <w:pPr>
        <w:pStyle w:val="SingleTxt"/>
        <w:rPr>
          <w:rFonts w:hint="cs"/>
          <w:i/>
          <w:iCs/>
          <w:rtl/>
        </w:rPr>
      </w:pPr>
      <w:r w:rsidRPr="00B63C07">
        <w:rPr>
          <w:rFonts w:hint="cs"/>
          <w:i/>
          <w:iCs/>
          <w:rtl/>
        </w:rPr>
        <w:t>العقبات القائمة</w:t>
      </w:r>
    </w:p>
    <w:p w:rsidR="00C35CB1" w:rsidRPr="00C35CB1" w:rsidRDefault="001B2BBC" w:rsidP="00765A56">
      <w:pPr>
        <w:pStyle w:val="SingleTxt"/>
        <w:rPr>
          <w:rFonts w:hint="cs"/>
          <w:rtl/>
        </w:rPr>
      </w:pPr>
      <w:r>
        <w:rPr>
          <w:rFonts w:hint="cs"/>
          <w:rtl/>
        </w:rPr>
        <w:tab/>
      </w:r>
      <w:r w:rsidR="00C35CB1" w:rsidRPr="00C35CB1">
        <w:rPr>
          <w:rFonts w:hint="cs"/>
          <w:rtl/>
        </w:rPr>
        <w:t>تكتسي العقبة الرئيسية التي تحول دون تعليم الفتيات</w:t>
      </w:r>
      <w:r w:rsidR="00765A56">
        <w:rPr>
          <w:rFonts w:hint="cs"/>
          <w:rtl/>
        </w:rPr>
        <w:t xml:space="preserve"> </w:t>
      </w:r>
      <w:r w:rsidR="00C35CB1" w:rsidRPr="00C35CB1">
        <w:rPr>
          <w:rFonts w:hint="cs"/>
          <w:rtl/>
        </w:rPr>
        <w:t>طابعا ثقافيا</w:t>
      </w:r>
      <w:r w:rsidR="0015762F">
        <w:rPr>
          <w:rFonts w:hint="cs"/>
          <w:rtl/>
        </w:rPr>
        <w:t>.</w:t>
      </w:r>
      <w:r w:rsidR="00C35CB1" w:rsidRPr="00C35CB1">
        <w:rPr>
          <w:rFonts w:hint="cs"/>
          <w:rtl/>
        </w:rPr>
        <w:t xml:space="preserve"> </w:t>
      </w:r>
      <w:r w:rsidR="00D666E0">
        <w:rPr>
          <w:rFonts w:hint="cs"/>
          <w:rtl/>
        </w:rPr>
        <w:t>و</w:t>
      </w:r>
      <w:r w:rsidR="00C35CB1" w:rsidRPr="00C35CB1">
        <w:rPr>
          <w:rFonts w:hint="cs"/>
          <w:rtl/>
        </w:rPr>
        <w:t xml:space="preserve">قد تبين أنه من الصعب إقناع الأولياء بأهمية تعليم بناتهم، خاصة في الأوساط الريفية. </w:t>
      </w:r>
      <w:r w:rsidR="00D666E0">
        <w:rPr>
          <w:rFonts w:hint="cs"/>
          <w:rtl/>
        </w:rPr>
        <w:t>و</w:t>
      </w:r>
      <w:r w:rsidR="00C35CB1" w:rsidRPr="00C35CB1">
        <w:rPr>
          <w:rFonts w:hint="cs"/>
          <w:rtl/>
        </w:rPr>
        <w:t xml:space="preserve">تعتبر الممارسات التقليدية، مثل الزواج المبكر للفتيات </w:t>
      </w:r>
      <w:r w:rsidR="00D666E0">
        <w:rPr>
          <w:rFonts w:hint="cs"/>
          <w:rtl/>
        </w:rPr>
        <w:t>و</w:t>
      </w:r>
      <w:r w:rsidR="00C35CB1" w:rsidRPr="00C35CB1">
        <w:rPr>
          <w:rFonts w:hint="cs"/>
          <w:rtl/>
        </w:rPr>
        <w:t>كذلك استقلال الفتيات ذاتيا منذ سن البلوغ، من الأسباب الرئيسية لانقطاعهن عن الدراسة.</w:t>
      </w:r>
    </w:p>
    <w:p w:rsidR="00BA462B" w:rsidRDefault="001B2BBC" w:rsidP="00765A56">
      <w:pPr>
        <w:pStyle w:val="SingleTxt"/>
        <w:rPr>
          <w:rFonts w:hint="cs"/>
          <w:rtl/>
        </w:rPr>
      </w:pPr>
      <w:r>
        <w:rPr>
          <w:rFonts w:hint="cs"/>
          <w:rtl/>
        </w:rPr>
        <w:tab/>
      </w:r>
      <w:r w:rsidR="00D666E0">
        <w:rPr>
          <w:rFonts w:hint="cs"/>
          <w:rtl/>
        </w:rPr>
        <w:t>و</w:t>
      </w:r>
      <w:r w:rsidR="00C35CB1" w:rsidRPr="00C35CB1">
        <w:rPr>
          <w:rFonts w:hint="cs"/>
          <w:rtl/>
        </w:rPr>
        <w:t>على الرغم من النتائج المسجلة مسبقا</w:t>
      </w:r>
      <w:r w:rsidR="00765A56">
        <w:rPr>
          <w:rFonts w:hint="cs"/>
          <w:rtl/>
        </w:rPr>
        <w:t xml:space="preserve"> </w:t>
      </w:r>
      <w:r w:rsidR="00C35CB1" w:rsidRPr="00C35CB1">
        <w:rPr>
          <w:rFonts w:hint="cs"/>
          <w:rtl/>
        </w:rPr>
        <w:t xml:space="preserve">في مجال محو الأمية، </w:t>
      </w:r>
      <w:r w:rsidR="00382E75">
        <w:rPr>
          <w:rFonts w:hint="cs"/>
          <w:rtl/>
        </w:rPr>
        <w:t>ما زال</w:t>
      </w:r>
      <w:r w:rsidR="00C35CB1" w:rsidRPr="00C35CB1">
        <w:rPr>
          <w:rFonts w:hint="cs"/>
          <w:rtl/>
        </w:rPr>
        <w:t xml:space="preserve"> يتعين بذل الكثير من الجهود. </w:t>
      </w:r>
    </w:p>
    <w:p w:rsidR="00B63C07" w:rsidRPr="00B63C07" w:rsidRDefault="00B63C07" w:rsidP="00B63C07">
      <w:pPr>
        <w:pStyle w:val="SingleTxt"/>
        <w:spacing w:after="0" w:line="120" w:lineRule="exact"/>
        <w:rPr>
          <w:rFonts w:hint="cs"/>
          <w:i/>
          <w:iCs/>
          <w:sz w:val="10"/>
          <w:rtl/>
        </w:rPr>
      </w:pPr>
    </w:p>
    <w:p w:rsidR="00C35CB1" w:rsidRPr="00B63C07" w:rsidRDefault="00C35CB1" w:rsidP="00765A56">
      <w:pPr>
        <w:pStyle w:val="SingleTxt"/>
        <w:rPr>
          <w:rFonts w:hint="cs"/>
          <w:i/>
          <w:iCs/>
          <w:u w:val="single"/>
          <w:rtl/>
        </w:rPr>
      </w:pPr>
      <w:r w:rsidRPr="00B63C07">
        <w:rPr>
          <w:rFonts w:hint="cs"/>
          <w:i/>
          <w:iCs/>
          <w:rtl/>
        </w:rPr>
        <w:t>بلوغ</w:t>
      </w:r>
      <w:r w:rsidR="00765A56" w:rsidRPr="00B63C07">
        <w:rPr>
          <w:rFonts w:hint="cs"/>
          <w:i/>
          <w:iCs/>
          <w:rtl/>
        </w:rPr>
        <w:t xml:space="preserve"> </w:t>
      </w:r>
      <w:r w:rsidRPr="00B63C07">
        <w:rPr>
          <w:rFonts w:hint="cs"/>
          <w:i/>
          <w:iCs/>
          <w:rtl/>
        </w:rPr>
        <w:t>الفتيات مرحلة</w:t>
      </w:r>
      <w:r w:rsidR="00765A56" w:rsidRPr="00B63C07">
        <w:rPr>
          <w:rFonts w:hint="cs"/>
          <w:i/>
          <w:iCs/>
          <w:rtl/>
        </w:rPr>
        <w:t xml:space="preserve"> </w:t>
      </w:r>
      <w:r w:rsidRPr="00B63C07">
        <w:rPr>
          <w:rFonts w:hint="cs"/>
          <w:i/>
          <w:iCs/>
          <w:rtl/>
        </w:rPr>
        <w:t xml:space="preserve">التعليم الثانوي </w:t>
      </w:r>
      <w:r w:rsidR="00D666E0" w:rsidRPr="00B63C07">
        <w:rPr>
          <w:rFonts w:hint="cs"/>
          <w:i/>
          <w:iCs/>
          <w:rtl/>
        </w:rPr>
        <w:t>و</w:t>
      </w:r>
      <w:r w:rsidRPr="00B63C07">
        <w:rPr>
          <w:rFonts w:hint="cs"/>
          <w:i/>
          <w:iCs/>
          <w:rtl/>
        </w:rPr>
        <w:t>التعليم العالي</w:t>
      </w:r>
    </w:p>
    <w:p w:rsidR="00C35CB1" w:rsidRPr="00C35CB1" w:rsidRDefault="001B2BBC" w:rsidP="001B2BBC">
      <w:pPr>
        <w:pStyle w:val="SingleTxt"/>
        <w:rPr>
          <w:rFonts w:hint="cs"/>
          <w:rtl/>
        </w:rPr>
      </w:pPr>
      <w:r>
        <w:rPr>
          <w:rFonts w:hint="cs"/>
          <w:rtl/>
        </w:rPr>
        <w:tab/>
      </w:r>
      <w:r w:rsidR="00C35CB1" w:rsidRPr="00C35CB1">
        <w:rPr>
          <w:rFonts w:hint="cs"/>
          <w:rtl/>
        </w:rPr>
        <w:t>تم الاضطلاع</w:t>
      </w:r>
      <w:r w:rsidR="00765A56">
        <w:rPr>
          <w:rFonts w:hint="cs"/>
          <w:rtl/>
        </w:rPr>
        <w:t xml:space="preserve"> </w:t>
      </w:r>
      <w:r w:rsidR="00C35CB1" w:rsidRPr="00C35CB1">
        <w:rPr>
          <w:rFonts w:hint="cs"/>
          <w:rtl/>
        </w:rPr>
        <w:t>بتدابير لتشجيع بلوغ الفتيات مرحلة التعليم الثانوي.</w:t>
      </w:r>
    </w:p>
    <w:p w:rsidR="00BA462B" w:rsidRDefault="001B2BBC" w:rsidP="00765A56">
      <w:pPr>
        <w:pStyle w:val="SingleTxt"/>
        <w:rPr>
          <w:rFonts w:hint="cs"/>
          <w:rtl/>
        </w:rPr>
      </w:pPr>
      <w:r>
        <w:rPr>
          <w:rFonts w:hint="cs"/>
          <w:rtl/>
        </w:rPr>
        <w:tab/>
      </w:r>
      <w:r w:rsidR="00C35CB1" w:rsidRPr="00C35CB1">
        <w:rPr>
          <w:rFonts w:hint="cs"/>
          <w:rtl/>
        </w:rPr>
        <w:t>وقدمت منح دراسية لفتيات</w:t>
      </w:r>
      <w:r w:rsidR="00765A56">
        <w:rPr>
          <w:rFonts w:hint="cs"/>
          <w:rtl/>
        </w:rPr>
        <w:t xml:space="preserve"> </w:t>
      </w:r>
      <w:r w:rsidR="00C35CB1" w:rsidRPr="00C35CB1">
        <w:rPr>
          <w:rFonts w:hint="cs"/>
          <w:rtl/>
        </w:rPr>
        <w:t>في إطار شراكة مع منظمتين غير حكوميتين هما</w:t>
      </w:r>
      <w:r w:rsidR="00BB6B48">
        <w:rPr>
          <w:rFonts w:hint="cs"/>
          <w:rtl/>
        </w:rPr>
        <w:t xml:space="preserve"> ”</w:t>
      </w:r>
      <w:r w:rsidR="00C35CB1" w:rsidRPr="00C35CB1">
        <w:rPr>
          <w:rFonts w:hint="cs"/>
          <w:rtl/>
        </w:rPr>
        <w:t>باكت</w:t>
      </w:r>
      <w:r w:rsidR="00BB6B48">
        <w:rPr>
          <w:rFonts w:hint="eastAsia"/>
          <w:rtl/>
        </w:rPr>
        <w:t>“</w:t>
      </w:r>
      <w:r w:rsidR="00BB6B48">
        <w:rPr>
          <w:rFonts w:hint="cs"/>
          <w:rtl/>
        </w:rPr>
        <w:t xml:space="preserve"> </w:t>
      </w:r>
      <w:r w:rsidR="00C35CB1" w:rsidRPr="00C35CB1">
        <w:rPr>
          <w:lang w:val="fr-CA"/>
        </w:rPr>
        <w:t>Pact)</w:t>
      </w:r>
      <w:r w:rsidR="00C35CB1" w:rsidRPr="00C35CB1">
        <w:rPr>
          <w:rFonts w:hint="cs"/>
          <w:rtl/>
        </w:rPr>
        <w:t>) و</w:t>
      </w:r>
      <w:r w:rsidR="00BB6B48">
        <w:rPr>
          <w:rFonts w:hint="cs"/>
          <w:rtl/>
        </w:rPr>
        <w:t xml:space="preserve"> </w:t>
      </w:r>
      <w:r w:rsidR="00BB6B48">
        <w:rPr>
          <w:rFonts w:hint="eastAsia"/>
          <w:rtl/>
        </w:rPr>
        <w:t>”</w:t>
      </w:r>
      <w:r w:rsidR="00C35CB1" w:rsidRPr="00C35CB1">
        <w:rPr>
          <w:rFonts w:hint="cs"/>
          <w:rtl/>
        </w:rPr>
        <w:t>فاوى</w:t>
      </w:r>
      <w:r w:rsidR="00BB6B48">
        <w:rPr>
          <w:rFonts w:hint="eastAsia"/>
          <w:rtl/>
        </w:rPr>
        <w:t>“</w:t>
      </w:r>
      <w:r w:rsidR="00BB6B48">
        <w:rPr>
          <w:rFonts w:hint="cs"/>
          <w:rtl/>
        </w:rPr>
        <w:t xml:space="preserve"> </w:t>
      </w:r>
      <w:r w:rsidR="00C35CB1" w:rsidRPr="00C35CB1">
        <w:rPr>
          <w:rFonts w:hint="cs"/>
          <w:rtl/>
        </w:rPr>
        <w:t>(</w:t>
      </w:r>
      <w:r w:rsidR="00C35CB1" w:rsidRPr="00C35CB1">
        <w:rPr>
          <w:lang w:val="fr-FR"/>
        </w:rPr>
        <w:t>Fawe</w:t>
      </w:r>
      <w:r w:rsidR="00C35CB1" w:rsidRPr="00C35CB1">
        <w:rPr>
          <w:rFonts w:hint="cs"/>
          <w:rtl/>
        </w:rPr>
        <w:t>) بغية تمكينهن من مواصلة تعليمهن الثانوي.</w:t>
      </w:r>
    </w:p>
    <w:p w:rsidR="00BA462B" w:rsidRDefault="001B2BBC" w:rsidP="00765A56">
      <w:pPr>
        <w:pStyle w:val="SingleTxt"/>
        <w:rPr>
          <w:rFonts w:hint="cs"/>
          <w:rtl/>
        </w:rPr>
      </w:pPr>
      <w:r>
        <w:rPr>
          <w:rFonts w:hint="cs"/>
          <w:rtl/>
        </w:rPr>
        <w:tab/>
      </w:r>
      <w:r w:rsidR="00C35CB1" w:rsidRPr="00C35CB1">
        <w:rPr>
          <w:rFonts w:hint="cs"/>
          <w:rtl/>
        </w:rPr>
        <w:t>وقد اتخذت مبادرات لقبول الأطفال الأميين في المدارس عن طريق برنامج محدد لمدة سنة لكي يتمكنوا من الترشح</w:t>
      </w:r>
      <w:r w:rsidR="00765A56">
        <w:rPr>
          <w:rFonts w:hint="cs"/>
          <w:rtl/>
        </w:rPr>
        <w:t xml:space="preserve"> </w:t>
      </w:r>
      <w:r w:rsidR="00C35CB1" w:rsidRPr="00C35CB1">
        <w:rPr>
          <w:rFonts w:hint="cs"/>
          <w:rtl/>
        </w:rPr>
        <w:t>لامتحان شهادة التعليم</w:t>
      </w:r>
      <w:r w:rsidR="00765A56">
        <w:rPr>
          <w:rFonts w:hint="cs"/>
          <w:rtl/>
        </w:rPr>
        <w:t xml:space="preserve"> </w:t>
      </w:r>
      <w:r w:rsidR="00C35CB1" w:rsidRPr="00C35CB1">
        <w:rPr>
          <w:rFonts w:hint="cs"/>
          <w:rtl/>
        </w:rPr>
        <w:t>الابتدائي</w:t>
      </w:r>
      <w:r w:rsidR="0015762F">
        <w:rPr>
          <w:rFonts w:hint="cs"/>
          <w:rtl/>
        </w:rPr>
        <w:t>.</w:t>
      </w:r>
      <w:r w:rsidR="00C35CB1" w:rsidRPr="00C35CB1">
        <w:rPr>
          <w:rFonts w:hint="cs"/>
          <w:rtl/>
        </w:rPr>
        <w:t xml:space="preserve"> </w:t>
      </w:r>
      <w:r w:rsidR="00D666E0">
        <w:rPr>
          <w:rFonts w:hint="cs"/>
          <w:rtl/>
        </w:rPr>
        <w:t>و</w:t>
      </w:r>
      <w:r w:rsidR="00C35CB1" w:rsidRPr="00C35CB1">
        <w:rPr>
          <w:rFonts w:hint="cs"/>
          <w:rtl/>
        </w:rPr>
        <w:t>توفر لهم هذه الطريقة إمكانية دخول معاهد</w:t>
      </w:r>
      <w:r w:rsidR="00765A56">
        <w:rPr>
          <w:rFonts w:hint="cs"/>
          <w:rtl/>
        </w:rPr>
        <w:t xml:space="preserve"> </w:t>
      </w:r>
      <w:r w:rsidR="00C35CB1" w:rsidRPr="00C35CB1">
        <w:rPr>
          <w:rFonts w:hint="cs"/>
          <w:rtl/>
        </w:rPr>
        <w:t>التعليم العام</w:t>
      </w:r>
      <w:r w:rsidR="0015762F">
        <w:rPr>
          <w:rFonts w:hint="cs"/>
          <w:rtl/>
        </w:rPr>
        <w:t>.</w:t>
      </w:r>
      <w:r w:rsidR="00C35CB1" w:rsidRPr="00C35CB1">
        <w:rPr>
          <w:rFonts w:hint="cs"/>
          <w:rtl/>
        </w:rPr>
        <w:t xml:space="preserve"> </w:t>
      </w:r>
    </w:p>
    <w:p w:rsidR="00BA462B" w:rsidRDefault="001B2BBC" w:rsidP="00765A56">
      <w:pPr>
        <w:pStyle w:val="SingleTxt"/>
        <w:rPr>
          <w:rFonts w:hint="cs"/>
          <w:rtl/>
        </w:rPr>
      </w:pPr>
      <w:r>
        <w:rPr>
          <w:rFonts w:hint="cs"/>
          <w:rtl/>
        </w:rPr>
        <w:tab/>
      </w:r>
      <w:r w:rsidR="00D666E0">
        <w:rPr>
          <w:rFonts w:hint="cs"/>
          <w:rtl/>
        </w:rPr>
        <w:t>و</w:t>
      </w:r>
      <w:r w:rsidR="00C35CB1" w:rsidRPr="00C35CB1">
        <w:rPr>
          <w:rFonts w:hint="cs"/>
          <w:rtl/>
        </w:rPr>
        <w:t>يجرى توسيع نطاق هذه التجربة، في أثناء السنة الدراسية الحالية 2008-2009، لتشمل امتحان شهادة دراسات المرحلة الأولى بالمعاهد، وذلك لفائدة الشباب المنقطعين عن الدراسة</w:t>
      </w:r>
      <w:r w:rsidR="00765A56">
        <w:rPr>
          <w:rFonts w:hint="cs"/>
          <w:rtl/>
        </w:rPr>
        <w:t xml:space="preserve"> </w:t>
      </w:r>
      <w:r w:rsidR="00C35CB1" w:rsidRPr="00C35CB1">
        <w:rPr>
          <w:rFonts w:hint="cs"/>
          <w:rtl/>
        </w:rPr>
        <w:t xml:space="preserve">ومن بينهم فتيات. </w:t>
      </w:r>
      <w:r w:rsidR="00D666E0">
        <w:rPr>
          <w:rFonts w:hint="cs"/>
          <w:rtl/>
        </w:rPr>
        <w:t>و</w:t>
      </w:r>
      <w:r w:rsidR="00C35CB1" w:rsidRPr="00C35CB1">
        <w:rPr>
          <w:rFonts w:hint="cs"/>
          <w:rtl/>
        </w:rPr>
        <w:t>على إثر حصول هؤلاء التلاميذ على</w:t>
      </w:r>
      <w:r w:rsidR="00765A56">
        <w:rPr>
          <w:rFonts w:hint="cs"/>
          <w:rtl/>
        </w:rPr>
        <w:t xml:space="preserve"> </w:t>
      </w:r>
      <w:r w:rsidR="00C35CB1" w:rsidRPr="00C35CB1">
        <w:rPr>
          <w:rFonts w:hint="cs"/>
          <w:rtl/>
        </w:rPr>
        <w:t xml:space="preserve">هذه الشهادة، يمكنهم الحصول على تدريب تقني </w:t>
      </w:r>
      <w:r w:rsidR="00D666E0">
        <w:rPr>
          <w:rFonts w:hint="cs"/>
          <w:rtl/>
        </w:rPr>
        <w:t>و</w:t>
      </w:r>
      <w:r w:rsidR="00C35CB1" w:rsidRPr="00C35CB1">
        <w:rPr>
          <w:rFonts w:hint="cs"/>
          <w:rtl/>
        </w:rPr>
        <w:t>مهني</w:t>
      </w:r>
      <w:r w:rsidR="0015762F">
        <w:rPr>
          <w:rFonts w:hint="cs"/>
          <w:rtl/>
        </w:rPr>
        <w:t>.</w:t>
      </w:r>
    </w:p>
    <w:p w:rsidR="00BA462B" w:rsidRDefault="001B2BBC" w:rsidP="00C35CB1">
      <w:pPr>
        <w:pStyle w:val="SingleTxt"/>
        <w:rPr>
          <w:rFonts w:hint="cs"/>
          <w:rtl/>
        </w:rPr>
      </w:pPr>
      <w:r>
        <w:rPr>
          <w:rFonts w:hint="cs"/>
          <w:rtl/>
        </w:rPr>
        <w:tab/>
      </w:r>
      <w:r w:rsidR="00D666E0">
        <w:rPr>
          <w:rFonts w:hint="cs"/>
          <w:rtl/>
        </w:rPr>
        <w:t>و</w:t>
      </w:r>
      <w:r w:rsidR="00C35CB1" w:rsidRPr="00C35CB1">
        <w:rPr>
          <w:rFonts w:hint="cs"/>
          <w:rtl/>
        </w:rPr>
        <w:t xml:space="preserve">بحلول عام 2012 </w:t>
      </w:r>
      <w:r w:rsidR="00D666E0">
        <w:rPr>
          <w:rFonts w:hint="cs"/>
          <w:rtl/>
        </w:rPr>
        <w:t>و</w:t>
      </w:r>
      <w:r w:rsidR="00C35CB1" w:rsidRPr="00C35CB1">
        <w:rPr>
          <w:rFonts w:hint="cs"/>
          <w:rtl/>
        </w:rPr>
        <w:t xml:space="preserve">على الصعيد العام </w:t>
      </w:r>
      <w:r w:rsidR="00D666E0">
        <w:rPr>
          <w:rFonts w:hint="cs"/>
          <w:rtl/>
        </w:rPr>
        <w:t>و</w:t>
      </w:r>
      <w:r w:rsidR="00C35CB1" w:rsidRPr="00C35CB1">
        <w:rPr>
          <w:rFonts w:hint="cs"/>
          <w:rtl/>
        </w:rPr>
        <w:t>دون اعتبار الجنس، يجب تحقيق الأهداف الكمية الرئيسية التالية</w:t>
      </w:r>
      <w:r w:rsidR="0015762F">
        <w:rPr>
          <w:rFonts w:hint="cs"/>
          <w:rtl/>
        </w:rPr>
        <w:t>:</w:t>
      </w:r>
    </w:p>
    <w:p w:rsidR="00C35CB1" w:rsidRPr="00C35CB1" w:rsidRDefault="00827B6A" w:rsidP="00416A5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80"/>
        <w:ind w:left="1929" w:hanging="662"/>
        <w:rPr>
          <w:rFonts w:hint="cs"/>
          <w:rtl/>
        </w:rPr>
      </w:pPr>
      <w:r>
        <w:rPr>
          <w:rFonts w:hint="cs"/>
          <w:rtl/>
        </w:rPr>
        <w:tab/>
      </w:r>
      <w:r w:rsidR="00DE02D4">
        <w:rPr>
          <w:rFonts w:hint="cs"/>
          <w:rtl/>
        </w:rPr>
        <w:t>-</w:t>
      </w:r>
      <w:r>
        <w:rPr>
          <w:rFonts w:hint="cs"/>
          <w:rtl/>
        </w:rPr>
        <w:tab/>
      </w:r>
      <w:r w:rsidR="00C35CB1" w:rsidRPr="00C35CB1">
        <w:rPr>
          <w:rFonts w:hint="cs"/>
          <w:rtl/>
        </w:rPr>
        <w:t>بلوغ معدل تغطية بنسبة 20</w:t>
      </w:r>
      <w:r w:rsidR="00416A5F">
        <w:rPr>
          <w:rFonts w:hint="cs"/>
          <w:rtl/>
          <w:lang w:val="fr-FR"/>
        </w:rPr>
        <w:t xml:space="preserve"> في المائة</w:t>
      </w:r>
      <w:r w:rsidR="00C35CB1" w:rsidRPr="00C35CB1">
        <w:rPr>
          <w:lang w:val="fr-FR"/>
        </w:rPr>
        <w:t xml:space="preserve"> </w:t>
      </w:r>
      <w:r w:rsidR="00C35CB1" w:rsidRPr="00C35CB1">
        <w:rPr>
          <w:rFonts w:hint="cs"/>
          <w:rtl/>
        </w:rPr>
        <w:t>على المستوى الوطني بالنسبة للطفولة الأولى من خلال إنشاء مراكز التعلي</w:t>
      </w:r>
      <w:r w:rsidR="00C35CB1" w:rsidRPr="00C35CB1">
        <w:rPr>
          <w:rFonts w:hint="eastAsia"/>
          <w:rtl/>
        </w:rPr>
        <w:t>م</w:t>
      </w:r>
      <w:r w:rsidR="00C35CB1" w:rsidRPr="00C35CB1">
        <w:rPr>
          <w:rFonts w:hint="cs"/>
          <w:rtl/>
        </w:rPr>
        <w:t xml:space="preserve"> على صعيد المجتمعات المحلية لمرحلة ما قبل الدراسة؛</w:t>
      </w:r>
    </w:p>
    <w:p w:rsidR="00C35CB1" w:rsidRPr="00C35CB1" w:rsidRDefault="00827B6A" w:rsidP="00416A5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80"/>
        <w:ind w:left="1929" w:hanging="662"/>
        <w:rPr>
          <w:rFonts w:hint="cs"/>
          <w:rtl/>
        </w:rPr>
      </w:pPr>
      <w:r>
        <w:rPr>
          <w:rFonts w:hint="cs"/>
          <w:rtl/>
        </w:rPr>
        <w:tab/>
      </w:r>
      <w:r w:rsidR="00DE02D4">
        <w:rPr>
          <w:rFonts w:hint="cs"/>
          <w:rtl/>
        </w:rPr>
        <w:t>-</w:t>
      </w:r>
      <w:r>
        <w:rPr>
          <w:rFonts w:hint="cs"/>
          <w:rtl/>
        </w:rPr>
        <w:tab/>
      </w:r>
      <w:r w:rsidR="00C35CB1" w:rsidRPr="00C35CB1">
        <w:rPr>
          <w:rFonts w:hint="cs"/>
          <w:rtl/>
        </w:rPr>
        <w:t>بلوغ معدل تسجيل</w:t>
      </w:r>
      <w:r w:rsidR="00765A56">
        <w:rPr>
          <w:rFonts w:hint="cs"/>
          <w:rtl/>
        </w:rPr>
        <w:t xml:space="preserve"> </w:t>
      </w:r>
      <w:r w:rsidR="00C35CB1" w:rsidRPr="00C35CB1">
        <w:rPr>
          <w:rFonts w:hint="cs"/>
          <w:rtl/>
        </w:rPr>
        <w:t>لا يقل عن 20</w:t>
      </w:r>
      <w:r w:rsidR="00416A5F">
        <w:rPr>
          <w:rFonts w:hint="cs"/>
          <w:rtl/>
          <w:lang w:val="fr-FR"/>
        </w:rPr>
        <w:t xml:space="preserve"> في المائة</w:t>
      </w:r>
      <w:r w:rsidR="00C35CB1" w:rsidRPr="00C35CB1">
        <w:rPr>
          <w:rFonts w:hint="cs"/>
          <w:rtl/>
        </w:rPr>
        <w:t xml:space="preserve"> بالنسبة لأطفال الفئة العمرية</w:t>
      </w:r>
      <w:r w:rsidR="00765A56">
        <w:rPr>
          <w:rFonts w:hint="cs"/>
          <w:rtl/>
        </w:rPr>
        <w:t xml:space="preserve"> </w:t>
      </w:r>
      <w:r w:rsidR="00C35CB1" w:rsidRPr="00C35CB1">
        <w:rPr>
          <w:rFonts w:hint="cs"/>
          <w:rtl/>
        </w:rPr>
        <w:t>من</w:t>
      </w:r>
      <w:r w:rsidR="00765A56">
        <w:rPr>
          <w:rFonts w:hint="cs"/>
          <w:rtl/>
        </w:rPr>
        <w:t xml:space="preserve"> </w:t>
      </w:r>
      <w:r w:rsidR="00C35CB1" w:rsidRPr="00C35CB1">
        <w:rPr>
          <w:rFonts w:hint="cs"/>
          <w:rtl/>
        </w:rPr>
        <w:t>3 إلى 5 أعوام</w:t>
      </w:r>
      <w:r w:rsidR="00765A56">
        <w:rPr>
          <w:rFonts w:hint="cs"/>
          <w:rtl/>
        </w:rPr>
        <w:t xml:space="preserve"> </w:t>
      </w:r>
      <w:r w:rsidR="00C35CB1" w:rsidRPr="00C35CB1">
        <w:rPr>
          <w:rFonts w:hint="cs"/>
          <w:rtl/>
        </w:rPr>
        <w:t>في مرحلة ما قبل الدراسة؛</w:t>
      </w:r>
    </w:p>
    <w:p w:rsidR="00C35CB1" w:rsidRPr="00C35CB1" w:rsidRDefault="00827B6A" w:rsidP="00382E7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80"/>
        <w:ind w:left="1929" w:hanging="662"/>
        <w:rPr>
          <w:rFonts w:hint="cs"/>
          <w:rtl/>
        </w:rPr>
      </w:pPr>
      <w:r>
        <w:rPr>
          <w:rFonts w:hint="cs"/>
          <w:rtl/>
        </w:rPr>
        <w:tab/>
      </w:r>
      <w:r w:rsidR="00DE02D4">
        <w:rPr>
          <w:rFonts w:hint="cs"/>
          <w:rtl/>
        </w:rPr>
        <w:t>-</w:t>
      </w:r>
      <w:r>
        <w:rPr>
          <w:rFonts w:hint="cs"/>
          <w:rtl/>
        </w:rPr>
        <w:tab/>
      </w:r>
      <w:r w:rsidR="00C35CB1" w:rsidRPr="00C35CB1">
        <w:rPr>
          <w:rFonts w:hint="cs"/>
          <w:rtl/>
        </w:rPr>
        <w:t>كفالة أن يكون</w:t>
      </w:r>
      <w:r w:rsidR="00765A56">
        <w:rPr>
          <w:rFonts w:hint="cs"/>
          <w:rtl/>
        </w:rPr>
        <w:t xml:space="preserve"> </w:t>
      </w:r>
      <w:r w:rsidR="00C35CB1" w:rsidRPr="00C35CB1">
        <w:rPr>
          <w:rFonts w:hint="cs"/>
          <w:rtl/>
        </w:rPr>
        <w:t>كل الأطفال البالغين 6 و 7 سنوات مسجلين</w:t>
      </w:r>
      <w:r w:rsidR="00765A56">
        <w:rPr>
          <w:rFonts w:hint="cs"/>
          <w:rtl/>
        </w:rPr>
        <w:t xml:space="preserve"> </w:t>
      </w:r>
      <w:r w:rsidR="00C35CB1" w:rsidRPr="00C35CB1">
        <w:rPr>
          <w:rFonts w:hint="cs"/>
          <w:rtl/>
        </w:rPr>
        <w:t xml:space="preserve">في السنة الأولى من التعليم الابتدائي </w:t>
      </w:r>
      <w:r w:rsidR="00D666E0">
        <w:rPr>
          <w:rFonts w:hint="cs"/>
          <w:rtl/>
        </w:rPr>
        <w:t>و</w:t>
      </w:r>
      <w:r w:rsidR="00C35CB1" w:rsidRPr="00C35CB1">
        <w:rPr>
          <w:rFonts w:hint="cs"/>
          <w:rtl/>
        </w:rPr>
        <w:t>ذلك بحلول عام 2010</w:t>
      </w:r>
      <w:r w:rsidR="0015762F">
        <w:rPr>
          <w:rFonts w:hint="cs"/>
          <w:rtl/>
        </w:rPr>
        <w:t>؛</w:t>
      </w:r>
    </w:p>
    <w:p w:rsidR="00C35CB1" w:rsidRPr="00C35CB1" w:rsidRDefault="00827B6A" w:rsidP="00382E7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80"/>
        <w:ind w:left="1929" w:hanging="662"/>
        <w:rPr>
          <w:rFonts w:hint="cs"/>
          <w:rtl/>
        </w:rPr>
      </w:pPr>
      <w:r>
        <w:rPr>
          <w:rFonts w:hint="cs"/>
          <w:rtl/>
        </w:rPr>
        <w:tab/>
      </w:r>
      <w:r w:rsidR="00DE02D4">
        <w:rPr>
          <w:rFonts w:hint="cs"/>
          <w:rtl/>
        </w:rPr>
        <w:t>-</w:t>
      </w:r>
      <w:r>
        <w:rPr>
          <w:rFonts w:hint="cs"/>
          <w:rtl/>
        </w:rPr>
        <w:tab/>
      </w:r>
      <w:r w:rsidR="00C35CB1" w:rsidRPr="00C35CB1">
        <w:rPr>
          <w:rFonts w:hint="cs"/>
          <w:rtl/>
        </w:rPr>
        <w:t>بلوغ معدل 100</w:t>
      </w:r>
      <w:r w:rsidR="00765A56">
        <w:rPr>
          <w:rFonts w:hint="cs"/>
          <w:rtl/>
          <w:lang w:val="fr-FR"/>
        </w:rPr>
        <w:t xml:space="preserve"> في المائة </w:t>
      </w:r>
      <w:r w:rsidR="00C35CB1" w:rsidRPr="00C35CB1">
        <w:rPr>
          <w:rFonts w:hint="cs"/>
          <w:rtl/>
        </w:rPr>
        <w:t>بالنسبة لإكمال الخمس</w:t>
      </w:r>
      <w:r w:rsidR="00765A56">
        <w:rPr>
          <w:rFonts w:hint="cs"/>
          <w:rtl/>
        </w:rPr>
        <w:t xml:space="preserve"> </w:t>
      </w:r>
      <w:r w:rsidR="00C35CB1" w:rsidRPr="00C35CB1">
        <w:rPr>
          <w:rFonts w:hint="cs"/>
          <w:rtl/>
        </w:rPr>
        <w:t>سنوات الأولى من ال</w:t>
      </w:r>
      <w:r w:rsidR="00416A5F">
        <w:rPr>
          <w:rFonts w:hint="cs"/>
          <w:rtl/>
        </w:rPr>
        <w:t>ت</w:t>
      </w:r>
      <w:r w:rsidR="00C35CB1" w:rsidRPr="00C35CB1">
        <w:rPr>
          <w:rFonts w:hint="cs"/>
          <w:rtl/>
        </w:rPr>
        <w:t>عليم الابتدائي ومعدل 65</w:t>
      </w:r>
      <w:r w:rsidR="00765A56">
        <w:rPr>
          <w:rFonts w:hint="cs"/>
          <w:rtl/>
        </w:rPr>
        <w:t xml:space="preserve"> في المائة</w:t>
      </w:r>
      <w:r w:rsidR="00C35CB1" w:rsidRPr="00C35CB1">
        <w:rPr>
          <w:rFonts w:hint="cs"/>
          <w:rtl/>
        </w:rPr>
        <w:t xml:space="preserve"> بالنسبة لإكمال 7 سنوات، بحلول عام 2015؛</w:t>
      </w:r>
    </w:p>
    <w:p w:rsidR="00C35CB1" w:rsidRPr="00C35CB1" w:rsidRDefault="00827B6A" w:rsidP="00382E7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80"/>
        <w:ind w:left="1929" w:hanging="662"/>
        <w:rPr>
          <w:rFonts w:hint="cs"/>
          <w:rtl/>
        </w:rPr>
      </w:pPr>
      <w:r>
        <w:rPr>
          <w:rFonts w:hint="cs"/>
          <w:rtl/>
        </w:rPr>
        <w:tab/>
      </w:r>
      <w:r w:rsidR="00DE02D4">
        <w:rPr>
          <w:rFonts w:hint="cs"/>
          <w:rtl/>
        </w:rPr>
        <w:t>-</w:t>
      </w:r>
      <w:r>
        <w:rPr>
          <w:rFonts w:hint="cs"/>
          <w:rtl/>
        </w:rPr>
        <w:tab/>
      </w:r>
      <w:r w:rsidR="00C35CB1" w:rsidRPr="00C35CB1">
        <w:rPr>
          <w:rFonts w:hint="cs"/>
          <w:rtl/>
        </w:rPr>
        <w:t>خفض نسبة الراسبين إلى 5</w:t>
      </w:r>
      <w:r w:rsidR="00765A56">
        <w:rPr>
          <w:rFonts w:hint="cs"/>
          <w:rtl/>
          <w:lang w:val="fr-FR"/>
        </w:rPr>
        <w:t xml:space="preserve"> في المائة</w:t>
      </w:r>
      <w:r w:rsidR="00C35CB1" w:rsidRPr="00C35CB1">
        <w:rPr>
          <w:rFonts w:hint="cs"/>
          <w:rtl/>
        </w:rPr>
        <w:t xml:space="preserve"> بالنسبة لدورة</w:t>
      </w:r>
      <w:r w:rsidR="00765A56">
        <w:rPr>
          <w:rFonts w:hint="cs"/>
          <w:rtl/>
        </w:rPr>
        <w:t xml:space="preserve"> </w:t>
      </w:r>
      <w:r w:rsidR="00C35CB1" w:rsidRPr="00C35CB1">
        <w:rPr>
          <w:rFonts w:hint="cs"/>
          <w:rtl/>
        </w:rPr>
        <w:t>السبع</w:t>
      </w:r>
      <w:r w:rsidR="00765A56">
        <w:rPr>
          <w:rFonts w:hint="cs"/>
          <w:rtl/>
        </w:rPr>
        <w:t xml:space="preserve"> </w:t>
      </w:r>
      <w:r w:rsidR="00C35CB1" w:rsidRPr="00C35CB1">
        <w:rPr>
          <w:rFonts w:hint="cs"/>
          <w:rtl/>
        </w:rPr>
        <w:t>سنوات الجديدة للتعليم الابتدائي</w:t>
      </w:r>
      <w:r w:rsidR="00765A56">
        <w:rPr>
          <w:rFonts w:hint="cs"/>
          <w:rtl/>
        </w:rPr>
        <w:t xml:space="preserve"> </w:t>
      </w:r>
      <w:r w:rsidR="00C35CB1" w:rsidRPr="00C35CB1">
        <w:rPr>
          <w:rFonts w:hint="cs"/>
          <w:rtl/>
        </w:rPr>
        <w:t>بحلول عام 2015؛</w:t>
      </w:r>
    </w:p>
    <w:p w:rsidR="00C35CB1" w:rsidRPr="00C35CB1" w:rsidRDefault="00827B6A" w:rsidP="00382E7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80"/>
        <w:ind w:left="1929" w:hanging="662"/>
        <w:rPr>
          <w:rFonts w:hint="cs"/>
          <w:rtl/>
        </w:rPr>
      </w:pPr>
      <w:r>
        <w:rPr>
          <w:rFonts w:hint="cs"/>
          <w:rtl/>
        </w:rPr>
        <w:tab/>
      </w:r>
      <w:r w:rsidR="00DE02D4">
        <w:rPr>
          <w:rFonts w:hint="cs"/>
          <w:rtl/>
        </w:rPr>
        <w:t>-</w:t>
      </w:r>
      <w:r>
        <w:rPr>
          <w:rFonts w:hint="cs"/>
          <w:rtl/>
        </w:rPr>
        <w:tab/>
      </w:r>
      <w:r w:rsidR="00C35CB1" w:rsidRPr="00C35CB1">
        <w:rPr>
          <w:rFonts w:hint="cs"/>
          <w:rtl/>
        </w:rPr>
        <w:t>مضاعفة المعدل الإجمالي للتسجيل للتعليم بالمدارس الإعدادية بحلول عام 2015 (من 19</w:t>
      </w:r>
      <w:r w:rsidR="006145D0">
        <w:rPr>
          <w:rFonts w:hint="cs"/>
          <w:rtl/>
          <w:lang w:val="fr-FR"/>
        </w:rPr>
        <w:t>في المائة</w:t>
      </w:r>
      <w:r w:rsidR="00C35CB1" w:rsidRPr="00C35CB1">
        <w:rPr>
          <w:lang w:val="fr-FR"/>
        </w:rPr>
        <w:t xml:space="preserve"> </w:t>
      </w:r>
      <w:r w:rsidR="00C35CB1" w:rsidRPr="00C35CB1">
        <w:rPr>
          <w:rFonts w:hint="cs"/>
          <w:rtl/>
        </w:rPr>
        <w:t xml:space="preserve">في عام 2006 إلى </w:t>
      </w:r>
      <w:r w:rsidR="006145D0">
        <w:rPr>
          <w:rFonts w:hint="cs"/>
          <w:rtl/>
        </w:rPr>
        <w:t>40 في المائة</w:t>
      </w:r>
      <w:r w:rsidR="00C35CB1" w:rsidRPr="00C35CB1">
        <w:rPr>
          <w:rFonts w:hint="cs"/>
          <w:rtl/>
        </w:rPr>
        <w:t xml:space="preserve"> في عام 2015)؛</w:t>
      </w:r>
    </w:p>
    <w:p w:rsidR="00C35CB1" w:rsidRPr="00C35CB1" w:rsidRDefault="00827B6A" w:rsidP="00382E7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80"/>
        <w:ind w:left="1929" w:hanging="662"/>
        <w:rPr>
          <w:rFonts w:hint="cs"/>
          <w:rtl/>
        </w:rPr>
      </w:pPr>
      <w:r>
        <w:rPr>
          <w:rFonts w:hint="cs"/>
          <w:rtl/>
        </w:rPr>
        <w:tab/>
      </w:r>
      <w:r w:rsidR="00DE02D4">
        <w:rPr>
          <w:rFonts w:hint="cs"/>
          <w:rtl/>
        </w:rPr>
        <w:t>-</w:t>
      </w:r>
      <w:r>
        <w:rPr>
          <w:rFonts w:hint="cs"/>
          <w:rtl/>
        </w:rPr>
        <w:tab/>
      </w:r>
      <w:r w:rsidR="00C35CB1" w:rsidRPr="00C35CB1">
        <w:rPr>
          <w:rFonts w:hint="cs"/>
          <w:rtl/>
        </w:rPr>
        <w:t>بلوغ معدل 34</w:t>
      </w:r>
      <w:r w:rsidR="00765A56">
        <w:rPr>
          <w:rFonts w:hint="cs"/>
          <w:rtl/>
        </w:rPr>
        <w:t xml:space="preserve"> في المائة</w:t>
      </w:r>
      <w:r w:rsidR="00C35CB1" w:rsidRPr="00C35CB1">
        <w:rPr>
          <w:rFonts w:hint="cs"/>
          <w:rtl/>
        </w:rPr>
        <w:t xml:space="preserve"> لإكمال الدراسات على مستوى المدارس الإعدادية</w:t>
      </w:r>
      <w:r w:rsidR="00765A56">
        <w:rPr>
          <w:rFonts w:hint="cs"/>
          <w:rtl/>
        </w:rPr>
        <w:t xml:space="preserve"> </w:t>
      </w:r>
      <w:r w:rsidR="00C35CB1" w:rsidRPr="00C35CB1">
        <w:rPr>
          <w:rFonts w:hint="cs"/>
          <w:rtl/>
        </w:rPr>
        <w:t>بحلول عام 2015 ( دورة جديدة مدتها 3 س</w:t>
      </w:r>
      <w:r w:rsidR="00416A5F">
        <w:rPr>
          <w:rFonts w:hint="cs"/>
          <w:rtl/>
        </w:rPr>
        <w:t>نوات للتعليم بالمدارس الإعدادية</w:t>
      </w:r>
      <w:r w:rsidR="00C35CB1" w:rsidRPr="00C35CB1">
        <w:rPr>
          <w:rFonts w:hint="cs"/>
          <w:rtl/>
        </w:rPr>
        <w:t>)؛</w:t>
      </w:r>
    </w:p>
    <w:p w:rsidR="00C35CB1" w:rsidRPr="00C35CB1" w:rsidRDefault="00827B6A" w:rsidP="00382E7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80"/>
        <w:ind w:left="1929" w:hanging="662"/>
        <w:rPr>
          <w:rFonts w:hint="cs"/>
          <w:rtl/>
        </w:rPr>
      </w:pPr>
      <w:r>
        <w:rPr>
          <w:rFonts w:hint="cs"/>
          <w:rtl/>
        </w:rPr>
        <w:tab/>
      </w:r>
      <w:r w:rsidR="00DE02D4">
        <w:rPr>
          <w:rFonts w:hint="cs"/>
          <w:rtl/>
        </w:rPr>
        <w:t>-</w:t>
      </w:r>
      <w:r>
        <w:rPr>
          <w:rFonts w:hint="cs"/>
          <w:rtl/>
        </w:rPr>
        <w:tab/>
      </w:r>
      <w:r w:rsidR="00C35CB1" w:rsidRPr="00C35CB1">
        <w:rPr>
          <w:rFonts w:hint="cs"/>
          <w:rtl/>
        </w:rPr>
        <w:t>خفض النسبة المئوية للسكان الأميين</w:t>
      </w:r>
      <w:r w:rsidR="00765A56">
        <w:rPr>
          <w:rFonts w:hint="cs"/>
          <w:rtl/>
        </w:rPr>
        <w:t xml:space="preserve"> </w:t>
      </w:r>
      <w:r w:rsidR="00C35CB1" w:rsidRPr="00C35CB1">
        <w:rPr>
          <w:rFonts w:hint="cs"/>
          <w:rtl/>
        </w:rPr>
        <w:t>إلى</w:t>
      </w:r>
      <w:r w:rsidR="00765A56">
        <w:rPr>
          <w:rFonts w:hint="cs"/>
          <w:rtl/>
        </w:rPr>
        <w:t xml:space="preserve"> </w:t>
      </w:r>
      <w:r w:rsidR="00C35CB1" w:rsidRPr="00C35CB1">
        <w:rPr>
          <w:rFonts w:hint="cs"/>
          <w:rtl/>
        </w:rPr>
        <w:t>20</w:t>
      </w:r>
      <w:r w:rsidR="00765A56">
        <w:rPr>
          <w:rFonts w:hint="cs"/>
          <w:rtl/>
          <w:lang w:val="fr-FR"/>
        </w:rPr>
        <w:t xml:space="preserve"> في المائة</w:t>
      </w:r>
      <w:r w:rsidR="00C35CB1" w:rsidRPr="00C35CB1">
        <w:rPr>
          <w:rFonts w:hint="cs"/>
          <w:rtl/>
        </w:rPr>
        <w:t xml:space="preserve"> من خلال حملات</w:t>
      </w:r>
      <w:r w:rsidR="00765A56">
        <w:rPr>
          <w:rFonts w:hint="cs"/>
          <w:rtl/>
        </w:rPr>
        <w:t xml:space="preserve"> </w:t>
      </w:r>
      <w:r w:rsidR="00C35CB1" w:rsidRPr="00C35CB1">
        <w:rPr>
          <w:rFonts w:hint="cs"/>
          <w:rtl/>
        </w:rPr>
        <w:t>لمحو الأمية الوظيفي</w:t>
      </w:r>
      <w:r w:rsidR="00765A56">
        <w:rPr>
          <w:rFonts w:hint="cs"/>
          <w:rtl/>
        </w:rPr>
        <w:t xml:space="preserve"> </w:t>
      </w:r>
      <w:r w:rsidR="00C35CB1" w:rsidRPr="00C35CB1">
        <w:rPr>
          <w:rFonts w:hint="cs"/>
          <w:rtl/>
        </w:rPr>
        <w:t>للشباب والبالغين</w:t>
      </w:r>
      <w:r w:rsidR="00765A56">
        <w:rPr>
          <w:rFonts w:hint="cs"/>
          <w:rtl/>
        </w:rPr>
        <w:t xml:space="preserve"> </w:t>
      </w:r>
      <w:r w:rsidR="00D666E0">
        <w:rPr>
          <w:rFonts w:hint="cs"/>
          <w:rtl/>
        </w:rPr>
        <w:t>و</w:t>
      </w:r>
      <w:r w:rsidR="00C35CB1" w:rsidRPr="00C35CB1">
        <w:rPr>
          <w:rFonts w:hint="cs"/>
          <w:rtl/>
        </w:rPr>
        <w:t>إعادة الأطفال المنقطعين عن التعليم إلى قطاع المدارس النظامية؛</w:t>
      </w:r>
    </w:p>
    <w:p w:rsidR="00C35CB1" w:rsidRPr="00C35CB1" w:rsidRDefault="00827B6A" w:rsidP="00DE02D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sidR="00DE02D4">
        <w:rPr>
          <w:rFonts w:hint="cs"/>
          <w:rtl/>
        </w:rPr>
        <w:t>-</w:t>
      </w:r>
      <w:r>
        <w:rPr>
          <w:rFonts w:hint="cs"/>
          <w:rtl/>
        </w:rPr>
        <w:tab/>
      </w:r>
      <w:r w:rsidR="00C35CB1" w:rsidRPr="00C35CB1">
        <w:rPr>
          <w:rFonts w:hint="cs"/>
          <w:rtl/>
        </w:rPr>
        <w:t>تهيئ</w:t>
      </w:r>
      <w:r w:rsidR="00E71DD0">
        <w:rPr>
          <w:rFonts w:hint="cs"/>
          <w:rtl/>
        </w:rPr>
        <w:t>ــ</w:t>
      </w:r>
      <w:r w:rsidR="00C35CB1" w:rsidRPr="00C35CB1">
        <w:rPr>
          <w:rFonts w:hint="cs"/>
          <w:rtl/>
        </w:rPr>
        <w:t>ة أفض</w:t>
      </w:r>
      <w:r w:rsidR="00E71DD0">
        <w:rPr>
          <w:rFonts w:hint="cs"/>
          <w:rtl/>
        </w:rPr>
        <w:t>ـ</w:t>
      </w:r>
      <w:r w:rsidR="00C35CB1" w:rsidRPr="00C35CB1">
        <w:rPr>
          <w:rFonts w:hint="cs"/>
          <w:rtl/>
        </w:rPr>
        <w:t>ل الظ</w:t>
      </w:r>
      <w:r w:rsidR="00E71DD0">
        <w:rPr>
          <w:rFonts w:hint="cs"/>
          <w:rtl/>
        </w:rPr>
        <w:t>ــ</w:t>
      </w:r>
      <w:r w:rsidR="00C35CB1" w:rsidRPr="00C35CB1">
        <w:rPr>
          <w:rFonts w:hint="cs"/>
          <w:rtl/>
        </w:rPr>
        <w:t>روف لإص</w:t>
      </w:r>
      <w:r w:rsidR="00E71DD0">
        <w:rPr>
          <w:rFonts w:hint="cs"/>
          <w:rtl/>
        </w:rPr>
        <w:t>ـــ</w:t>
      </w:r>
      <w:r w:rsidR="00C35CB1" w:rsidRPr="00C35CB1">
        <w:rPr>
          <w:rFonts w:hint="cs"/>
          <w:rtl/>
        </w:rPr>
        <w:t>لاح التعلي</w:t>
      </w:r>
      <w:r w:rsidR="00E71DD0">
        <w:rPr>
          <w:rFonts w:hint="cs"/>
          <w:rtl/>
        </w:rPr>
        <w:t>ـــ</w:t>
      </w:r>
      <w:r w:rsidR="00C35CB1" w:rsidRPr="00C35CB1">
        <w:rPr>
          <w:rFonts w:hint="cs"/>
          <w:rtl/>
        </w:rPr>
        <w:t>م الثانوي منذ بداية السنة الدراسية 2008-2009 في المؤسسات المدرسية النموذجية قبل تعميمها في عام 2013</w:t>
      </w:r>
      <w:r w:rsidR="0015762F">
        <w:rPr>
          <w:rFonts w:hint="cs"/>
          <w:rtl/>
        </w:rPr>
        <w:t>.</w:t>
      </w:r>
      <w:r w:rsidR="00C35CB1" w:rsidRPr="00C35CB1">
        <w:rPr>
          <w:rFonts w:hint="cs"/>
          <w:rtl/>
        </w:rPr>
        <w:t xml:space="preserve"> </w:t>
      </w:r>
    </w:p>
    <w:p w:rsidR="00C35CB1" w:rsidRPr="00C35CB1" w:rsidRDefault="00827B6A" w:rsidP="00827B6A">
      <w:pPr>
        <w:pStyle w:val="SingleTxt"/>
        <w:rPr>
          <w:rFonts w:hint="cs"/>
          <w:rtl/>
        </w:rPr>
      </w:pPr>
      <w:r>
        <w:rPr>
          <w:rFonts w:hint="cs"/>
          <w:rtl/>
        </w:rPr>
        <w:tab/>
      </w:r>
      <w:r w:rsidR="00D666E0">
        <w:rPr>
          <w:rFonts w:hint="cs"/>
          <w:rtl/>
        </w:rPr>
        <w:t>و</w:t>
      </w:r>
      <w:r w:rsidR="00C35CB1" w:rsidRPr="00C35CB1">
        <w:rPr>
          <w:rFonts w:hint="cs"/>
          <w:rtl/>
        </w:rPr>
        <w:t>سيجرى تحقيق هذه الأهداف على الصعيد المؤسسي من خلال:</w:t>
      </w:r>
    </w:p>
    <w:p w:rsidR="00C35CB1" w:rsidRPr="00C35CB1" w:rsidRDefault="00827B6A" w:rsidP="00DE02D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sidR="00DE02D4">
        <w:rPr>
          <w:rFonts w:hint="cs"/>
          <w:rtl/>
        </w:rPr>
        <w:t>-</w:t>
      </w:r>
      <w:r>
        <w:rPr>
          <w:rFonts w:hint="cs"/>
          <w:rtl/>
        </w:rPr>
        <w:tab/>
      </w:r>
      <w:r w:rsidR="00C35CB1" w:rsidRPr="00C35CB1">
        <w:rPr>
          <w:rFonts w:hint="cs"/>
          <w:rtl/>
        </w:rPr>
        <w:t>اعتماد استراتجيات لبناء المدارس</w:t>
      </w:r>
      <w:r w:rsidR="0015762F">
        <w:rPr>
          <w:rFonts w:hint="cs"/>
          <w:rtl/>
        </w:rPr>
        <w:t>،</w:t>
      </w:r>
      <w:r w:rsidR="00C35CB1" w:rsidRPr="00C35CB1">
        <w:rPr>
          <w:rFonts w:hint="cs"/>
          <w:rtl/>
        </w:rPr>
        <w:t xml:space="preserve"> على أساس تحميل المسؤولية للبلديات </w:t>
      </w:r>
      <w:r w:rsidR="00D666E0">
        <w:rPr>
          <w:rFonts w:hint="cs"/>
          <w:rtl/>
        </w:rPr>
        <w:t>و</w:t>
      </w:r>
      <w:r w:rsidR="00C35CB1" w:rsidRPr="00C35CB1">
        <w:rPr>
          <w:rFonts w:hint="cs"/>
          <w:rtl/>
        </w:rPr>
        <w:t>الجماعات المحلية؛</w:t>
      </w:r>
    </w:p>
    <w:p w:rsidR="00C35CB1" w:rsidRPr="00C35CB1" w:rsidRDefault="00827B6A" w:rsidP="00DE02D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sidR="00DE02D4">
        <w:rPr>
          <w:rFonts w:hint="cs"/>
          <w:rtl/>
        </w:rPr>
        <w:t>-</w:t>
      </w:r>
      <w:r>
        <w:rPr>
          <w:rFonts w:hint="cs"/>
          <w:rtl/>
        </w:rPr>
        <w:tab/>
      </w:r>
      <w:r w:rsidR="00C35CB1" w:rsidRPr="00C35CB1">
        <w:rPr>
          <w:rFonts w:hint="cs"/>
          <w:rtl/>
        </w:rPr>
        <w:t xml:space="preserve">شفافية العماليات على كل المستويات </w:t>
      </w:r>
      <w:r w:rsidR="00D666E0">
        <w:rPr>
          <w:rFonts w:hint="cs"/>
          <w:rtl/>
        </w:rPr>
        <w:t>و</w:t>
      </w:r>
      <w:r w:rsidR="00C35CB1" w:rsidRPr="00C35CB1">
        <w:rPr>
          <w:rFonts w:hint="cs"/>
          <w:rtl/>
        </w:rPr>
        <w:t xml:space="preserve">في جميع المراحل </w:t>
      </w:r>
      <w:r w:rsidR="006145D0">
        <w:rPr>
          <w:rFonts w:hint="cs"/>
          <w:rtl/>
        </w:rPr>
        <w:t>بما يسمح لوزارة الصحة وتخطيط الأ</w:t>
      </w:r>
      <w:r w:rsidR="00C35CB1" w:rsidRPr="00C35CB1">
        <w:rPr>
          <w:rFonts w:hint="cs"/>
          <w:rtl/>
        </w:rPr>
        <w:t>سرة والحماية الاجتماعية باستعادة مكانتها في صميم وظائفها</w:t>
      </w:r>
      <w:r w:rsidR="00765A56">
        <w:rPr>
          <w:rFonts w:hint="cs"/>
          <w:rtl/>
        </w:rPr>
        <w:t xml:space="preserve"> </w:t>
      </w:r>
      <w:r w:rsidR="00C35CB1" w:rsidRPr="00C35CB1">
        <w:rPr>
          <w:rFonts w:hint="cs"/>
          <w:rtl/>
        </w:rPr>
        <w:t>البيداغوجية؛</w:t>
      </w:r>
    </w:p>
    <w:p w:rsidR="00C35CB1" w:rsidRPr="00C35CB1" w:rsidRDefault="00827B6A" w:rsidP="00DE02D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sidR="00DE02D4">
        <w:rPr>
          <w:rFonts w:hint="cs"/>
          <w:rtl/>
        </w:rPr>
        <w:t>-</w:t>
      </w:r>
      <w:r>
        <w:rPr>
          <w:rFonts w:hint="cs"/>
          <w:rtl/>
        </w:rPr>
        <w:tab/>
      </w:r>
      <w:r w:rsidR="00C35CB1" w:rsidRPr="00C35CB1">
        <w:rPr>
          <w:rFonts w:hint="cs"/>
          <w:rtl/>
        </w:rPr>
        <w:t>تعزيز الكفاءات على مستوى المدارس ومناطق العمل البيداغوجي والدوائر المدرسية</w:t>
      </w:r>
      <w:r w:rsidR="000A5EC7">
        <w:rPr>
          <w:rFonts w:hint="cs"/>
          <w:rtl/>
        </w:rPr>
        <w:t>،</w:t>
      </w:r>
      <w:r w:rsidR="00C35CB1" w:rsidRPr="00C35CB1">
        <w:rPr>
          <w:rFonts w:hint="cs"/>
          <w:rtl/>
        </w:rPr>
        <w:t xml:space="preserve"> من خلال زيادة مسؤولياتها؛</w:t>
      </w:r>
    </w:p>
    <w:p w:rsidR="00BA462B" w:rsidRDefault="00827B6A" w:rsidP="00DE02D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sidR="00DE02D4">
        <w:rPr>
          <w:rFonts w:hint="cs"/>
          <w:rtl/>
        </w:rPr>
        <w:t>-</w:t>
      </w:r>
      <w:r>
        <w:rPr>
          <w:rFonts w:hint="cs"/>
          <w:rtl/>
        </w:rPr>
        <w:tab/>
      </w:r>
      <w:r w:rsidR="00C35CB1" w:rsidRPr="00C35CB1">
        <w:rPr>
          <w:rFonts w:hint="cs"/>
          <w:rtl/>
        </w:rPr>
        <w:t>تدريب العناصر الفاعلة</w:t>
      </w:r>
      <w:r w:rsidR="00765A56">
        <w:rPr>
          <w:rFonts w:hint="cs"/>
          <w:rtl/>
        </w:rPr>
        <w:t xml:space="preserve"> </w:t>
      </w:r>
      <w:r w:rsidR="00D666E0">
        <w:rPr>
          <w:rFonts w:hint="cs"/>
          <w:rtl/>
        </w:rPr>
        <w:t>و</w:t>
      </w:r>
      <w:r w:rsidR="00C35CB1" w:rsidRPr="00C35CB1">
        <w:rPr>
          <w:rFonts w:hint="cs"/>
          <w:rtl/>
        </w:rPr>
        <w:t>تخصيص الموارد تبعا لذلك.</w:t>
      </w:r>
    </w:p>
    <w:p w:rsidR="00C35CB1" w:rsidRPr="00C35CB1" w:rsidRDefault="00827B6A" w:rsidP="00827B6A">
      <w:pPr>
        <w:pStyle w:val="SingleTxt"/>
        <w:rPr>
          <w:rFonts w:hint="cs"/>
          <w:rtl/>
        </w:rPr>
      </w:pPr>
      <w:r>
        <w:rPr>
          <w:rFonts w:hint="cs"/>
          <w:rtl/>
        </w:rPr>
        <w:tab/>
      </w:r>
      <w:r w:rsidR="00D666E0">
        <w:rPr>
          <w:rFonts w:hint="cs"/>
          <w:rtl/>
        </w:rPr>
        <w:t>و</w:t>
      </w:r>
      <w:r w:rsidR="00C35CB1" w:rsidRPr="00C35CB1">
        <w:rPr>
          <w:rFonts w:hint="cs"/>
          <w:rtl/>
        </w:rPr>
        <w:t>في مجال التعليم العالي، تتمثل التحديات الرئيسية فيما يلي:</w:t>
      </w:r>
    </w:p>
    <w:p w:rsidR="00C35CB1" w:rsidRPr="00C35CB1" w:rsidRDefault="00827B6A" w:rsidP="00DE02D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sidR="00DE02D4">
        <w:rPr>
          <w:rFonts w:hint="cs"/>
          <w:rtl/>
        </w:rPr>
        <w:t>-</w:t>
      </w:r>
      <w:r>
        <w:rPr>
          <w:rFonts w:hint="cs"/>
          <w:rtl/>
        </w:rPr>
        <w:tab/>
      </w:r>
      <w:r w:rsidR="00C35CB1" w:rsidRPr="00C35CB1">
        <w:rPr>
          <w:rFonts w:hint="cs"/>
          <w:rtl/>
        </w:rPr>
        <w:t>الاضطلاع بإصلاح مؤسسات التعليم العالي القائمة</w:t>
      </w:r>
      <w:r w:rsidR="00765A56">
        <w:rPr>
          <w:rFonts w:hint="cs"/>
          <w:rtl/>
        </w:rPr>
        <w:t xml:space="preserve"> </w:t>
      </w:r>
      <w:r w:rsidR="00C35CB1" w:rsidRPr="00C35CB1">
        <w:rPr>
          <w:rFonts w:hint="cs"/>
          <w:rtl/>
        </w:rPr>
        <w:t>في مدغشقر؛</w:t>
      </w:r>
    </w:p>
    <w:p w:rsidR="00C35CB1" w:rsidRPr="00C35CB1" w:rsidRDefault="00827B6A" w:rsidP="00DE02D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sidR="00DE02D4">
        <w:rPr>
          <w:rFonts w:hint="cs"/>
          <w:rtl/>
        </w:rPr>
        <w:t>-</w:t>
      </w:r>
      <w:r>
        <w:rPr>
          <w:rFonts w:hint="cs"/>
          <w:rtl/>
        </w:rPr>
        <w:tab/>
      </w:r>
      <w:r w:rsidR="00C35CB1" w:rsidRPr="00C35CB1">
        <w:rPr>
          <w:rFonts w:hint="cs"/>
          <w:rtl/>
        </w:rPr>
        <w:t xml:space="preserve">تطوير التدريب المفتوح عن بعد </w:t>
      </w:r>
      <w:r w:rsidR="00D666E0">
        <w:rPr>
          <w:rFonts w:hint="cs"/>
          <w:rtl/>
        </w:rPr>
        <w:t>و</w:t>
      </w:r>
      <w:r w:rsidR="00C35CB1" w:rsidRPr="00C35CB1">
        <w:rPr>
          <w:rFonts w:hint="cs"/>
          <w:rtl/>
        </w:rPr>
        <w:t>تطوير الجامعة المفتوحة؛</w:t>
      </w:r>
    </w:p>
    <w:p w:rsidR="00C35CB1" w:rsidRPr="00C35CB1" w:rsidRDefault="00827B6A" w:rsidP="00DE02D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b/>
          <w:bCs/>
          <w:rtl/>
        </w:rPr>
      </w:pPr>
      <w:r>
        <w:rPr>
          <w:rFonts w:hint="cs"/>
          <w:rtl/>
        </w:rPr>
        <w:tab/>
      </w:r>
      <w:r w:rsidR="00DE02D4">
        <w:rPr>
          <w:rFonts w:hint="cs"/>
          <w:rtl/>
        </w:rPr>
        <w:t>-</w:t>
      </w:r>
      <w:r>
        <w:rPr>
          <w:rFonts w:hint="cs"/>
          <w:rtl/>
        </w:rPr>
        <w:tab/>
      </w:r>
      <w:r w:rsidR="00C35CB1" w:rsidRPr="00C35CB1">
        <w:rPr>
          <w:rFonts w:hint="cs"/>
          <w:rtl/>
        </w:rPr>
        <w:t xml:space="preserve">تعزيز توسيع </w:t>
      </w:r>
      <w:r w:rsidR="00D666E0">
        <w:rPr>
          <w:rFonts w:hint="cs"/>
          <w:rtl/>
        </w:rPr>
        <w:t>و</w:t>
      </w:r>
      <w:r w:rsidR="00C35CB1" w:rsidRPr="00C35CB1">
        <w:rPr>
          <w:rFonts w:hint="cs"/>
          <w:rtl/>
        </w:rPr>
        <w:t xml:space="preserve">تطوير مؤسسات التعليم العالي مثل المعاهد العليا للتكنولوجيا من خلال تطوير التدريبات لمدة قصيرة </w:t>
      </w:r>
      <w:r w:rsidR="00D666E0">
        <w:rPr>
          <w:rFonts w:hint="cs"/>
          <w:rtl/>
        </w:rPr>
        <w:t>و</w:t>
      </w:r>
      <w:r w:rsidR="00C35CB1" w:rsidRPr="00C35CB1">
        <w:rPr>
          <w:rFonts w:hint="cs"/>
          <w:rtl/>
        </w:rPr>
        <w:t>التي تعد الطلبة</w:t>
      </w:r>
      <w:r w:rsidR="00765A56">
        <w:rPr>
          <w:rFonts w:hint="cs"/>
          <w:rtl/>
        </w:rPr>
        <w:t xml:space="preserve"> </w:t>
      </w:r>
      <w:r w:rsidR="00C35CB1" w:rsidRPr="00C35CB1">
        <w:rPr>
          <w:rFonts w:hint="cs"/>
          <w:rtl/>
        </w:rPr>
        <w:t>لممارسة مهن</w:t>
      </w:r>
      <w:r w:rsidR="00765A56">
        <w:rPr>
          <w:rFonts w:hint="cs"/>
          <w:rtl/>
        </w:rPr>
        <w:t xml:space="preserve"> </w:t>
      </w:r>
      <w:r w:rsidR="00C35CB1" w:rsidRPr="00C35CB1">
        <w:rPr>
          <w:rFonts w:hint="cs"/>
          <w:rtl/>
        </w:rPr>
        <w:t>حقيقية.</w:t>
      </w:r>
    </w:p>
    <w:p w:rsidR="00DE02D4" w:rsidRPr="00DE02D4" w:rsidRDefault="00DE02D4" w:rsidP="00DE02D4">
      <w:pPr>
        <w:pStyle w:val="SingleTxt"/>
        <w:spacing w:after="0" w:line="120" w:lineRule="exact"/>
        <w:rPr>
          <w:rFonts w:hint="cs"/>
          <w:b/>
          <w:bCs/>
          <w:sz w:val="10"/>
          <w:rtl/>
        </w:rPr>
      </w:pPr>
    </w:p>
    <w:p w:rsidR="00C35CB1" w:rsidRPr="00C35CB1" w:rsidRDefault="00C35CB1" w:rsidP="00C35CB1">
      <w:pPr>
        <w:pStyle w:val="SingleTxt"/>
        <w:rPr>
          <w:rFonts w:hint="cs"/>
          <w:b/>
          <w:bCs/>
          <w:rtl/>
        </w:rPr>
      </w:pPr>
      <w:r w:rsidRPr="00C35CB1">
        <w:rPr>
          <w:rFonts w:hint="cs"/>
          <w:b/>
          <w:bCs/>
          <w:rtl/>
        </w:rPr>
        <w:t xml:space="preserve">العنف ضد المرأة </w:t>
      </w:r>
    </w:p>
    <w:p w:rsidR="00C35CB1" w:rsidRPr="00C35CB1" w:rsidRDefault="00C35CB1" w:rsidP="00827B6A">
      <w:pPr>
        <w:pStyle w:val="SingleTxt"/>
        <w:rPr>
          <w:rFonts w:hint="cs"/>
          <w:rtl/>
        </w:rPr>
      </w:pPr>
      <w:r w:rsidRPr="00C35CB1">
        <w:rPr>
          <w:rFonts w:hint="cs"/>
          <w:rtl/>
        </w:rPr>
        <w:t>11</w:t>
      </w:r>
      <w:r w:rsidR="00D666E0">
        <w:rPr>
          <w:rFonts w:hint="cs"/>
          <w:rtl/>
        </w:rPr>
        <w:t xml:space="preserve"> -</w:t>
      </w:r>
      <w:r w:rsidR="00D666E0">
        <w:rPr>
          <w:rFonts w:hint="cs"/>
          <w:rtl/>
        </w:rPr>
        <w:tab/>
      </w:r>
      <w:r w:rsidRPr="00C35CB1">
        <w:rPr>
          <w:rFonts w:hint="cs"/>
          <w:rtl/>
        </w:rPr>
        <w:t>يشكّل استمرار ثقافة السرية صعوبات يجب تخطيها من أجل التطبيق الفعال للاتفاقية. من المعتاد</w:t>
      </w:r>
      <w:r w:rsidR="006145D0">
        <w:rPr>
          <w:rFonts w:hint="cs"/>
          <w:rtl/>
        </w:rPr>
        <w:t>،</w:t>
      </w:r>
      <w:r w:rsidRPr="00C35CB1">
        <w:rPr>
          <w:rFonts w:hint="cs"/>
          <w:rtl/>
        </w:rPr>
        <w:t xml:space="preserve"> في العقلية الملغاشية</w:t>
      </w:r>
      <w:r w:rsidR="006145D0">
        <w:rPr>
          <w:rFonts w:hint="cs"/>
          <w:rtl/>
        </w:rPr>
        <w:t>،</w:t>
      </w:r>
      <w:r w:rsidRPr="00C35CB1">
        <w:rPr>
          <w:rFonts w:hint="cs"/>
          <w:rtl/>
        </w:rPr>
        <w:t xml:space="preserve"> أن لا تكون الخصومات المنزلية علنية بما في ذلك أعمال العنف الزوجي. </w:t>
      </w:r>
      <w:r w:rsidR="00D666E0">
        <w:rPr>
          <w:rFonts w:hint="cs"/>
          <w:rtl/>
        </w:rPr>
        <w:t>و</w:t>
      </w:r>
      <w:r w:rsidRPr="00C35CB1">
        <w:rPr>
          <w:rFonts w:hint="cs"/>
          <w:rtl/>
        </w:rPr>
        <w:t xml:space="preserve">تمثل مواصلة عملية التوعية الطريقة الأفضل لتغيير السلوك </w:t>
      </w:r>
      <w:r w:rsidR="00D666E0">
        <w:rPr>
          <w:rFonts w:hint="cs"/>
          <w:rtl/>
        </w:rPr>
        <w:t>و</w:t>
      </w:r>
      <w:r w:rsidRPr="00C35CB1">
        <w:rPr>
          <w:rFonts w:hint="cs"/>
          <w:rtl/>
        </w:rPr>
        <w:t>العقلية بشأن هذه المسألة.</w:t>
      </w:r>
    </w:p>
    <w:p w:rsidR="00BA462B" w:rsidRDefault="00827B6A" w:rsidP="00C35CB1">
      <w:pPr>
        <w:pStyle w:val="SingleTxt"/>
        <w:rPr>
          <w:rFonts w:hint="cs"/>
          <w:rtl/>
        </w:rPr>
      </w:pPr>
      <w:r>
        <w:rPr>
          <w:rFonts w:hint="cs"/>
          <w:rtl/>
        </w:rPr>
        <w:tab/>
      </w:r>
      <w:r w:rsidR="00D666E0">
        <w:rPr>
          <w:rFonts w:hint="cs"/>
          <w:rtl/>
        </w:rPr>
        <w:t>و</w:t>
      </w:r>
      <w:r w:rsidR="00C35CB1" w:rsidRPr="00C35CB1">
        <w:rPr>
          <w:rFonts w:hint="cs"/>
          <w:rtl/>
        </w:rPr>
        <w:t>لا تمكن ندرة القرارات القضائية بشأن العنف الزوجي، في الوقت الحالي، من تقديم معلومات دقيقة بشأن نطاق هذه الظاهرة.</w:t>
      </w:r>
    </w:p>
    <w:p w:rsidR="00C35CB1" w:rsidRPr="00C35CB1" w:rsidRDefault="00C35CB1" w:rsidP="00765A56">
      <w:pPr>
        <w:pStyle w:val="SingleTxt"/>
        <w:rPr>
          <w:rFonts w:hint="cs"/>
          <w:rtl/>
        </w:rPr>
      </w:pPr>
      <w:r w:rsidRPr="00C35CB1">
        <w:rPr>
          <w:rFonts w:hint="cs"/>
          <w:rtl/>
        </w:rPr>
        <w:t>12</w:t>
      </w:r>
      <w:r w:rsidR="00D666E0">
        <w:rPr>
          <w:rFonts w:hint="cs"/>
          <w:rtl/>
        </w:rPr>
        <w:t xml:space="preserve"> -</w:t>
      </w:r>
      <w:r w:rsidR="00D666E0">
        <w:rPr>
          <w:rFonts w:hint="cs"/>
          <w:rtl/>
        </w:rPr>
        <w:tab/>
        <w:t>و</w:t>
      </w:r>
      <w:r w:rsidRPr="00C35CB1">
        <w:rPr>
          <w:rFonts w:hint="cs"/>
          <w:rtl/>
        </w:rPr>
        <w:t xml:space="preserve">قد أعدت </w:t>
      </w:r>
      <w:r w:rsidR="00D666E0">
        <w:rPr>
          <w:rFonts w:hint="cs"/>
          <w:rtl/>
        </w:rPr>
        <w:t>و</w:t>
      </w:r>
      <w:r w:rsidRPr="00C35CB1">
        <w:rPr>
          <w:rFonts w:hint="cs"/>
          <w:rtl/>
        </w:rPr>
        <w:t xml:space="preserve">نشرت وزارة العدل شريطا سينمائيا تربويا يتمحور حول العنف ضد النساء </w:t>
      </w:r>
      <w:r w:rsidR="00D666E0">
        <w:rPr>
          <w:rFonts w:hint="cs"/>
          <w:rtl/>
        </w:rPr>
        <w:t>و</w:t>
      </w:r>
      <w:r w:rsidRPr="00C35CB1">
        <w:rPr>
          <w:rFonts w:hint="cs"/>
          <w:rtl/>
        </w:rPr>
        <w:t xml:space="preserve">ذلك من أجل تعريفهن بحقوقهن التي تحميها الاتفاقية </w:t>
      </w:r>
      <w:r w:rsidR="00D666E0">
        <w:rPr>
          <w:rFonts w:hint="cs"/>
          <w:rtl/>
        </w:rPr>
        <w:t>و</w:t>
      </w:r>
      <w:r w:rsidRPr="00C35CB1">
        <w:rPr>
          <w:rFonts w:hint="cs"/>
          <w:rtl/>
        </w:rPr>
        <w:t xml:space="preserve">القانون. </w:t>
      </w:r>
      <w:r w:rsidR="00D666E0">
        <w:rPr>
          <w:rFonts w:hint="cs"/>
          <w:rtl/>
        </w:rPr>
        <w:t>و</w:t>
      </w:r>
      <w:r w:rsidRPr="00C35CB1">
        <w:rPr>
          <w:rFonts w:hint="cs"/>
          <w:rtl/>
        </w:rPr>
        <w:t>يظهر الشريط الأشكال المختلفة لأعمال العنف التي تكون النساء ضحيتها وكذلك</w:t>
      </w:r>
      <w:r w:rsidR="00765A56">
        <w:rPr>
          <w:rFonts w:hint="cs"/>
          <w:rtl/>
        </w:rPr>
        <w:t xml:space="preserve"> </w:t>
      </w:r>
      <w:r w:rsidRPr="00C35CB1">
        <w:rPr>
          <w:rFonts w:hint="cs"/>
          <w:rtl/>
        </w:rPr>
        <w:t xml:space="preserve">القوانين المنطبقة للتظلم لدى المحاكم من أجل الحصول على تعويض مناسب </w:t>
      </w:r>
      <w:r w:rsidR="00D666E0">
        <w:rPr>
          <w:rFonts w:hint="cs"/>
          <w:rtl/>
        </w:rPr>
        <w:t>و</w:t>
      </w:r>
      <w:r w:rsidRPr="00C35CB1">
        <w:rPr>
          <w:rFonts w:hint="cs"/>
          <w:rtl/>
        </w:rPr>
        <w:t>لمعاقبة المذنب.</w:t>
      </w:r>
    </w:p>
    <w:p w:rsidR="00C35CB1" w:rsidRPr="00C35CB1" w:rsidRDefault="00827B6A" w:rsidP="00E71DD0">
      <w:pPr>
        <w:pStyle w:val="SingleTxt"/>
        <w:rPr>
          <w:rFonts w:hint="cs"/>
          <w:rtl/>
        </w:rPr>
      </w:pPr>
      <w:r>
        <w:rPr>
          <w:rFonts w:hint="cs"/>
          <w:rtl/>
        </w:rPr>
        <w:tab/>
      </w:r>
      <w:r w:rsidR="00D666E0">
        <w:rPr>
          <w:rFonts w:hint="cs"/>
          <w:rtl/>
        </w:rPr>
        <w:t>و</w:t>
      </w:r>
      <w:r w:rsidR="00C35CB1" w:rsidRPr="00C35CB1">
        <w:rPr>
          <w:rFonts w:hint="cs"/>
          <w:rtl/>
        </w:rPr>
        <w:t>يهدف هذا الشريط، من ناحية،</w:t>
      </w:r>
      <w:r w:rsidR="00416A5F">
        <w:rPr>
          <w:rFonts w:hint="cs"/>
          <w:rtl/>
        </w:rPr>
        <w:t xml:space="preserve"> </w:t>
      </w:r>
      <w:r w:rsidR="00C35CB1" w:rsidRPr="00C35CB1">
        <w:rPr>
          <w:rFonts w:hint="cs"/>
          <w:rtl/>
        </w:rPr>
        <w:t>إلى تعريف المواطنات بالنصوص المنطبقة في مجال العنف، ومن جهة أخرى، إلى تدريب المسؤولين القضائيين على تطبيقها على مستوى المحاكم</w:t>
      </w:r>
      <w:r w:rsidR="00E71DD0">
        <w:rPr>
          <w:rFonts w:hint="eastAsia"/>
          <w:rtl/>
        </w:rPr>
        <w:t> </w:t>
      </w:r>
      <w:r w:rsidR="00C35CB1" w:rsidRPr="00C35CB1">
        <w:rPr>
          <w:rFonts w:hint="cs"/>
          <w:rtl/>
        </w:rPr>
        <w:t>الوطنية.</w:t>
      </w:r>
    </w:p>
    <w:p w:rsidR="00C35CB1" w:rsidRPr="00C35CB1" w:rsidRDefault="00827B6A" w:rsidP="00C35CB1">
      <w:pPr>
        <w:pStyle w:val="SingleTxt"/>
        <w:rPr>
          <w:rFonts w:hint="cs"/>
          <w:rtl/>
        </w:rPr>
      </w:pPr>
      <w:r>
        <w:rPr>
          <w:rFonts w:hint="cs"/>
          <w:rtl/>
        </w:rPr>
        <w:tab/>
      </w:r>
      <w:r w:rsidR="00D666E0">
        <w:rPr>
          <w:rFonts w:hint="cs"/>
          <w:rtl/>
        </w:rPr>
        <w:t>و</w:t>
      </w:r>
      <w:r w:rsidR="00C35CB1" w:rsidRPr="00C35CB1">
        <w:rPr>
          <w:rFonts w:hint="cs"/>
          <w:rtl/>
        </w:rPr>
        <w:t>ما</w:t>
      </w:r>
      <w:r>
        <w:rPr>
          <w:rFonts w:hint="cs"/>
          <w:rtl/>
        </w:rPr>
        <w:t xml:space="preserve"> </w:t>
      </w:r>
      <w:r w:rsidR="00C35CB1" w:rsidRPr="00C35CB1">
        <w:rPr>
          <w:rFonts w:hint="cs"/>
          <w:rtl/>
        </w:rPr>
        <w:t>زالت حالات الانتهاك للحقوق، بما في ذلك أعمال العنف الزوجي</w:t>
      </w:r>
      <w:r w:rsidR="000A5EC7">
        <w:rPr>
          <w:rFonts w:hint="cs"/>
          <w:rtl/>
        </w:rPr>
        <w:t>،</w:t>
      </w:r>
      <w:r w:rsidR="00C35CB1" w:rsidRPr="00C35CB1">
        <w:rPr>
          <w:rFonts w:hint="cs"/>
          <w:rtl/>
        </w:rPr>
        <w:t xml:space="preserve"> غير مسوّاة في المناطق المعزولة أو البعيدة عن المحاكم.</w:t>
      </w:r>
    </w:p>
    <w:p w:rsidR="00BA462B" w:rsidRDefault="00827B6A" w:rsidP="00416A5F">
      <w:pPr>
        <w:pStyle w:val="SingleTxt"/>
        <w:rPr>
          <w:rFonts w:hint="cs"/>
          <w:rtl/>
        </w:rPr>
      </w:pPr>
      <w:r>
        <w:rPr>
          <w:rFonts w:hint="cs"/>
          <w:rtl/>
        </w:rPr>
        <w:tab/>
      </w:r>
      <w:r w:rsidR="00D666E0">
        <w:rPr>
          <w:rFonts w:hint="cs"/>
          <w:rtl/>
        </w:rPr>
        <w:t>و</w:t>
      </w:r>
      <w:r w:rsidR="00C35CB1" w:rsidRPr="00C35CB1">
        <w:rPr>
          <w:rFonts w:hint="cs"/>
          <w:rtl/>
        </w:rPr>
        <w:t xml:space="preserve">لتدارك هذه الحالة أقامت الدولة في عام 2007 في إطار شراكة مع برنامج الأمم المتحدة الإنمائي ثلاث دور لحماية الحقوق في أوساط السكان المحرومين في أنتاناناريفو </w:t>
      </w:r>
      <w:r w:rsidR="00D666E0">
        <w:rPr>
          <w:rFonts w:hint="cs"/>
          <w:rtl/>
        </w:rPr>
        <w:t>و</w:t>
      </w:r>
      <w:r w:rsidR="00C35CB1" w:rsidRPr="00C35CB1">
        <w:rPr>
          <w:rFonts w:hint="cs"/>
          <w:rtl/>
        </w:rPr>
        <w:t xml:space="preserve">مننجاري </w:t>
      </w:r>
      <w:r w:rsidR="00D666E0">
        <w:rPr>
          <w:rFonts w:hint="cs"/>
          <w:rtl/>
        </w:rPr>
        <w:t>و</w:t>
      </w:r>
      <w:r w:rsidR="00C35CB1" w:rsidRPr="00C35CB1">
        <w:rPr>
          <w:rFonts w:hint="cs"/>
          <w:rtl/>
        </w:rPr>
        <w:t>فوردوفان</w:t>
      </w:r>
      <w:r w:rsidR="0015762F">
        <w:rPr>
          <w:rFonts w:hint="cs"/>
          <w:rtl/>
        </w:rPr>
        <w:t>.</w:t>
      </w:r>
      <w:r w:rsidR="00C35CB1" w:rsidRPr="00C35CB1">
        <w:rPr>
          <w:rFonts w:hint="cs"/>
          <w:rtl/>
        </w:rPr>
        <w:t xml:space="preserve"> وقد كلّفت دور حماية الحقوق هذه بتقديم ردود محلية على طلبات الأشخاص الأكثر حرمانا والذين يودّون الحصول على حقوقهم دون اللجوء بالضرورة إلى المحاكم. وهي تحبذ نهج التوفيق بين الأطراف دون أن تحل مكان السلطات القضائية.</w:t>
      </w:r>
    </w:p>
    <w:p w:rsidR="00C35CB1" w:rsidRPr="00C35CB1" w:rsidRDefault="00827B6A" w:rsidP="00DE02D4">
      <w:pPr>
        <w:pStyle w:val="SingleTxt"/>
        <w:rPr>
          <w:rFonts w:hint="cs"/>
          <w:rtl/>
        </w:rPr>
      </w:pPr>
      <w:r>
        <w:rPr>
          <w:rFonts w:hint="cs"/>
          <w:rtl/>
        </w:rPr>
        <w:tab/>
      </w:r>
      <w:r w:rsidR="00D666E0">
        <w:rPr>
          <w:rFonts w:hint="cs"/>
          <w:rtl/>
        </w:rPr>
        <w:t>و</w:t>
      </w:r>
      <w:r w:rsidR="00C35CB1" w:rsidRPr="00C35CB1">
        <w:rPr>
          <w:rFonts w:hint="cs"/>
          <w:rtl/>
        </w:rPr>
        <w:t>من جهة أخرى فهي تقوم في الحالات الخطيرة بتوجيه أو مؤاز</w:t>
      </w:r>
      <w:r w:rsidR="00416A5F">
        <w:rPr>
          <w:rFonts w:hint="cs"/>
          <w:rtl/>
        </w:rPr>
        <w:t>رة الضحايا في الإجراءات الواجب ا</w:t>
      </w:r>
      <w:r w:rsidR="00C35CB1" w:rsidRPr="00C35CB1">
        <w:rPr>
          <w:rFonts w:hint="cs"/>
          <w:rtl/>
        </w:rPr>
        <w:t>تباعها للتظلّم لدى السلطات المختصة.</w:t>
      </w:r>
      <w:r w:rsidR="00DE02D4">
        <w:rPr>
          <w:rFonts w:hint="cs"/>
          <w:rtl/>
        </w:rPr>
        <w:t xml:space="preserve"> </w:t>
      </w:r>
      <w:r w:rsidR="00D666E0">
        <w:rPr>
          <w:rFonts w:hint="cs"/>
          <w:rtl/>
        </w:rPr>
        <w:t>و</w:t>
      </w:r>
      <w:r w:rsidR="00C35CB1" w:rsidRPr="00C35CB1">
        <w:rPr>
          <w:rFonts w:hint="cs"/>
          <w:rtl/>
        </w:rPr>
        <w:t>قد تمكنت دور حماية الحقوق هذه والمسماة</w:t>
      </w:r>
      <w:r w:rsidR="0015762F">
        <w:rPr>
          <w:rFonts w:hint="cs"/>
          <w:rtl/>
        </w:rPr>
        <w:t>:</w:t>
      </w:r>
      <w:r w:rsidR="00BB6B48">
        <w:rPr>
          <w:rFonts w:hint="cs"/>
          <w:rtl/>
        </w:rPr>
        <w:t xml:space="preserve"> ”</w:t>
      </w:r>
      <w:r w:rsidR="00C35CB1" w:rsidRPr="00C35CB1">
        <w:rPr>
          <w:rFonts w:hint="cs"/>
          <w:rtl/>
        </w:rPr>
        <w:t>مصحات قانونية</w:t>
      </w:r>
      <w:r w:rsidR="00BB6B48">
        <w:rPr>
          <w:rFonts w:hint="eastAsia"/>
          <w:rtl/>
        </w:rPr>
        <w:t>“</w:t>
      </w:r>
      <w:r w:rsidR="00C35CB1" w:rsidRPr="00C35CB1">
        <w:rPr>
          <w:rFonts w:hint="cs"/>
          <w:rtl/>
        </w:rPr>
        <w:t xml:space="preserve"> أو</w:t>
      </w:r>
      <w:r w:rsidR="00BB6B48">
        <w:rPr>
          <w:rFonts w:hint="cs"/>
          <w:rtl/>
        </w:rPr>
        <w:t xml:space="preserve"> ”</w:t>
      </w:r>
      <w:r w:rsidR="00C35CB1" w:rsidRPr="00C35CB1">
        <w:rPr>
          <w:lang w:val="fr-FR"/>
        </w:rPr>
        <w:t>Trano</w:t>
      </w:r>
      <w:r>
        <w:rPr>
          <w:lang w:val="fr-FR"/>
        </w:rPr>
        <w:t> </w:t>
      </w:r>
      <w:r w:rsidR="00C35CB1" w:rsidRPr="00C35CB1">
        <w:rPr>
          <w:lang w:val="fr-FR"/>
        </w:rPr>
        <w:t>aro</w:t>
      </w:r>
      <w:r>
        <w:rPr>
          <w:lang w:val="fr-FR"/>
        </w:rPr>
        <w:t> </w:t>
      </w:r>
      <w:r w:rsidR="00C35CB1" w:rsidRPr="00C35CB1">
        <w:rPr>
          <w:lang w:val="fr-FR"/>
        </w:rPr>
        <w:t>zo</w:t>
      </w:r>
      <w:r w:rsidR="00BB6B48">
        <w:rPr>
          <w:rFonts w:hint="eastAsia"/>
          <w:rtl/>
        </w:rPr>
        <w:t>“</w:t>
      </w:r>
      <w:r w:rsidR="00C35CB1" w:rsidRPr="00C35CB1">
        <w:rPr>
          <w:rFonts w:hint="cs"/>
          <w:rtl/>
        </w:rPr>
        <w:t xml:space="preserve"> من إيجا</w:t>
      </w:r>
      <w:r w:rsidR="00C35CB1" w:rsidRPr="00C35CB1">
        <w:rPr>
          <w:rFonts w:hint="eastAsia"/>
          <w:rtl/>
        </w:rPr>
        <w:t>د</w:t>
      </w:r>
      <w:r w:rsidR="00C35CB1" w:rsidRPr="00C35CB1">
        <w:rPr>
          <w:rFonts w:hint="cs"/>
          <w:rtl/>
        </w:rPr>
        <w:t xml:space="preserve"> حلول لبعض حالات العنف الزوجي التي كانت أقل خطورة.</w:t>
      </w:r>
    </w:p>
    <w:p w:rsidR="00C35CB1" w:rsidRPr="00C35CB1" w:rsidRDefault="00827B6A" w:rsidP="00C35CB1">
      <w:pPr>
        <w:pStyle w:val="SingleTxt"/>
        <w:rPr>
          <w:rFonts w:hint="cs"/>
          <w:rtl/>
        </w:rPr>
      </w:pPr>
      <w:r>
        <w:rPr>
          <w:rFonts w:hint="cs"/>
          <w:rtl/>
        </w:rPr>
        <w:tab/>
      </w:r>
      <w:r w:rsidR="00D666E0">
        <w:rPr>
          <w:rFonts w:hint="cs"/>
          <w:rtl/>
        </w:rPr>
        <w:t>و</w:t>
      </w:r>
      <w:r w:rsidR="00C35CB1" w:rsidRPr="00C35CB1">
        <w:rPr>
          <w:rFonts w:hint="cs"/>
          <w:rtl/>
        </w:rPr>
        <w:t xml:space="preserve">في 2008، سيقع إنشاء مصحتين قانونيتين أخريين في ماناكارا </w:t>
      </w:r>
      <w:r w:rsidR="00D666E0">
        <w:rPr>
          <w:rFonts w:hint="cs"/>
          <w:rtl/>
        </w:rPr>
        <w:t>و</w:t>
      </w:r>
      <w:r w:rsidR="00C35CB1" w:rsidRPr="00C35CB1">
        <w:rPr>
          <w:rFonts w:hint="cs"/>
          <w:rtl/>
        </w:rPr>
        <w:t>فارافنغانا.</w:t>
      </w:r>
    </w:p>
    <w:p w:rsidR="00BA462B" w:rsidRDefault="00827B6A" w:rsidP="00765A56">
      <w:pPr>
        <w:pStyle w:val="SingleTxt"/>
        <w:rPr>
          <w:rFonts w:hint="cs"/>
          <w:rtl/>
        </w:rPr>
      </w:pPr>
      <w:r>
        <w:rPr>
          <w:rFonts w:hint="cs"/>
          <w:rtl/>
        </w:rPr>
        <w:tab/>
      </w:r>
      <w:r w:rsidR="00D666E0">
        <w:rPr>
          <w:rFonts w:hint="cs"/>
          <w:rtl/>
        </w:rPr>
        <w:t>و</w:t>
      </w:r>
      <w:r w:rsidR="00C35CB1" w:rsidRPr="00C35CB1">
        <w:rPr>
          <w:rFonts w:hint="cs"/>
          <w:rtl/>
        </w:rPr>
        <w:t>قد برمجت الدولة لإقامة ما لا يقل عن 15 مصحة قانونية بحلول عام 2011 في المناطق</w:t>
      </w:r>
      <w:r w:rsidR="00765A56">
        <w:rPr>
          <w:rFonts w:hint="cs"/>
          <w:rtl/>
        </w:rPr>
        <w:t xml:space="preserve"> </w:t>
      </w:r>
      <w:r w:rsidR="00C35CB1" w:rsidRPr="00C35CB1">
        <w:rPr>
          <w:rFonts w:hint="cs"/>
          <w:rtl/>
        </w:rPr>
        <w:t>المعرضة للخطر.</w:t>
      </w:r>
    </w:p>
    <w:p w:rsidR="00827B6A" w:rsidRPr="00827B6A" w:rsidRDefault="00827B6A" w:rsidP="00827B6A">
      <w:pPr>
        <w:pStyle w:val="SingleTxt"/>
        <w:spacing w:after="0" w:line="120" w:lineRule="exact"/>
        <w:rPr>
          <w:rFonts w:hint="cs"/>
          <w:b/>
          <w:bCs/>
          <w:sz w:val="10"/>
          <w:rtl/>
        </w:rPr>
      </w:pPr>
    </w:p>
    <w:p w:rsidR="00C35CB1" w:rsidRPr="00C35CB1" w:rsidRDefault="00C35CB1" w:rsidP="00C35CB1">
      <w:pPr>
        <w:pStyle w:val="SingleTxt"/>
        <w:rPr>
          <w:rFonts w:hint="cs"/>
          <w:b/>
          <w:bCs/>
          <w:rtl/>
        </w:rPr>
      </w:pPr>
      <w:r w:rsidRPr="00C35CB1">
        <w:rPr>
          <w:rFonts w:hint="cs"/>
          <w:b/>
          <w:bCs/>
          <w:rtl/>
        </w:rPr>
        <w:t xml:space="preserve">استغلال البغاء </w:t>
      </w:r>
      <w:r w:rsidR="00D666E0">
        <w:rPr>
          <w:rFonts w:hint="cs"/>
          <w:b/>
          <w:bCs/>
          <w:rtl/>
        </w:rPr>
        <w:t>و</w:t>
      </w:r>
      <w:r w:rsidR="006145D0">
        <w:rPr>
          <w:rFonts w:hint="cs"/>
          <w:b/>
          <w:bCs/>
          <w:rtl/>
        </w:rPr>
        <w:t>الا</w:t>
      </w:r>
      <w:r w:rsidRPr="00C35CB1">
        <w:rPr>
          <w:rFonts w:hint="cs"/>
          <w:b/>
          <w:bCs/>
          <w:rtl/>
        </w:rPr>
        <w:t>تجار بالبشر</w:t>
      </w:r>
    </w:p>
    <w:p w:rsidR="00C35CB1" w:rsidRPr="00C35CB1" w:rsidRDefault="00C35CB1" w:rsidP="00C35CB1">
      <w:pPr>
        <w:pStyle w:val="SingleTxt"/>
        <w:rPr>
          <w:rFonts w:hint="cs"/>
          <w:rtl/>
        </w:rPr>
      </w:pPr>
      <w:r w:rsidRPr="00C35CB1">
        <w:rPr>
          <w:rFonts w:hint="cs"/>
          <w:rtl/>
        </w:rPr>
        <w:t>13</w:t>
      </w:r>
      <w:r w:rsidR="00D666E0">
        <w:rPr>
          <w:rFonts w:hint="cs"/>
          <w:rtl/>
        </w:rPr>
        <w:t xml:space="preserve"> -</w:t>
      </w:r>
      <w:r w:rsidR="00D666E0">
        <w:rPr>
          <w:rFonts w:hint="cs"/>
          <w:rtl/>
        </w:rPr>
        <w:tab/>
      </w:r>
      <w:r w:rsidRPr="00C35CB1">
        <w:rPr>
          <w:rFonts w:hint="cs"/>
          <w:rtl/>
        </w:rPr>
        <w:t xml:space="preserve">من </w:t>
      </w:r>
      <w:r w:rsidR="006145D0">
        <w:rPr>
          <w:rFonts w:hint="cs"/>
          <w:rtl/>
        </w:rPr>
        <w:t>أجل المكافحة الفعالة للبغاء والا</w:t>
      </w:r>
      <w:r w:rsidRPr="00C35CB1">
        <w:rPr>
          <w:rFonts w:hint="cs"/>
          <w:rtl/>
        </w:rPr>
        <w:t>تجار بالبشر، اعتمدت مدغشقر حديثا القانون الجديد 2007-38 المؤرخ 14 كانون الثاني</w:t>
      </w:r>
      <w:r w:rsidR="00BB6B48">
        <w:rPr>
          <w:rFonts w:hint="cs"/>
          <w:rtl/>
        </w:rPr>
        <w:t>/</w:t>
      </w:r>
      <w:r w:rsidRPr="00C35CB1">
        <w:rPr>
          <w:rFonts w:hint="cs"/>
          <w:rtl/>
        </w:rPr>
        <w:t xml:space="preserve">يناير 2008 </w:t>
      </w:r>
      <w:r w:rsidR="00D666E0">
        <w:rPr>
          <w:rFonts w:hint="cs"/>
          <w:rtl/>
        </w:rPr>
        <w:t>و</w:t>
      </w:r>
      <w:r w:rsidRPr="00C35CB1">
        <w:rPr>
          <w:rFonts w:hint="cs"/>
          <w:rtl/>
        </w:rPr>
        <w:t xml:space="preserve">الذي يعدل </w:t>
      </w:r>
      <w:r w:rsidR="00D666E0">
        <w:rPr>
          <w:rFonts w:hint="cs"/>
          <w:rtl/>
        </w:rPr>
        <w:t>و</w:t>
      </w:r>
      <w:r w:rsidRPr="00C35CB1">
        <w:rPr>
          <w:rFonts w:hint="cs"/>
          <w:rtl/>
        </w:rPr>
        <w:t xml:space="preserve">يكمل أحكاما معينة في القانون الجنائي بشان مكافحة الاتجار بالبشر </w:t>
      </w:r>
      <w:r w:rsidR="00D666E0">
        <w:rPr>
          <w:rFonts w:hint="cs"/>
          <w:rtl/>
        </w:rPr>
        <w:t>و</w:t>
      </w:r>
      <w:r w:rsidRPr="00C35CB1">
        <w:rPr>
          <w:rFonts w:hint="cs"/>
          <w:rtl/>
        </w:rPr>
        <w:t xml:space="preserve">السياحة الجنسية. </w:t>
      </w:r>
    </w:p>
    <w:p w:rsidR="00C35CB1" w:rsidRPr="00C35CB1" w:rsidRDefault="00827B6A" w:rsidP="00C35CB1">
      <w:pPr>
        <w:pStyle w:val="SingleTxt"/>
        <w:rPr>
          <w:rFonts w:hint="cs"/>
          <w:rtl/>
        </w:rPr>
      </w:pPr>
      <w:r>
        <w:rPr>
          <w:rFonts w:hint="cs"/>
          <w:rtl/>
        </w:rPr>
        <w:tab/>
      </w:r>
      <w:r w:rsidR="00D666E0">
        <w:rPr>
          <w:rFonts w:hint="cs"/>
          <w:rtl/>
        </w:rPr>
        <w:t>و</w:t>
      </w:r>
      <w:r w:rsidR="00C35CB1" w:rsidRPr="00C35CB1">
        <w:rPr>
          <w:rFonts w:hint="cs"/>
          <w:rtl/>
        </w:rPr>
        <w:t xml:space="preserve">يشمل هذا القانون: </w:t>
      </w:r>
    </w:p>
    <w:p w:rsidR="00C35CB1" w:rsidRPr="00C35CB1" w:rsidRDefault="00C35CB1" w:rsidP="00382E7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80"/>
        <w:ind w:left="1929" w:hanging="662"/>
        <w:rPr>
          <w:rFonts w:hint="cs"/>
          <w:rtl/>
        </w:rPr>
      </w:pPr>
      <w:r w:rsidRPr="00C35CB1">
        <w:rPr>
          <w:rFonts w:hint="cs"/>
          <w:rtl/>
        </w:rPr>
        <w:tab/>
      </w:r>
      <w:r w:rsidR="00827B6A">
        <w:rPr>
          <w:rFonts w:hint="cs"/>
          <w:rtl/>
        </w:rPr>
        <w:t>-</w:t>
      </w:r>
      <w:r w:rsidR="00D666E0">
        <w:rPr>
          <w:rFonts w:hint="cs"/>
          <w:rtl/>
        </w:rPr>
        <w:tab/>
      </w:r>
      <w:r w:rsidRPr="00C35CB1">
        <w:rPr>
          <w:rFonts w:hint="cs"/>
          <w:rtl/>
        </w:rPr>
        <w:t xml:space="preserve">الاتجار بالأشخاص </w:t>
      </w:r>
      <w:r w:rsidR="00D666E0">
        <w:rPr>
          <w:rFonts w:hint="cs"/>
          <w:rtl/>
        </w:rPr>
        <w:t>و</w:t>
      </w:r>
      <w:r w:rsidRPr="00C35CB1">
        <w:rPr>
          <w:rFonts w:hint="cs"/>
          <w:rtl/>
        </w:rPr>
        <w:t xml:space="preserve">بيعهم </w:t>
      </w:r>
      <w:r w:rsidR="00D666E0">
        <w:rPr>
          <w:rFonts w:hint="cs"/>
          <w:rtl/>
        </w:rPr>
        <w:t>و</w:t>
      </w:r>
      <w:r w:rsidRPr="00C35CB1">
        <w:rPr>
          <w:rFonts w:hint="cs"/>
          <w:rtl/>
        </w:rPr>
        <w:t xml:space="preserve">اختطافهم </w:t>
      </w:r>
      <w:r w:rsidR="00D666E0">
        <w:rPr>
          <w:rFonts w:hint="cs"/>
          <w:rtl/>
        </w:rPr>
        <w:t>و</w:t>
      </w:r>
      <w:r w:rsidRPr="00C35CB1">
        <w:rPr>
          <w:rFonts w:hint="cs"/>
          <w:rtl/>
        </w:rPr>
        <w:t>استغلالهم؛</w:t>
      </w:r>
    </w:p>
    <w:p w:rsidR="00C35CB1" w:rsidRPr="00C35CB1" w:rsidRDefault="00C35CB1" w:rsidP="00382E7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80"/>
        <w:ind w:left="1929" w:hanging="662"/>
        <w:rPr>
          <w:rFonts w:hint="cs"/>
          <w:rtl/>
        </w:rPr>
      </w:pPr>
      <w:r w:rsidRPr="00C35CB1">
        <w:rPr>
          <w:rFonts w:hint="cs"/>
          <w:rtl/>
        </w:rPr>
        <w:tab/>
      </w:r>
      <w:r w:rsidR="00D666E0">
        <w:rPr>
          <w:rFonts w:hint="cs"/>
          <w:rtl/>
        </w:rPr>
        <w:t>-</w:t>
      </w:r>
      <w:r w:rsidR="00D666E0">
        <w:rPr>
          <w:rFonts w:hint="cs"/>
          <w:rtl/>
        </w:rPr>
        <w:tab/>
      </w:r>
      <w:r w:rsidRPr="00C35CB1">
        <w:rPr>
          <w:rFonts w:hint="cs"/>
          <w:rtl/>
        </w:rPr>
        <w:t xml:space="preserve">منع </w:t>
      </w:r>
      <w:r w:rsidR="00D666E0">
        <w:rPr>
          <w:rFonts w:hint="cs"/>
          <w:rtl/>
        </w:rPr>
        <w:t>و</w:t>
      </w:r>
      <w:r w:rsidRPr="00C35CB1">
        <w:rPr>
          <w:rFonts w:hint="cs"/>
          <w:rtl/>
        </w:rPr>
        <w:t>مكافحة الاتجار بالأشخاص؛</w:t>
      </w:r>
    </w:p>
    <w:p w:rsidR="00C35CB1" w:rsidRPr="00C35CB1" w:rsidRDefault="00C35CB1" w:rsidP="00382E7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80"/>
        <w:ind w:left="1929" w:hanging="662"/>
        <w:rPr>
          <w:rFonts w:hint="cs"/>
          <w:rtl/>
        </w:rPr>
      </w:pPr>
      <w:r w:rsidRPr="00C35CB1">
        <w:rPr>
          <w:rFonts w:hint="cs"/>
          <w:rtl/>
        </w:rPr>
        <w:tab/>
      </w:r>
      <w:r w:rsidR="00D666E0">
        <w:rPr>
          <w:rFonts w:hint="cs"/>
          <w:rtl/>
        </w:rPr>
        <w:t>-</w:t>
      </w:r>
      <w:r w:rsidR="00D666E0">
        <w:rPr>
          <w:rFonts w:hint="cs"/>
          <w:rtl/>
        </w:rPr>
        <w:tab/>
      </w:r>
      <w:r w:rsidRPr="00C35CB1">
        <w:rPr>
          <w:rFonts w:hint="cs"/>
          <w:rtl/>
        </w:rPr>
        <w:t>معاقبة مرتكب</w:t>
      </w:r>
      <w:r w:rsidR="00BB6B48">
        <w:rPr>
          <w:rFonts w:hint="cs"/>
          <w:rtl/>
        </w:rPr>
        <w:t>/</w:t>
      </w:r>
      <w:r w:rsidR="006145D0">
        <w:rPr>
          <w:rFonts w:hint="cs"/>
          <w:rtl/>
        </w:rPr>
        <w:t>مرتكبو الا</w:t>
      </w:r>
      <w:r w:rsidRPr="00C35CB1">
        <w:rPr>
          <w:rFonts w:hint="cs"/>
          <w:rtl/>
        </w:rPr>
        <w:t>تجار بالبشر؛</w:t>
      </w:r>
    </w:p>
    <w:p w:rsidR="00BA462B" w:rsidRDefault="00C35CB1" w:rsidP="00827B6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C35CB1">
        <w:rPr>
          <w:rFonts w:hint="cs"/>
          <w:rtl/>
        </w:rPr>
        <w:tab/>
      </w:r>
      <w:r w:rsidR="00D666E0">
        <w:rPr>
          <w:rFonts w:hint="cs"/>
          <w:rtl/>
        </w:rPr>
        <w:t>-</w:t>
      </w:r>
      <w:r w:rsidR="00D666E0">
        <w:rPr>
          <w:rFonts w:hint="cs"/>
          <w:rtl/>
        </w:rPr>
        <w:tab/>
      </w:r>
      <w:r w:rsidRPr="00C35CB1">
        <w:rPr>
          <w:rFonts w:hint="cs"/>
          <w:rtl/>
        </w:rPr>
        <w:t xml:space="preserve">حماية </w:t>
      </w:r>
      <w:r w:rsidR="00D666E0">
        <w:rPr>
          <w:rFonts w:hint="cs"/>
          <w:rtl/>
        </w:rPr>
        <w:t>و</w:t>
      </w:r>
      <w:r w:rsidRPr="00C35CB1">
        <w:rPr>
          <w:rFonts w:hint="cs"/>
          <w:rtl/>
        </w:rPr>
        <w:t>مساعدة الضحايا، بما في ذلك إعادة إدماجهم الاجتماعي من خلال إنشاء مراكز استقبال.</w:t>
      </w:r>
    </w:p>
    <w:p w:rsidR="00BA462B" w:rsidRDefault="00827B6A" w:rsidP="00BB6B48">
      <w:pPr>
        <w:pStyle w:val="SingleTxt"/>
        <w:rPr>
          <w:rFonts w:hint="cs"/>
          <w:rtl/>
        </w:rPr>
      </w:pPr>
      <w:r>
        <w:rPr>
          <w:rFonts w:hint="cs"/>
          <w:rtl/>
        </w:rPr>
        <w:tab/>
      </w:r>
      <w:r w:rsidR="00D666E0">
        <w:rPr>
          <w:rFonts w:hint="cs"/>
          <w:rtl/>
        </w:rPr>
        <w:t>و</w:t>
      </w:r>
      <w:r w:rsidR="00C35CB1" w:rsidRPr="00C35CB1">
        <w:rPr>
          <w:rFonts w:hint="cs"/>
          <w:rtl/>
        </w:rPr>
        <w:t>في إطار تنفيذ المشروع</w:t>
      </w:r>
      <w:r w:rsidR="00BB6B48">
        <w:rPr>
          <w:rFonts w:hint="cs"/>
          <w:rtl/>
        </w:rPr>
        <w:t xml:space="preserve"> ”</w:t>
      </w:r>
      <w:r w:rsidR="006145D0">
        <w:rPr>
          <w:rFonts w:hint="cs"/>
          <w:rtl/>
        </w:rPr>
        <w:t>مكافحة الا</w:t>
      </w:r>
      <w:r w:rsidR="00C35CB1" w:rsidRPr="00C35CB1">
        <w:rPr>
          <w:rFonts w:hint="cs"/>
          <w:rtl/>
        </w:rPr>
        <w:t>تجار بالبشر وإيذائهم</w:t>
      </w:r>
      <w:r w:rsidR="00BB6B48">
        <w:rPr>
          <w:rFonts w:hint="eastAsia"/>
          <w:rtl/>
        </w:rPr>
        <w:t>“</w:t>
      </w:r>
      <w:r w:rsidR="00C35CB1" w:rsidRPr="00C35CB1">
        <w:rPr>
          <w:rFonts w:hint="cs"/>
          <w:rtl/>
        </w:rPr>
        <w:t>، نظّمت ا</w:t>
      </w:r>
      <w:r w:rsidR="006145D0">
        <w:rPr>
          <w:rFonts w:hint="cs"/>
          <w:rtl/>
        </w:rPr>
        <w:t>لحكومة حملة وطنية للتوعية لمناهض</w:t>
      </w:r>
      <w:r w:rsidR="00C35CB1" w:rsidRPr="00C35CB1">
        <w:rPr>
          <w:rFonts w:hint="cs"/>
          <w:rtl/>
        </w:rPr>
        <w:t xml:space="preserve">ة استغلال السياحة الجنسية للقاصرين </w:t>
      </w:r>
      <w:r w:rsidR="00D666E0">
        <w:rPr>
          <w:rFonts w:hint="cs"/>
          <w:rtl/>
        </w:rPr>
        <w:t>و</w:t>
      </w:r>
      <w:r w:rsidR="00C35CB1" w:rsidRPr="00C35CB1">
        <w:rPr>
          <w:rFonts w:hint="cs"/>
          <w:rtl/>
        </w:rPr>
        <w:t xml:space="preserve">ذلك بالتعاون مع البرلمان، </w:t>
      </w:r>
      <w:r w:rsidR="00D666E0">
        <w:rPr>
          <w:rFonts w:hint="cs"/>
          <w:rtl/>
        </w:rPr>
        <w:t>و</w:t>
      </w:r>
      <w:r w:rsidR="00C35CB1" w:rsidRPr="00C35CB1">
        <w:rPr>
          <w:rFonts w:hint="cs"/>
          <w:rtl/>
        </w:rPr>
        <w:t>المنظمة غير الحكومية</w:t>
      </w:r>
      <w:r w:rsidR="00BB6B48">
        <w:rPr>
          <w:rFonts w:hint="cs"/>
          <w:rtl/>
        </w:rPr>
        <w:t xml:space="preserve"> ”</w:t>
      </w:r>
      <w:r w:rsidR="00C35CB1" w:rsidRPr="00C35CB1">
        <w:rPr>
          <w:rFonts w:hint="cs"/>
          <w:rtl/>
        </w:rPr>
        <w:t>مؤسسة الإغاثة الكاثوليكية</w:t>
      </w:r>
      <w:r w:rsidR="00BB6B48">
        <w:rPr>
          <w:rFonts w:hint="eastAsia"/>
          <w:rtl/>
        </w:rPr>
        <w:t>“</w:t>
      </w:r>
      <w:r w:rsidR="00C35CB1" w:rsidRPr="00C35CB1">
        <w:rPr>
          <w:rFonts w:hint="cs"/>
          <w:rtl/>
        </w:rPr>
        <w:t xml:space="preserve"> المدعومة من وكالة الولايات المتحدة للتنمية الدولية، </w:t>
      </w:r>
      <w:r w:rsidR="00D666E0">
        <w:rPr>
          <w:rFonts w:hint="cs"/>
          <w:rtl/>
        </w:rPr>
        <w:t>و</w:t>
      </w:r>
      <w:r w:rsidR="00C35CB1" w:rsidRPr="00C35CB1">
        <w:rPr>
          <w:rFonts w:hint="cs"/>
          <w:rtl/>
        </w:rPr>
        <w:t>منظمة الأمم المتحدة للطفولة.</w:t>
      </w:r>
    </w:p>
    <w:p w:rsidR="00C35CB1" w:rsidRPr="00C35CB1" w:rsidRDefault="00827B6A" w:rsidP="00C35CB1">
      <w:pPr>
        <w:pStyle w:val="SingleTxt"/>
        <w:rPr>
          <w:rFonts w:hint="cs"/>
          <w:rtl/>
        </w:rPr>
      </w:pPr>
      <w:r>
        <w:rPr>
          <w:rFonts w:hint="cs"/>
          <w:rtl/>
        </w:rPr>
        <w:tab/>
      </w:r>
      <w:r w:rsidR="00D666E0">
        <w:rPr>
          <w:rFonts w:hint="cs"/>
          <w:rtl/>
        </w:rPr>
        <w:t>و</w:t>
      </w:r>
      <w:r w:rsidR="00C35CB1" w:rsidRPr="00C35CB1">
        <w:rPr>
          <w:rFonts w:hint="cs"/>
          <w:rtl/>
        </w:rPr>
        <w:t xml:space="preserve">على الصعيد القضائي، حكم على مواطن سويسري بالسجن لمدة خمس سنوات </w:t>
      </w:r>
      <w:r w:rsidR="00D666E0">
        <w:rPr>
          <w:rFonts w:hint="cs"/>
          <w:rtl/>
        </w:rPr>
        <w:t>و</w:t>
      </w:r>
      <w:r w:rsidR="00C35CB1" w:rsidRPr="00C35CB1">
        <w:rPr>
          <w:rFonts w:hint="cs"/>
          <w:rtl/>
        </w:rPr>
        <w:t>بطرده من البلد.</w:t>
      </w:r>
    </w:p>
    <w:p w:rsidR="00C35CB1" w:rsidRPr="00C35CB1" w:rsidRDefault="00827B6A" w:rsidP="00765A56">
      <w:pPr>
        <w:pStyle w:val="SingleTxt"/>
        <w:rPr>
          <w:rFonts w:hint="cs"/>
          <w:rtl/>
        </w:rPr>
      </w:pPr>
      <w:r>
        <w:rPr>
          <w:rFonts w:hint="cs"/>
          <w:rtl/>
        </w:rPr>
        <w:tab/>
      </w:r>
      <w:r w:rsidR="00D666E0">
        <w:rPr>
          <w:rFonts w:hint="cs"/>
          <w:rtl/>
        </w:rPr>
        <w:t>و</w:t>
      </w:r>
      <w:r w:rsidR="00C35CB1" w:rsidRPr="00C35CB1">
        <w:rPr>
          <w:rFonts w:hint="cs"/>
          <w:rtl/>
        </w:rPr>
        <w:t>طرد مواطنان من</w:t>
      </w:r>
      <w:r w:rsidR="00765A56">
        <w:rPr>
          <w:rFonts w:hint="cs"/>
          <w:rtl/>
        </w:rPr>
        <w:t xml:space="preserve"> </w:t>
      </w:r>
      <w:r w:rsidR="00C35CB1" w:rsidRPr="00C35CB1">
        <w:rPr>
          <w:rFonts w:hint="cs"/>
          <w:rtl/>
        </w:rPr>
        <w:t>موريشيوس اشتبه في ضلوعهم في عملية استغلال جنسي لقاصرين في نوسي بي</w:t>
      </w:r>
      <w:r w:rsidR="0015762F">
        <w:rPr>
          <w:rFonts w:hint="cs"/>
          <w:rtl/>
        </w:rPr>
        <w:t>.</w:t>
      </w:r>
    </w:p>
    <w:p w:rsidR="00BA462B" w:rsidRDefault="00827B6A" w:rsidP="006145D0">
      <w:pPr>
        <w:pStyle w:val="SingleTxt"/>
        <w:rPr>
          <w:rFonts w:hint="cs"/>
          <w:rtl/>
        </w:rPr>
      </w:pPr>
      <w:r>
        <w:rPr>
          <w:rFonts w:hint="cs"/>
          <w:rtl/>
        </w:rPr>
        <w:tab/>
      </w:r>
      <w:r w:rsidR="00C35CB1" w:rsidRPr="00C35CB1">
        <w:rPr>
          <w:rFonts w:hint="cs"/>
          <w:rtl/>
        </w:rPr>
        <w:t>كما وقع إيقاف شخصين من</w:t>
      </w:r>
      <w:r w:rsidR="00765A56">
        <w:rPr>
          <w:rFonts w:hint="cs"/>
          <w:rtl/>
        </w:rPr>
        <w:t xml:space="preserve"> </w:t>
      </w:r>
      <w:r w:rsidR="00C35CB1" w:rsidRPr="00C35CB1">
        <w:rPr>
          <w:rFonts w:hint="cs"/>
          <w:rtl/>
        </w:rPr>
        <w:t xml:space="preserve">موريشيوس </w:t>
      </w:r>
      <w:r w:rsidR="00D666E0">
        <w:rPr>
          <w:rFonts w:hint="cs"/>
          <w:rtl/>
        </w:rPr>
        <w:t>و</w:t>
      </w:r>
      <w:r w:rsidR="00C35CB1" w:rsidRPr="00C35CB1">
        <w:rPr>
          <w:rFonts w:hint="cs"/>
          <w:rtl/>
        </w:rPr>
        <w:t xml:space="preserve">ألمانيين </w:t>
      </w:r>
      <w:r w:rsidR="006145D0">
        <w:rPr>
          <w:rFonts w:hint="cs"/>
          <w:rtl/>
        </w:rPr>
        <w:t>ا</w:t>
      </w:r>
      <w:r w:rsidR="00C35CB1" w:rsidRPr="00C35CB1">
        <w:rPr>
          <w:rFonts w:hint="cs"/>
          <w:rtl/>
        </w:rPr>
        <w:t>ثنين</w:t>
      </w:r>
      <w:r w:rsidR="000A5EC7">
        <w:rPr>
          <w:rFonts w:hint="cs"/>
          <w:rtl/>
        </w:rPr>
        <w:t>،</w:t>
      </w:r>
      <w:r w:rsidR="00C35CB1" w:rsidRPr="00C35CB1">
        <w:rPr>
          <w:rFonts w:hint="cs"/>
          <w:rtl/>
        </w:rPr>
        <w:t xml:space="preserve"> </w:t>
      </w:r>
      <w:r w:rsidR="00D666E0">
        <w:rPr>
          <w:rFonts w:hint="cs"/>
          <w:rtl/>
        </w:rPr>
        <w:t>و</w:t>
      </w:r>
      <w:r w:rsidR="00C35CB1" w:rsidRPr="00C35CB1">
        <w:rPr>
          <w:rFonts w:hint="cs"/>
          <w:rtl/>
        </w:rPr>
        <w:t>لكن تم إطلاق</w:t>
      </w:r>
      <w:r w:rsidR="00765A56">
        <w:rPr>
          <w:rFonts w:hint="cs"/>
          <w:rtl/>
        </w:rPr>
        <w:t xml:space="preserve"> </w:t>
      </w:r>
      <w:r w:rsidR="00C35CB1" w:rsidRPr="00C35CB1">
        <w:rPr>
          <w:rFonts w:hint="cs"/>
          <w:rtl/>
        </w:rPr>
        <w:t>سراحهم لع</w:t>
      </w:r>
      <w:r w:rsidR="00416A5F">
        <w:rPr>
          <w:rFonts w:hint="cs"/>
          <w:rtl/>
        </w:rPr>
        <w:t>د</w:t>
      </w:r>
      <w:r w:rsidR="00C35CB1" w:rsidRPr="00C35CB1">
        <w:rPr>
          <w:rFonts w:hint="cs"/>
          <w:rtl/>
        </w:rPr>
        <w:t>م كفاية الأدلة ضدهم</w:t>
      </w:r>
      <w:r w:rsidR="0015762F">
        <w:rPr>
          <w:rFonts w:hint="cs"/>
          <w:rtl/>
        </w:rPr>
        <w:t>.</w:t>
      </w:r>
    </w:p>
    <w:p w:rsidR="00BA462B" w:rsidRDefault="00827B6A" w:rsidP="00765A56">
      <w:pPr>
        <w:pStyle w:val="SingleTxt"/>
        <w:rPr>
          <w:rFonts w:hint="cs"/>
          <w:rtl/>
        </w:rPr>
      </w:pPr>
      <w:r>
        <w:rPr>
          <w:rFonts w:hint="cs"/>
          <w:rtl/>
        </w:rPr>
        <w:tab/>
      </w:r>
      <w:r w:rsidR="00D666E0">
        <w:rPr>
          <w:rFonts w:hint="cs"/>
          <w:rtl/>
        </w:rPr>
        <w:t>و</w:t>
      </w:r>
      <w:r w:rsidR="00C35CB1" w:rsidRPr="00C35CB1">
        <w:rPr>
          <w:rFonts w:hint="cs"/>
          <w:rtl/>
        </w:rPr>
        <w:t xml:space="preserve">من جهة أخرى، وقع إعداد </w:t>
      </w:r>
      <w:r w:rsidR="00D666E0">
        <w:rPr>
          <w:rFonts w:hint="cs"/>
          <w:rtl/>
        </w:rPr>
        <w:t>و</w:t>
      </w:r>
      <w:r w:rsidR="00C35CB1" w:rsidRPr="00C35CB1">
        <w:rPr>
          <w:rFonts w:hint="cs"/>
          <w:rtl/>
        </w:rPr>
        <w:t>توزيع ملصقات، في عام 2007</w:t>
      </w:r>
      <w:r w:rsidR="0015762F">
        <w:rPr>
          <w:rFonts w:hint="cs"/>
          <w:rtl/>
        </w:rPr>
        <w:t>،</w:t>
      </w:r>
      <w:r w:rsidR="00C35CB1" w:rsidRPr="00C35CB1">
        <w:rPr>
          <w:rFonts w:hint="cs"/>
          <w:rtl/>
        </w:rPr>
        <w:t xml:space="preserve"> تحتوي على صور تظهر القانون </w:t>
      </w:r>
      <w:r w:rsidR="00D666E0">
        <w:rPr>
          <w:rFonts w:hint="cs"/>
          <w:rtl/>
        </w:rPr>
        <w:t>و</w:t>
      </w:r>
      <w:r w:rsidR="00C35CB1" w:rsidRPr="00C35CB1">
        <w:rPr>
          <w:rFonts w:hint="cs"/>
          <w:rtl/>
        </w:rPr>
        <w:t xml:space="preserve">الإجراءات </w:t>
      </w:r>
      <w:r w:rsidR="00D666E0">
        <w:rPr>
          <w:rFonts w:hint="cs"/>
          <w:rtl/>
        </w:rPr>
        <w:t>و</w:t>
      </w:r>
      <w:r w:rsidR="00C35CB1" w:rsidRPr="00C35CB1">
        <w:rPr>
          <w:rFonts w:hint="cs"/>
          <w:rtl/>
        </w:rPr>
        <w:t>السلط</w:t>
      </w:r>
      <w:r w:rsidR="006145D0">
        <w:rPr>
          <w:rFonts w:hint="cs"/>
          <w:rtl/>
        </w:rPr>
        <w:t>ة</w:t>
      </w:r>
      <w:r w:rsidR="00C35CB1" w:rsidRPr="00C35CB1">
        <w:rPr>
          <w:rFonts w:hint="cs"/>
          <w:rtl/>
        </w:rPr>
        <w:t xml:space="preserve"> التي يتم إبلاغها في حالة الاتجار بالأطفال وذلك</w:t>
      </w:r>
      <w:r w:rsidR="00765A56">
        <w:rPr>
          <w:rFonts w:hint="cs"/>
          <w:rtl/>
        </w:rPr>
        <w:t xml:space="preserve"> </w:t>
      </w:r>
      <w:r w:rsidR="00C35CB1" w:rsidRPr="00C35CB1">
        <w:rPr>
          <w:rFonts w:hint="cs"/>
          <w:rtl/>
        </w:rPr>
        <w:t xml:space="preserve">في نوسي بي، </w:t>
      </w:r>
      <w:r w:rsidR="00D666E0">
        <w:rPr>
          <w:rFonts w:hint="cs"/>
          <w:rtl/>
        </w:rPr>
        <w:t>و</w:t>
      </w:r>
      <w:r w:rsidR="00C35CB1" w:rsidRPr="00C35CB1">
        <w:rPr>
          <w:rFonts w:hint="cs"/>
          <w:rtl/>
        </w:rPr>
        <w:t xml:space="preserve">فوردوفان </w:t>
      </w:r>
      <w:r w:rsidR="00D666E0">
        <w:rPr>
          <w:rFonts w:hint="cs"/>
          <w:rtl/>
        </w:rPr>
        <w:t>و</w:t>
      </w:r>
      <w:r w:rsidR="00C35CB1" w:rsidRPr="00C35CB1">
        <w:rPr>
          <w:rFonts w:hint="cs"/>
          <w:rtl/>
        </w:rPr>
        <w:t xml:space="preserve">مورنادافا </w:t>
      </w:r>
      <w:r w:rsidR="00D666E0">
        <w:rPr>
          <w:rFonts w:hint="cs"/>
          <w:rtl/>
        </w:rPr>
        <w:t>و</w:t>
      </w:r>
      <w:r w:rsidR="00C35CB1" w:rsidRPr="00C35CB1">
        <w:rPr>
          <w:rFonts w:hint="cs"/>
          <w:rtl/>
        </w:rPr>
        <w:t>دياغو سوارس.</w:t>
      </w:r>
    </w:p>
    <w:p w:rsidR="00C35CB1" w:rsidRPr="00C35CB1" w:rsidRDefault="00C35CB1" w:rsidP="00765A56">
      <w:pPr>
        <w:pStyle w:val="SingleTxt"/>
        <w:rPr>
          <w:rFonts w:hint="cs"/>
          <w:rtl/>
        </w:rPr>
      </w:pPr>
      <w:r w:rsidRPr="00C35CB1">
        <w:rPr>
          <w:rFonts w:hint="cs"/>
          <w:rtl/>
        </w:rPr>
        <w:t>14</w:t>
      </w:r>
      <w:r w:rsidR="00D666E0">
        <w:rPr>
          <w:rFonts w:hint="cs"/>
          <w:rtl/>
        </w:rPr>
        <w:t xml:space="preserve"> -</w:t>
      </w:r>
      <w:r w:rsidR="00D666E0">
        <w:rPr>
          <w:rFonts w:hint="cs"/>
          <w:rtl/>
        </w:rPr>
        <w:tab/>
      </w:r>
      <w:r w:rsidRPr="00C35CB1">
        <w:rPr>
          <w:rFonts w:hint="cs"/>
          <w:rtl/>
        </w:rPr>
        <w:t>وتتوفر</w:t>
      </w:r>
      <w:r w:rsidR="00765A56">
        <w:rPr>
          <w:rFonts w:hint="cs"/>
          <w:rtl/>
        </w:rPr>
        <w:t xml:space="preserve"> </w:t>
      </w:r>
      <w:r w:rsidRPr="00C35CB1">
        <w:rPr>
          <w:rFonts w:hint="cs"/>
          <w:rtl/>
        </w:rPr>
        <w:t>لمدغشقر منذ أمد قصير آلية قانونية أخرى تمكنها من تعزيز مكافحة</w:t>
      </w:r>
      <w:r w:rsidR="00765A56">
        <w:rPr>
          <w:rFonts w:hint="cs"/>
          <w:rtl/>
        </w:rPr>
        <w:t xml:space="preserve"> </w:t>
      </w:r>
      <w:r w:rsidRPr="00C35CB1">
        <w:rPr>
          <w:rFonts w:hint="cs"/>
          <w:rtl/>
        </w:rPr>
        <w:t xml:space="preserve">الاتجار بالنساء </w:t>
      </w:r>
      <w:r w:rsidR="00D666E0">
        <w:rPr>
          <w:rFonts w:hint="cs"/>
          <w:rtl/>
        </w:rPr>
        <w:t>و</w:t>
      </w:r>
      <w:r w:rsidRPr="00C35CB1">
        <w:rPr>
          <w:rFonts w:hint="cs"/>
          <w:rtl/>
        </w:rPr>
        <w:t>بغائهن</w:t>
      </w:r>
      <w:r w:rsidR="0015762F">
        <w:rPr>
          <w:rFonts w:hint="cs"/>
          <w:rtl/>
        </w:rPr>
        <w:t>.</w:t>
      </w:r>
      <w:r w:rsidRPr="00C35CB1">
        <w:rPr>
          <w:rFonts w:hint="cs"/>
          <w:rtl/>
        </w:rPr>
        <w:t xml:space="preserve"> </w:t>
      </w:r>
      <w:r w:rsidR="00D666E0">
        <w:rPr>
          <w:rFonts w:hint="cs"/>
          <w:rtl/>
        </w:rPr>
        <w:t>و</w:t>
      </w:r>
      <w:r w:rsidRPr="00C35CB1">
        <w:rPr>
          <w:rFonts w:hint="cs"/>
          <w:rtl/>
        </w:rPr>
        <w:t>بالفعل،</w:t>
      </w:r>
      <w:r w:rsidR="00765A56">
        <w:rPr>
          <w:rFonts w:hint="cs"/>
          <w:rtl/>
        </w:rPr>
        <w:t xml:space="preserve"> </w:t>
      </w:r>
      <w:r w:rsidRPr="00C35CB1">
        <w:rPr>
          <w:rFonts w:hint="cs"/>
          <w:rtl/>
        </w:rPr>
        <w:t>اعتمد البرلمان في دورته الأولى لعام 2008، قانونا يسمح بالتصديق على الاتفاقية ضد الاتجار بالبش</w:t>
      </w:r>
      <w:r w:rsidRPr="00C35CB1">
        <w:rPr>
          <w:rFonts w:hint="eastAsia"/>
          <w:rtl/>
        </w:rPr>
        <w:t>ر</w:t>
      </w:r>
      <w:r w:rsidRPr="00C35CB1">
        <w:rPr>
          <w:rFonts w:hint="cs"/>
          <w:rtl/>
        </w:rPr>
        <w:t xml:space="preserve"> </w:t>
      </w:r>
      <w:r w:rsidR="00D666E0">
        <w:rPr>
          <w:rFonts w:hint="cs"/>
          <w:rtl/>
        </w:rPr>
        <w:t>و</w:t>
      </w:r>
      <w:r w:rsidRPr="00C35CB1">
        <w:rPr>
          <w:rFonts w:hint="cs"/>
          <w:rtl/>
        </w:rPr>
        <w:t>بغاء النساء.</w:t>
      </w:r>
    </w:p>
    <w:p w:rsidR="00C35CB1" w:rsidRPr="00C35CB1" w:rsidRDefault="00827B6A" w:rsidP="00C35CB1">
      <w:pPr>
        <w:pStyle w:val="SingleTxt"/>
        <w:rPr>
          <w:rFonts w:hint="cs"/>
          <w:rtl/>
        </w:rPr>
      </w:pPr>
      <w:r>
        <w:rPr>
          <w:rFonts w:hint="cs"/>
          <w:rtl/>
        </w:rPr>
        <w:tab/>
      </w:r>
      <w:r w:rsidR="00D666E0">
        <w:rPr>
          <w:rFonts w:hint="cs"/>
          <w:rtl/>
        </w:rPr>
        <w:t>و</w:t>
      </w:r>
      <w:r w:rsidR="00C35CB1" w:rsidRPr="00C35CB1">
        <w:rPr>
          <w:rFonts w:hint="cs"/>
          <w:rtl/>
        </w:rPr>
        <w:t xml:space="preserve">يشمل تطبيق هذه الاتفاقية الاتجار الداخلي </w:t>
      </w:r>
      <w:r w:rsidR="00D666E0">
        <w:rPr>
          <w:rFonts w:hint="cs"/>
          <w:rtl/>
        </w:rPr>
        <w:t>و</w:t>
      </w:r>
      <w:r w:rsidR="00C35CB1" w:rsidRPr="00C35CB1">
        <w:rPr>
          <w:rFonts w:hint="cs"/>
          <w:rtl/>
        </w:rPr>
        <w:t xml:space="preserve">الاتجار </w:t>
      </w:r>
      <w:r w:rsidR="00416A5F">
        <w:rPr>
          <w:rFonts w:hint="cs"/>
          <w:rtl/>
        </w:rPr>
        <w:t>الموجه إلى البلدان الأجنبية بما </w:t>
      </w:r>
      <w:r w:rsidR="00C35CB1" w:rsidRPr="00C35CB1">
        <w:rPr>
          <w:rFonts w:hint="cs"/>
          <w:rtl/>
        </w:rPr>
        <w:t>في ذلك الجزر المجاورة.</w:t>
      </w:r>
    </w:p>
    <w:p w:rsidR="00C35CB1" w:rsidRPr="00C35CB1" w:rsidRDefault="00827B6A" w:rsidP="00C35CB1">
      <w:pPr>
        <w:pStyle w:val="SingleTxt"/>
        <w:rPr>
          <w:rFonts w:hint="cs"/>
          <w:rtl/>
        </w:rPr>
      </w:pPr>
      <w:r>
        <w:rPr>
          <w:rFonts w:hint="cs"/>
          <w:rtl/>
        </w:rPr>
        <w:tab/>
      </w:r>
      <w:r w:rsidR="00C35CB1" w:rsidRPr="00C35CB1">
        <w:rPr>
          <w:rFonts w:hint="cs"/>
          <w:rtl/>
        </w:rPr>
        <w:t>ولا تشكل مدغشقر بلدا ذات وجهة تقصدها النساء أو الفتيات القادمات من بلدان أخرى لتعاطي البغاء فيها.</w:t>
      </w:r>
    </w:p>
    <w:p w:rsidR="00C35CB1" w:rsidRPr="00C35CB1" w:rsidRDefault="00827B6A" w:rsidP="00765A56">
      <w:pPr>
        <w:pStyle w:val="SingleTxt"/>
        <w:rPr>
          <w:rFonts w:hint="cs"/>
          <w:rtl/>
        </w:rPr>
      </w:pPr>
      <w:r>
        <w:rPr>
          <w:rFonts w:hint="cs"/>
          <w:rtl/>
        </w:rPr>
        <w:tab/>
      </w:r>
      <w:r w:rsidR="00D666E0">
        <w:rPr>
          <w:rFonts w:hint="cs"/>
          <w:rtl/>
        </w:rPr>
        <w:t>و</w:t>
      </w:r>
      <w:r w:rsidR="00C35CB1" w:rsidRPr="00C35CB1">
        <w:rPr>
          <w:rFonts w:hint="cs"/>
          <w:rtl/>
        </w:rPr>
        <w:t>لم يتم التعرف على أي شبكة</w:t>
      </w:r>
      <w:r w:rsidR="00765A56">
        <w:rPr>
          <w:rFonts w:hint="cs"/>
          <w:rtl/>
        </w:rPr>
        <w:t xml:space="preserve"> </w:t>
      </w:r>
      <w:r w:rsidR="00C35CB1" w:rsidRPr="00C35CB1">
        <w:rPr>
          <w:rFonts w:hint="cs"/>
          <w:rtl/>
        </w:rPr>
        <w:t>تستغل بغاء النساء أو الفتيات الملغاشيات في هذه</w:t>
      </w:r>
      <w:r w:rsidR="00765A56">
        <w:rPr>
          <w:rFonts w:hint="cs"/>
          <w:rtl/>
        </w:rPr>
        <w:t xml:space="preserve"> </w:t>
      </w:r>
      <w:r w:rsidR="00C35CB1" w:rsidRPr="00C35CB1">
        <w:rPr>
          <w:rFonts w:hint="cs"/>
          <w:rtl/>
        </w:rPr>
        <w:t>الأنشطة بالجزر المجاورة.</w:t>
      </w:r>
    </w:p>
    <w:p w:rsidR="00C35CB1" w:rsidRPr="00C35CB1" w:rsidRDefault="00827B6A" w:rsidP="00765A56">
      <w:pPr>
        <w:pStyle w:val="SingleTxt"/>
        <w:rPr>
          <w:rFonts w:hint="cs"/>
          <w:rtl/>
        </w:rPr>
      </w:pPr>
      <w:r>
        <w:rPr>
          <w:rFonts w:hint="cs"/>
          <w:rtl/>
        </w:rPr>
        <w:tab/>
      </w:r>
      <w:r w:rsidR="00C35CB1" w:rsidRPr="00C35CB1">
        <w:rPr>
          <w:rFonts w:hint="cs"/>
          <w:rtl/>
        </w:rPr>
        <w:t xml:space="preserve">بيد أن الحكومة تعتزم مكافحة الاتجار بالبشر الذي تقع ضحيته النساء </w:t>
      </w:r>
      <w:r w:rsidR="00D666E0">
        <w:rPr>
          <w:rFonts w:hint="cs"/>
          <w:rtl/>
        </w:rPr>
        <w:t>و</w:t>
      </w:r>
      <w:r w:rsidR="00C35CB1" w:rsidRPr="00C35CB1">
        <w:rPr>
          <w:rFonts w:hint="cs"/>
          <w:rtl/>
        </w:rPr>
        <w:t>الفتيات اللاتي أبعدن عن مكان إقامتهن لممارسة</w:t>
      </w:r>
      <w:r w:rsidR="00765A56">
        <w:rPr>
          <w:rFonts w:hint="cs"/>
          <w:rtl/>
        </w:rPr>
        <w:t xml:space="preserve"> </w:t>
      </w:r>
      <w:r w:rsidR="00C35CB1" w:rsidRPr="00C35CB1">
        <w:rPr>
          <w:rFonts w:hint="cs"/>
          <w:rtl/>
        </w:rPr>
        <w:t>البغاء في مناطق أخرى.</w:t>
      </w:r>
    </w:p>
    <w:p w:rsidR="00C35CB1" w:rsidRPr="00C35CB1" w:rsidRDefault="00827B6A" w:rsidP="00827B6A">
      <w:pPr>
        <w:pStyle w:val="SingleTxt"/>
        <w:rPr>
          <w:rFonts w:hint="cs"/>
          <w:rtl/>
        </w:rPr>
      </w:pPr>
      <w:r>
        <w:rPr>
          <w:rFonts w:hint="cs"/>
          <w:rtl/>
        </w:rPr>
        <w:tab/>
      </w:r>
      <w:r w:rsidR="00C35CB1" w:rsidRPr="00C35CB1">
        <w:rPr>
          <w:rFonts w:hint="cs"/>
          <w:rtl/>
        </w:rPr>
        <w:t>وفي إطار تعاون قضائي متبادل مع فرنسا، يمكن للحكومة، في حالة وجود مخالفات</w:t>
      </w:r>
      <w:r w:rsidR="00765A56">
        <w:rPr>
          <w:rFonts w:hint="cs"/>
          <w:rtl/>
        </w:rPr>
        <w:t xml:space="preserve"> </w:t>
      </w:r>
      <w:r w:rsidR="00C35CB1" w:rsidRPr="00C35CB1">
        <w:rPr>
          <w:rFonts w:hint="cs"/>
          <w:rtl/>
        </w:rPr>
        <w:t>مرتبطة باستغلال البغاء في جزيرة لاريّونيون</w:t>
      </w:r>
      <w:r w:rsidR="0015762F">
        <w:rPr>
          <w:rFonts w:hint="cs"/>
          <w:rtl/>
        </w:rPr>
        <w:t>،</w:t>
      </w:r>
      <w:r w:rsidR="00C35CB1" w:rsidRPr="00C35CB1">
        <w:rPr>
          <w:rFonts w:hint="cs"/>
          <w:rtl/>
        </w:rPr>
        <w:t xml:space="preserve"> </w:t>
      </w:r>
      <w:r w:rsidR="006145D0">
        <w:rPr>
          <w:rFonts w:hint="cs"/>
          <w:rtl/>
        </w:rPr>
        <w:t>أ</w:t>
      </w:r>
      <w:r w:rsidR="00C35CB1" w:rsidRPr="00C35CB1">
        <w:rPr>
          <w:rFonts w:hint="cs"/>
          <w:rtl/>
        </w:rPr>
        <w:t>ن تطلب تسليم</w:t>
      </w:r>
      <w:r w:rsidR="00765A56">
        <w:rPr>
          <w:rFonts w:hint="cs"/>
          <w:rtl/>
        </w:rPr>
        <w:t xml:space="preserve"> </w:t>
      </w:r>
      <w:r w:rsidR="00C35CB1" w:rsidRPr="00C35CB1">
        <w:rPr>
          <w:rFonts w:hint="cs"/>
          <w:rtl/>
        </w:rPr>
        <w:t>المذنبين</w:t>
      </w:r>
      <w:r w:rsidR="00765A56">
        <w:rPr>
          <w:rFonts w:hint="cs"/>
          <w:rtl/>
        </w:rPr>
        <w:t xml:space="preserve"> </w:t>
      </w:r>
      <w:r w:rsidR="00C35CB1" w:rsidRPr="00C35CB1">
        <w:rPr>
          <w:rFonts w:hint="cs"/>
          <w:rtl/>
        </w:rPr>
        <w:t>لتقديمهم إلى المحاكم.</w:t>
      </w:r>
    </w:p>
    <w:p w:rsidR="00DE02D4" w:rsidRDefault="00C35CB1" w:rsidP="00765A56">
      <w:pPr>
        <w:pStyle w:val="SingleTxt"/>
        <w:rPr>
          <w:rFonts w:hint="cs"/>
          <w:rtl/>
        </w:rPr>
      </w:pPr>
      <w:r w:rsidRPr="00C35CB1">
        <w:rPr>
          <w:rFonts w:hint="cs"/>
          <w:rtl/>
        </w:rPr>
        <w:t>15</w:t>
      </w:r>
      <w:r w:rsidR="00D666E0">
        <w:rPr>
          <w:rFonts w:hint="cs"/>
          <w:rtl/>
        </w:rPr>
        <w:t xml:space="preserve"> -</w:t>
      </w:r>
      <w:r w:rsidR="00D666E0">
        <w:rPr>
          <w:rFonts w:hint="cs"/>
          <w:rtl/>
        </w:rPr>
        <w:tab/>
        <w:t>و</w:t>
      </w:r>
      <w:r w:rsidRPr="00C35CB1">
        <w:rPr>
          <w:rFonts w:hint="cs"/>
          <w:rtl/>
        </w:rPr>
        <w:t xml:space="preserve">قد أسست الحكومة مراكز استقبال في انتاناناريفو </w:t>
      </w:r>
      <w:r w:rsidR="00D666E0">
        <w:rPr>
          <w:rFonts w:hint="cs"/>
          <w:rtl/>
        </w:rPr>
        <w:t>و</w:t>
      </w:r>
      <w:r w:rsidRPr="00C35CB1">
        <w:rPr>
          <w:rFonts w:hint="cs"/>
          <w:rtl/>
        </w:rPr>
        <w:t xml:space="preserve">تواماسينا </w:t>
      </w:r>
      <w:r w:rsidR="00D666E0">
        <w:rPr>
          <w:rFonts w:hint="cs"/>
          <w:rtl/>
        </w:rPr>
        <w:t>و</w:t>
      </w:r>
      <w:r w:rsidR="006145D0">
        <w:rPr>
          <w:rFonts w:hint="cs"/>
          <w:rtl/>
        </w:rPr>
        <w:t>توليارا، من أجل إعادة الإ</w:t>
      </w:r>
      <w:r w:rsidRPr="00C35CB1">
        <w:rPr>
          <w:rFonts w:hint="cs"/>
          <w:rtl/>
        </w:rPr>
        <w:t xml:space="preserve">دماج </w:t>
      </w:r>
      <w:r w:rsidR="00D666E0">
        <w:rPr>
          <w:rFonts w:hint="cs"/>
          <w:rtl/>
        </w:rPr>
        <w:t>و</w:t>
      </w:r>
      <w:r w:rsidRPr="00C35CB1">
        <w:rPr>
          <w:rFonts w:hint="cs"/>
          <w:rtl/>
        </w:rPr>
        <w:t>التأهيل ا</w:t>
      </w:r>
      <w:r w:rsidR="006145D0">
        <w:rPr>
          <w:rFonts w:hint="cs"/>
          <w:rtl/>
        </w:rPr>
        <w:t>لاجتماعي للبغايا الراغبات في الإ</w:t>
      </w:r>
      <w:r w:rsidRPr="00C35CB1">
        <w:rPr>
          <w:rFonts w:hint="cs"/>
          <w:rtl/>
        </w:rPr>
        <w:t xml:space="preserve">قلاع عن ممارسة تلك المهنة. وقدمت هذه المراكز المساعدة لقرابة 105 ضحايا تشغيل الأطفال </w:t>
      </w:r>
      <w:r w:rsidR="00D666E0">
        <w:rPr>
          <w:rFonts w:hint="cs"/>
          <w:rtl/>
        </w:rPr>
        <w:t>و</w:t>
      </w:r>
      <w:r w:rsidRPr="00C35CB1">
        <w:rPr>
          <w:rFonts w:hint="cs"/>
          <w:rtl/>
        </w:rPr>
        <w:t>الاتجار بالبشر</w:t>
      </w:r>
      <w:r w:rsidR="000A5EC7">
        <w:rPr>
          <w:rFonts w:hint="cs"/>
          <w:rtl/>
        </w:rPr>
        <w:t>،</w:t>
      </w:r>
      <w:r w:rsidRPr="00C35CB1">
        <w:rPr>
          <w:rFonts w:hint="cs"/>
          <w:rtl/>
        </w:rPr>
        <w:t xml:space="preserve"> وذلك من خلال إعادة إدماجهم في مدارس أو في مراكز للتدريب المهني. كما قدم الأطباء العاملون في هذه المراكز عناية طبية </w:t>
      </w:r>
      <w:r w:rsidR="00D666E0">
        <w:rPr>
          <w:rFonts w:hint="cs"/>
          <w:rtl/>
        </w:rPr>
        <w:t>و</w:t>
      </w:r>
      <w:r w:rsidRPr="00C35CB1">
        <w:rPr>
          <w:rFonts w:hint="cs"/>
          <w:rtl/>
        </w:rPr>
        <w:t>نصائح للضحايا في حين قدم لهم مفتشو الشغل المعونة في البحث عن عمل</w:t>
      </w:r>
      <w:r w:rsidR="0015762F">
        <w:rPr>
          <w:rFonts w:hint="cs"/>
          <w:rtl/>
        </w:rPr>
        <w:t>.</w:t>
      </w:r>
      <w:r w:rsidRPr="00C35CB1">
        <w:rPr>
          <w:rFonts w:hint="cs"/>
          <w:rtl/>
        </w:rPr>
        <w:t xml:space="preserve"> ويتواصل حاليا</w:t>
      </w:r>
      <w:r w:rsidR="00765A56">
        <w:rPr>
          <w:rFonts w:hint="cs"/>
          <w:rtl/>
        </w:rPr>
        <w:t xml:space="preserve"> </w:t>
      </w:r>
      <w:r w:rsidRPr="00C35CB1">
        <w:rPr>
          <w:rFonts w:hint="cs"/>
          <w:rtl/>
        </w:rPr>
        <w:t>بناء مركز استقبال مماثل في نوسي بي.</w:t>
      </w:r>
      <w:r w:rsidR="00765A56">
        <w:rPr>
          <w:rFonts w:hint="cs"/>
          <w:rtl/>
        </w:rPr>
        <w:t xml:space="preserve"> </w:t>
      </w:r>
    </w:p>
    <w:p w:rsidR="00C35CB1" w:rsidRPr="00C35CB1" w:rsidRDefault="00DE02D4" w:rsidP="00765A56">
      <w:pPr>
        <w:pStyle w:val="SingleTxt"/>
        <w:rPr>
          <w:rFonts w:hint="cs"/>
          <w:rtl/>
        </w:rPr>
      </w:pPr>
      <w:r>
        <w:rPr>
          <w:rFonts w:hint="cs"/>
          <w:rtl/>
        </w:rPr>
        <w:tab/>
      </w:r>
      <w:r w:rsidR="00D666E0">
        <w:rPr>
          <w:rFonts w:hint="cs"/>
          <w:rtl/>
        </w:rPr>
        <w:t>و</w:t>
      </w:r>
      <w:r w:rsidR="00C35CB1" w:rsidRPr="00C35CB1">
        <w:rPr>
          <w:rFonts w:hint="cs"/>
          <w:rtl/>
        </w:rPr>
        <w:t>سيقع إحداث مراكز أخرى في المناطق السكنية المعرضة للخطر، حسب الحاجة.</w:t>
      </w:r>
    </w:p>
    <w:p w:rsidR="00C35CB1" w:rsidRPr="00C35CB1" w:rsidRDefault="00827B6A" w:rsidP="00C35CB1">
      <w:pPr>
        <w:pStyle w:val="SingleTxt"/>
        <w:rPr>
          <w:rFonts w:hint="cs"/>
          <w:rtl/>
        </w:rPr>
      </w:pPr>
      <w:r>
        <w:rPr>
          <w:rFonts w:hint="cs"/>
          <w:rtl/>
        </w:rPr>
        <w:tab/>
      </w:r>
      <w:r w:rsidR="00D666E0">
        <w:rPr>
          <w:rFonts w:hint="cs"/>
          <w:rtl/>
        </w:rPr>
        <w:t>و</w:t>
      </w:r>
      <w:r w:rsidR="00C35CB1" w:rsidRPr="00C35CB1">
        <w:rPr>
          <w:rFonts w:hint="cs"/>
          <w:rtl/>
        </w:rPr>
        <w:t>من جهة أخرى، أنشأت منظمة الأمم المتحدة للطفولة أربع عشرة شبكة لحماية الأطفال، تعمل على كفالة حماية الأطفال في المدن الكبرى من كل مخاطر التعرض لأسوء أشكال التشغيل</w:t>
      </w:r>
      <w:r w:rsidR="0015762F">
        <w:rPr>
          <w:rFonts w:hint="cs"/>
          <w:rtl/>
        </w:rPr>
        <w:t>.</w:t>
      </w:r>
    </w:p>
    <w:p w:rsidR="00BA462B" w:rsidRDefault="00827B6A" w:rsidP="00765A56">
      <w:pPr>
        <w:pStyle w:val="SingleTxt"/>
        <w:rPr>
          <w:rFonts w:hint="cs"/>
          <w:rtl/>
        </w:rPr>
      </w:pPr>
      <w:r>
        <w:rPr>
          <w:rFonts w:hint="cs"/>
          <w:rtl/>
        </w:rPr>
        <w:tab/>
      </w:r>
      <w:r w:rsidR="00C35CB1" w:rsidRPr="00C35CB1">
        <w:rPr>
          <w:rFonts w:hint="cs"/>
          <w:rtl/>
        </w:rPr>
        <w:t>ومن بين هذه الشبكات نذكر تل</w:t>
      </w:r>
      <w:r w:rsidR="00C35CB1" w:rsidRPr="00C35CB1">
        <w:rPr>
          <w:rFonts w:hint="eastAsia"/>
          <w:rtl/>
        </w:rPr>
        <w:t>ك</w:t>
      </w:r>
      <w:r w:rsidR="00C35CB1" w:rsidRPr="00C35CB1">
        <w:rPr>
          <w:rFonts w:hint="cs"/>
          <w:rtl/>
        </w:rPr>
        <w:t xml:space="preserve"> التي أقيمت</w:t>
      </w:r>
      <w:r w:rsidR="00765A56">
        <w:rPr>
          <w:rFonts w:hint="cs"/>
          <w:rtl/>
        </w:rPr>
        <w:t xml:space="preserve"> </w:t>
      </w:r>
      <w:r w:rsidR="00C35CB1" w:rsidRPr="00C35CB1">
        <w:rPr>
          <w:rFonts w:hint="cs"/>
          <w:rtl/>
        </w:rPr>
        <w:t xml:space="preserve">في دياغو سوارس </w:t>
      </w:r>
      <w:r w:rsidR="00D666E0">
        <w:rPr>
          <w:rFonts w:hint="cs"/>
          <w:rtl/>
        </w:rPr>
        <w:t>و</w:t>
      </w:r>
      <w:r w:rsidR="00C35CB1" w:rsidRPr="00C35CB1">
        <w:rPr>
          <w:rFonts w:hint="cs"/>
          <w:rtl/>
        </w:rPr>
        <w:t xml:space="preserve">فوردوفان </w:t>
      </w:r>
      <w:r w:rsidR="00D666E0">
        <w:rPr>
          <w:rFonts w:hint="cs"/>
          <w:rtl/>
        </w:rPr>
        <w:t>و</w:t>
      </w:r>
      <w:r w:rsidR="00C35CB1" w:rsidRPr="00C35CB1">
        <w:rPr>
          <w:rFonts w:hint="cs"/>
          <w:rtl/>
        </w:rPr>
        <w:t>ماننجاري.</w:t>
      </w:r>
      <w:r w:rsidR="00DE02D4">
        <w:rPr>
          <w:rFonts w:hint="cs"/>
          <w:rtl/>
        </w:rPr>
        <w:t xml:space="preserve"> </w:t>
      </w:r>
      <w:r w:rsidR="00D666E0">
        <w:rPr>
          <w:rFonts w:hint="cs"/>
          <w:rtl/>
        </w:rPr>
        <w:t>و</w:t>
      </w:r>
      <w:r w:rsidR="00C35CB1" w:rsidRPr="00C35CB1">
        <w:rPr>
          <w:rFonts w:hint="cs"/>
          <w:rtl/>
        </w:rPr>
        <w:t>تقوم هذه الشبكات كذلك بتوعية الرأي العام بشان</w:t>
      </w:r>
      <w:r w:rsidR="00765A56">
        <w:rPr>
          <w:rFonts w:hint="cs"/>
          <w:rtl/>
        </w:rPr>
        <w:t xml:space="preserve"> </w:t>
      </w:r>
      <w:r w:rsidR="00C35CB1" w:rsidRPr="00C35CB1">
        <w:rPr>
          <w:rFonts w:hint="cs"/>
          <w:rtl/>
        </w:rPr>
        <w:t xml:space="preserve">خطر الاتجار بالبشر </w:t>
      </w:r>
      <w:r w:rsidR="00D666E0">
        <w:rPr>
          <w:rFonts w:hint="cs"/>
          <w:rtl/>
        </w:rPr>
        <w:t>و</w:t>
      </w:r>
      <w:r w:rsidR="00C35CB1" w:rsidRPr="00C35CB1">
        <w:rPr>
          <w:rFonts w:hint="cs"/>
          <w:rtl/>
        </w:rPr>
        <w:t>الاستغلال الجنسي للأطفال لأغراض تجارية.</w:t>
      </w:r>
    </w:p>
    <w:p w:rsidR="00827B6A" w:rsidRPr="00827B6A" w:rsidRDefault="00827B6A" w:rsidP="00827B6A">
      <w:pPr>
        <w:pStyle w:val="SingleTxt"/>
        <w:spacing w:after="0" w:line="120" w:lineRule="exact"/>
        <w:rPr>
          <w:rFonts w:hint="cs"/>
          <w:b/>
          <w:bCs/>
          <w:sz w:val="10"/>
          <w:rtl/>
        </w:rPr>
      </w:pPr>
    </w:p>
    <w:p w:rsidR="00C35CB1" w:rsidRPr="00C35CB1" w:rsidRDefault="00C35CB1" w:rsidP="00C35CB1">
      <w:pPr>
        <w:pStyle w:val="SingleTxt"/>
        <w:rPr>
          <w:rFonts w:hint="cs"/>
          <w:b/>
          <w:bCs/>
          <w:rtl/>
        </w:rPr>
      </w:pPr>
      <w:r w:rsidRPr="00C35CB1">
        <w:rPr>
          <w:rFonts w:hint="cs"/>
          <w:b/>
          <w:bCs/>
          <w:rtl/>
        </w:rPr>
        <w:t xml:space="preserve">العمالة والنساء الريفيات </w:t>
      </w:r>
      <w:r w:rsidR="00D666E0">
        <w:rPr>
          <w:rFonts w:hint="cs"/>
          <w:b/>
          <w:bCs/>
          <w:rtl/>
        </w:rPr>
        <w:t>و</w:t>
      </w:r>
      <w:r w:rsidRPr="00C35CB1">
        <w:rPr>
          <w:rFonts w:hint="cs"/>
          <w:b/>
          <w:bCs/>
          <w:rtl/>
        </w:rPr>
        <w:t>حق الملكية</w:t>
      </w:r>
    </w:p>
    <w:p w:rsidR="00BA462B" w:rsidRDefault="00C35CB1" w:rsidP="00C35CB1">
      <w:pPr>
        <w:pStyle w:val="SingleTxt"/>
        <w:rPr>
          <w:rFonts w:hint="cs"/>
          <w:rtl/>
        </w:rPr>
      </w:pPr>
      <w:r w:rsidRPr="00C35CB1">
        <w:rPr>
          <w:rFonts w:hint="cs"/>
          <w:rtl/>
        </w:rPr>
        <w:t>16</w:t>
      </w:r>
      <w:r w:rsidR="00D666E0">
        <w:rPr>
          <w:rFonts w:hint="cs"/>
          <w:rtl/>
        </w:rPr>
        <w:t xml:space="preserve"> -</w:t>
      </w:r>
      <w:r w:rsidR="00D666E0">
        <w:rPr>
          <w:rFonts w:hint="cs"/>
          <w:rtl/>
        </w:rPr>
        <w:tab/>
      </w:r>
      <w:r w:rsidRPr="00DE02D4">
        <w:rPr>
          <w:rFonts w:hint="cs"/>
          <w:i/>
          <w:iCs/>
          <w:rtl/>
        </w:rPr>
        <w:t>مشاركة المرأة في الميدان الفلاحي</w:t>
      </w:r>
    </w:p>
    <w:p w:rsidR="00C35CB1" w:rsidRPr="00C35CB1" w:rsidRDefault="005715A2" w:rsidP="006145D0">
      <w:pPr>
        <w:pStyle w:val="SingleTxt"/>
        <w:rPr>
          <w:rFonts w:hint="cs"/>
          <w:rtl/>
        </w:rPr>
      </w:pPr>
      <w:r>
        <w:rPr>
          <w:rFonts w:hint="cs"/>
          <w:rtl/>
        </w:rPr>
        <w:tab/>
      </w:r>
      <w:r w:rsidR="00C35CB1" w:rsidRPr="00C35CB1">
        <w:rPr>
          <w:rFonts w:hint="cs"/>
          <w:rtl/>
        </w:rPr>
        <w:t>تظل العمالة في مدغشقر مركزة إلى حد بعيد</w:t>
      </w:r>
      <w:r w:rsidR="00765A56">
        <w:rPr>
          <w:rFonts w:hint="cs"/>
          <w:rtl/>
        </w:rPr>
        <w:t xml:space="preserve"> </w:t>
      </w:r>
      <w:r w:rsidR="00C35CB1" w:rsidRPr="00C35CB1">
        <w:rPr>
          <w:rFonts w:hint="cs"/>
          <w:rtl/>
        </w:rPr>
        <w:t>في القطاع الأولي.</w:t>
      </w:r>
      <w:r w:rsidR="00765A56">
        <w:rPr>
          <w:rFonts w:hint="cs"/>
          <w:rtl/>
        </w:rPr>
        <w:t xml:space="preserve"> </w:t>
      </w:r>
      <w:r w:rsidR="00C35CB1" w:rsidRPr="00C35CB1">
        <w:rPr>
          <w:rFonts w:hint="cs"/>
          <w:rtl/>
        </w:rPr>
        <w:t>يمارس أكثر من 82 في المائة من أفراد القوى العاملة غير العاطلين</w:t>
      </w:r>
      <w:r w:rsidR="00C35CB1" w:rsidRPr="00C35CB1">
        <w:rPr>
          <w:rFonts w:hint="cs"/>
          <w:vertAlign w:val="superscript"/>
          <w:rtl/>
        </w:rPr>
        <w:t>(3)</w:t>
      </w:r>
      <w:r w:rsidR="006145D0">
        <w:rPr>
          <w:rFonts w:hint="cs"/>
          <w:rtl/>
        </w:rPr>
        <w:t>،</w:t>
      </w:r>
      <w:r w:rsidR="00416A5F">
        <w:rPr>
          <w:rFonts w:hint="cs"/>
          <w:rtl/>
        </w:rPr>
        <w:t xml:space="preserve"> بصورة أساسية، أنشطة فلاحية (</w:t>
      </w:r>
      <w:r w:rsidR="00C35CB1" w:rsidRPr="00C35CB1">
        <w:rPr>
          <w:rFonts w:hint="cs"/>
          <w:rtl/>
        </w:rPr>
        <w:t xml:space="preserve">الزراعة </w:t>
      </w:r>
      <w:r w:rsidR="00D666E0">
        <w:rPr>
          <w:rFonts w:hint="cs"/>
          <w:rtl/>
        </w:rPr>
        <w:t>و</w:t>
      </w:r>
      <w:r w:rsidR="00C35CB1" w:rsidRPr="00C35CB1">
        <w:rPr>
          <w:rFonts w:hint="cs"/>
          <w:rtl/>
        </w:rPr>
        <w:t xml:space="preserve">الصيد البحري، </w:t>
      </w:r>
      <w:r w:rsidR="00D666E0">
        <w:rPr>
          <w:rFonts w:hint="cs"/>
          <w:rtl/>
        </w:rPr>
        <w:t>و</w:t>
      </w:r>
      <w:r w:rsidR="00C35CB1" w:rsidRPr="00C35CB1">
        <w:rPr>
          <w:rFonts w:hint="cs"/>
          <w:rtl/>
        </w:rPr>
        <w:t xml:space="preserve">الصيد البري، والحراجة) </w:t>
      </w:r>
      <w:r w:rsidR="00D666E0">
        <w:rPr>
          <w:rFonts w:hint="cs"/>
          <w:rtl/>
        </w:rPr>
        <w:t>و</w:t>
      </w:r>
      <w:r w:rsidR="00C35CB1" w:rsidRPr="00C35CB1">
        <w:rPr>
          <w:rFonts w:hint="cs"/>
          <w:rtl/>
        </w:rPr>
        <w:t xml:space="preserve">أنشطة في صناعات التعدين. </w:t>
      </w:r>
      <w:r w:rsidR="00D666E0">
        <w:rPr>
          <w:rFonts w:hint="cs"/>
          <w:rtl/>
        </w:rPr>
        <w:t>و</w:t>
      </w:r>
      <w:r w:rsidR="00416A5F">
        <w:rPr>
          <w:rFonts w:hint="cs"/>
          <w:rtl/>
        </w:rPr>
        <w:t>تسيطر الأنشطة التجارية (</w:t>
      </w:r>
      <w:r w:rsidR="00C35CB1" w:rsidRPr="00C35CB1">
        <w:rPr>
          <w:rFonts w:hint="cs"/>
          <w:rtl/>
        </w:rPr>
        <w:t xml:space="preserve">5 في المائة من العمالة الكلية) </w:t>
      </w:r>
      <w:r w:rsidR="00D666E0">
        <w:rPr>
          <w:rFonts w:hint="cs"/>
          <w:rtl/>
        </w:rPr>
        <w:t>و</w:t>
      </w:r>
      <w:r w:rsidR="00C35CB1" w:rsidRPr="00C35CB1">
        <w:rPr>
          <w:rFonts w:hint="cs"/>
          <w:rtl/>
        </w:rPr>
        <w:t>الخدمات الأخرى المضطلع بها لفائدة الأ</w:t>
      </w:r>
      <w:bookmarkStart w:id="1" w:name="TmpSave"/>
      <w:bookmarkEnd w:id="1"/>
      <w:r w:rsidR="00C35CB1" w:rsidRPr="00C35CB1">
        <w:rPr>
          <w:rFonts w:hint="cs"/>
          <w:rtl/>
        </w:rPr>
        <w:t xml:space="preserve">سر المعيشية (6 في المائة من العمالة الكلية)، إلى حد بعيد، على مواطن العمل غير الزراعية. </w:t>
      </w:r>
      <w:r w:rsidR="00D666E0">
        <w:rPr>
          <w:rFonts w:hint="cs"/>
          <w:rtl/>
        </w:rPr>
        <w:t>و</w:t>
      </w:r>
      <w:r w:rsidR="00C35CB1" w:rsidRPr="00C35CB1">
        <w:rPr>
          <w:rFonts w:hint="cs"/>
          <w:rtl/>
        </w:rPr>
        <w:t xml:space="preserve">يمثل موظفو </w:t>
      </w:r>
      <w:r w:rsidR="00D666E0">
        <w:rPr>
          <w:rFonts w:hint="cs"/>
          <w:rtl/>
        </w:rPr>
        <w:t>و</w:t>
      </w:r>
      <w:r w:rsidR="00C35CB1" w:rsidRPr="00C35CB1">
        <w:rPr>
          <w:rFonts w:hint="cs"/>
          <w:rtl/>
        </w:rPr>
        <w:t>عمال الإدارة العامة أكثر من 2 في المائة</w:t>
      </w:r>
      <w:r w:rsidR="0015762F">
        <w:rPr>
          <w:rFonts w:hint="cs"/>
          <w:rtl/>
        </w:rPr>
        <w:t>.</w:t>
      </w:r>
      <w:r w:rsidR="00C35CB1" w:rsidRPr="00C35CB1">
        <w:rPr>
          <w:rFonts w:hint="cs"/>
          <w:rtl/>
        </w:rPr>
        <w:t xml:space="preserve"> </w:t>
      </w:r>
      <w:r w:rsidR="00D666E0">
        <w:rPr>
          <w:rFonts w:hint="cs"/>
          <w:rtl/>
        </w:rPr>
        <w:t>و</w:t>
      </w:r>
      <w:r w:rsidR="00C35CB1" w:rsidRPr="00C35CB1">
        <w:rPr>
          <w:rFonts w:hint="cs"/>
          <w:rtl/>
        </w:rPr>
        <w:t>تمثل مواطن العمل في</w:t>
      </w:r>
      <w:r w:rsidR="00765A56">
        <w:rPr>
          <w:rFonts w:hint="cs"/>
          <w:rtl/>
        </w:rPr>
        <w:t xml:space="preserve"> </w:t>
      </w:r>
      <w:r w:rsidR="00C35CB1" w:rsidRPr="00C35CB1">
        <w:rPr>
          <w:rFonts w:hint="cs"/>
          <w:rtl/>
        </w:rPr>
        <w:t>الصناعات التحويلية أقلية إذ لا تتجاوز نسبتها 3.5 في المائة</w:t>
      </w:r>
      <w:r w:rsidR="00765A56">
        <w:rPr>
          <w:rFonts w:hint="cs"/>
          <w:rtl/>
        </w:rPr>
        <w:t xml:space="preserve"> </w:t>
      </w:r>
      <w:r w:rsidR="00C35CB1" w:rsidRPr="00C35CB1">
        <w:rPr>
          <w:rFonts w:hint="cs"/>
          <w:rtl/>
        </w:rPr>
        <w:t>من مواطن العمل المنشاة</w:t>
      </w:r>
      <w:r w:rsidR="00765A56">
        <w:rPr>
          <w:rFonts w:hint="cs"/>
          <w:rtl/>
        </w:rPr>
        <w:t xml:space="preserve"> </w:t>
      </w:r>
      <w:r w:rsidR="00C35CB1" w:rsidRPr="00C35CB1">
        <w:rPr>
          <w:rFonts w:hint="cs"/>
          <w:rtl/>
        </w:rPr>
        <w:t xml:space="preserve">في مدغشقر. </w:t>
      </w:r>
      <w:r w:rsidR="00D666E0">
        <w:rPr>
          <w:rFonts w:hint="cs"/>
          <w:rtl/>
        </w:rPr>
        <w:t>و</w:t>
      </w:r>
      <w:r w:rsidR="00C35CB1" w:rsidRPr="00C35CB1">
        <w:rPr>
          <w:rFonts w:hint="cs"/>
          <w:rtl/>
        </w:rPr>
        <w:t>في المناطق الحضرية لم تعد مواطن العمل الزراعية تتجاوز</w:t>
      </w:r>
      <w:r w:rsidR="00416A5F">
        <w:rPr>
          <w:rFonts w:hint="cs"/>
          <w:rtl/>
        </w:rPr>
        <w:t xml:space="preserve"> </w:t>
      </w:r>
      <w:r w:rsidR="00C35CB1" w:rsidRPr="00C35CB1">
        <w:rPr>
          <w:rFonts w:hint="cs"/>
          <w:rtl/>
        </w:rPr>
        <w:t>48 في المائة.</w:t>
      </w:r>
    </w:p>
    <w:p w:rsidR="00BA462B" w:rsidRDefault="005715A2" w:rsidP="00765A56">
      <w:pPr>
        <w:pStyle w:val="SingleTxt"/>
        <w:rPr>
          <w:rFonts w:hint="cs"/>
          <w:rtl/>
        </w:rPr>
      </w:pPr>
      <w:r>
        <w:rPr>
          <w:rFonts w:hint="cs"/>
          <w:rtl/>
        </w:rPr>
        <w:tab/>
      </w:r>
      <w:r w:rsidR="00C35CB1" w:rsidRPr="00C35CB1">
        <w:rPr>
          <w:rFonts w:hint="cs"/>
          <w:rtl/>
        </w:rPr>
        <w:t xml:space="preserve">وبالعكس، تبلغ نسبة مواطن العمل في التجارة </w:t>
      </w:r>
      <w:r w:rsidR="00D666E0">
        <w:rPr>
          <w:rFonts w:hint="cs"/>
          <w:rtl/>
        </w:rPr>
        <w:t>و</w:t>
      </w:r>
      <w:r w:rsidR="00C35CB1" w:rsidRPr="00C35CB1">
        <w:rPr>
          <w:rFonts w:hint="cs"/>
          <w:rtl/>
        </w:rPr>
        <w:t>الخدمات الأخرى المضطلع بها لفائدة الأسر المعيشية، على التوالي، قرابة 14 في المائة و 17 في المائة</w:t>
      </w:r>
      <w:r w:rsidR="0015762F">
        <w:rPr>
          <w:rFonts w:hint="cs"/>
          <w:rtl/>
        </w:rPr>
        <w:t>.</w:t>
      </w:r>
      <w:r w:rsidR="00C35CB1" w:rsidRPr="00C35CB1">
        <w:rPr>
          <w:rFonts w:hint="cs"/>
          <w:rtl/>
        </w:rPr>
        <w:t xml:space="preserve"> </w:t>
      </w:r>
      <w:r w:rsidR="00D666E0">
        <w:rPr>
          <w:rFonts w:hint="cs"/>
          <w:rtl/>
        </w:rPr>
        <w:t>و</w:t>
      </w:r>
      <w:r w:rsidR="00C35CB1" w:rsidRPr="00C35CB1">
        <w:rPr>
          <w:rFonts w:hint="cs"/>
          <w:rtl/>
        </w:rPr>
        <w:t>تتجاوز نسبة مواطن العمل في القطاع</w:t>
      </w:r>
      <w:r w:rsidR="00765A56">
        <w:rPr>
          <w:rFonts w:hint="cs"/>
          <w:rtl/>
        </w:rPr>
        <w:t xml:space="preserve"> </w:t>
      </w:r>
      <w:r w:rsidR="00C35CB1" w:rsidRPr="00C35CB1">
        <w:rPr>
          <w:rFonts w:hint="cs"/>
          <w:rtl/>
        </w:rPr>
        <w:t>الصناعي 10 في المائة</w:t>
      </w:r>
      <w:r w:rsidR="0015762F">
        <w:rPr>
          <w:rFonts w:hint="cs"/>
          <w:rtl/>
        </w:rPr>
        <w:t>.</w:t>
      </w:r>
    </w:p>
    <w:p w:rsidR="005715A2" w:rsidRDefault="00382E75" w:rsidP="005715A2">
      <w:pPr>
        <w:tabs>
          <w:tab w:val="left" w:pos="662"/>
          <w:tab w:val="left" w:pos="1267"/>
          <w:tab w:val="left" w:pos="1987"/>
          <w:tab w:val="left" w:pos="2650"/>
        </w:tabs>
        <w:rPr>
          <w:rFonts w:hint="cs"/>
          <w:rtl/>
        </w:rPr>
      </w:pPr>
      <w:r>
        <w:rPr>
          <w:rtl/>
        </w:rPr>
        <w:br w:type="page"/>
      </w:r>
      <w:r w:rsidR="005715A2">
        <w:rPr>
          <w:rFonts w:hint="cs"/>
          <w:rtl/>
        </w:rPr>
        <w:tab/>
      </w:r>
      <w:r w:rsidR="005715A2">
        <w:rPr>
          <w:rFonts w:hint="cs"/>
          <w:rtl/>
        </w:rPr>
        <w:tab/>
      </w:r>
      <w:r w:rsidR="00C35CB1" w:rsidRPr="00C35CB1">
        <w:rPr>
          <w:rFonts w:hint="cs"/>
          <w:rtl/>
        </w:rPr>
        <w:t>الجدول 2</w:t>
      </w:r>
    </w:p>
    <w:p w:rsidR="00C35CB1" w:rsidRPr="00C35CB1" w:rsidRDefault="005715A2" w:rsidP="005715A2">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lowKashida"/>
        <w:rPr>
          <w:rFonts w:hint="cs"/>
          <w:rtl/>
        </w:rPr>
      </w:pPr>
      <w:r>
        <w:rPr>
          <w:rFonts w:hint="cs"/>
          <w:rtl/>
        </w:rPr>
        <w:tab/>
      </w:r>
      <w:r>
        <w:rPr>
          <w:rFonts w:hint="cs"/>
          <w:rtl/>
        </w:rPr>
        <w:tab/>
      </w:r>
      <w:r w:rsidR="00C35CB1" w:rsidRPr="00C35CB1">
        <w:rPr>
          <w:rFonts w:hint="cs"/>
          <w:rtl/>
        </w:rPr>
        <w:t xml:space="preserve">توزيع مواطن العمل بحسب فروع الأنشطة والوسط </w:t>
      </w:r>
    </w:p>
    <w:p w:rsidR="00C35CB1" w:rsidRPr="005715A2" w:rsidRDefault="00C35CB1" w:rsidP="005715A2">
      <w:pPr>
        <w:pStyle w:val="SingleTxt"/>
        <w:rPr>
          <w:rFonts w:hint="cs"/>
          <w:i/>
          <w:iCs/>
          <w:rtl/>
        </w:rPr>
      </w:pPr>
      <w:r w:rsidRPr="005715A2">
        <w:rPr>
          <w:rFonts w:hint="cs"/>
          <w:i/>
          <w:iCs/>
          <w:rtl/>
        </w:rPr>
        <w:t>(نسب مئوية)</w:t>
      </w:r>
    </w:p>
    <w:tbl>
      <w:tblPr>
        <w:tblStyle w:val="TableGrid"/>
        <w:bidiVisual/>
        <w:tblW w:w="725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1E0" w:firstRow="1" w:lastRow="1" w:firstColumn="1" w:lastColumn="1" w:noHBand="0" w:noVBand="0"/>
      </w:tblPr>
      <w:tblGrid>
        <w:gridCol w:w="4022"/>
        <w:gridCol w:w="1133"/>
        <w:gridCol w:w="1133"/>
        <w:gridCol w:w="970"/>
      </w:tblGrid>
      <w:tr w:rsidR="00C35CB1" w:rsidRPr="00CF4F36">
        <w:trPr>
          <w:cantSplit/>
          <w:tblHeader/>
          <w:jc w:val="center"/>
        </w:trPr>
        <w:tc>
          <w:tcPr>
            <w:tcW w:w="4022" w:type="dxa"/>
            <w:tcBorders>
              <w:top w:val="single" w:sz="4" w:space="0" w:color="auto"/>
              <w:bottom w:val="single" w:sz="12" w:space="0" w:color="auto"/>
            </w:tcBorders>
            <w:shd w:val="clear" w:color="auto" w:fill="auto"/>
            <w:vAlign w:val="bottom"/>
          </w:tcPr>
          <w:p w:rsidR="00C35CB1" w:rsidRPr="00CF4F36" w:rsidRDefault="00C35CB1" w:rsidP="00CF4F36">
            <w:pPr>
              <w:pStyle w:val="SingleTxt"/>
              <w:spacing w:before="80" w:after="80" w:line="240" w:lineRule="exact"/>
              <w:ind w:left="0" w:right="0"/>
              <w:rPr>
                <w:rFonts w:cs="Traditional Arabic" w:hint="cs"/>
                <w:i/>
                <w:iCs/>
                <w:sz w:val="16"/>
                <w:szCs w:val="24"/>
                <w:rtl/>
              </w:rPr>
            </w:pPr>
          </w:p>
        </w:tc>
        <w:tc>
          <w:tcPr>
            <w:tcW w:w="1133" w:type="dxa"/>
            <w:tcBorders>
              <w:top w:val="single" w:sz="4" w:space="0" w:color="auto"/>
              <w:bottom w:val="single" w:sz="12" w:space="0" w:color="auto"/>
            </w:tcBorders>
            <w:shd w:val="clear" w:color="auto" w:fill="auto"/>
            <w:vAlign w:val="bottom"/>
          </w:tcPr>
          <w:p w:rsidR="00C35CB1" w:rsidRPr="00CF4F36" w:rsidRDefault="00C35CB1" w:rsidP="00CF4F36">
            <w:pPr>
              <w:pStyle w:val="SingleTxt"/>
              <w:spacing w:before="80" w:after="80" w:line="240" w:lineRule="exact"/>
              <w:ind w:left="0" w:right="144"/>
              <w:rPr>
                <w:rFonts w:cs="Traditional Arabic" w:hint="cs"/>
                <w:i/>
                <w:iCs/>
                <w:sz w:val="16"/>
                <w:szCs w:val="24"/>
                <w:rtl/>
              </w:rPr>
            </w:pPr>
            <w:r w:rsidRPr="00CF4F36">
              <w:rPr>
                <w:rFonts w:cs="Traditional Arabic" w:hint="cs"/>
                <w:i/>
                <w:iCs/>
                <w:sz w:val="16"/>
                <w:szCs w:val="24"/>
                <w:rtl/>
              </w:rPr>
              <w:t>الحضر</w:t>
            </w:r>
          </w:p>
        </w:tc>
        <w:tc>
          <w:tcPr>
            <w:tcW w:w="1133" w:type="dxa"/>
            <w:tcBorders>
              <w:top w:val="single" w:sz="4" w:space="0" w:color="auto"/>
              <w:bottom w:val="single" w:sz="12" w:space="0" w:color="auto"/>
            </w:tcBorders>
            <w:shd w:val="clear" w:color="auto" w:fill="auto"/>
            <w:vAlign w:val="bottom"/>
          </w:tcPr>
          <w:p w:rsidR="00C35CB1" w:rsidRPr="00CF4F36" w:rsidRDefault="00C35CB1" w:rsidP="00CF4F36">
            <w:pPr>
              <w:pStyle w:val="SingleTxt"/>
              <w:spacing w:before="80" w:after="80" w:line="240" w:lineRule="exact"/>
              <w:ind w:left="0" w:right="144"/>
              <w:rPr>
                <w:rFonts w:cs="Traditional Arabic" w:hint="cs"/>
                <w:i/>
                <w:iCs/>
                <w:sz w:val="16"/>
                <w:szCs w:val="24"/>
                <w:rtl/>
              </w:rPr>
            </w:pPr>
            <w:r w:rsidRPr="00CF4F36">
              <w:rPr>
                <w:rFonts w:cs="Traditional Arabic" w:hint="cs"/>
                <w:i/>
                <w:iCs/>
                <w:sz w:val="16"/>
                <w:szCs w:val="24"/>
                <w:rtl/>
              </w:rPr>
              <w:t>الريف</w:t>
            </w:r>
          </w:p>
        </w:tc>
        <w:tc>
          <w:tcPr>
            <w:tcW w:w="970" w:type="dxa"/>
            <w:tcBorders>
              <w:top w:val="single" w:sz="4" w:space="0" w:color="auto"/>
              <w:bottom w:val="single" w:sz="12" w:space="0" w:color="auto"/>
            </w:tcBorders>
            <w:shd w:val="clear" w:color="auto" w:fill="auto"/>
            <w:vAlign w:val="bottom"/>
          </w:tcPr>
          <w:p w:rsidR="00C35CB1" w:rsidRPr="00CF4F36" w:rsidRDefault="00C35CB1" w:rsidP="00CF4F36">
            <w:pPr>
              <w:pStyle w:val="SingleTxt"/>
              <w:spacing w:before="80" w:after="80" w:line="240" w:lineRule="exact"/>
              <w:ind w:left="0" w:right="144"/>
              <w:rPr>
                <w:rFonts w:cs="Traditional Arabic" w:hint="cs"/>
                <w:i/>
                <w:iCs/>
                <w:sz w:val="16"/>
                <w:szCs w:val="24"/>
                <w:rtl/>
              </w:rPr>
            </w:pPr>
            <w:r w:rsidRPr="00CF4F36">
              <w:rPr>
                <w:rFonts w:cs="Traditional Arabic" w:hint="cs"/>
                <w:i/>
                <w:iCs/>
                <w:sz w:val="16"/>
                <w:szCs w:val="24"/>
                <w:rtl/>
              </w:rPr>
              <w:t>معا</w:t>
            </w:r>
          </w:p>
        </w:tc>
      </w:tr>
      <w:tr w:rsidR="00CF4F36" w:rsidRPr="00CF4F36">
        <w:trPr>
          <w:cantSplit/>
          <w:trHeight w:hRule="exact" w:val="115"/>
          <w:tblHeader/>
          <w:jc w:val="center"/>
        </w:trPr>
        <w:tc>
          <w:tcPr>
            <w:tcW w:w="4022" w:type="dxa"/>
            <w:tcBorders>
              <w:top w:val="single" w:sz="12" w:space="0" w:color="auto"/>
            </w:tcBorders>
            <w:shd w:val="clear" w:color="auto" w:fill="auto"/>
            <w:vAlign w:val="bottom"/>
          </w:tcPr>
          <w:p w:rsidR="00CF4F36" w:rsidRPr="00CF4F36" w:rsidRDefault="00CF4F36" w:rsidP="00CF4F36">
            <w:pPr>
              <w:pStyle w:val="SingleTxt"/>
              <w:spacing w:before="40" w:after="80" w:line="240" w:lineRule="exact"/>
              <w:ind w:left="0" w:right="0"/>
              <w:rPr>
                <w:rFonts w:hint="cs"/>
                <w:sz w:val="16"/>
                <w:szCs w:val="24"/>
                <w:rtl/>
              </w:rPr>
            </w:pPr>
          </w:p>
        </w:tc>
        <w:tc>
          <w:tcPr>
            <w:tcW w:w="1133" w:type="dxa"/>
            <w:tcBorders>
              <w:top w:val="single" w:sz="12" w:space="0" w:color="auto"/>
            </w:tcBorders>
            <w:shd w:val="clear" w:color="auto" w:fill="auto"/>
            <w:vAlign w:val="bottom"/>
          </w:tcPr>
          <w:p w:rsidR="00CF4F36" w:rsidRPr="00CF4F36" w:rsidRDefault="00CF4F36" w:rsidP="00CF4F36">
            <w:pPr>
              <w:pStyle w:val="SingleTxt"/>
              <w:spacing w:before="40" w:after="80" w:line="240" w:lineRule="exact"/>
              <w:ind w:left="0" w:right="144"/>
              <w:rPr>
                <w:rFonts w:hint="cs"/>
                <w:sz w:val="16"/>
                <w:szCs w:val="24"/>
                <w:rtl/>
              </w:rPr>
            </w:pPr>
          </w:p>
        </w:tc>
        <w:tc>
          <w:tcPr>
            <w:tcW w:w="1133" w:type="dxa"/>
            <w:tcBorders>
              <w:top w:val="single" w:sz="12" w:space="0" w:color="auto"/>
            </w:tcBorders>
            <w:shd w:val="clear" w:color="auto" w:fill="auto"/>
            <w:vAlign w:val="bottom"/>
          </w:tcPr>
          <w:p w:rsidR="00CF4F36" w:rsidRPr="00CF4F36" w:rsidRDefault="00CF4F36" w:rsidP="00CF4F36">
            <w:pPr>
              <w:pStyle w:val="SingleTxt"/>
              <w:spacing w:before="40" w:after="80" w:line="240" w:lineRule="exact"/>
              <w:ind w:left="0" w:right="144"/>
              <w:rPr>
                <w:rFonts w:hint="cs"/>
                <w:sz w:val="16"/>
                <w:szCs w:val="24"/>
                <w:rtl/>
              </w:rPr>
            </w:pPr>
          </w:p>
        </w:tc>
        <w:tc>
          <w:tcPr>
            <w:tcW w:w="970" w:type="dxa"/>
            <w:tcBorders>
              <w:top w:val="single" w:sz="12" w:space="0" w:color="auto"/>
            </w:tcBorders>
            <w:shd w:val="clear" w:color="auto" w:fill="auto"/>
            <w:vAlign w:val="bottom"/>
          </w:tcPr>
          <w:p w:rsidR="00CF4F36" w:rsidRPr="00CF4F36" w:rsidRDefault="00CF4F36" w:rsidP="00CF4F36">
            <w:pPr>
              <w:pStyle w:val="SingleTxt"/>
              <w:spacing w:before="40" w:after="80" w:line="240" w:lineRule="exact"/>
              <w:ind w:left="0" w:right="144"/>
              <w:rPr>
                <w:rFonts w:hint="cs"/>
                <w:sz w:val="16"/>
                <w:szCs w:val="24"/>
                <w:rtl/>
              </w:rPr>
            </w:pPr>
          </w:p>
        </w:tc>
      </w:tr>
      <w:tr w:rsidR="00C35CB1" w:rsidRPr="00CF4F36">
        <w:trPr>
          <w:cantSplit/>
          <w:jc w:val="center"/>
        </w:trPr>
        <w:tc>
          <w:tcPr>
            <w:tcW w:w="4022" w:type="dxa"/>
            <w:shd w:val="clear" w:color="auto" w:fill="auto"/>
            <w:vAlign w:val="bottom"/>
          </w:tcPr>
          <w:p w:rsidR="00C35CB1" w:rsidRPr="00CF4F36" w:rsidRDefault="00C35CB1" w:rsidP="00CF4F36">
            <w:pPr>
              <w:pStyle w:val="SingleTxt"/>
              <w:spacing w:before="40" w:after="80" w:line="240" w:lineRule="exact"/>
              <w:ind w:left="0" w:right="0"/>
              <w:rPr>
                <w:rFonts w:cs="Traditional Arabic" w:hint="cs"/>
                <w:sz w:val="16"/>
                <w:szCs w:val="24"/>
                <w:rtl/>
              </w:rPr>
            </w:pPr>
            <w:r w:rsidRPr="00CF4F36">
              <w:rPr>
                <w:rFonts w:cs="Traditional Arabic" w:hint="cs"/>
                <w:sz w:val="16"/>
                <w:szCs w:val="24"/>
                <w:rtl/>
              </w:rPr>
              <w:t>زراعة</w:t>
            </w:r>
            <w:r w:rsidR="00BB6B48" w:rsidRPr="00CF4F36">
              <w:rPr>
                <w:rFonts w:cs="Traditional Arabic" w:hint="cs"/>
                <w:sz w:val="16"/>
                <w:szCs w:val="24"/>
                <w:rtl/>
              </w:rPr>
              <w:t>/</w:t>
            </w:r>
            <w:r w:rsidRPr="00CF4F36">
              <w:rPr>
                <w:rFonts w:cs="Traditional Arabic" w:hint="cs"/>
                <w:sz w:val="16"/>
                <w:szCs w:val="24"/>
                <w:rtl/>
              </w:rPr>
              <w:t xml:space="preserve">قطاع أولي </w:t>
            </w:r>
          </w:p>
        </w:tc>
        <w:tc>
          <w:tcPr>
            <w:tcW w:w="1133" w:type="dxa"/>
            <w:shd w:val="clear" w:color="auto" w:fill="auto"/>
            <w:vAlign w:val="bottom"/>
          </w:tcPr>
          <w:p w:rsidR="00C35CB1" w:rsidRPr="00CF4F36" w:rsidRDefault="00C35CB1" w:rsidP="00CF4F36">
            <w:pPr>
              <w:pStyle w:val="SingleTxt"/>
              <w:spacing w:before="40" w:after="80" w:line="240" w:lineRule="exact"/>
              <w:ind w:left="0" w:right="144"/>
              <w:rPr>
                <w:rFonts w:cs="Traditional Arabic" w:hint="cs"/>
                <w:sz w:val="16"/>
                <w:szCs w:val="24"/>
                <w:rtl/>
              </w:rPr>
            </w:pPr>
            <w:r w:rsidRPr="00CF4F36">
              <w:rPr>
                <w:rFonts w:cs="Traditional Arabic" w:hint="cs"/>
                <w:sz w:val="16"/>
                <w:szCs w:val="24"/>
                <w:rtl/>
              </w:rPr>
              <w:t>48.4</w:t>
            </w:r>
          </w:p>
        </w:tc>
        <w:tc>
          <w:tcPr>
            <w:tcW w:w="1133" w:type="dxa"/>
            <w:shd w:val="clear" w:color="auto" w:fill="auto"/>
            <w:vAlign w:val="bottom"/>
          </w:tcPr>
          <w:p w:rsidR="00C35CB1" w:rsidRPr="00CF4F36" w:rsidRDefault="00C35CB1" w:rsidP="00CF4F36">
            <w:pPr>
              <w:pStyle w:val="SingleTxt"/>
              <w:spacing w:before="40" w:after="80" w:line="240" w:lineRule="exact"/>
              <w:ind w:left="0" w:right="144"/>
              <w:rPr>
                <w:rFonts w:cs="Traditional Arabic" w:hint="cs"/>
                <w:sz w:val="16"/>
                <w:szCs w:val="24"/>
                <w:rtl/>
              </w:rPr>
            </w:pPr>
            <w:r w:rsidRPr="00CF4F36">
              <w:rPr>
                <w:rFonts w:cs="Traditional Arabic" w:hint="cs"/>
                <w:sz w:val="16"/>
                <w:szCs w:val="24"/>
                <w:rtl/>
              </w:rPr>
              <w:t>89.9</w:t>
            </w:r>
          </w:p>
        </w:tc>
        <w:tc>
          <w:tcPr>
            <w:tcW w:w="970" w:type="dxa"/>
            <w:shd w:val="clear" w:color="auto" w:fill="auto"/>
            <w:vAlign w:val="bottom"/>
          </w:tcPr>
          <w:p w:rsidR="00C35CB1" w:rsidRPr="00CF4F36" w:rsidRDefault="00C35CB1" w:rsidP="00CF4F36">
            <w:pPr>
              <w:pStyle w:val="SingleTxt"/>
              <w:spacing w:before="40" w:after="80" w:line="240" w:lineRule="exact"/>
              <w:ind w:left="0" w:right="144"/>
              <w:rPr>
                <w:rFonts w:cs="Traditional Arabic" w:hint="cs"/>
                <w:sz w:val="16"/>
                <w:szCs w:val="24"/>
                <w:rtl/>
              </w:rPr>
            </w:pPr>
            <w:r w:rsidRPr="00CF4F36">
              <w:rPr>
                <w:rFonts w:cs="Traditional Arabic" w:hint="cs"/>
                <w:sz w:val="16"/>
                <w:szCs w:val="24"/>
                <w:rtl/>
              </w:rPr>
              <w:t>82.0</w:t>
            </w:r>
          </w:p>
        </w:tc>
      </w:tr>
      <w:tr w:rsidR="00C35CB1" w:rsidRPr="00CF4F36">
        <w:trPr>
          <w:cantSplit/>
          <w:jc w:val="center"/>
        </w:trPr>
        <w:tc>
          <w:tcPr>
            <w:tcW w:w="4022" w:type="dxa"/>
            <w:shd w:val="clear" w:color="auto" w:fill="auto"/>
            <w:vAlign w:val="bottom"/>
          </w:tcPr>
          <w:p w:rsidR="00C35CB1" w:rsidRPr="00CF4F36" w:rsidRDefault="00C35CB1" w:rsidP="00CF4F36">
            <w:pPr>
              <w:pStyle w:val="SingleTxt"/>
              <w:spacing w:before="40" w:after="80" w:line="240" w:lineRule="exact"/>
              <w:ind w:left="0" w:right="0"/>
              <w:rPr>
                <w:rFonts w:cs="Traditional Arabic" w:hint="cs"/>
                <w:sz w:val="16"/>
                <w:szCs w:val="24"/>
                <w:rtl/>
              </w:rPr>
            </w:pPr>
            <w:r w:rsidRPr="00CF4F36">
              <w:rPr>
                <w:rFonts w:cs="Traditional Arabic" w:hint="cs"/>
                <w:sz w:val="16"/>
                <w:szCs w:val="24"/>
                <w:rtl/>
              </w:rPr>
              <w:t>صناعة غذائية</w:t>
            </w:r>
          </w:p>
        </w:tc>
        <w:tc>
          <w:tcPr>
            <w:tcW w:w="1133" w:type="dxa"/>
            <w:shd w:val="clear" w:color="auto" w:fill="auto"/>
            <w:vAlign w:val="bottom"/>
          </w:tcPr>
          <w:p w:rsidR="00C35CB1" w:rsidRPr="00CF4F36" w:rsidRDefault="00C35CB1" w:rsidP="00CF4F36">
            <w:pPr>
              <w:pStyle w:val="SingleTxt"/>
              <w:spacing w:before="40" w:after="80" w:line="240" w:lineRule="exact"/>
              <w:ind w:left="0" w:right="144"/>
              <w:rPr>
                <w:rFonts w:cs="Traditional Arabic" w:hint="cs"/>
                <w:sz w:val="16"/>
                <w:szCs w:val="24"/>
                <w:rtl/>
              </w:rPr>
            </w:pPr>
            <w:r w:rsidRPr="00CF4F36">
              <w:rPr>
                <w:rFonts w:cs="Traditional Arabic" w:hint="cs"/>
                <w:sz w:val="16"/>
                <w:szCs w:val="24"/>
                <w:rtl/>
              </w:rPr>
              <w:t>0.8</w:t>
            </w:r>
          </w:p>
        </w:tc>
        <w:tc>
          <w:tcPr>
            <w:tcW w:w="1133" w:type="dxa"/>
            <w:shd w:val="clear" w:color="auto" w:fill="auto"/>
            <w:vAlign w:val="bottom"/>
          </w:tcPr>
          <w:p w:rsidR="00C35CB1" w:rsidRPr="00CF4F36" w:rsidRDefault="00C35CB1" w:rsidP="00CF4F36">
            <w:pPr>
              <w:pStyle w:val="SingleTxt"/>
              <w:spacing w:before="40" w:after="80" w:line="240" w:lineRule="exact"/>
              <w:ind w:left="0" w:right="144"/>
              <w:rPr>
                <w:rFonts w:cs="Traditional Arabic" w:hint="cs"/>
                <w:sz w:val="16"/>
                <w:szCs w:val="24"/>
                <w:rtl/>
              </w:rPr>
            </w:pPr>
            <w:r w:rsidRPr="00CF4F36">
              <w:rPr>
                <w:rFonts w:cs="Traditional Arabic" w:hint="cs"/>
                <w:sz w:val="16"/>
                <w:szCs w:val="24"/>
                <w:rtl/>
              </w:rPr>
              <w:t>0.1</w:t>
            </w:r>
          </w:p>
        </w:tc>
        <w:tc>
          <w:tcPr>
            <w:tcW w:w="970" w:type="dxa"/>
            <w:shd w:val="clear" w:color="auto" w:fill="auto"/>
            <w:vAlign w:val="bottom"/>
          </w:tcPr>
          <w:p w:rsidR="00C35CB1" w:rsidRPr="00CF4F36" w:rsidRDefault="00C35CB1" w:rsidP="00CF4F36">
            <w:pPr>
              <w:pStyle w:val="SingleTxt"/>
              <w:spacing w:before="40" w:after="80" w:line="240" w:lineRule="exact"/>
              <w:ind w:left="0" w:right="144"/>
              <w:rPr>
                <w:rFonts w:cs="Traditional Arabic" w:hint="cs"/>
                <w:sz w:val="16"/>
                <w:szCs w:val="24"/>
                <w:rtl/>
              </w:rPr>
            </w:pPr>
            <w:r w:rsidRPr="00CF4F36">
              <w:rPr>
                <w:rFonts w:cs="Traditional Arabic" w:hint="cs"/>
                <w:sz w:val="16"/>
                <w:szCs w:val="24"/>
                <w:rtl/>
              </w:rPr>
              <w:t>0.2</w:t>
            </w:r>
          </w:p>
        </w:tc>
      </w:tr>
      <w:tr w:rsidR="00C35CB1" w:rsidRPr="00CF4F36">
        <w:trPr>
          <w:cantSplit/>
          <w:jc w:val="center"/>
        </w:trPr>
        <w:tc>
          <w:tcPr>
            <w:tcW w:w="4022" w:type="dxa"/>
            <w:shd w:val="clear" w:color="auto" w:fill="auto"/>
            <w:vAlign w:val="bottom"/>
          </w:tcPr>
          <w:p w:rsidR="00C35CB1" w:rsidRPr="00CF4F36" w:rsidRDefault="00C35CB1" w:rsidP="00CF4F36">
            <w:pPr>
              <w:pStyle w:val="SingleTxt"/>
              <w:spacing w:before="40" w:after="80" w:line="240" w:lineRule="exact"/>
              <w:ind w:left="0" w:right="0"/>
              <w:rPr>
                <w:rFonts w:cs="Traditional Arabic" w:hint="cs"/>
                <w:sz w:val="16"/>
                <w:szCs w:val="24"/>
                <w:rtl/>
              </w:rPr>
            </w:pPr>
            <w:r w:rsidRPr="00CF4F36">
              <w:rPr>
                <w:rFonts w:cs="Traditional Arabic" w:hint="cs"/>
                <w:sz w:val="16"/>
                <w:szCs w:val="24"/>
                <w:rtl/>
              </w:rPr>
              <w:t>نسيج</w:t>
            </w:r>
          </w:p>
        </w:tc>
        <w:tc>
          <w:tcPr>
            <w:tcW w:w="1133" w:type="dxa"/>
            <w:shd w:val="clear" w:color="auto" w:fill="auto"/>
            <w:vAlign w:val="bottom"/>
          </w:tcPr>
          <w:p w:rsidR="00C35CB1" w:rsidRPr="00CF4F36" w:rsidRDefault="00C35CB1" w:rsidP="00CF4F36">
            <w:pPr>
              <w:pStyle w:val="SingleTxt"/>
              <w:spacing w:before="40" w:after="80" w:line="240" w:lineRule="exact"/>
              <w:ind w:left="0" w:right="144"/>
              <w:rPr>
                <w:rFonts w:cs="Traditional Arabic" w:hint="cs"/>
                <w:sz w:val="16"/>
                <w:szCs w:val="24"/>
                <w:rtl/>
              </w:rPr>
            </w:pPr>
            <w:r w:rsidRPr="00CF4F36">
              <w:rPr>
                <w:rFonts w:cs="Traditional Arabic" w:hint="cs"/>
                <w:sz w:val="16"/>
                <w:szCs w:val="24"/>
                <w:rtl/>
              </w:rPr>
              <w:t>2.3</w:t>
            </w:r>
          </w:p>
        </w:tc>
        <w:tc>
          <w:tcPr>
            <w:tcW w:w="1133" w:type="dxa"/>
            <w:shd w:val="clear" w:color="auto" w:fill="auto"/>
            <w:vAlign w:val="bottom"/>
          </w:tcPr>
          <w:p w:rsidR="00C35CB1" w:rsidRPr="00CF4F36" w:rsidRDefault="00C35CB1" w:rsidP="00CF4F36">
            <w:pPr>
              <w:pStyle w:val="SingleTxt"/>
              <w:spacing w:before="40" w:after="80" w:line="240" w:lineRule="exact"/>
              <w:ind w:left="0" w:right="144"/>
              <w:rPr>
                <w:rFonts w:cs="Traditional Arabic" w:hint="cs"/>
                <w:sz w:val="16"/>
                <w:szCs w:val="24"/>
                <w:rtl/>
              </w:rPr>
            </w:pPr>
            <w:r w:rsidRPr="00CF4F36">
              <w:rPr>
                <w:rFonts w:cs="Traditional Arabic" w:hint="cs"/>
                <w:sz w:val="16"/>
                <w:szCs w:val="24"/>
                <w:rtl/>
              </w:rPr>
              <w:t>0.4</w:t>
            </w:r>
          </w:p>
        </w:tc>
        <w:tc>
          <w:tcPr>
            <w:tcW w:w="970" w:type="dxa"/>
            <w:shd w:val="clear" w:color="auto" w:fill="auto"/>
            <w:vAlign w:val="bottom"/>
          </w:tcPr>
          <w:p w:rsidR="00C35CB1" w:rsidRPr="00CF4F36" w:rsidRDefault="00C35CB1" w:rsidP="00CF4F36">
            <w:pPr>
              <w:pStyle w:val="SingleTxt"/>
              <w:spacing w:before="40" w:after="80" w:line="240" w:lineRule="exact"/>
              <w:ind w:left="0" w:right="144"/>
              <w:rPr>
                <w:rFonts w:cs="Traditional Arabic" w:hint="cs"/>
                <w:sz w:val="16"/>
                <w:szCs w:val="24"/>
                <w:rtl/>
              </w:rPr>
            </w:pPr>
            <w:r w:rsidRPr="00CF4F36">
              <w:rPr>
                <w:rFonts w:cs="Traditional Arabic" w:hint="cs"/>
                <w:sz w:val="16"/>
                <w:szCs w:val="24"/>
                <w:rtl/>
              </w:rPr>
              <w:t>0.8</w:t>
            </w:r>
          </w:p>
        </w:tc>
      </w:tr>
      <w:tr w:rsidR="00C35CB1" w:rsidRPr="00CF4F36">
        <w:trPr>
          <w:cantSplit/>
          <w:jc w:val="center"/>
        </w:trPr>
        <w:tc>
          <w:tcPr>
            <w:tcW w:w="4022" w:type="dxa"/>
            <w:shd w:val="clear" w:color="auto" w:fill="auto"/>
            <w:vAlign w:val="bottom"/>
          </w:tcPr>
          <w:p w:rsidR="00C35CB1" w:rsidRPr="00CF4F36" w:rsidRDefault="00C35CB1" w:rsidP="00CF4F36">
            <w:pPr>
              <w:pStyle w:val="SingleTxt"/>
              <w:spacing w:before="40" w:after="80" w:line="240" w:lineRule="exact"/>
              <w:ind w:left="0" w:right="0"/>
              <w:rPr>
                <w:rFonts w:cs="Traditional Arabic" w:hint="cs"/>
                <w:sz w:val="16"/>
                <w:szCs w:val="24"/>
                <w:rtl/>
              </w:rPr>
            </w:pPr>
            <w:r w:rsidRPr="00CF4F36">
              <w:rPr>
                <w:rFonts w:cs="Traditional Arabic" w:hint="cs"/>
                <w:sz w:val="16"/>
                <w:szCs w:val="24"/>
                <w:rtl/>
              </w:rPr>
              <w:t>بناء وأشغال عامة</w:t>
            </w:r>
            <w:r w:rsidR="00BB6B48" w:rsidRPr="00CF4F36">
              <w:rPr>
                <w:rFonts w:cs="Traditional Arabic" w:hint="cs"/>
                <w:sz w:val="16"/>
                <w:szCs w:val="24"/>
                <w:rtl/>
              </w:rPr>
              <w:t>/</w:t>
            </w:r>
            <w:r w:rsidRPr="00CF4F36">
              <w:rPr>
                <w:rFonts w:cs="Traditional Arabic" w:hint="cs"/>
                <w:sz w:val="16"/>
                <w:szCs w:val="24"/>
                <w:rtl/>
              </w:rPr>
              <w:t>استخدام كثيف للقوى العاملة</w:t>
            </w:r>
          </w:p>
        </w:tc>
        <w:tc>
          <w:tcPr>
            <w:tcW w:w="1133" w:type="dxa"/>
            <w:shd w:val="clear" w:color="auto" w:fill="auto"/>
            <w:vAlign w:val="bottom"/>
          </w:tcPr>
          <w:p w:rsidR="00C35CB1" w:rsidRPr="00CF4F36" w:rsidRDefault="00C35CB1" w:rsidP="00CF4F36">
            <w:pPr>
              <w:pStyle w:val="SingleTxt"/>
              <w:spacing w:before="40" w:after="80" w:line="240" w:lineRule="exact"/>
              <w:ind w:left="0" w:right="144"/>
              <w:rPr>
                <w:rFonts w:cs="Traditional Arabic" w:hint="cs"/>
                <w:sz w:val="16"/>
                <w:szCs w:val="24"/>
                <w:rtl/>
              </w:rPr>
            </w:pPr>
            <w:r w:rsidRPr="00CF4F36">
              <w:rPr>
                <w:rFonts w:cs="Traditional Arabic" w:hint="cs"/>
                <w:sz w:val="16"/>
                <w:szCs w:val="24"/>
                <w:rtl/>
              </w:rPr>
              <w:t>3.9</w:t>
            </w:r>
          </w:p>
        </w:tc>
        <w:tc>
          <w:tcPr>
            <w:tcW w:w="1133" w:type="dxa"/>
            <w:shd w:val="clear" w:color="auto" w:fill="auto"/>
            <w:vAlign w:val="bottom"/>
          </w:tcPr>
          <w:p w:rsidR="00C35CB1" w:rsidRPr="00CF4F36" w:rsidRDefault="00C35CB1" w:rsidP="00CF4F36">
            <w:pPr>
              <w:pStyle w:val="SingleTxt"/>
              <w:spacing w:before="40" w:after="80" w:line="240" w:lineRule="exact"/>
              <w:ind w:left="0" w:right="144"/>
              <w:rPr>
                <w:rFonts w:cs="Traditional Arabic" w:hint="cs"/>
                <w:sz w:val="16"/>
                <w:szCs w:val="24"/>
                <w:rtl/>
              </w:rPr>
            </w:pPr>
            <w:r w:rsidRPr="00CF4F36">
              <w:rPr>
                <w:rFonts w:cs="Traditional Arabic" w:hint="cs"/>
                <w:sz w:val="16"/>
                <w:szCs w:val="24"/>
                <w:rtl/>
              </w:rPr>
              <w:t>0.6</w:t>
            </w:r>
          </w:p>
        </w:tc>
        <w:tc>
          <w:tcPr>
            <w:tcW w:w="970" w:type="dxa"/>
            <w:shd w:val="clear" w:color="auto" w:fill="auto"/>
            <w:vAlign w:val="bottom"/>
          </w:tcPr>
          <w:p w:rsidR="00C35CB1" w:rsidRPr="00CF4F36" w:rsidRDefault="00C35CB1" w:rsidP="00CF4F36">
            <w:pPr>
              <w:pStyle w:val="SingleTxt"/>
              <w:spacing w:before="40" w:after="80" w:line="240" w:lineRule="exact"/>
              <w:ind w:left="0" w:right="144"/>
              <w:rPr>
                <w:rFonts w:cs="Traditional Arabic" w:hint="cs"/>
                <w:sz w:val="16"/>
                <w:szCs w:val="24"/>
                <w:rtl/>
              </w:rPr>
            </w:pPr>
            <w:r w:rsidRPr="00CF4F36">
              <w:rPr>
                <w:rFonts w:cs="Traditional Arabic" w:hint="cs"/>
                <w:sz w:val="16"/>
                <w:szCs w:val="24"/>
                <w:rtl/>
              </w:rPr>
              <w:t>1.2</w:t>
            </w:r>
          </w:p>
        </w:tc>
      </w:tr>
      <w:tr w:rsidR="00C35CB1" w:rsidRPr="00CF4F36">
        <w:trPr>
          <w:cantSplit/>
          <w:jc w:val="center"/>
        </w:trPr>
        <w:tc>
          <w:tcPr>
            <w:tcW w:w="4022" w:type="dxa"/>
            <w:shd w:val="clear" w:color="auto" w:fill="auto"/>
            <w:vAlign w:val="bottom"/>
          </w:tcPr>
          <w:p w:rsidR="00C35CB1" w:rsidRPr="00CF4F36" w:rsidRDefault="00C35CB1" w:rsidP="00CF4F36">
            <w:pPr>
              <w:pStyle w:val="SingleTxt"/>
              <w:spacing w:before="40" w:after="80" w:line="240" w:lineRule="exact"/>
              <w:ind w:left="0" w:right="0"/>
              <w:rPr>
                <w:rFonts w:cs="Traditional Arabic" w:hint="cs"/>
                <w:sz w:val="16"/>
                <w:szCs w:val="24"/>
                <w:rtl/>
              </w:rPr>
            </w:pPr>
            <w:r w:rsidRPr="00CF4F36">
              <w:rPr>
                <w:rFonts w:cs="Traditional Arabic" w:hint="cs"/>
                <w:sz w:val="16"/>
                <w:szCs w:val="24"/>
                <w:rtl/>
              </w:rPr>
              <w:t>صناعات أخرى</w:t>
            </w:r>
          </w:p>
        </w:tc>
        <w:tc>
          <w:tcPr>
            <w:tcW w:w="1133" w:type="dxa"/>
            <w:shd w:val="clear" w:color="auto" w:fill="auto"/>
            <w:vAlign w:val="bottom"/>
          </w:tcPr>
          <w:p w:rsidR="00C35CB1" w:rsidRPr="00CF4F36" w:rsidRDefault="00C35CB1" w:rsidP="00CF4F36">
            <w:pPr>
              <w:pStyle w:val="SingleTxt"/>
              <w:spacing w:before="40" w:after="80" w:line="240" w:lineRule="exact"/>
              <w:ind w:left="0" w:right="144"/>
              <w:rPr>
                <w:rFonts w:cs="Traditional Arabic" w:hint="cs"/>
                <w:sz w:val="16"/>
                <w:szCs w:val="24"/>
                <w:rtl/>
              </w:rPr>
            </w:pPr>
            <w:r w:rsidRPr="00CF4F36">
              <w:rPr>
                <w:rFonts w:cs="Traditional Arabic" w:hint="cs"/>
                <w:sz w:val="16"/>
                <w:szCs w:val="24"/>
                <w:rtl/>
              </w:rPr>
              <w:t>4.1</w:t>
            </w:r>
          </w:p>
        </w:tc>
        <w:tc>
          <w:tcPr>
            <w:tcW w:w="1133" w:type="dxa"/>
            <w:shd w:val="clear" w:color="auto" w:fill="auto"/>
            <w:vAlign w:val="bottom"/>
          </w:tcPr>
          <w:p w:rsidR="00C35CB1" w:rsidRPr="00CF4F36" w:rsidRDefault="00C35CB1" w:rsidP="00CF4F36">
            <w:pPr>
              <w:pStyle w:val="SingleTxt"/>
              <w:spacing w:before="40" w:after="80" w:line="240" w:lineRule="exact"/>
              <w:ind w:left="0" w:right="144"/>
              <w:rPr>
                <w:rFonts w:cs="Traditional Arabic" w:hint="cs"/>
                <w:sz w:val="16"/>
                <w:szCs w:val="24"/>
                <w:rtl/>
              </w:rPr>
            </w:pPr>
            <w:r w:rsidRPr="00CF4F36">
              <w:rPr>
                <w:rFonts w:cs="Traditional Arabic" w:hint="cs"/>
                <w:sz w:val="16"/>
                <w:szCs w:val="24"/>
                <w:rtl/>
              </w:rPr>
              <w:t>0.6</w:t>
            </w:r>
          </w:p>
        </w:tc>
        <w:tc>
          <w:tcPr>
            <w:tcW w:w="970" w:type="dxa"/>
            <w:shd w:val="clear" w:color="auto" w:fill="auto"/>
            <w:vAlign w:val="bottom"/>
          </w:tcPr>
          <w:p w:rsidR="00C35CB1" w:rsidRPr="00CF4F36" w:rsidRDefault="00C35CB1" w:rsidP="00CF4F36">
            <w:pPr>
              <w:pStyle w:val="SingleTxt"/>
              <w:spacing w:before="40" w:after="80" w:line="240" w:lineRule="exact"/>
              <w:ind w:left="0" w:right="144"/>
              <w:rPr>
                <w:rFonts w:cs="Traditional Arabic" w:hint="cs"/>
                <w:sz w:val="16"/>
                <w:szCs w:val="24"/>
                <w:rtl/>
              </w:rPr>
            </w:pPr>
            <w:r w:rsidRPr="00CF4F36">
              <w:rPr>
                <w:rFonts w:cs="Traditional Arabic" w:hint="cs"/>
                <w:sz w:val="16"/>
                <w:szCs w:val="24"/>
                <w:rtl/>
              </w:rPr>
              <w:t>1.3</w:t>
            </w:r>
          </w:p>
        </w:tc>
      </w:tr>
      <w:tr w:rsidR="00C35CB1" w:rsidRPr="00CF4F36">
        <w:trPr>
          <w:cantSplit/>
          <w:jc w:val="center"/>
        </w:trPr>
        <w:tc>
          <w:tcPr>
            <w:tcW w:w="4022" w:type="dxa"/>
            <w:shd w:val="clear" w:color="auto" w:fill="auto"/>
            <w:vAlign w:val="bottom"/>
          </w:tcPr>
          <w:p w:rsidR="00C35CB1" w:rsidRPr="00CF4F36" w:rsidRDefault="00C35CB1" w:rsidP="00CF4F36">
            <w:pPr>
              <w:pStyle w:val="SingleTxt"/>
              <w:spacing w:before="40" w:after="80" w:line="240" w:lineRule="exact"/>
              <w:ind w:left="0" w:right="0"/>
              <w:rPr>
                <w:rFonts w:cs="Traditional Arabic" w:hint="cs"/>
                <w:sz w:val="16"/>
                <w:szCs w:val="24"/>
                <w:rtl/>
              </w:rPr>
            </w:pPr>
            <w:r w:rsidRPr="00CF4F36">
              <w:rPr>
                <w:rFonts w:cs="Traditional Arabic" w:hint="cs"/>
                <w:sz w:val="16"/>
                <w:szCs w:val="24"/>
                <w:rtl/>
              </w:rPr>
              <w:t>تجارة</w:t>
            </w:r>
          </w:p>
        </w:tc>
        <w:tc>
          <w:tcPr>
            <w:tcW w:w="1133" w:type="dxa"/>
            <w:shd w:val="clear" w:color="auto" w:fill="auto"/>
            <w:vAlign w:val="bottom"/>
          </w:tcPr>
          <w:p w:rsidR="00C35CB1" w:rsidRPr="00CF4F36" w:rsidRDefault="00C35CB1" w:rsidP="00CF4F36">
            <w:pPr>
              <w:pStyle w:val="SingleTxt"/>
              <w:spacing w:before="40" w:after="80" w:line="240" w:lineRule="exact"/>
              <w:ind w:left="0" w:right="144"/>
              <w:rPr>
                <w:rFonts w:cs="Traditional Arabic" w:hint="cs"/>
                <w:sz w:val="16"/>
                <w:szCs w:val="24"/>
                <w:rtl/>
              </w:rPr>
            </w:pPr>
            <w:r w:rsidRPr="00CF4F36">
              <w:rPr>
                <w:rFonts w:cs="Traditional Arabic" w:hint="cs"/>
                <w:sz w:val="16"/>
                <w:szCs w:val="24"/>
                <w:rtl/>
              </w:rPr>
              <w:t>13.7</w:t>
            </w:r>
          </w:p>
        </w:tc>
        <w:tc>
          <w:tcPr>
            <w:tcW w:w="1133" w:type="dxa"/>
            <w:shd w:val="clear" w:color="auto" w:fill="auto"/>
            <w:vAlign w:val="bottom"/>
          </w:tcPr>
          <w:p w:rsidR="00C35CB1" w:rsidRPr="00CF4F36" w:rsidRDefault="00C35CB1" w:rsidP="00CF4F36">
            <w:pPr>
              <w:pStyle w:val="SingleTxt"/>
              <w:spacing w:before="40" w:after="80" w:line="240" w:lineRule="exact"/>
              <w:ind w:left="0" w:right="144"/>
              <w:rPr>
                <w:rFonts w:cs="Traditional Arabic" w:hint="cs"/>
                <w:sz w:val="16"/>
                <w:szCs w:val="24"/>
                <w:rtl/>
              </w:rPr>
            </w:pPr>
            <w:r w:rsidRPr="00CF4F36">
              <w:rPr>
                <w:rFonts w:cs="Traditional Arabic" w:hint="cs"/>
                <w:sz w:val="16"/>
                <w:szCs w:val="24"/>
                <w:rtl/>
              </w:rPr>
              <w:t>2.8</w:t>
            </w:r>
          </w:p>
        </w:tc>
        <w:tc>
          <w:tcPr>
            <w:tcW w:w="970" w:type="dxa"/>
            <w:shd w:val="clear" w:color="auto" w:fill="auto"/>
            <w:vAlign w:val="bottom"/>
          </w:tcPr>
          <w:p w:rsidR="00C35CB1" w:rsidRPr="00CF4F36" w:rsidRDefault="00C35CB1" w:rsidP="00CF4F36">
            <w:pPr>
              <w:pStyle w:val="SingleTxt"/>
              <w:spacing w:before="40" w:after="80" w:line="240" w:lineRule="exact"/>
              <w:ind w:left="0" w:right="144"/>
              <w:rPr>
                <w:rFonts w:cs="Traditional Arabic" w:hint="cs"/>
                <w:sz w:val="16"/>
                <w:szCs w:val="24"/>
                <w:rtl/>
              </w:rPr>
            </w:pPr>
            <w:r w:rsidRPr="00CF4F36">
              <w:rPr>
                <w:rFonts w:cs="Traditional Arabic" w:hint="cs"/>
                <w:sz w:val="16"/>
                <w:szCs w:val="24"/>
                <w:rtl/>
              </w:rPr>
              <w:t>4.9</w:t>
            </w:r>
          </w:p>
        </w:tc>
      </w:tr>
      <w:tr w:rsidR="00C35CB1" w:rsidRPr="00CF4F36">
        <w:trPr>
          <w:cantSplit/>
          <w:jc w:val="center"/>
        </w:trPr>
        <w:tc>
          <w:tcPr>
            <w:tcW w:w="4022" w:type="dxa"/>
            <w:shd w:val="clear" w:color="auto" w:fill="auto"/>
            <w:vAlign w:val="bottom"/>
          </w:tcPr>
          <w:p w:rsidR="00C35CB1" w:rsidRPr="00CF4F36" w:rsidRDefault="00C35CB1" w:rsidP="00CF4F36">
            <w:pPr>
              <w:pStyle w:val="SingleTxt"/>
              <w:spacing w:before="40" w:after="80" w:line="240" w:lineRule="exact"/>
              <w:ind w:left="0" w:right="0"/>
              <w:rPr>
                <w:rFonts w:cs="Traditional Arabic" w:hint="cs"/>
                <w:sz w:val="16"/>
                <w:szCs w:val="24"/>
                <w:rtl/>
              </w:rPr>
            </w:pPr>
            <w:r w:rsidRPr="00CF4F36">
              <w:rPr>
                <w:rFonts w:cs="Traditional Arabic" w:hint="cs"/>
                <w:sz w:val="16"/>
                <w:szCs w:val="24"/>
                <w:rtl/>
              </w:rPr>
              <w:t>نقل</w:t>
            </w:r>
          </w:p>
        </w:tc>
        <w:tc>
          <w:tcPr>
            <w:tcW w:w="1133" w:type="dxa"/>
            <w:shd w:val="clear" w:color="auto" w:fill="auto"/>
            <w:vAlign w:val="bottom"/>
          </w:tcPr>
          <w:p w:rsidR="00C35CB1" w:rsidRPr="00CF4F36" w:rsidRDefault="00C35CB1" w:rsidP="00CF4F36">
            <w:pPr>
              <w:pStyle w:val="SingleTxt"/>
              <w:spacing w:before="40" w:after="80" w:line="240" w:lineRule="exact"/>
              <w:ind w:left="0" w:right="144"/>
              <w:rPr>
                <w:rFonts w:cs="Traditional Arabic" w:hint="cs"/>
                <w:sz w:val="16"/>
                <w:szCs w:val="24"/>
                <w:rtl/>
              </w:rPr>
            </w:pPr>
            <w:r w:rsidRPr="00CF4F36">
              <w:rPr>
                <w:rFonts w:cs="Traditional Arabic" w:hint="cs"/>
                <w:sz w:val="16"/>
                <w:szCs w:val="24"/>
                <w:rtl/>
              </w:rPr>
              <w:t>2.8</w:t>
            </w:r>
          </w:p>
        </w:tc>
        <w:tc>
          <w:tcPr>
            <w:tcW w:w="1133" w:type="dxa"/>
            <w:shd w:val="clear" w:color="auto" w:fill="auto"/>
            <w:vAlign w:val="bottom"/>
          </w:tcPr>
          <w:p w:rsidR="00C35CB1" w:rsidRPr="00CF4F36" w:rsidRDefault="00C35CB1" w:rsidP="00CF4F36">
            <w:pPr>
              <w:pStyle w:val="SingleTxt"/>
              <w:spacing w:before="40" w:after="80" w:line="240" w:lineRule="exact"/>
              <w:ind w:left="0" w:right="144"/>
              <w:rPr>
                <w:rFonts w:cs="Traditional Arabic" w:hint="cs"/>
                <w:sz w:val="16"/>
                <w:szCs w:val="24"/>
                <w:rtl/>
              </w:rPr>
            </w:pPr>
            <w:r w:rsidRPr="00CF4F36">
              <w:rPr>
                <w:rFonts w:cs="Traditional Arabic" w:hint="cs"/>
                <w:sz w:val="16"/>
                <w:szCs w:val="24"/>
                <w:rtl/>
              </w:rPr>
              <w:t>0.3</w:t>
            </w:r>
          </w:p>
        </w:tc>
        <w:tc>
          <w:tcPr>
            <w:tcW w:w="970" w:type="dxa"/>
            <w:shd w:val="clear" w:color="auto" w:fill="auto"/>
            <w:vAlign w:val="bottom"/>
          </w:tcPr>
          <w:p w:rsidR="00C35CB1" w:rsidRPr="00CF4F36" w:rsidRDefault="00C35CB1" w:rsidP="00CF4F36">
            <w:pPr>
              <w:pStyle w:val="SingleTxt"/>
              <w:spacing w:before="40" w:after="80" w:line="240" w:lineRule="exact"/>
              <w:ind w:left="0" w:right="144"/>
              <w:rPr>
                <w:rFonts w:cs="Traditional Arabic" w:hint="cs"/>
                <w:sz w:val="16"/>
                <w:szCs w:val="24"/>
                <w:rtl/>
              </w:rPr>
            </w:pPr>
            <w:r w:rsidRPr="00CF4F36">
              <w:rPr>
                <w:rFonts w:cs="Traditional Arabic" w:hint="cs"/>
                <w:sz w:val="16"/>
                <w:szCs w:val="24"/>
                <w:rtl/>
              </w:rPr>
              <w:t>0.8</w:t>
            </w:r>
          </w:p>
        </w:tc>
      </w:tr>
      <w:tr w:rsidR="00C35CB1" w:rsidRPr="00CF4F36">
        <w:trPr>
          <w:cantSplit/>
          <w:jc w:val="center"/>
        </w:trPr>
        <w:tc>
          <w:tcPr>
            <w:tcW w:w="4022" w:type="dxa"/>
            <w:shd w:val="clear" w:color="auto" w:fill="auto"/>
            <w:vAlign w:val="bottom"/>
          </w:tcPr>
          <w:p w:rsidR="00C35CB1" w:rsidRPr="00CF4F36" w:rsidRDefault="00C35CB1" w:rsidP="00CF4F36">
            <w:pPr>
              <w:pStyle w:val="SingleTxt"/>
              <w:spacing w:before="40" w:after="80" w:line="240" w:lineRule="exact"/>
              <w:ind w:left="0" w:right="0"/>
              <w:rPr>
                <w:rFonts w:cs="Traditional Arabic" w:hint="cs"/>
                <w:sz w:val="16"/>
                <w:szCs w:val="24"/>
                <w:rtl/>
              </w:rPr>
            </w:pPr>
            <w:r w:rsidRPr="00CF4F36">
              <w:rPr>
                <w:rFonts w:cs="Traditional Arabic" w:hint="cs"/>
                <w:sz w:val="16"/>
                <w:szCs w:val="24"/>
                <w:rtl/>
              </w:rPr>
              <w:t>قطاع صحي خاص</w:t>
            </w:r>
          </w:p>
        </w:tc>
        <w:tc>
          <w:tcPr>
            <w:tcW w:w="1133" w:type="dxa"/>
            <w:shd w:val="clear" w:color="auto" w:fill="auto"/>
            <w:vAlign w:val="bottom"/>
          </w:tcPr>
          <w:p w:rsidR="00C35CB1" w:rsidRPr="00CF4F36" w:rsidRDefault="00C35CB1" w:rsidP="00CF4F36">
            <w:pPr>
              <w:pStyle w:val="SingleTxt"/>
              <w:spacing w:before="40" w:after="80" w:line="240" w:lineRule="exact"/>
              <w:ind w:left="0" w:right="144"/>
              <w:rPr>
                <w:rFonts w:cs="Traditional Arabic" w:hint="cs"/>
                <w:sz w:val="16"/>
                <w:szCs w:val="24"/>
                <w:rtl/>
              </w:rPr>
            </w:pPr>
            <w:r w:rsidRPr="00CF4F36">
              <w:rPr>
                <w:rFonts w:cs="Traditional Arabic" w:hint="cs"/>
                <w:sz w:val="16"/>
                <w:szCs w:val="24"/>
                <w:rtl/>
              </w:rPr>
              <w:t>0.3</w:t>
            </w:r>
          </w:p>
        </w:tc>
        <w:tc>
          <w:tcPr>
            <w:tcW w:w="1133" w:type="dxa"/>
            <w:shd w:val="clear" w:color="auto" w:fill="auto"/>
            <w:vAlign w:val="bottom"/>
          </w:tcPr>
          <w:p w:rsidR="00C35CB1" w:rsidRPr="00CF4F36" w:rsidRDefault="00C35CB1" w:rsidP="00CF4F36">
            <w:pPr>
              <w:pStyle w:val="SingleTxt"/>
              <w:spacing w:before="40" w:after="80" w:line="240" w:lineRule="exact"/>
              <w:ind w:left="0" w:right="144"/>
              <w:rPr>
                <w:rFonts w:cs="Traditional Arabic" w:hint="cs"/>
                <w:sz w:val="16"/>
                <w:szCs w:val="24"/>
                <w:rtl/>
              </w:rPr>
            </w:pPr>
            <w:r w:rsidRPr="00CF4F36">
              <w:rPr>
                <w:rFonts w:cs="Traditional Arabic" w:hint="cs"/>
                <w:sz w:val="16"/>
                <w:szCs w:val="24"/>
                <w:rtl/>
              </w:rPr>
              <w:t>0.1</w:t>
            </w:r>
          </w:p>
        </w:tc>
        <w:tc>
          <w:tcPr>
            <w:tcW w:w="970" w:type="dxa"/>
            <w:shd w:val="clear" w:color="auto" w:fill="auto"/>
            <w:vAlign w:val="bottom"/>
          </w:tcPr>
          <w:p w:rsidR="00C35CB1" w:rsidRPr="00CF4F36" w:rsidRDefault="00C35CB1" w:rsidP="00CF4F36">
            <w:pPr>
              <w:pStyle w:val="SingleTxt"/>
              <w:spacing w:before="40" w:after="80" w:line="240" w:lineRule="exact"/>
              <w:ind w:left="0" w:right="144"/>
              <w:rPr>
                <w:rFonts w:cs="Traditional Arabic" w:hint="cs"/>
                <w:sz w:val="16"/>
                <w:szCs w:val="24"/>
                <w:rtl/>
              </w:rPr>
            </w:pPr>
            <w:r w:rsidRPr="00CF4F36">
              <w:rPr>
                <w:rFonts w:cs="Traditional Arabic" w:hint="cs"/>
                <w:sz w:val="16"/>
                <w:szCs w:val="24"/>
                <w:rtl/>
              </w:rPr>
              <w:t>0.1</w:t>
            </w:r>
          </w:p>
        </w:tc>
      </w:tr>
      <w:tr w:rsidR="00C35CB1" w:rsidRPr="00CF4F36">
        <w:trPr>
          <w:cantSplit/>
          <w:jc w:val="center"/>
        </w:trPr>
        <w:tc>
          <w:tcPr>
            <w:tcW w:w="4022" w:type="dxa"/>
            <w:shd w:val="clear" w:color="auto" w:fill="auto"/>
            <w:vAlign w:val="bottom"/>
          </w:tcPr>
          <w:p w:rsidR="00C35CB1" w:rsidRPr="00CF4F36" w:rsidRDefault="00C35CB1" w:rsidP="00CF4F36">
            <w:pPr>
              <w:pStyle w:val="SingleTxt"/>
              <w:spacing w:before="40" w:after="80" w:line="240" w:lineRule="exact"/>
              <w:ind w:left="0" w:right="0"/>
              <w:rPr>
                <w:rFonts w:cs="Traditional Arabic" w:hint="cs"/>
                <w:sz w:val="16"/>
                <w:szCs w:val="24"/>
                <w:rtl/>
              </w:rPr>
            </w:pPr>
            <w:r w:rsidRPr="00CF4F36">
              <w:rPr>
                <w:rFonts w:cs="Traditional Arabic" w:hint="cs"/>
                <w:sz w:val="16"/>
                <w:szCs w:val="24"/>
                <w:rtl/>
              </w:rPr>
              <w:t>تعليم خاص</w:t>
            </w:r>
          </w:p>
        </w:tc>
        <w:tc>
          <w:tcPr>
            <w:tcW w:w="1133" w:type="dxa"/>
            <w:shd w:val="clear" w:color="auto" w:fill="auto"/>
            <w:vAlign w:val="bottom"/>
          </w:tcPr>
          <w:p w:rsidR="00C35CB1" w:rsidRPr="00CF4F36" w:rsidRDefault="00C35CB1" w:rsidP="00CF4F36">
            <w:pPr>
              <w:pStyle w:val="SingleTxt"/>
              <w:spacing w:before="40" w:after="80" w:line="240" w:lineRule="exact"/>
              <w:ind w:left="0" w:right="144"/>
              <w:rPr>
                <w:rFonts w:cs="Traditional Arabic" w:hint="cs"/>
                <w:sz w:val="16"/>
                <w:szCs w:val="24"/>
                <w:rtl/>
              </w:rPr>
            </w:pPr>
            <w:r w:rsidRPr="00CF4F36">
              <w:rPr>
                <w:rFonts w:cs="Traditional Arabic" w:hint="cs"/>
                <w:sz w:val="16"/>
                <w:szCs w:val="24"/>
                <w:rtl/>
              </w:rPr>
              <w:t>1.1</w:t>
            </w:r>
          </w:p>
        </w:tc>
        <w:tc>
          <w:tcPr>
            <w:tcW w:w="1133" w:type="dxa"/>
            <w:shd w:val="clear" w:color="auto" w:fill="auto"/>
            <w:vAlign w:val="bottom"/>
          </w:tcPr>
          <w:p w:rsidR="00C35CB1" w:rsidRPr="00CF4F36" w:rsidRDefault="00C35CB1" w:rsidP="00CF4F36">
            <w:pPr>
              <w:pStyle w:val="SingleTxt"/>
              <w:spacing w:before="40" w:after="80" w:line="240" w:lineRule="exact"/>
              <w:ind w:left="0" w:right="144"/>
              <w:rPr>
                <w:rFonts w:cs="Traditional Arabic" w:hint="cs"/>
                <w:sz w:val="16"/>
                <w:szCs w:val="24"/>
                <w:rtl/>
              </w:rPr>
            </w:pPr>
            <w:r w:rsidRPr="00CF4F36">
              <w:rPr>
                <w:rFonts w:cs="Traditional Arabic" w:hint="cs"/>
                <w:sz w:val="16"/>
                <w:szCs w:val="24"/>
                <w:rtl/>
              </w:rPr>
              <w:t>0.3</w:t>
            </w:r>
          </w:p>
        </w:tc>
        <w:tc>
          <w:tcPr>
            <w:tcW w:w="970" w:type="dxa"/>
            <w:shd w:val="clear" w:color="auto" w:fill="auto"/>
            <w:vAlign w:val="bottom"/>
          </w:tcPr>
          <w:p w:rsidR="00C35CB1" w:rsidRPr="00CF4F36" w:rsidRDefault="00C35CB1" w:rsidP="00CF4F36">
            <w:pPr>
              <w:pStyle w:val="SingleTxt"/>
              <w:spacing w:before="40" w:after="80" w:line="240" w:lineRule="exact"/>
              <w:ind w:left="0" w:right="144"/>
              <w:rPr>
                <w:rFonts w:cs="Traditional Arabic" w:hint="cs"/>
                <w:sz w:val="16"/>
                <w:szCs w:val="24"/>
                <w:rtl/>
              </w:rPr>
            </w:pPr>
            <w:r w:rsidRPr="00CF4F36">
              <w:rPr>
                <w:rFonts w:cs="Traditional Arabic" w:hint="cs"/>
                <w:sz w:val="16"/>
                <w:szCs w:val="24"/>
                <w:rtl/>
              </w:rPr>
              <w:t>0.5</w:t>
            </w:r>
          </w:p>
        </w:tc>
      </w:tr>
      <w:tr w:rsidR="00C35CB1" w:rsidRPr="00CF4F36">
        <w:trPr>
          <w:cantSplit/>
          <w:jc w:val="center"/>
        </w:trPr>
        <w:tc>
          <w:tcPr>
            <w:tcW w:w="4022" w:type="dxa"/>
            <w:shd w:val="clear" w:color="auto" w:fill="auto"/>
            <w:vAlign w:val="bottom"/>
          </w:tcPr>
          <w:p w:rsidR="00C35CB1" w:rsidRPr="00CF4F36" w:rsidRDefault="00C35CB1" w:rsidP="00CF4F36">
            <w:pPr>
              <w:pStyle w:val="SingleTxt"/>
              <w:spacing w:before="40" w:after="80" w:line="240" w:lineRule="exact"/>
              <w:ind w:left="0" w:right="0"/>
              <w:rPr>
                <w:rFonts w:cs="Traditional Arabic" w:hint="cs"/>
                <w:sz w:val="16"/>
                <w:szCs w:val="24"/>
                <w:rtl/>
              </w:rPr>
            </w:pPr>
            <w:r w:rsidRPr="00CF4F36">
              <w:rPr>
                <w:rFonts w:cs="Traditional Arabic" w:hint="cs"/>
                <w:sz w:val="16"/>
                <w:szCs w:val="24"/>
                <w:rtl/>
              </w:rPr>
              <w:t>إدارات عامة</w:t>
            </w:r>
          </w:p>
        </w:tc>
        <w:tc>
          <w:tcPr>
            <w:tcW w:w="1133" w:type="dxa"/>
            <w:shd w:val="clear" w:color="auto" w:fill="auto"/>
            <w:vAlign w:val="bottom"/>
          </w:tcPr>
          <w:p w:rsidR="00C35CB1" w:rsidRPr="00CF4F36" w:rsidRDefault="00C35CB1" w:rsidP="00CF4F36">
            <w:pPr>
              <w:pStyle w:val="SingleTxt"/>
              <w:spacing w:before="40" w:after="80" w:line="240" w:lineRule="exact"/>
              <w:ind w:left="0" w:right="144"/>
              <w:rPr>
                <w:rFonts w:cs="Traditional Arabic" w:hint="cs"/>
                <w:sz w:val="16"/>
                <w:szCs w:val="24"/>
                <w:rtl/>
              </w:rPr>
            </w:pPr>
            <w:r w:rsidRPr="00CF4F36">
              <w:rPr>
                <w:rFonts w:cs="Traditional Arabic" w:hint="cs"/>
                <w:sz w:val="16"/>
                <w:szCs w:val="24"/>
                <w:rtl/>
              </w:rPr>
              <w:t>5.8</w:t>
            </w:r>
          </w:p>
        </w:tc>
        <w:tc>
          <w:tcPr>
            <w:tcW w:w="1133" w:type="dxa"/>
            <w:shd w:val="clear" w:color="auto" w:fill="auto"/>
            <w:vAlign w:val="bottom"/>
          </w:tcPr>
          <w:p w:rsidR="00C35CB1" w:rsidRPr="00CF4F36" w:rsidRDefault="00C35CB1" w:rsidP="00CF4F36">
            <w:pPr>
              <w:pStyle w:val="SingleTxt"/>
              <w:spacing w:before="40" w:after="80" w:line="240" w:lineRule="exact"/>
              <w:ind w:left="0" w:right="144"/>
              <w:rPr>
                <w:rFonts w:cs="Traditional Arabic" w:hint="cs"/>
                <w:sz w:val="16"/>
                <w:szCs w:val="24"/>
                <w:rtl/>
              </w:rPr>
            </w:pPr>
            <w:r w:rsidRPr="00CF4F36">
              <w:rPr>
                <w:rFonts w:cs="Traditional Arabic" w:hint="cs"/>
                <w:sz w:val="16"/>
                <w:szCs w:val="24"/>
                <w:rtl/>
              </w:rPr>
              <w:t>1.2</w:t>
            </w:r>
          </w:p>
        </w:tc>
        <w:tc>
          <w:tcPr>
            <w:tcW w:w="970" w:type="dxa"/>
            <w:shd w:val="clear" w:color="auto" w:fill="auto"/>
            <w:vAlign w:val="bottom"/>
          </w:tcPr>
          <w:p w:rsidR="00C35CB1" w:rsidRPr="00CF4F36" w:rsidRDefault="00C35CB1" w:rsidP="00CF4F36">
            <w:pPr>
              <w:pStyle w:val="SingleTxt"/>
              <w:spacing w:before="40" w:after="80" w:line="240" w:lineRule="exact"/>
              <w:ind w:left="0" w:right="144"/>
              <w:rPr>
                <w:rFonts w:cs="Traditional Arabic" w:hint="cs"/>
                <w:sz w:val="16"/>
                <w:szCs w:val="24"/>
                <w:rtl/>
              </w:rPr>
            </w:pPr>
            <w:r w:rsidRPr="00CF4F36">
              <w:rPr>
                <w:rFonts w:cs="Traditional Arabic" w:hint="cs"/>
                <w:sz w:val="16"/>
                <w:szCs w:val="24"/>
                <w:rtl/>
              </w:rPr>
              <w:t>2.1</w:t>
            </w:r>
          </w:p>
        </w:tc>
      </w:tr>
      <w:tr w:rsidR="00C35CB1" w:rsidRPr="00CF4F36">
        <w:trPr>
          <w:cantSplit/>
          <w:jc w:val="center"/>
        </w:trPr>
        <w:tc>
          <w:tcPr>
            <w:tcW w:w="4022" w:type="dxa"/>
            <w:tcBorders>
              <w:bottom w:val="single" w:sz="4" w:space="0" w:color="auto"/>
            </w:tcBorders>
            <w:shd w:val="clear" w:color="auto" w:fill="auto"/>
            <w:vAlign w:val="bottom"/>
          </w:tcPr>
          <w:p w:rsidR="00C35CB1" w:rsidRPr="00CF4F36" w:rsidRDefault="00C35CB1" w:rsidP="00CF4F36">
            <w:pPr>
              <w:pStyle w:val="SingleTxt"/>
              <w:spacing w:before="40" w:after="80" w:line="240" w:lineRule="exact"/>
              <w:ind w:left="0" w:right="0"/>
              <w:rPr>
                <w:rFonts w:cs="Traditional Arabic" w:hint="cs"/>
                <w:sz w:val="16"/>
                <w:szCs w:val="24"/>
                <w:rtl/>
              </w:rPr>
            </w:pPr>
            <w:r w:rsidRPr="00CF4F36">
              <w:rPr>
                <w:rFonts w:cs="Traditional Arabic" w:hint="cs"/>
                <w:sz w:val="16"/>
                <w:szCs w:val="24"/>
                <w:rtl/>
              </w:rPr>
              <w:t>خدمات خاصة أخرى</w:t>
            </w:r>
          </w:p>
        </w:tc>
        <w:tc>
          <w:tcPr>
            <w:tcW w:w="1133" w:type="dxa"/>
            <w:tcBorders>
              <w:bottom w:val="single" w:sz="4" w:space="0" w:color="auto"/>
            </w:tcBorders>
            <w:shd w:val="clear" w:color="auto" w:fill="auto"/>
            <w:vAlign w:val="bottom"/>
          </w:tcPr>
          <w:p w:rsidR="00C35CB1" w:rsidRPr="00CF4F36" w:rsidRDefault="00C35CB1" w:rsidP="00CF4F36">
            <w:pPr>
              <w:pStyle w:val="SingleTxt"/>
              <w:spacing w:before="40" w:after="80" w:line="240" w:lineRule="exact"/>
              <w:ind w:left="0" w:right="144"/>
              <w:rPr>
                <w:rFonts w:cs="Traditional Arabic" w:hint="cs"/>
                <w:sz w:val="16"/>
                <w:szCs w:val="24"/>
                <w:rtl/>
              </w:rPr>
            </w:pPr>
            <w:r w:rsidRPr="00CF4F36">
              <w:rPr>
                <w:rFonts w:cs="Traditional Arabic" w:hint="cs"/>
                <w:sz w:val="16"/>
                <w:szCs w:val="24"/>
                <w:rtl/>
              </w:rPr>
              <w:t>16.8</w:t>
            </w:r>
          </w:p>
        </w:tc>
        <w:tc>
          <w:tcPr>
            <w:tcW w:w="1133" w:type="dxa"/>
            <w:tcBorders>
              <w:bottom w:val="single" w:sz="4" w:space="0" w:color="auto"/>
            </w:tcBorders>
            <w:shd w:val="clear" w:color="auto" w:fill="auto"/>
            <w:vAlign w:val="bottom"/>
          </w:tcPr>
          <w:p w:rsidR="00C35CB1" w:rsidRPr="00CF4F36" w:rsidRDefault="00C35CB1" w:rsidP="00CF4F36">
            <w:pPr>
              <w:pStyle w:val="SingleTxt"/>
              <w:spacing w:before="40" w:after="80" w:line="240" w:lineRule="exact"/>
              <w:ind w:left="0" w:right="144"/>
              <w:rPr>
                <w:rFonts w:cs="Traditional Arabic" w:hint="cs"/>
                <w:sz w:val="16"/>
                <w:szCs w:val="24"/>
                <w:rtl/>
              </w:rPr>
            </w:pPr>
            <w:r w:rsidRPr="00CF4F36">
              <w:rPr>
                <w:rFonts w:cs="Traditional Arabic" w:hint="cs"/>
                <w:sz w:val="16"/>
                <w:szCs w:val="24"/>
                <w:rtl/>
              </w:rPr>
              <w:t>3.7</w:t>
            </w:r>
          </w:p>
        </w:tc>
        <w:tc>
          <w:tcPr>
            <w:tcW w:w="970" w:type="dxa"/>
            <w:tcBorders>
              <w:bottom w:val="single" w:sz="4" w:space="0" w:color="auto"/>
            </w:tcBorders>
            <w:shd w:val="clear" w:color="auto" w:fill="auto"/>
            <w:vAlign w:val="bottom"/>
          </w:tcPr>
          <w:p w:rsidR="00C35CB1" w:rsidRPr="00CF4F36" w:rsidRDefault="00C35CB1" w:rsidP="00CF4F36">
            <w:pPr>
              <w:pStyle w:val="SingleTxt"/>
              <w:spacing w:before="40" w:after="80" w:line="240" w:lineRule="exact"/>
              <w:ind w:left="0" w:right="144"/>
              <w:rPr>
                <w:rFonts w:cs="Traditional Arabic" w:hint="cs"/>
                <w:sz w:val="16"/>
                <w:szCs w:val="24"/>
                <w:rtl/>
              </w:rPr>
            </w:pPr>
            <w:r w:rsidRPr="00CF4F36">
              <w:rPr>
                <w:rFonts w:cs="Traditional Arabic" w:hint="cs"/>
                <w:sz w:val="16"/>
                <w:szCs w:val="24"/>
                <w:rtl/>
              </w:rPr>
              <w:t>6.2</w:t>
            </w:r>
          </w:p>
        </w:tc>
      </w:tr>
      <w:tr w:rsidR="00C35CB1" w:rsidRPr="00CF4F36">
        <w:trPr>
          <w:cantSplit/>
          <w:jc w:val="center"/>
        </w:trPr>
        <w:tc>
          <w:tcPr>
            <w:tcW w:w="4022" w:type="dxa"/>
            <w:tcBorders>
              <w:top w:val="single" w:sz="4" w:space="0" w:color="auto"/>
              <w:bottom w:val="single" w:sz="12" w:space="0" w:color="auto"/>
            </w:tcBorders>
            <w:shd w:val="clear" w:color="auto" w:fill="auto"/>
            <w:vAlign w:val="bottom"/>
          </w:tcPr>
          <w:p w:rsidR="00C35CB1" w:rsidRPr="00CF4F36" w:rsidRDefault="00C35CB1" w:rsidP="00CF4F36">
            <w:pPr>
              <w:pStyle w:val="SingleTxt"/>
              <w:spacing w:before="40" w:after="80" w:line="240" w:lineRule="exact"/>
              <w:ind w:left="0" w:right="0"/>
              <w:rPr>
                <w:rFonts w:cs="Traditional Arabic" w:hint="cs"/>
                <w:b/>
                <w:bCs/>
                <w:sz w:val="16"/>
                <w:szCs w:val="24"/>
                <w:rtl/>
              </w:rPr>
            </w:pPr>
            <w:r w:rsidRPr="00CF4F36">
              <w:rPr>
                <w:rFonts w:cs="Traditional Arabic" w:hint="cs"/>
                <w:b/>
                <w:bCs/>
                <w:sz w:val="16"/>
                <w:szCs w:val="24"/>
                <w:rtl/>
              </w:rPr>
              <w:t>المجموع</w:t>
            </w:r>
          </w:p>
        </w:tc>
        <w:tc>
          <w:tcPr>
            <w:tcW w:w="1133" w:type="dxa"/>
            <w:tcBorders>
              <w:top w:val="single" w:sz="4" w:space="0" w:color="auto"/>
              <w:bottom w:val="single" w:sz="12" w:space="0" w:color="auto"/>
            </w:tcBorders>
            <w:shd w:val="clear" w:color="auto" w:fill="auto"/>
            <w:vAlign w:val="bottom"/>
          </w:tcPr>
          <w:p w:rsidR="00C35CB1" w:rsidRPr="00CF4F36" w:rsidRDefault="00C35CB1" w:rsidP="00CF4F36">
            <w:pPr>
              <w:pStyle w:val="SingleTxt"/>
              <w:spacing w:before="40" w:after="80" w:line="240" w:lineRule="exact"/>
              <w:ind w:left="0" w:right="144"/>
              <w:rPr>
                <w:rFonts w:cs="Traditional Arabic" w:hint="cs"/>
                <w:sz w:val="16"/>
                <w:szCs w:val="24"/>
                <w:rtl/>
              </w:rPr>
            </w:pPr>
            <w:r w:rsidRPr="00CF4F36">
              <w:rPr>
                <w:rFonts w:cs="Traditional Arabic" w:hint="cs"/>
                <w:sz w:val="16"/>
                <w:szCs w:val="24"/>
                <w:rtl/>
              </w:rPr>
              <w:t>100.0</w:t>
            </w:r>
          </w:p>
        </w:tc>
        <w:tc>
          <w:tcPr>
            <w:tcW w:w="1133" w:type="dxa"/>
            <w:tcBorders>
              <w:top w:val="single" w:sz="4" w:space="0" w:color="auto"/>
              <w:bottom w:val="single" w:sz="12" w:space="0" w:color="auto"/>
            </w:tcBorders>
            <w:shd w:val="clear" w:color="auto" w:fill="auto"/>
            <w:vAlign w:val="bottom"/>
          </w:tcPr>
          <w:p w:rsidR="00C35CB1" w:rsidRPr="00CF4F36" w:rsidRDefault="00C35CB1" w:rsidP="00CF4F36">
            <w:pPr>
              <w:pStyle w:val="SingleTxt"/>
              <w:spacing w:before="40" w:after="80" w:line="240" w:lineRule="exact"/>
              <w:ind w:left="0" w:right="144"/>
              <w:rPr>
                <w:rFonts w:cs="Traditional Arabic" w:hint="cs"/>
                <w:sz w:val="16"/>
                <w:szCs w:val="24"/>
                <w:rtl/>
              </w:rPr>
            </w:pPr>
            <w:r w:rsidRPr="00CF4F36">
              <w:rPr>
                <w:rFonts w:cs="Traditional Arabic" w:hint="cs"/>
                <w:sz w:val="16"/>
                <w:szCs w:val="24"/>
                <w:rtl/>
              </w:rPr>
              <w:t>100.0</w:t>
            </w:r>
          </w:p>
        </w:tc>
        <w:tc>
          <w:tcPr>
            <w:tcW w:w="970" w:type="dxa"/>
            <w:tcBorders>
              <w:top w:val="single" w:sz="4" w:space="0" w:color="auto"/>
              <w:bottom w:val="single" w:sz="12" w:space="0" w:color="auto"/>
            </w:tcBorders>
            <w:shd w:val="clear" w:color="auto" w:fill="auto"/>
            <w:vAlign w:val="bottom"/>
          </w:tcPr>
          <w:p w:rsidR="00C35CB1" w:rsidRPr="00CF4F36" w:rsidRDefault="00C35CB1" w:rsidP="00CF4F36">
            <w:pPr>
              <w:pStyle w:val="SingleTxt"/>
              <w:spacing w:before="40" w:after="80" w:line="240" w:lineRule="exact"/>
              <w:ind w:left="0" w:right="144"/>
              <w:rPr>
                <w:rFonts w:cs="Traditional Arabic" w:hint="cs"/>
                <w:sz w:val="16"/>
                <w:szCs w:val="24"/>
                <w:rtl/>
              </w:rPr>
            </w:pPr>
            <w:r w:rsidRPr="00CF4F36">
              <w:rPr>
                <w:rFonts w:cs="Traditional Arabic" w:hint="cs"/>
                <w:sz w:val="16"/>
                <w:szCs w:val="24"/>
                <w:rtl/>
              </w:rPr>
              <w:t>100.0</w:t>
            </w:r>
          </w:p>
        </w:tc>
      </w:tr>
    </w:tbl>
    <w:p w:rsidR="00CF4F36" w:rsidRPr="00CF4F36" w:rsidRDefault="00CF4F36" w:rsidP="00CF4F36">
      <w:pPr>
        <w:pStyle w:val="SingleTxt"/>
        <w:spacing w:after="0" w:line="120" w:lineRule="exact"/>
        <w:rPr>
          <w:rFonts w:hint="cs"/>
          <w:sz w:val="10"/>
          <w:rtl/>
        </w:rPr>
      </w:pPr>
    </w:p>
    <w:p w:rsidR="00BA462B" w:rsidRDefault="00CF4F36" w:rsidP="00CF4F36">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rtl/>
        </w:rPr>
      </w:pPr>
      <w:r>
        <w:rPr>
          <w:rFonts w:hint="cs"/>
          <w:rtl/>
        </w:rPr>
        <w:tab/>
      </w:r>
      <w:r w:rsidR="00C35CB1" w:rsidRPr="00CF4F36">
        <w:rPr>
          <w:rFonts w:hint="cs"/>
          <w:i/>
          <w:iCs/>
          <w:rtl/>
        </w:rPr>
        <w:t>المصدر</w:t>
      </w:r>
      <w:r w:rsidR="00C35CB1" w:rsidRPr="00C35CB1">
        <w:rPr>
          <w:rFonts w:hint="cs"/>
          <w:rtl/>
        </w:rPr>
        <w:t>:</w:t>
      </w:r>
      <w:r>
        <w:rPr>
          <w:rFonts w:hint="cs"/>
          <w:rtl/>
        </w:rPr>
        <w:tab/>
      </w:r>
      <w:r w:rsidR="00C35CB1" w:rsidRPr="00C35CB1">
        <w:rPr>
          <w:rFonts w:hint="cs"/>
          <w:rtl/>
        </w:rPr>
        <w:t>المعهد الوطني للإحصاءات</w:t>
      </w:r>
      <w:r w:rsidR="00BB6B48">
        <w:rPr>
          <w:rFonts w:hint="cs"/>
          <w:rtl/>
        </w:rPr>
        <w:t>/</w:t>
      </w:r>
      <w:r w:rsidR="00C35CB1" w:rsidRPr="00C35CB1">
        <w:rPr>
          <w:rFonts w:hint="cs"/>
          <w:rtl/>
        </w:rPr>
        <w:t>إدارة إحصاءات الأسر المعيشية</w:t>
      </w:r>
      <w:r w:rsidR="00BB6B48">
        <w:rPr>
          <w:rFonts w:hint="cs"/>
          <w:rtl/>
        </w:rPr>
        <w:t>/</w:t>
      </w:r>
      <w:r w:rsidR="00C35CB1" w:rsidRPr="00C35CB1">
        <w:rPr>
          <w:rFonts w:hint="cs"/>
          <w:rtl/>
        </w:rPr>
        <w:t>التحقيق المتواصل في شؤون الأسر المعيشية 2005.</w:t>
      </w:r>
    </w:p>
    <w:p w:rsidR="00C35CB1" w:rsidRPr="00C35CB1" w:rsidRDefault="00CF4F36" w:rsidP="00CF4F36">
      <w:pPr>
        <w:pStyle w:val="SingleTxt"/>
        <w:rPr>
          <w:rFonts w:hint="cs"/>
          <w:rtl/>
        </w:rPr>
      </w:pPr>
      <w:r>
        <w:rPr>
          <w:rFonts w:hint="cs"/>
          <w:rtl/>
        </w:rPr>
        <w:tab/>
      </w:r>
      <w:r w:rsidR="00C35CB1" w:rsidRPr="00C35CB1">
        <w:rPr>
          <w:rFonts w:hint="cs"/>
          <w:rtl/>
        </w:rPr>
        <w:t>لا يلاحظ وجود أي فارق هام ب</w:t>
      </w:r>
      <w:r w:rsidR="00416A5F">
        <w:rPr>
          <w:rFonts w:hint="cs"/>
          <w:rtl/>
        </w:rPr>
        <w:t>ين أعمال الرجال والنساء فيما عدا</w:t>
      </w:r>
      <w:r w:rsidR="00C35CB1" w:rsidRPr="00C35CB1">
        <w:rPr>
          <w:rFonts w:hint="cs"/>
          <w:rtl/>
        </w:rPr>
        <w:t xml:space="preserve"> حقيقة</w:t>
      </w:r>
      <w:r w:rsidR="00765A56">
        <w:rPr>
          <w:rFonts w:hint="cs"/>
          <w:rtl/>
        </w:rPr>
        <w:t xml:space="preserve"> </w:t>
      </w:r>
      <w:r w:rsidR="00C35CB1" w:rsidRPr="00C35CB1">
        <w:rPr>
          <w:rFonts w:hint="cs"/>
          <w:rtl/>
        </w:rPr>
        <w:t>أن النساء يتجهن أكثر نحو الأنشطة التجارية</w:t>
      </w:r>
      <w:r w:rsidR="0015762F">
        <w:rPr>
          <w:rFonts w:hint="cs"/>
          <w:rtl/>
        </w:rPr>
        <w:t>:</w:t>
      </w:r>
      <w:r w:rsidR="00C35CB1" w:rsidRPr="00C35CB1">
        <w:rPr>
          <w:rFonts w:hint="cs"/>
          <w:rtl/>
        </w:rPr>
        <w:t xml:space="preserve"> 6</w:t>
      </w:r>
      <w:r w:rsidR="00765A56">
        <w:rPr>
          <w:rFonts w:hint="cs"/>
          <w:rtl/>
        </w:rPr>
        <w:t xml:space="preserve"> </w:t>
      </w:r>
      <w:r w:rsidR="00C35CB1" w:rsidRPr="00C35CB1">
        <w:rPr>
          <w:rFonts w:hint="cs"/>
          <w:rtl/>
        </w:rPr>
        <w:t>في المائة</w:t>
      </w:r>
      <w:r w:rsidR="00765A56">
        <w:rPr>
          <w:rFonts w:hint="cs"/>
          <w:rtl/>
        </w:rPr>
        <w:t xml:space="preserve"> </w:t>
      </w:r>
      <w:r w:rsidR="00C35CB1" w:rsidRPr="00C35CB1">
        <w:rPr>
          <w:rFonts w:hint="cs"/>
          <w:rtl/>
        </w:rPr>
        <w:t>من الأعمال التي تقوم بها النساء</w:t>
      </w:r>
      <w:r w:rsidR="00765A56">
        <w:rPr>
          <w:rFonts w:hint="cs"/>
          <w:rtl/>
        </w:rPr>
        <w:t xml:space="preserve"> </w:t>
      </w:r>
      <w:r w:rsidR="00C35CB1" w:rsidRPr="00C35CB1">
        <w:rPr>
          <w:rFonts w:hint="cs"/>
          <w:rtl/>
        </w:rPr>
        <w:t>مقابل 3 في المائة فقط</w:t>
      </w:r>
      <w:r w:rsidR="00765A56">
        <w:rPr>
          <w:rFonts w:hint="cs"/>
          <w:rtl/>
        </w:rPr>
        <w:t xml:space="preserve"> </w:t>
      </w:r>
      <w:r w:rsidR="00C35CB1" w:rsidRPr="00C35CB1">
        <w:rPr>
          <w:rFonts w:hint="cs"/>
          <w:rtl/>
        </w:rPr>
        <w:t>بالنسبة للرجال.</w:t>
      </w:r>
    </w:p>
    <w:p w:rsidR="00C35CB1" w:rsidRPr="00C35CB1" w:rsidRDefault="00CF4F36" w:rsidP="00765A56">
      <w:pPr>
        <w:pStyle w:val="SingleTxt"/>
        <w:rPr>
          <w:rFonts w:hint="cs"/>
          <w:rtl/>
        </w:rPr>
      </w:pPr>
      <w:r>
        <w:rPr>
          <w:rFonts w:hint="cs"/>
          <w:rtl/>
        </w:rPr>
        <w:tab/>
      </w:r>
      <w:r w:rsidR="00D666E0">
        <w:rPr>
          <w:rFonts w:hint="cs"/>
          <w:rtl/>
        </w:rPr>
        <w:t>و</w:t>
      </w:r>
      <w:r w:rsidR="00C35CB1" w:rsidRPr="00C35CB1">
        <w:rPr>
          <w:rFonts w:hint="cs"/>
          <w:rtl/>
        </w:rPr>
        <w:t>تمثل النساء</w:t>
      </w:r>
      <w:r w:rsidR="00765A56">
        <w:rPr>
          <w:rFonts w:hint="cs"/>
          <w:rtl/>
        </w:rPr>
        <w:t xml:space="preserve"> </w:t>
      </w:r>
      <w:r w:rsidR="00C35CB1" w:rsidRPr="00C35CB1">
        <w:rPr>
          <w:rFonts w:hint="cs"/>
          <w:rtl/>
        </w:rPr>
        <w:t>اللاتي لهن عمل 64 في المائة</w:t>
      </w:r>
      <w:r w:rsidR="00765A56">
        <w:rPr>
          <w:rFonts w:hint="cs"/>
          <w:rtl/>
        </w:rPr>
        <w:t xml:space="preserve"> </w:t>
      </w:r>
      <w:r w:rsidR="00C35CB1" w:rsidRPr="00C35CB1">
        <w:rPr>
          <w:rFonts w:hint="cs"/>
          <w:rtl/>
        </w:rPr>
        <w:t>من القوى العاملة،</w:t>
      </w:r>
      <w:r w:rsidR="00765A56">
        <w:rPr>
          <w:rFonts w:hint="cs"/>
          <w:rtl/>
        </w:rPr>
        <w:t xml:space="preserve"> </w:t>
      </w:r>
      <w:r w:rsidR="00C35CB1" w:rsidRPr="00C35CB1">
        <w:rPr>
          <w:rFonts w:hint="cs"/>
          <w:rtl/>
        </w:rPr>
        <w:t>مقابل 66 في المائة</w:t>
      </w:r>
      <w:r w:rsidR="00765A56">
        <w:rPr>
          <w:rFonts w:hint="cs"/>
          <w:rtl/>
          <w:lang w:val="fr-FR"/>
        </w:rPr>
        <w:t xml:space="preserve"> </w:t>
      </w:r>
      <w:r w:rsidR="00C35CB1" w:rsidRPr="00C35CB1">
        <w:rPr>
          <w:rFonts w:hint="cs"/>
          <w:rtl/>
        </w:rPr>
        <w:t>بالنسبة للرجال.</w:t>
      </w:r>
    </w:p>
    <w:p w:rsidR="00BA462B" w:rsidRDefault="00CF4F36" w:rsidP="00765A56">
      <w:pPr>
        <w:pStyle w:val="SingleTxt"/>
        <w:rPr>
          <w:rFonts w:hint="cs"/>
          <w:rtl/>
        </w:rPr>
      </w:pPr>
      <w:r>
        <w:rPr>
          <w:rFonts w:hint="cs"/>
          <w:rtl/>
        </w:rPr>
        <w:tab/>
      </w:r>
      <w:r w:rsidR="00D666E0">
        <w:rPr>
          <w:rFonts w:hint="cs"/>
          <w:rtl/>
        </w:rPr>
        <w:t>و</w:t>
      </w:r>
      <w:r w:rsidR="00765A56">
        <w:rPr>
          <w:rFonts w:hint="cs"/>
          <w:rtl/>
        </w:rPr>
        <w:t>يعني هذا أ</w:t>
      </w:r>
      <w:r w:rsidR="00C35CB1" w:rsidRPr="00C35CB1">
        <w:rPr>
          <w:rFonts w:hint="cs"/>
          <w:rtl/>
        </w:rPr>
        <w:t>نه</w:t>
      </w:r>
      <w:r w:rsidR="00765A56">
        <w:rPr>
          <w:rFonts w:hint="cs"/>
          <w:rtl/>
        </w:rPr>
        <w:t xml:space="preserve"> </w:t>
      </w:r>
      <w:r w:rsidR="00C35CB1" w:rsidRPr="00C35CB1">
        <w:rPr>
          <w:rFonts w:hint="cs"/>
          <w:rtl/>
        </w:rPr>
        <w:t>يمكن ملاحظة</w:t>
      </w:r>
      <w:r w:rsidR="00765A56">
        <w:rPr>
          <w:rFonts w:hint="cs"/>
          <w:rtl/>
        </w:rPr>
        <w:t xml:space="preserve"> </w:t>
      </w:r>
      <w:r w:rsidR="00C35CB1" w:rsidRPr="00C35CB1">
        <w:rPr>
          <w:rFonts w:hint="cs"/>
          <w:rtl/>
        </w:rPr>
        <w:t>أن مشاركة المرأة في جميع قطاعات النشاط الاقتصادي بما في ذلك الفلاحة، تكاد تضاهي مشاركة</w:t>
      </w:r>
      <w:r w:rsidR="00765A56">
        <w:rPr>
          <w:rFonts w:hint="cs"/>
          <w:rtl/>
        </w:rPr>
        <w:t xml:space="preserve"> </w:t>
      </w:r>
      <w:r w:rsidR="00C35CB1" w:rsidRPr="00C35CB1">
        <w:rPr>
          <w:rFonts w:hint="cs"/>
          <w:rtl/>
        </w:rPr>
        <w:t>الرجل.</w:t>
      </w:r>
    </w:p>
    <w:p w:rsidR="00C35CB1" w:rsidRPr="00C35CB1" w:rsidRDefault="00CF4F36" w:rsidP="00765A56">
      <w:pPr>
        <w:pStyle w:val="SingleTxt"/>
        <w:rPr>
          <w:rFonts w:hint="cs"/>
          <w:rtl/>
        </w:rPr>
      </w:pPr>
      <w:r>
        <w:rPr>
          <w:rFonts w:hint="cs"/>
          <w:rtl/>
        </w:rPr>
        <w:tab/>
      </w:r>
      <w:r w:rsidR="00C35CB1" w:rsidRPr="00C35CB1">
        <w:rPr>
          <w:rFonts w:hint="cs"/>
          <w:rtl/>
        </w:rPr>
        <w:t>وكما ورد في الرد على السؤال</w:t>
      </w:r>
      <w:r w:rsidR="00765A56">
        <w:rPr>
          <w:rFonts w:hint="cs"/>
          <w:rtl/>
        </w:rPr>
        <w:t xml:space="preserve"> </w:t>
      </w:r>
      <w:r w:rsidR="00C35CB1" w:rsidRPr="00C35CB1">
        <w:rPr>
          <w:rFonts w:hint="cs"/>
          <w:rtl/>
        </w:rPr>
        <w:t>9</w:t>
      </w:r>
      <w:r w:rsidR="00765A56">
        <w:rPr>
          <w:rFonts w:hint="cs"/>
          <w:rtl/>
        </w:rPr>
        <w:t xml:space="preserve"> </w:t>
      </w:r>
      <w:r w:rsidR="00C35CB1" w:rsidRPr="00C35CB1">
        <w:rPr>
          <w:rFonts w:hint="cs"/>
          <w:rtl/>
        </w:rPr>
        <w:t>فإن المساواة بين الجنسين</w:t>
      </w:r>
      <w:r w:rsidR="00BB6B48">
        <w:rPr>
          <w:rFonts w:hint="cs"/>
          <w:rtl/>
        </w:rPr>
        <w:t xml:space="preserve"> ”</w:t>
      </w:r>
      <w:r w:rsidR="00C35CB1" w:rsidRPr="00C35CB1">
        <w:rPr>
          <w:lang w:val="fr-FR"/>
        </w:rPr>
        <w:t>Le</w:t>
      </w:r>
      <w:r w:rsidR="00765A56">
        <w:rPr>
          <w:lang w:val="fr-FR"/>
        </w:rPr>
        <w:t xml:space="preserve"> </w:t>
      </w:r>
      <w:r w:rsidR="00C35CB1" w:rsidRPr="00C35CB1">
        <w:rPr>
          <w:lang w:val="fr-FR"/>
        </w:rPr>
        <w:t>Miralenta</w:t>
      </w:r>
      <w:r w:rsidR="00BB6B48">
        <w:rPr>
          <w:rFonts w:hint="eastAsia"/>
          <w:rtl/>
        </w:rPr>
        <w:t>“</w:t>
      </w:r>
      <w:r w:rsidR="00C35CB1" w:rsidRPr="00C35CB1">
        <w:rPr>
          <w:rFonts w:hint="cs"/>
          <w:rtl/>
        </w:rPr>
        <w:t xml:space="preserve"> تطبق كذلك في ميدان العمالة وتشمل تساوي الأجور مقابل العمل</w:t>
      </w:r>
      <w:r w:rsidR="00765A56">
        <w:rPr>
          <w:rFonts w:hint="cs"/>
          <w:rtl/>
        </w:rPr>
        <w:t xml:space="preserve"> </w:t>
      </w:r>
      <w:r w:rsidR="00C35CB1" w:rsidRPr="00C35CB1">
        <w:rPr>
          <w:rFonts w:hint="cs"/>
          <w:rtl/>
        </w:rPr>
        <w:t>المتساوي</w:t>
      </w:r>
      <w:r w:rsidR="000A5EC7">
        <w:rPr>
          <w:rFonts w:hint="cs"/>
          <w:rtl/>
        </w:rPr>
        <w:t>،</w:t>
      </w:r>
      <w:r w:rsidR="00C35CB1" w:rsidRPr="00C35CB1">
        <w:rPr>
          <w:rFonts w:hint="cs"/>
          <w:rtl/>
        </w:rPr>
        <w:t xml:space="preserve"> دون تمييز على أساس نوع الجنس.</w:t>
      </w:r>
    </w:p>
    <w:p w:rsidR="00BA462B" w:rsidRDefault="00CF4F36" w:rsidP="00765A56">
      <w:pPr>
        <w:pStyle w:val="SingleTxt"/>
        <w:rPr>
          <w:rFonts w:hint="cs"/>
          <w:rtl/>
        </w:rPr>
      </w:pPr>
      <w:r>
        <w:rPr>
          <w:rFonts w:hint="cs"/>
          <w:rtl/>
        </w:rPr>
        <w:tab/>
      </w:r>
      <w:r w:rsidR="00C35CB1" w:rsidRPr="00C35CB1">
        <w:rPr>
          <w:rFonts w:hint="cs"/>
          <w:rtl/>
        </w:rPr>
        <w:t>ولتدارك عدم كفاية عروض العمل بالمقارنة مع الطلب الصادر</w:t>
      </w:r>
      <w:r w:rsidR="006145D0">
        <w:rPr>
          <w:rFonts w:hint="cs"/>
          <w:rtl/>
        </w:rPr>
        <w:t xml:space="preserve"> </w:t>
      </w:r>
      <w:r w:rsidR="00C35CB1" w:rsidRPr="00C35CB1">
        <w:rPr>
          <w:rFonts w:hint="cs"/>
          <w:rtl/>
        </w:rPr>
        <w:t>عن نساء، فإن تيسير</w:t>
      </w:r>
      <w:r w:rsidR="006145D0">
        <w:rPr>
          <w:rFonts w:hint="cs"/>
          <w:rtl/>
        </w:rPr>
        <w:t xml:space="preserve"> </w:t>
      </w:r>
      <w:r w:rsidR="00C35CB1" w:rsidRPr="00C35CB1">
        <w:rPr>
          <w:rFonts w:hint="cs"/>
          <w:rtl/>
        </w:rPr>
        <w:t>حصول النساء على القروض</w:t>
      </w:r>
      <w:r w:rsidR="00765A56">
        <w:rPr>
          <w:rFonts w:hint="cs"/>
          <w:rtl/>
        </w:rPr>
        <w:t xml:space="preserve"> </w:t>
      </w:r>
      <w:r w:rsidR="00C35CB1" w:rsidRPr="00C35CB1">
        <w:rPr>
          <w:rFonts w:hint="cs"/>
          <w:rtl/>
        </w:rPr>
        <w:t>الصغرى قد سمح لهن بإحداث</w:t>
      </w:r>
      <w:r w:rsidR="00765A56">
        <w:rPr>
          <w:rFonts w:hint="cs"/>
          <w:rtl/>
        </w:rPr>
        <w:t xml:space="preserve"> </w:t>
      </w:r>
      <w:r w:rsidR="00C35CB1" w:rsidRPr="00C35CB1">
        <w:rPr>
          <w:rFonts w:hint="cs"/>
          <w:rtl/>
        </w:rPr>
        <w:t xml:space="preserve">أنشطة مواتية لاستقلالهن الذاتي في الوسطين الحضري </w:t>
      </w:r>
      <w:r w:rsidR="00D666E0">
        <w:rPr>
          <w:rFonts w:hint="cs"/>
          <w:rtl/>
        </w:rPr>
        <w:t>و</w:t>
      </w:r>
      <w:r w:rsidR="00C35CB1" w:rsidRPr="00C35CB1">
        <w:rPr>
          <w:rFonts w:hint="cs"/>
          <w:rtl/>
        </w:rPr>
        <w:t>الريفي.</w:t>
      </w:r>
    </w:p>
    <w:p w:rsidR="00C35CB1" w:rsidRPr="00C35CB1" w:rsidRDefault="00CF4F36" w:rsidP="00DE02D4">
      <w:pPr>
        <w:pStyle w:val="SingleTxt"/>
        <w:rPr>
          <w:rFonts w:hint="cs"/>
          <w:rtl/>
        </w:rPr>
      </w:pPr>
      <w:r>
        <w:rPr>
          <w:rFonts w:hint="cs"/>
          <w:rtl/>
        </w:rPr>
        <w:tab/>
      </w:r>
      <w:r w:rsidR="00D666E0">
        <w:rPr>
          <w:rFonts w:hint="cs"/>
          <w:rtl/>
        </w:rPr>
        <w:t>و</w:t>
      </w:r>
      <w:r w:rsidR="00416A5F">
        <w:rPr>
          <w:rFonts w:hint="cs"/>
          <w:rtl/>
        </w:rPr>
        <w:t>لمدغشقر ا</w:t>
      </w:r>
      <w:r w:rsidR="006145D0">
        <w:rPr>
          <w:rFonts w:hint="cs"/>
          <w:rtl/>
        </w:rPr>
        <w:t>ستراتيجية وطنية للا</w:t>
      </w:r>
      <w:r w:rsidR="00C35CB1" w:rsidRPr="00C35CB1">
        <w:rPr>
          <w:rFonts w:hint="cs"/>
          <w:rtl/>
        </w:rPr>
        <w:t>ئتمانات الصغرى للفترة</w:t>
      </w:r>
      <w:r w:rsidR="00765A56">
        <w:rPr>
          <w:rFonts w:hint="cs"/>
          <w:rtl/>
        </w:rPr>
        <w:t xml:space="preserve"> </w:t>
      </w:r>
      <w:r w:rsidR="00C35CB1" w:rsidRPr="00C35CB1">
        <w:rPr>
          <w:rFonts w:hint="cs"/>
          <w:rtl/>
        </w:rPr>
        <w:t>2008</w:t>
      </w:r>
      <w:r w:rsidR="00765A56">
        <w:rPr>
          <w:rFonts w:hint="cs"/>
          <w:rtl/>
        </w:rPr>
        <w:t>-</w:t>
      </w:r>
      <w:r w:rsidR="00C35CB1" w:rsidRPr="00C35CB1">
        <w:rPr>
          <w:rFonts w:hint="cs"/>
          <w:rtl/>
        </w:rPr>
        <w:t>2010 بميزانية إجمالية قدرها ثلاثة ملايين من دولارات</w:t>
      </w:r>
      <w:r w:rsidR="00765A56">
        <w:rPr>
          <w:rFonts w:hint="cs"/>
          <w:rtl/>
        </w:rPr>
        <w:t xml:space="preserve"> </w:t>
      </w:r>
      <w:r w:rsidR="00C35CB1" w:rsidRPr="00C35CB1">
        <w:rPr>
          <w:rFonts w:hint="cs"/>
          <w:rtl/>
        </w:rPr>
        <w:t>الولايات المتحدة</w:t>
      </w:r>
      <w:r w:rsidR="0015762F">
        <w:rPr>
          <w:rFonts w:hint="cs"/>
          <w:rtl/>
        </w:rPr>
        <w:t>.</w:t>
      </w:r>
      <w:r w:rsidR="00DE02D4">
        <w:rPr>
          <w:rFonts w:hint="cs"/>
          <w:rtl/>
        </w:rPr>
        <w:t xml:space="preserve"> </w:t>
      </w:r>
      <w:r w:rsidR="00D666E0">
        <w:rPr>
          <w:rFonts w:hint="cs"/>
          <w:rtl/>
        </w:rPr>
        <w:t>و</w:t>
      </w:r>
      <w:r w:rsidR="00C35CB1" w:rsidRPr="00C35CB1">
        <w:rPr>
          <w:rFonts w:hint="cs"/>
          <w:rtl/>
        </w:rPr>
        <w:t>تهدف خطة عمل مدغشقر إلى زيادة انتشار أنشطة المؤسسات المعنية بالتمويلات الصغرى من</w:t>
      </w:r>
      <w:r w:rsidR="00765A56">
        <w:rPr>
          <w:rFonts w:hint="cs"/>
          <w:rtl/>
        </w:rPr>
        <w:t xml:space="preserve"> </w:t>
      </w:r>
      <w:r w:rsidR="00C35CB1" w:rsidRPr="00C35CB1">
        <w:rPr>
          <w:rFonts w:hint="cs"/>
          <w:rtl/>
        </w:rPr>
        <w:t>7</w:t>
      </w:r>
      <w:r w:rsidR="00765A56">
        <w:rPr>
          <w:rFonts w:hint="cs"/>
          <w:rtl/>
        </w:rPr>
        <w:t>.</w:t>
      </w:r>
      <w:r w:rsidR="00C35CB1" w:rsidRPr="00C35CB1">
        <w:rPr>
          <w:rFonts w:hint="cs"/>
          <w:rtl/>
        </w:rPr>
        <w:t>6</w:t>
      </w:r>
      <w:r w:rsidR="00765A56">
        <w:rPr>
          <w:rFonts w:hint="cs"/>
          <w:rtl/>
        </w:rPr>
        <w:t xml:space="preserve"> </w:t>
      </w:r>
      <w:r w:rsidR="00C35CB1" w:rsidRPr="00C35CB1">
        <w:rPr>
          <w:rFonts w:hint="cs"/>
          <w:rtl/>
        </w:rPr>
        <w:t xml:space="preserve">في المائة إلى 13في المائة بحلول عالم 2012 </w:t>
      </w:r>
      <w:r w:rsidR="00D666E0">
        <w:rPr>
          <w:rFonts w:hint="cs"/>
          <w:rtl/>
        </w:rPr>
        <w:t>و</w:t>
      </w:r>
      <w:r w:rsidR="00C35CB1" w:rsidRPr="00C35CB1">
        <w:rPr>
          <w:rFonts w:hint="cs"/>
          <w:rtl/>
        </w:rPr>
        <w:t>هو ما سيسمح لـ</w:t>
      </w:r>
      <w:r w:rsidR="00416A5F">
        <w:rPr>
          <w:rFonts w:hint="cs"/>
          <w:rtl/>
        </w:rPr>
        <w:t xml:space="preserve"> </w:t>
      </w:r>
      <w:r w:rsidR="00C35CB1" w:rsidRPr="00C35CB1">
        <w:rPr>
          <w:rFonts w:hint="cs"/>
          <w:rtl/>
        </w:rPr>
        <w:t>000 850 مقترض من الحصول على مختلف أشكال الا</w:t>
      </w:r>
      <w:r w:rsidR="006145D0">
        <w:rPr>
          <w:rFonts w:hint="cs"/>
          <w:rtl/>
        </w:rPr>
        <w:t>ئ</w:t>
      </w:r>
      <w:r w:rsidR="00C35CB1" w:rsidRPr="00C35CB1">
        <w:rPr>
          <w:rFonts w:hint="cs"/>
          <w:rtl/>
        </w:rPr>
        <w:t>تمان</w:t>
      </w:r>
      <w:r w:rsidR="00765A56">
        <w:rPr>
          <w:rFonts w:hint="cs"/>
          <w:rtl/>
        </w:rPr>
        <w:t xml:space="preserve"> </w:t>
      </w:r>
      <w:r w:rsidR="00C35CB1" w:rsidRPr="00C35CB1">
        <w:rPr>
          <w:rFonts w:hint="cs"/>
          <w:rtl/>
        </w:rPr>
        <w:t>مقابل 000 278 في عام 2006</w:t>
      </w:r>
      <w:r w:rsidR="0015762F">
        <w:rPr>
          <w:rFonts w:hint="cs"/>
          <w:rtl/>
        </w:rPr>
        <w:t>.</w:t>
      </w:r>
      <w:r w:rsidR="00C35CB1" w:rsidRPr="00C35CB1">
        <w:rPr>
          <w:rFonts w:hint="cs"/>
          <w:rtl/>
        </w:rPr>
        <w:t xml:space="preserve"> </w:t>
      </w:r>
      <w:r w:rsidR="00D666E0">
        <w:rPr>
          <w:rFonts w:hint="cs"/>
          <w:rtl/>
        </w:rPr>
        <w:t>و</w:t>
      </w:r>
      <w:r w:rsidR="00C35CB1" w:rsidRPr="00C35CB1">
        <w:rPr>
          <w:rFonts w:hint="cs"/>
          <w:rtl/>
        </w:rPr>
        <w:t>لتحقيق هذه الأهداف</w:t>
      </w:r>
      <w:r w:rsidR="0015762F">
        <w:rPr>
          <w:rFonts w:hint="cs"/>
          <w:rtl/>
        </w:rPr>
        <w:t>،</w:t>
      </w:r>
      <w:r w:rsidR="00C35CB1" w:rsidRPr="00C35CB1">
        <w:rPr>
          <w:rFonts w:hint="cs"/>
          <w:rtl/>
        </w:rPr>
        <w:t xml:space="preserve"> أقرت ثلاثة محاور: </w:t>
      </w:r>
    </w:p>
    <w:p w:rsidR="00C35CB1" w:rsidRPr="00C35CB1" w:rsidRDefault="002D16EE" w:rsidP="002D16E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val="fr-FR"/>
        </w:rPr>
      </w:pPr>
      <w:r>
        <w:rPr>
          <w:rFonts w:hint="cs"/>
          <w:rtl/>
        </w:rPr>
        <w:tab/>
        <w:t>•</w:t>
      </w:r>
      <w:r>
        <w:rPr>
          <w:rFonts w:hint="cs"/>
          <w:rtl/>
        </w:rPr>
        <w:tab/>
      </w:r>
      <w:r w:rsidR="00C35CB1" w:rsidRPr="00C35CB1">
        <w:rPr>
          <w:rFonts w:hint="cs"/>
          <w:rtl/>
        </w:rPr>
        <w:t xml:space="preserve">تحسين الإطار الاقتصادي والقانوني </w:t>
      </w:r>
      <w:r w:rsidR="00D666E0">
        <w:rPr>
          <w:rFonts w:hint="cs"/>
          <w:rtl/>
        </w:rPr>
        <w:t>و</w:t>
      </w:r>
      <w:r w:rsidR="00C35CB1" w:rsidRPr="00C35CB1">
        <w:rPr>
          <w:rFonts w:hint="cs"/>
          <w:rtl/>
        </w:rPr>
        <w:t>التنظيمي،</w:t>
      </w:r>
    </w:p>
    <w:p w:rsidR="00C35CB1" w:rsidRPr="00C35CB1" w:rsidRDefault="002D16EE" w:rsidP="002D16E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val="fr-FR"/>
        </w:rPr>
      </w:pPr>
      <w:r>
        <w:rPr>
          <w:rFonts w:hint="cs"/>
          <w:rtl/>
        </w:rPr>
        <w:tab/>
        <w:t>•</w:t>
      </w:r>
      <w:r>
        <w:rPr>
          <w:rFonts w:hint="cs"/>
          <w:rtl/>
        </w:rPr>
        <w:tab/>
      </w:r>
      <w:r w:rsidR="00C35CB1" w:rsidRPr="00C35CB1">
        <w:rPr>
          <w:rFonts w:hint="cs"/>
          <w:rtl/>
        </w:rPr>
        <w:t>عرض مستدام</w:t>
      </w:r>
      <w:r w:rsidR="00765A56">
        <w:rPr>
          <w:rFonts w:hint="cs"/>
          <w:rtl/>
        </w:rPr>
        <w:t xml:space="preserve"> </w:t>
      </w:r>
      <w:r w:rsidR="00C35CB1" w:rsidRPr="00C35CB1">
        <w:rPr>
          <w:rFonts w:hint="cs"/>
          <w:rtl/>
        </w:rPr>
        <w:t xml:space="preserve">ومتجدد لمنتجات </w:t>
      </w:r>
      <w:r w:rsidR="00D666E0">
        <w:rPr>
          <w:rFonts w:hint="cs"/>
          <w:rtl/>
        </w:rPr>
        <w:t>و</w:t>
      </w:r>
      <w:r w:rsidR="00C35CB1" w:rsidRPr="00C35CB1">
        <w:rPr>
          <w:rFonts w:hint="cs"/>
          <w:rtl/>
        </w:rPr>
        <w:t xml:space="preserve">خدمات متكيفة </w:t>
      </w:r>
      <w:r w:rsidR="00D666E0">
        <w:rPr>
          <w:rFonts w:hint="cs"/>
          <w:rtl/>
        </w:rPr>
        <w:t>و</w:t>
      </w:r>
      <w:r w:rsidR="00C35CB1" w:rsidRPr="00C35CB1">
        <w:rPr>
          <w:rFonts w:hint="cs"/>
          <w:rtl/>
        </w:rPr>
        <w:t xml:space="preserve">مبتكرة </w:t>
      </w:r>
      <w:r w:rsidR="00D666E0">
        <w:rPr>
          <w:rFonts w:hint="cs"/>
          <w:rtl/>
        </w:rPr>
        <w:t>و</w:t>
      </w:r>
      <w:r w:rsidR="00C35CB1" w:rsidRPr="00C35CB1">
        <w:rPr>
          <w:rFonts w:hint="cs"/>
          <w:rtl/>
        </w:rPr>
        <w:t>متنوعة ومتزايدة في المناطق غير المشمولة،</w:t>
      </w:r>
    </w:p>
    <w:p w:rsidR="00BA462B" w:rsidRDefault="002D16EE" w:rsidP="002D16E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val="fr-FR"/>
        </w:rPr>
      </w:pPr>
      <w:r>
        <w:rPr>
          <w:rFonts w:hint="cs"/>
          <w:rtl/>
        </w:rPr>
        <w:tab/>
        <w:t>•</w:t>
      </w:r>
      <w:r>
        <w:rPr>
          <w:rFonts w:hint="cs"/>
          <w:rtl/>
        </w:rPr>
        <w:tab/>
      </w:r>
      <w:r w:rsidR="00C35CB1" w:rsidRPr="00C35CB1">
        <w:rPr>
          <w:rFonts w:hint="cs"/>
          <w:rtl/>
        </w:rPr>
        <w:t xml:space="preserve">تنظيم الإطار المؤسسي للسماح بهيكلة القطاع على نحو جيد </w:t>
      </w:r>
      <w:r w:rsidR="00D666E0">
        <w:rPr>
          <w:rFonts w:hint="cs"/>
          <w:rtl/>
        </w:rPr>
        <w:t>و</w:t>
      </w:r>
      <w:r w:rsidR="00C35CB1" w:rsidRPr="00C35CB1">
        <w:rPr>
          <w:rFonts w:hint="cs"/>
          <w:rtl/>
        </w:rPr>
        <w:t>لتحقيق اشتغاله بفعالية،</w:t>
      </w:r>
    </w:p>
    <w:p w:rsidR="00BA462B" w:rsidRDefault="002D16EE" w:rsidP="00765A56">
      <w:pPr>
        <w:pStyle w:val="SingleTxt"/>
        <w:rPr>
          <w:rFonts w:hint="cs"/>
          <w:rtl/>
        </w:rPr>
      </w:pPr>
      <w:r>
        <w:rPr>
          <w:rFonts w:hint="cs"/>
          <w:rtl/>
        </w:rPr>
        <w:tab/>
      </w:r>
      <w:r w:rsidR="00D666E0">
        <w:rPr>
          <w:rFonts w:hint="cs"/>
          <w:rtl/>
        </w:rPr>
        <w:t>و</w:t>
      </w:r>
      <w:r w:rsidR="00C35CB1" w:rsidRPr="00C35CB1">
        <w:rPr>
          <w:rFonts w:hint="cs"/>
          <w:rtl/>
        </w:rPr>
        <w:t>تعتزم الحكومة منح أولوية عليا لتنمية قطاع التمويلات الصغرى بوصفه داعما</w:t>
      </w:r>
      <w:r w:rsidR="00765A56">
        <w:rPr>
          <w:rFonts w:hint="cs"/>
          <w:rtl/>
        </w:rPr>
        <w:t xml:space="preserve"> </w:t>
      </w:r>
      <w:r w:rsidR="00C35CB1" w:rsidRPr="00C35CB1">
        <w:rPr>
          <w:rFonts w:hint="cs"/>
          <w:rtl/>
        </w:rPr>
        <w:t>للأنشطة الإنتاجية التي يضطلع بها</w:t>
      </w:r>
      <w:r w:rsidR="00765A56">
        <w:rPr>
          <w:rFonts w:hint="cs"/>
          <w:rtl/>
        </w:rPr>
        <w:t xml:space="preserve"> </w:t>
      </w:r>
      <w:r w:rsidR="00C35CB1" w:rsidRPr="00C35CB1">
        <w:rPr>
          <w:rFonts w:hint="cs"/>
          <w:rtl/>
        </w:rPr>
        <w:t xml:space="preserve">الفقراء </w:t>
      </w:r>
      <w:r w:rsidR="00D666E0">
        <w:rPr>
          <w:rFonts w:hint="cs"/>
          <w:rtl/>
        </w:rPr>
        <w:t>و</w:t>
      </w:r>
      <w:r w:rsidR="00C35CB1" w:rsidRPr="00C35CB1">
        <w:rPr>
          <w:rFonts w:hint="cs"/>
          <w:rtl/>
        </w:rPr>
        <w:t>هم أغلبية المنتجين في</w:t>
      </w:r>
      <w:r w:rsidR="00765A56">
        <w:rPr>
          <w:rFonts w:hint="cs"/>
          <w:rtl/>
        </w:rPr>
        <w:t xml:space="preserve"> </w:t>
      </w:r>
      <w:r w:rsidR="00C35CB1" w:rsidRPr="00C35CB1">
        <w:rPr>
          <w:rFonts w:hint="cs"/>
          <w:rtl/>
        </w:rPr>
        <w:t xml:space="preserve">قطاع </w:t>
      </w:r>
      <w:r w:rsidR="00765A56">
        <w:rPr>
          <w:rFonts w:hint="cs"/>
          <w:rtl/>
        </w:rPr>
        <w:t>ا</w:t>
      </w:r>
      <w:r w:rsidR="00C35CB1" w:rsidRPr="00C35CB1">
        <w:rPr>
          <w:rFonts w:hint="cs"/>
          <w:rtl/>
        </w:rPr>
        <w:t>لزراعة</w:t>
      </w:r>
      <w:r w:rsidR="00765A56">
        <w:rPr>
          <w:rFonts w:hint="cs"/>
          <w:rtl/>
        </w:rPr>
        <w:t xml:space="preserve"> </w:t>
      </w:r>
      <w:r w:rsidR="00D666E0">
        <w:rPr>
          <w:rFonts w:hint="cs"/>
          <w:rtl/>
        </w:rPr>
        <w:t>و</w:t>
      </w:r>
      <w:r w:rsidR="00C35CB1" w:rsidRPr="00C35CB1">
        <w:rPr>
          <w:rFonts w:hint="cs"/>
          <w:rtl/>
        </w:rPr>
        <w:t>في الأنشطة غير النظامية بالمناطق</w:t>
      </w:r>
      <w:r w:rsidR="00765A56">
        <w:rPr>
          <w:rFonts w:hint="cs"/>
          <w:rtl/>
        </w:rPr>
        <w:t xml:space="preserve"> </w:t>
      </w:r>
      <w:r w:rsidR="00C35CB1" w:rsidRPr="00C35CB1">
        <w:rPr>
          <w:rFonts w:hint="cs"/>
          <w:rtl/>
        </w:rPr>
        <w:t>الحضرية.</w:t>
      </w:r>
    </w:p>
    <w:p w:rsidR="00BA462B" w:rsidRDefault="00C35CB1" w:rsidP="00765A56">
      <w:pPr>
        <w:pStyle w:val="SingleTxt"/>
        <w:rPr>
          <w:rFonts w:hint="cs"/>
          <w:rtl/>
        </w:rPr>
      </w:pPr>
      <w:r w:rsidRPr="00C35CB1">
        <w:rPr>
          <w:rFonts w:hint="cs"/>
          <w:rtl/>
        </w:rPr>
        <w:t>17</w:t>
      </w:r>
      <w:r w:rsidR="00D666E0">
        <w:rPr>
          <w:rFonts w:hint="cs"/>
          <w:rtl/>
        </w:rPr>
        <w:t xml:space="preserve"> -</w:t>
      </w:r>
      <w:r w:rsidR="00D666E0">
        <w:rPr>
          <w:rFonts w:hint="cs"/>
          <w:rtl/>
        </w:rPr>
        <w:tab/>
        <w:t>و</w:t>
      </w:r>
      <w:r w:rsidRPr="00C35CB1">
        <w:rPr>
          <w:rFonts w:hint="cs"/>
          <w:rtl/>
        </w:rPr>
        <w:t>في الوقت الحاضر، لا توجد طرائق عمل مرنة</w:t>
      </w:r>
      <w:r w:rsidR="00765A56">
        <w:rPr>
          <w:rFonts w:hint="cs"/>
          <w:rtl/>
        </w:rPr>
        <w:t xml:space="preserve"> </w:t>
      </w:r>
      <w:r w:rsidRPr="00C35CB1">
        <w:rPr>
          <w:rFonts w:hint="cs"/>
          <w:rtl/>
        </w:rPr>
        <w:t xml:space="preserve">تشتمل على تقاسم الوظائف </w:t>
      </w:r>
      <w:r w:rsidR="00D666E0">
        <w:rPr>
          <w:rFonts w:hint="cs"/>
          <w:rtl/>
        </w:rPr>
        <w:t>و</w:t>
      </w:r>
      <w:r w:rsidRPr="00C35CB1">
        <w:rPr>
          <w:rFonts w:hint="cs"/>
          <w:rtl/>
        </w:rPr>
        <w:t>على تعيين دائم بدوام جزئي، مواتية للجمع بين العمل وبين المسؤوليات العائلية.</w:t>
      </w:r>
    </w:p>
    <w:p w:rsidR="00C35CB1" w:rsidRPr="00C35CB1" w:rsidRDefault="002D16EE" w:rsidP="00765A56">
      <w:pPr>
        <w:pStyle w:val="SingleTxt"/>
        <w:rPr>
          <w:rFonts w:hint="cs"/>
          <w:rtl/>
        </w:rPr>
      </w:pPr>
      <w:r>
        <w:rPr>
          <w:rFonts w:hint="cs"/>
          <w:rtl/>
        </w:rPr>
        <w:tab/>
      </w:r>
      <w:r w:rsidR="00C35CB1" w:rsidRPr="00C35CB1">
        <w:rPr>
          <w:rFonts w:hint="cs"/>
          <w:rtl/>
        </w:rPr>
        <w:t>وبالعكس، أدخل تعديل على أوقات العمل في الوظيفة العمومية حددت بموجبه</w:t>
      </w:r>
      <w:r w:rsidR="00765A56">
        <w:rPr>
          <w:rFonts w:hint="cs"/>
          <w:rtl/>
        </w:rPr>
        <w:t xml:space="preserve"> </w:t>
      </w:r>
      <w:r w:rsidR="00C35CB1" w:rsidRPr="00C35CB1">
        <w:rPr>
          <w:rFonts w:hint="cs"/>
          <w:rtl/>
        </w:rPr>
        <w:t>بداية العمل اليومي</w:t>
      </w:r>
      <w:r w:rsidR="00765A56">
        <w:rPr>
          <w:rFonts w:hint="cs"/>
          <w:rtl/>
        </w:rPr>
        <w:t xml:space="preserve"> </w:t>
      </w:r>
      <w:r w:rsidR="00C35CB1" w:rsidRPr="00C35CB1">
        <w:rPr>
          <w:rFonts w:hint="cs"/>
          <w:rtl/>
        </w:rPr>
        <w:t xml:space="preserve">في الساعة التاسعة صباحا حتى يتمكن النساء </w:t>
      </w:r>
      <w:r w:rsidR="00D666E0">
        <w:rPr>
          <w:rFonts w:hint="cs"/>
          <w:rtl/>
        </w:rPr>
        <w:t>و</w:t>
      </w:r>
      <w:r w:rsidR="00C35CB1" w:rsidRPr="00C35CB1">
        <w:rPr>
          <w:rFonts w:hint="cs"/>
          <w:rtl/>
        </w:rPr>
        <w:t>الرجال تنظيم برامج حياتهم العائلية وتنسيقها مع أوقات العمل.</w:t>
      </w:r>
    </w:p>
    <w:p w:rsidR="00BA462B" w:rsidRDefault="002D16EE" w:rsidP="00765A56">
      <w:pPr>
        <w:pStyle w:val="SingleTxt"/>
        <w:rPr>
          <w:rFonts w:hint="cs"/>
          <w:rtl/>
        </w:rPr>
      </w:pPr>
      <w:r>
        <w:rPr>
          <w:rFonts w:hint="cs"/>
          <w:rtl/>
        </w:rPr>
        <w:tab/>
      </w:r>
      <w:r w:rsidR="00D666E0">
        <w:rPr>
          <w:rFonts w:hint="cs"/>
          <w:rtl/>
        </w:rPr>
        <w:t>و</w:t>
      </w:r>
      <w:r w:rsidR="00C35CB1" w:rsidRPr="00C35CB1">
        <w:rPr>
          <w:rFonts w:hint="cs"/>
          <w:rtl/>
        </w:rPr>
        <w:t>تحصل المرأة على إجازة أمومة لمدة 3 أشهر</w:t>
      </w:r>
      <w:r w:rsidR="000A5EC7">
        <w:rPr>
          <w:rFonts w:hint="cs"/>
          <w:rtl/>
        </w:rPr>
        <w:t>،</w:t>
      </w:r>
      <w:r w:rsidR="00C35CB1" w:rsidRPr="00C35CB1">
        <w:rPr>
          <w:rFonts w:hint="cs"/>
          <w:rtl/>
        </w:rPr>
        <w:t xml:space="preserve"> مقابل 15 يوما بالنسبة للرجل حتى تتمكن من تكريس مزيد من الوقت</w:t>
      </w:r>
      <w:r w:rsidR="00765A56">
        <w:rPr>
          <w:rFonts w:hint="cs"/>
          <w:rtl/>
        </w:rPr>
        <w:t xml:space="preserve"> </w:t>
      </w:r>
      <w:r w:rsidR="00C35CB1" w:rsidRPr="00C35CB1">
        <w:rPr>
          <w:rFonts w:hint="cs"/>
          <w:rtl/>
        </w:rPr>
        <w:t>لطفلها بعد الولادة</w:t>
      </w:r>
      <w:r w:rsidR="0015762F">
        <w:rPr>
          <w:rFonts w:hint="cs"/>
          <w:rtl/>
        </w:rPr>
        <w:t>.</w:t>
      </w:r>
    </w:p>
    <w:p w:rsidR="00C35CB1" w:rsidRPr="00C35CB1" w:rsidRDefault="00C35CB1" w:rsidP="00C35CB1">
      <w:pPr>
        <w:pStyle w:val="SingleTxt"/>
        <w:rPr>
          <w:rFonts w:hint="cs"/>
          <w:rtl/>
        </w:rPr>
      </w:pPr>
      <w:r w:rsidRPr="00C35CB1">
        <w:rPr>
          <w:rFonts w:hint="cs"/>
          <w:rtl/>
        </w:rPr>
        <w:t>18</w:t>
      </w:r>
      <w:r w:rsidR="00D666E0">
        <w:rPr>
          <w:rFonts w:hint="cs"/>
          <w:rtl/>
        </w:rPr>
        <w:t xml:space="preserve"> -</w:t>
      </w:r>
      <w:r w:rsidR="00D666E0">
        <w:rPr>
          <w:rFonts w:hint="cs"/>
          <w:rtl/>
        </w:rPr>
        <w:tab/>
      </w:r>
      <w:r w:rsidRPr="00C35CB1">
        <w:rPr>
          <w:rFonts w:hint="cs"/>
          <w:rtl/>
        </w:rPr>
        <w:t xml:space="preserve">لمدغشقر هياكل لاستقبال الأطفال غير المسجلين في المدارس </w:t>
      </w:r>
      <w:r w:rsidR="00D666E0">
        <w:rPr>
          <w:rFonts w:hint="cs"/>
          <w:rtl/>
        </w:rPr>
        <w:t>و</w:t>
      </w:r>
      <w:r w:rsidR="00E71DD0">
        <w:rPr>
          <w:rFonts w:hint="cs"/>
          <w:rtl/>
        </w:rPr>
        <w:t>أطفال الشوارع أو</w:t>
      </w:r>
      <w:r w:rsidR="00E71DD0">
        <w:rPr>
          <w:rFonts w:hint="eastAsia"/>
          <w:rtl/>
        </w:rPr>
        <w:t> </w:t>
      </w:r>
      <w:r w:rsidRPr="00C35CB1">
        <w:rPr>
          <w:rFonts w:hint="cs"/>
          <w:rtl/>
        </w:rPr>
        <w:t>الأطفال الذين هم في خطر أخلاقي</w:t>
      </w:r>
      <w:r w:rsidR="0015762F">
        <w:rPr>
          <w:rFonts w:hint="cs"/>
          <w:rtl/>
        </w:rPr>
        <w:t>.</w:t>
      </w:r>
    </w:p>
    <w:p w:rsidR="00BA462B" w:rsidRDefault="002D16EE" w:rsidP="00416A5F">
      <w:pPr>
        <w:pStyle w:val="SingleTxt"/>
        <w:rPr>
          <w:rFonts w:hint="cs"/>
          <w:rtl/>
        </w:rPr>
      </w:pPr>
      <w:r>
        <w:rPr>
          <w:rFonts w:hint="cs"/>
          <w:rtl/>
        </w:rPr>
        <w:tab/>
      </w:r>
      <w:r w:rsidR="00C35CB1" w:rsidRPr="00C35CB1">
        <w:rPr>
          <w:rFonts w:hint="cs"/>
          <w:rtl/>
        </w:rPr>
        <w:t>وينص القانون 2007</w:t>
      </w:r>
      <w:r w:rsidR="00416A5F">
        <w:rPr>
          <w:rFonts w:hint="cs"/>
          <w:rtl/>
        </w:rPr>
        <w:t>-</w:t>
      </w:r>
      <w:r w:rsidR="00C35CB1" w:rsidRPr="00C35CB1">
        <w:rPr>
          <w:rFonts w:hint="cs"/>
          <w:rtl/>
        </w:rPr>
        <w:t>23 المؤرخ 20 تشرين الأول</w:t>
      </w:r>
      <w:r w:rsidR="00BB6B48">
        <w:rPr>
          <w:rFonts w:hint="cs"/>
          <w:rtl/>
        </w:rPr>
        <w:t>/</w:t>
      </w:r>
      <w:r w:rsidR="00C35CB1" w:rsidRPr="00C35CB1">
        <w:rPr>
          <w:rFonts w:hint="cs"/>
          <w:rtl/>
        </w:rPr>
        <w:t>أكتوبر 2007 في الفقرة 4 من مادته 50 على نقل الأطفال الموجودين في الحالات المذكورة أعلاه، ليعيشوا مع عائلة أخرى أو</w:t>
      </w:r>
      <w:r w:rsidR="00416A5F">
        <w:rPr>
          <w:rFonts w:hint="cs"/>
          <w:rtl/>
        </w:rPr>
        <w:t xml:space="preserve"> </w:t>
      </w:r>
      <w:r w:rsidR="00C35CB1" w:rsidRPr="00C35CB1">
        <w:rPr>
          <w:rFonts w:hint="cs"/>
          <w:rtl/>
        </w:rPr>
        <w:t>في مؤسسة خاصة أو مع شخص جدير بالثق</w:t>
      </w:r>
      <w:r w:rsidR="00C35CB1" w:rsidRPr="00C35CB1">
        <w:rPr>
          <w:rFonts w:hint="eastAsia"/>
          <w:rtl/>
        </w:rPr>
        <w:t>ة</w:t>
      </w:r>
      <w:r w:rsidR="00C35CB1" w:rsidRPr="00C35CB1">
        <w:rPr>
          <w:rFonts w:hint="cs"/>
          <w:rtl/>
        </w:rPr>
        <w:t xml:space="preserve">. </w:t>
      </w:r>
      <w:r w:rsidR="00D666E0">
        <w:rPr>
          <w:rFonts w:hint="cs"/>
          <w:rtl/>
        </w:rPr>
        <w:t>و</w:t>
      </w:r>
      <w:r w:rsidR="00C35CB1" w:rsidRPr="00C35CB1">
        <w:rPr>
          <w:rFonts w:hint="cs"/>
          <w:rtl/>
        </w:rPr>
        <w:t>يجرى اتخاذ تدابير للمؤازرة التربوية من أجل مساعدتهم على اجتياز الصعوبات المدرسية أو الصعوبات الأخرى.</w:t>
      </w:r>
    </w:p>
    <w:p w:rsidR="00BA462B" w:rsidRDefault="002D16EE" w:rsidP="00765A56">
      <w:pPr>
        <w:pStyle w:val="SingleTxt"/>
        <w:rPr>
          <w:rFonts w:hint="cs"/>
          <w:rtl/>
        </w:rPr>
      </w:pPr>
      <w:r>
        <w:rPr>
          <w:rFonts w:hint="cs"/>
          <w:rtl/>
        </w:rPr>
        <w:tab/>
      </w:r>
      <w:r w:rsidR="00D666E0">
        <w:rPr>
          <w:rFonts w:hint="cs"/>
          <w:rtl/>
        </w:rPr>
        <w:t>و</w:t>
      </w:r>
      <w:r w:rsidR="00C35CB1" w:rsidRPr="00C35CB1">
        <w:rPr>
          <w:rFonts w:hint="cs"/>
          <w:rtl/>
        </w:rPr>
        <w:t>في هذا الاتجاه، أقامت الدولة</w:t>
      </w:r>
      <w:r w:rsidR="00765A56">
        <w:rPr>
          <w:rFonts w:hint="cs"/>
          <w:rtl/>
        </w:rPr>
        <w:t xml:space="preserve"> </w:t>
      </w:r>
      <w:r w:rsidR="00C35CB1" w:rsidRPr="00C35CB1">
        <w:rPr>
          <w:rFonts w:hint="cs"/>
          <w:rtl/>
        </w:rPr>
        <w:t xml:space="preserve">مركزا لإعادة التأهيل في أنجاناماسينا أنتاناناريفو. </w:t>
      </w:r>
      <w:r w:rsidR="00D666E0">
        <w:rPr>
          <w:rFonts w:hint="cs"/>
          <w:rtl/>
        </w:rPr>
        <w:t>و</w:t>
      </w:r>
      <w:r w:rsidR="00C35CB1" w:rsidRPr="00C35CB1">
        <w:rPr>
          <w:rFonts w:hint="cs"/>
          <w:rtl/>
        </w:rPr>
        <w:t>يستقبل هذا المركز الأطفال حين تظهر حالا</w:t>
      </w:r>
      <w:r w:rsidR="00C35CB1" w:rsidRPr="00C35CB1">
        <w:rPr>
          <w:rFonts w:hint="eastAsia"/>
          <w:rtl/>
        </w:rPr>
        <w:t>ت</w:t>
      </w:r>
      <w:r w:rsidR="00C35CB1" w:rsidRPr="00C35CB1">
        <w:rPr>
          <w:rFonts w:hint="cs"/>
          <w:rtl/>
        </w:rPr>
        <w:t xml:space="preserve"> اجتماعية صعبة أو</w:t>
      </w:r>
      <w:r w:rsidR="00416A5F">
        <w:rPr>
          <w:rFonts w:hint="cs"/>
          <w:rtl/>
        </w:rPr>
        <w:t xml:space="preserve"> </w:t>
      </w:r>
      <w:r w:rsidR="00C35CB1" w:rsidRPr="00C35CB1">
        <w:rPr>
          <w:rFonts w:hint="cs"/>
          <w:rtl/>
        </w:rPr>
        <w:t>في</w:t>
      </w:r>
      <w:r w:rsidR="00765A56">
        <w:rPr>
          <w:rFonts w:hint="cs"/>
          <w:rtl/>
        </w:rPr>
        <w:t xml:space="preserve"> </w:t>
      </w:r>
      <w:r w:rsidR="00C35CB1" w:rsidRPr="00C35CB1">
        <w:rPr>
          <w:rFonts w:hint="cs"/>
          <w:rtl/>
        </w:rPr>
        <w:t>حالة ارتكاب مخالفة للقانون. ويتواصل حاليا</w:t>
      </w:r>
      <w:r w:rsidR="00765A56">
        <w:rPr>
          <w:rFonts w:hint="cs"/>
          <w:rtl/>
        </w:rPr>
        <w:t xml:space="preserve"> </w:t>
      </w:r>
      <w:r w:rsidR="00C35CB1" w:rsidRPr="00C35CB1">
        <w:rPr>
          <w:rFonts w:hint="cs"/>
          <w:rtl/>
        </w:rPr>
        <w:t>بناء مركز لإعاد</w:t>
      </w:r>
      <w:r w:rsidR="00C35CB1" w:rsidRPr="00C35CB1">
        <w:rPr>
          <w:rFonts w:hint="eastAsia"/>
          <w:rtl/>
        </w:rPr>
        <w:t>ة</w:t>
      </w:r>
      <w:r w:rsidR="00C35CB1" w:rsidRPr="00C35CB1">
        <w:rPr>
          <w:rFonts w:hint="cs"/>
          <w:rtl/>
        </w:rPr>
        <w:t xml:space="preserve"> التأهيل في دياغوسوارس.</w:t>
      </w:r>
    </w:p>
    <w:p w:rsidR="00BA462B" w:rsidRDefault="002D16EE" w:rsidP="00C35CB1">
      <w:pPr>
        <w:pStyle w:val="SingleTxt"/>
        <w:rPr>
          <w:rFonts w:hint="cs"/>
          <w:rtl/>
        </w:rPr>
      </w:pPr>
      <w:r>
        <w:rPr>
          <w:rFonts w:hint="cs"/>
          <w:rtl/>
        </w:rPr>
        <w:tab/>
      </w:r>
      <w:r w:rsidR="00D666E0">
        <w:rPr>
          <w:rFonts w:hint="cs"/>
          <w:rtl/>
        </w:rPr>
        <w:t>و</w:t>
      </w:r>
      <w:r w:rsidR="00C35CB1" w:rsidRPr="00C35CB1">
        <w:rPr>
          <w:rFonts w:hint="cs"/>
          <w:rtl/>
        </w:rPr>
        <w:t xml:space="preserve">توفر بعض مؤسسات القطاع الخاص قاعات لإرضاع المواليد الجدد. </w:t>
      </w:r>
      <w:r w:rsidR="00D666E0">
        <w:rPr>
          <w:rFonts w:hint="cs"/>
          <w:rtl/>
        </w:rPr>
        <w:t>و</w:t>
      </w:r>
      <w:r w:rsidR="00C35CB1" w:rsidRPr="00C35CB1">
        <w:rPr>
          <w:rFonts w:hint="cs"/>
          <w:rtl/>
        </w:rPr>
        <w:t>على خلاف ذلك، لا توجد حتى الآن مراكز لحضانة الأطفال تكون قد أعدتها مؤسسات تابعة للقطاع الخاص. بينما توجد مراكز</w:t>
      </w:r>
      <w:r w:rsidR="006145D0">
        <w:rPr>
          <w:rFonts w:hint="cs"/>
          <w:rtl/>
        </w:rPr>
        <w:t xml:space="preserve"> </w:t>
      </w:r>
      <w:r w:rsidR="00C35CB1" w:rsidRPr="00C35CB1">
        <w:rPr>
          <w:rFonts w:hint="cs"/>
          <w:rtl/>
        </w:rPr>
        <w:t>رعاية عمومية لاستقبال الأطفال دون سن الثالثة من أجل مساعدة النساء اللاتي يشغلن وظائف دائمة.</w:t>
      </w:r>
    </w:p>
    <w:p w:rsidR="002D16EE" w:rsidRPr="002D16EE" w:rsidRDefault="002D16EE" w:rsidP="002D16EE">
      <w:pPr>
        <w:pStyle w:val="SingleTxt"/>
        <w:spacing w:after="0" w:line="120" w:lineRule="exact"/>
        <w:rPr>
          <w:rFonts w:hint="cs"/>
          <w:sz w:val="10"/>
          <w:rtl/>
        </w:rPr>
      </w:pPr>
    </w:p>
    <w:p w:rsidR="00BA462B" w:rsidRDefault="00C35CB1" w:rsidP="00C35CB1">
      <w:pPr>
        <w:pStyle w:val="SingleTxt"/>
        <w:rPr>
          <w:rFonts w:hint="cs"/>
          <w:i/>
          <w:iCs/>
          <w:rtl/>
        </w:rPr>
      </w:pPr>
      <w:r w:rsidRPr="00C35CB1">
        <w:rPr>
          <w:rFonts w:hint="cs"/>
          <w:i/>
          <w:iCs/>
          <w:rtl/>
        </w:rPr>
        <w:t xml:space="preserve">الوضع القانوني الحالي فيما يتعلق بحق المرأة في وراثة الممتلكات </w:t>
      </w:r>
    </w:p>
    <w:p w:rsidR="00BA462B" w:rsidRDefault="00C35CB1" w:rsidP="00416A5F">
      <w:pPr>
        <w:pStyle w:val="SingleTxt"/>
        <w:rPr>
          <w:rFonts w:hint="cs"/>
          <w:rtl/>
        </w:rPr>
      </w:pPr>
      <w:r w:rsidRPr="00C35CB1">
        <w:rPr>
          <w:rFonts w:hint="cs"/>
          <w:rtl/>
        </w:rPr>
        <w:t>19</w:t>
      </w:r>
      <w:r w:rsidR="00D666E0">
        <w:rPr>
          <w:rFonts w:hint="cs"/>
          <w:rtl/>
        </w:rPr>
        <w:t xml:space="preserve"> -</w:t>
      </w:r>
      <w:r w:rsidR="00D666E0">
        <w:rPr>
          <w:rFonts w:hint="cs"/>
          <w:rtl/>
        </w:rPr>
        <w:tab/>
      </w:r>
      <w:r w:rsidRPr="00C35CB1">
        <w:rPr>
          <w:rFonts w:hint="cs"/>
          <w:rtl/>
        </w:rPr>
        <w:t>لا يتضمن القان</w:t>
      </w:r>
      <w:r w:rsidR="006145D0">
        <w:rPr>
          <w:rFonts w:hint="cs"/>
          <w:rtl/>
        </w:rPr>
        <w:t>ون عدد 68-12 المؤرخ 4</w:t>
      </w:r>
      <w:r w:rsidR="00416A5F">
        <w:rPr>
          <w:rFonts w:hint="cs"/>
          <w:rtl/>
        </w:rPr>
        <w:t xml:space="preserve"> </w:t>
      </w:r>
      <w:r w:rsidR="006145D0">
        <w:rPr>
          <w:rFonts w:hint="cs"/>
          <w:rtl/>
        </w:rPr>
        <w:t>تموز/يوليه</w:t>
      </w:r>
      <w:r w:rsidRPr="00C35CB1">
        <w:rPr>
          <w:rFonts w:hint="cs"/>
          <w:rtl/>
        </w:rPr>
        <w:t xml:space="preserve"> 1968 </w:t>
      </w:r>
      <w:r w:rsidR="00D666E0">
        <w:rPr>
          <w:rFonts w:hint="cs"/>
          <w:rtl/>
        </w:rPr>
        <w:t>و</w:t>
      </w:r>
      <w:r w:rsidRPr="00C35CB1">
        <w:rPr>
          <w:rFonts w:hint="cs"/>
          <w:rtl/>
        </w:rPr>
        <w:t xml:space="preserve">المتعلق بالخلافة </w:t>
      </w:r>
      <w:r w:rsidR="00D666E0">
        <w:rPr>
          <w:rFonts w:hint="cs"/>
          <w:rtl/>
        </w:rPr>
        <w:t>و</w:t>
      </w:r>
      <w:r w:rsidRPr="00C35CB1">
        <w:rPr>
          <w:rFonts w:hint="cs"/>
          <w:rtl/>
        </w:rPr>
        <w:t xml:space="preserve">الوصية </w:t>
      </w:r>
      <w:r w:rsidR="00D666E0">
        <w:rPr>
          <w:rFonts w:hint="cs"/>
          <w:rtl/>
        </w:rPr>
        <w:t>و</w:t>
      </w:r>
      <w:r w:rsidRPr="00C35CB1">
        <w:rPr>
          <w:rFonts w:hint="cs"/>
          <w:rtl/>
        </w:rPr>
        <w:t>الهبة أحكاما</w:t>
      </w:r>
      <w:r w:rsidR="00765A56">
        <w:rPr>
          <w:rFonts w:hint="cs"/>
          <w:rtl/>
        </w:rPr>
        <w:t xml:space="preserve"> </w:t>
      </w:r>
      <w:r w:rsidRPr="00C35CB1">
        <w:rPr>
          <w:rFonts w:hint="cs"/>
          <w:rtl/>
        </w:rPr>
        <w:t>تمييزية مرتبطة بحق الإناث في</w:t>
      </w:r>
      <w:r w:rsidR="00765A56">
        <w:rPr>
          <w:rFonts w:hint="cs"/>
          <w:rtl/>
        </w:rPr>
        <w:t xml:space="preserve"> </w:t>
      </w:r>
      <w:r w:rsidRPr="00C35CB1">
        <w:rPr>
          <w:rFonts w:hint="cs"/>
          <w:rtl/>
        </w:rPr>
        <w:t>أن يرثن عقارات. بيد أنه</w:t>
      </w:r>
      <w:r w:rsidR="0015762F">
        <w:rPr>
          <w:rFonts w:hint="cs"/>
          <w:rtl/>
        </w:rPr>
        <w:t>،</w:t>
      </w:r>
      <w:r w:rsidRPr="00C35CB1">
        <w:rPr>
          <w:rFonts w:hint="cs"/>
          <w:rtl/>
        </w:rPr>
        <w:t xml:space="preserve"> يمكن على صعيد الممارسة</w:t>
      </w:r>
      <w:r w:rsidR="00765A56">
        <w:rPr>
          <w:rFonts w:hint="cs"/>
          <w:rtl/>
        </w:rPr>
        <w:t xml:space="preserve"> </w:t>
      </w:r>
      <w:r w:rsidRPr="00C35CB1">
        <w:rPr>
          <w:rFonts w:hint="cs"/>
          <w:rtl/>
        </w:rPr>
        <w:t>أن</w:t>
      </w:r>
      <w:r w:rsidR="00765A56">
        <w:rPr>
          <w:rFonts w:hint="cs"/>
          <w:rtl/>
        </w:rPr>
        <w:t xml:space="preserve"> </w:t>
      </w:r>
      <w:r w:rsidRPr="00C35CB1">
        <w:rPr>
          <w:rFonts w:hint="cs"/>
          <w:rtl/>
        </w:rPr>
        <w:t xml:space="preserve">يتفق الورثة على إعطاء الوارثات مبلغا ماليا مقابل إرثهن. </w:t>
      </w:r>
      <w:r w:rsidR="00D666E0">
        <w:rPr>
          <w:rFonts w:hint="cs"/>
          <w:rtl/>
        </w:rPr>
        <w:t>و</w:t>
      </w:r>
      <w:r w:rsidRPr="00C35CB1">
        <w:rPr>
          <w:rFonts w:hint="cs"/>
          <w:rtl/>
        </w:rPr>
        <w:t>ه</w:t>
      </w:r>
      <w:r w:rsidR="006145D0">
        <w:rPr>
          <w:rFonts w:hint="cs"/>
          <w:rtl/>
        </w:rPr>
        <w:t>ذه</w:t>
      </w:r>
      <w:r w:rsidRPr="00C35CB1">
        <w:rPr>
          <w:rFonts w:hint="cs"/>
          <w:rtl/>
        </w:rPr>
        <w:t xml:space="preserve"> الممارسات السيئة ناتجة عن الاعتقاد الخاطئ بأن قدر النساء أن يتّبعن أزواجهن. </w:t>
      </w:r>
      <w:r w:rsidR="00D666E0">
        <w:rPr>
          <w:rFonts w:hint="cs"/>
          <w:rtl/>
        </w:rPr>
        <w:t>و</w:t>
      </w:r>
      <w:r w:rsidRPr="00C35CB1">
        <w:rPr>
          <w:rFonts w:hint="cs"/>
          <w:rtl/>
        </w:rPr>
        <w:t>ينظر بصورة خاطئة إلى إمكانية توريث النساء في مجال العقارات، باعتبارها تحبط جهو</w:t>
      </w:r>
      <w:r w:rsidRPr="00C35CB1">
        <w:rPr>
          <w:rFonts w:hint="eastAsia"/>
          <w:rtl/>
        </w:rPr>
        <w:t>د</w:t>
      </w:r>
      <w:r w:rsidRPr="00C35CB1">
        <w:rPr>
          <w:rFonts w:hint="cs"/>
          <w:rtl/>
        </w:rPr>
        <w:t xml:space="preserve"> المحافظة على ممتلكات الأجداد. </w:t>
      </w:r>
      <w:r w:rsidR="00D666E0">
        <w:rPr>
          <w:rFonts w:hint="cs"/>
          <w:rtl/>
        </w:rPr>
        <w:t>و</w:t>
      </w:r>
      <w:r w:rsidRPr="00C35CB1">
        <w:rPr>
          <w:rFonts w:hint="cs"/>
          <w:rtl/>
        </w:rPr>
        <w:t xml:space="preserve">لمعالجة هذه المسألة، تضطلع حاليا وزارة العدل بحملة توعية من أجل إرساء ثقافة مواتية للمساواة في الحقوق بين الرجل </w:t>
      </w:r>
      <w:r w:rsidR="00D666E0">
        <w:rPr>
          <w:rFonts w:hint="cs"/>
          <w:rtl/>
        </w:rPr>
        <w:t>و</w:t>
      </w:r>
      <w:r w:rsidRPr="00C35CB1">
        <w:rPr>
          <w:rFonts w:hint="cs"/>
          <w:rtl/>
        </w:rPr>
        <w:t xml:space="preserve">المرأة </w:t>
      </w:r>
      <w:r w:rsidR="00D666E0">
        <w:rPr>
          <w:rFonts w:hint="cs"/>
          <w:rtl/>
        </w:rPr>
        <w:t>و</w:t>
      </w:r>
      <w:r w:rsidRPr="00C35CB1">
        <w:rPr>
          <w:rFonts w:hint="cs"/>
          <w:rtl/>
        </w:rPr>
        <w:t>كذلك للتطبيق الفعلي للاتفاقية.</w:t>
      </w:r>
    </w:p>
    <w:p w:rsidR="00BA462B" w:rsidRDefault="002D16EE" w:rsidP="00765A56">
      <w:pPr>
        <w:pStyle w:val="SingleTxt"/>
        <w:rPr>
          <w:rFonts w:hint="cs"/>
          <w:rtl/>
        </w:rPr>
      </w:pPr>
      <w:r>
        <w:rPr>
          <w:rFonts w:hint="cs"/>
          <w:rtl/>
        </w:rPr>
        <w:tab/>
      </w:r>
      <w:r w:rsidR="00C35CB1" w:rsidRPr="00C35CB1">
        <w:rPr>
          <w:rFonts w:hint="cs"/>
          <w:rtl/>
        </w:rPr>
        <w:t xml:space="preserve">ينص القانون عدد 2007-22 المؤرخ 20آب/أغسطس 2007 المتعلق بالزواج </w:t>
      </w:r>
      <w:r w:rsidR="00D666E0">
        <w:rPr>
          <w:rFonts w:hint="cs"/>
          <w:rtl/>
        </w:rPr>
        <w:t>و</w:t>
      </w:r>
      <w:r w:rsidR="00C35CB1" w:rsidRPr="00C35CB1">
        <w:rPr>
          <w:rFonts w:hint="cs"/>
          <w:rtl/>
        </w:rPr>
        <w:t xml:space="preserve">النظم الخاصة به على أن الزوجين لهما نفس الحقوق </w:t>
      </w:r>
      <w:r w:rsidR="00D666E0">
        <w:rPr>
          <w:rFonts w:hint="cs"/>
          <w:rtl/>
        </w:rPr>
        <w:t>و</w:t>
      </w:r>
      <w:r w:rsidR="00C35CB1" w:rsidRPr="00C35CB1">
        <w:rPr>
          <w:rFonts w:hint="cs"/>
          <w:rtl/>
        </w:rPr>
        <w:t>نفس المسؤوليات فيما يخص إدارة الممتلكات الجماعية.</w:t>
      </w:r>
    </w:p>
    <w:p w:rsidR="002D16EE" w:rsidRPr="002D16EE" w:rsidRDefault="002D16EE" w:rsidP="002D16EE">
      <w:pPr>
        <w:pStyle w:val="SingleTxt"/>
        <w:spacing w:after="0" w:line="120" w:lineRule="exact"/>
        <w:rPr>
          <w:rFonts w:hint="cs"/>
          <w:b/>
          <w:bCs/>
          <w:sz w:val="10"/>
          <w:rtl/>
        </w:rPr>
      </w:pPr>
    </w:p>
    <w:p w:rsidR="00C35CB1" w:rsidRPr="00C35CB1" w:rsidRDefault="002D16EE" w:rsidP="00C35CB1">
      <w:pPr>
        <w:pStyle w:val="SingleTxt"/>
        <w:rPr>
          <w:rFonts w:hint="cs"/>
          <w:b/>
          <w:bCs/>
          <w:rtl/>
        </w:rPr>
      </w:pPr>
      <w:r>
        <w:rPr>
          <w:rFonts w:hint="cs"/>
          <w:b/>
          <w:bCs/>
          <w:rtl/>
        </w:rPr>
        <w:t>الصحة</w:t>
      </w:r>
    </w:p>
    <w:p w:rsidR="00C35CB1" w:rsidRPr="00C35CB1" w:rsidRDefault="00C35CB1" w:rsidP="002D16EE">
      <w:pPr>
        <w:pStyle w:val="SingleTxt"/>
        <w:rPr>
          <w:rFonts w:hint="cs"/>
          <w:rtl/>
        </w:rPr>
      </w:pPr>
      <w:r w:rsidRPr="00C35CB1">
        <w:rPr>
          <w:rFonts w:hint="cs"/>
          <w:rtl/>
        </w:rPr>
        <w:t xml:space="preserve">20 و 21 </w:t>
      </w:r>
      <w:r w:rsidR="002D16EE">
        <w:rPr>
          <w:rFonts w:hint="cs"/>
          <w:rtl/>
        </w:rPr>
        <w:t>-</w:t>
      </w:r>
      <w:r w:rsidRPr="00C35CB1">
        <w:rPr>
          <w:rFonts w:hint="cs"/>
          <w:rtl/>
        </w:rPr>
        <w:t xml:space="preserve"> تبذل الدولة جهودا لزيادة عدد مراكز الصحة الأساسية من أجل تيسير وصول النساء إلى هذه المراكز.</w:t>
      </w:r>
    </w:p>
    <w:p w:rsidR="00C35CB1" w:rsidRPr="00C35CB1" w:rsidRDefault="002D16EE" w:rsidP="00765A56">
      <w:pPr>
        <w:pStyle w:val="SingleTxt"/>
        <w:rPr>
          <w:rFonts w:hint="cs"/>
          <w:rtl/>
        </w:rPr>
      </w:pPr>
      <w:r>
        <w:rPr>
          <w:rFonts w:hint="cs"/>
          <w:rtl/>
        </w:rPr>
        <w:tab/>
      </w:r>
      <w:r w:rsidR="00D666E0">
        <w:rPr>
          <w:rFonts w:hint="cs"/>
          <w:rtl/>
        </w:rPr>
        <w:t>و</w:t>
      </w:r>
      <w:r w:rsidR="00C35CB1" w:rsidRPr="00C35CB1">
        <w:rPr>
          <w:rFonts w:hint="cs"/>
          <w:rtl/>
        </w:rPr>
        <w:t>بصفة عامة،</w:t>
      </w:r>
      <w:r w:rsidR="00D666E0">
        <w:rPr>
          <w:rFonts w:hint="cs"/>
          <w:rtl/>
        </w:rPr>
        <w:t xml:space="preserve"> </w:t>
      </w:r>
      <w:r w:rsidR="00C35CB1" w:rsidRPr="00C35CB1">
        <w:rPr>
          <w:rFonts w:hint="cs"/>
          <w:rtl/>
        </w:rPr>
        <w:t>يعاني النظام الوطني للصحة من قلة مواردهم البشرية</w:t>
      </w:r>
      <w:r w:rsidR="00765A56">
        <w:rPr>
          <w:rFonts w:hint="cs"/>
          <w:rtl/>
        </w:rPr>
        <w:t xml:space="preserve"> </w:t>
      </w:r>
      <w:r w:rsidR="00C35CB1" w:rsidRPr="00C35CB1">
        <w:rPr>
          <w:rFonts w:hint="cs"/>
          <w:rtl/>
        </w:rPr>
        <w:t>ومن نقص في المعدات وضعف</w:t>
      </w:r>
      <w:r w:rsidR="006145D0">
        <w:rPr>
          <w:rFonts w:hint="cs"/>
          <w:rtl/>
        </w:rPr>
        <w:t xml:space="preserve"> الأ</w:t>
      </w:r>
      <w:r w:rsidR="00C35CB1" w:rsidRPr="00C35CB1">
        <w:rPr>
          <w:rFonts w:hint="cs"/>
          <w:rtl/>
        </w:rPr>
        <w:t>داء.</w:t>
      </w:r>
    </w:p>
    <w:p w:rsidR="00BA462B" w:rsidRDefault="002D16EE" w:rsidP="00765A56">
      <w:pPr>
        <w:pStyle w:val="SingleTxt"/>
        <w:rPr>
          <w:rFonts w:hint="cs"/>
          <w:rtl/>
        </w:rPr>
      </w:pPr>
      <w:r>
        <w:rPr>
          <w:rFonts w:hint="cs"/>
          <w:rtl/>
        </w:rPr>
        <w:tab/>
      </w:r>
      <w:r w:rsidR="00C35CB1" w:rsidRPr="00C35CB1">
        <w:rPr>
          <w:rFonts w:hint="cs"/>
          <w:rtl/>
        </w:rPr>
        <w:t>على</w:t>
      </w:r>
      <w:r w:rsidR="00765A56">
        <w:rPr>
          <w:rFonts w:hint="cs"/>
          <w:rtl/>
        </w:rPr>
        <w:t xml:space="preserve"> </w:t>
      </w:r>
      <w:r w:rsidR="00C35CB1" w:rsidRPr="00C35CB1">
        <w:rPr>
          <w:rFonts w:hint="cs"/>
          <w:rtl/>
        </w:rPr>
        <w:t>صعيد الموارد البشرية، نلاحظ من جهة، النقص في الإطار الطبي على مستوى مراكز الصحة الأساسية (نسبة الإطارات الطبي</w:t>
      </w:r>
      <w:r w:rsidR="00416A5F">
        <w:rPr>
          <w:rFonts w:hint="cs"/>
          <w:rtl/>
        </w:rPr>
        <w:t>ة المعاونة لكل مركز: 1.4</w:t>
      </w:r>
      <w:r w:rsidR="00C35CB1" w:rsidRPr="00C35CB1">
        <w:rPr>
          <w:rFonts w:hint="cs"/>
          <w:rtl/>
        </w:rPr>
        <w:t xml:space="preserve">)؛ </w:t>
      </w:r>
      <w:r w:rsidR="00D666E0">
        <w:rPr>
          <w:rFonts w:hint="cs"/>
          <w:rtl/>
        </w:rPr>
        <w:t>و</w:t>
      </w:r>
      <w:r w:rsidR="00C35CB1" w:rsidRPr="00C35CB1">
        <w:rPr>
          <w:rFonts w:hint="cs"/>
          <w:rtl/>
        </w:rPr>
        <w:t>من جهة أخرى، التوزيع غير</w:t>
      </w:r>
      <w:r w:rsidR="00765A56">
        <w:rPr>
          <w:rFonts w:hint="cs"/>
          <w:rtl/>
        </w:rPr>
        <w:t xml:space="preserve"> </w:t>
      </w:r>
      <w:r w:rsidR="00416A5F">
        <w:rPr>
          <w:rFonts w:hint="cs"/>
          <w:rtl/>
        </w:rPr>
        <w:t>المتكافئ للإطار (</w:t>
      </w:r>
      <w:r w:rsidR="00C35CB1" w:rsidRPr="00C35CB1">
        <w:rPr>
          <w:rFonts w:hint="cs"/>
          <w:rtl/>
        </w:rPr>
        <w:t>يعتني</w:t>
      </w:r>
      <w:r w:rsidR="00765A56">
        <w:rPr>
          <w:rFonts w:hint="cs"/>
          <w:rtl/>
        </w:rPr>
        <w:t xml:space="preserve"> </w:t>
      </w:r>
      <w:r w:rsidR="00C35CB1" w:rsidRPr="00C35CB1">
        <w:rPr>
          <w:rFonts w:hint="cs"/>
          <w:rtl/>
        </w:rPr>
        <w:t>41 في المائة</w:t>
      </w:r>
      <w:r w:rsidR="00765A56">
        <w:rPr>
          <w:rFonts w:hint="cs"/>
          <w:rtl/>
          <w:lang w:val="fr-FR"/>
        </w:rPr>
        <w:t xml:space="preserve"> </w:t>
      </w:r>
      <w:r w:rsidR="00C35CB1" w:rsidRPr="00C35CB1">
        <w:rPr>
          <w:rFonts w:hint="cs"/>
          <w:rtl/>
        </w:rPr>
        <w:t>من الإطار الطبي ب</w:t>
      </w:r>
      <w:r w:rsidR="00416A5F">
        <w:rPr>
          <w:rFonts w:hint="cs"/>
          <w:rtl/>
        </w:rPr>
        <w:t>ـ</w:t>
      </w:r>
      <w:r w:rsidR="00C35CB1" w:rsidRPr="00C35CB1">
        <w:rPr>
          <w:rFonts w:hint="cs"/>
          <w:rtl/>
        </w:rPr>
        <w:t xml:space="preserve"> 21 في المائة</w:t>
      </w:r>
      <w:r w:rsidR="00765A56">
        <w:rPr>
          <w:rFonts w:hint="cs"/>
          <w:rtl/>
          <w:lang w:val="fr-FR"/>
        </w:rPr>
        <w:t xml:space="preserve"> </w:t>
      </w:r>
      <w:r w:rsidR="00C35CB1" w:rsidRPr="00C35CB1">
        <w:rPr>
          <w:rFonts w:hint="cs"/>
          <w:rtl/>
        </w:rPr>
        <w:t>من مجموع السكان).</w:t>
      </w:r>
    </w:p>
    <w:p w:rsidR="00BA462B" w:rsidRDefault="002D16EE" w:rsidP="00C35CB1">
      <w:pPr>
        <w:pStyle w:val="SingleTxt"/>
        <w:rPr>
          <w:rFonts w:hint="cs"/>
          <w:rtl/>
        </w:rPr>
      </w:pPr>
      <w:r>
        <w:rPr>
          <w:rFonts w:hint="cs"/>
          <w:rtl/>
        </w:rPr>
        <w:tab/>
      </w:r>
      <w:r w:rsidR="00C35CB1" w:rsidRPr="00C35CB1">
        <w:rPr>
          <w:rFonts w:hint="cs"/>
          <w:rtl/>
        </w:rPr>
        <w:t>وفيما يتعلق بالتغطية الجغرافية، يوجد أقل من 6</w:t>
      </w:r>
      <w:r w:rsidR="00416A5F">
        <w:rPr>
          <w:rFonts w:hint="cs"/>
          <w:rtl/>
        </w:rPr>
        <w:t>5 في المائة من السكان على بعد 5 </w:t>
      </w:r>
      <w:r w:rsidR="00C35CB1" w:rsidRPr="00C35CB1">
        <w:rPr>
          <w:rFonts w:hint="cs"/>
          <w:rtl/>
        </w:rPr>
        <w:t>كلم أو أقل من ذلك من أقرب مرك</w:t>
      </w:r>
      <w:r w:rsidR="006145D0">
        <w:rPr>
          <w:rFonts w:hint="cs"/>
          <w:rtl/>
        </w:rPr>
        <w:t>ز للرعاية الصحية، ويبلغ معدل الا</w:t>
      </w:r>
      <w:r w:rsidR="00C35CB1" w:rsidRPr="00C35CB1">
        <w:rPr>
          <w:rFonts w:hint="cs"/>
          <w:rtl/>
        </w:rPr>
        <w:t>نتفاع بالخدمات الأساسية العامة 50 في المائة</w:t>
      </w:r>
      <w:r w:rsidR="0015762F">
        <w:rPr>
          <w:rFonts w:hint="cs"/>
          <w:rtl/>
        </w:rPr>
        <w:t>.</w:t>
      </w:r>
      <w:r w:rsidR="00C35CB1" w:rsidRPr="00C35CB1">
        <w:rPr>
          <w:rFonts w:hint="cs"/>
          <w:rtl/>
        </w:rPr>
        <w:t xml:space="preserve"> </w:t>
      </w:r>
    </w:p>
    <w:p w:rsidR="00C35CB1" w:rsidRPr="00C35CB1" w:rsidRDefault="002D16EE" w:rsidP="00C35CB1">
      <w:pPr>
        <w:pStyle w:val="SingleTxt"/>
        <w:rPr>
          <w:rFonts w:hint="cs"/>
          <w:rtl/>
        </w:rPr>
      </w:pPr>
      <w:r>
        <w:rPr>
          <w:rFonts w:hint="cs"/>
          <w:rtl/>
        </w:rPr>
        <w:tab/>
      </w:r>
      <w:r w:rsidR="00D666E0">
        <w:rPr>
          <w:rFonts w:hint="cs"/>
          <w:rtl/>
        </w:rPr>
        <w:t>و</w:t>
      </w:r>
      <w:r w:rsidR="00C35CB1" w:rsidRPr="00C35CB1">
        <w:rPr>
          <w:rFonts w:hint="cs"/>
          <w:rtl/>
        </w:rPr>
        <w:t xml:space="preserve">فضلا عن ذلك، لم يكن أي مركز من المراكز الطبية للمقاطعات محترما للمعايير المتطلبة، </w:t>
      </w:r>
      <w:r w:rsidR="00D666E0">
        <w:rPr>
          <w:rFonts w:hint="cs"/>
          <w:rtl/>
        </w:rPr>
        <w:t>و</w:t>
      </w:r>
      <w:r w:rsidR="00C35CB1" w:rsidRPr="00C35CB1">
        <w:rPr>
          <w:rFonts w:hint="cs"/>
          <w:rtl/>
        </w:rPr>
        <w:t xml:space="preserve">لم يتوفر إلا لدى: </w:t>
      </w:r>
    </w:p>
    <w:p w:rsidR="00C35CB1" w:rsidRPr="00C35CB1" w:rsidRDefault="00C35CB1" w:rsidP="00DE02D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sidRPr="00C35CB1">
        <w:rPr>
          <w:rFonts w:hint="cs"/>
          <w:rtl/>
        </w:rPr>
        <w:tab/>
      </w:r>
      <w:r w:rsidR="00DE02D4">
        <w:rPr>
          <w:rFonts w:hint="cs"/>
          <w:rtl/>
        </w:rPr>
        <w:t>-</w:t>
      </w:r>
      <w:r w:rsidR="00DE02D4">
        <w:rPr>
          <w:rFonts w:hint="cs"/>
          <w:rtl/>
        </w:rPr>
        <w:tab/>
      </w:r>
      <w:r w:rsidRPr="00C35CB1">
        <w:rPr>
          <w:rFonts w:hint="cs"/>
          <w:rtl/>
        </w:rPr>
        <w:t>30 في المائة من مراكز الرعاية الصحية الأساسية،</w:t>
      </w:r>
    </w:p>
    <w:p w:rsidR="00BA462B" w:rsidRDefault="002D16EE" w:rsidP="00DE02D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sidR="00DE02D4">
        <w:rPr>
          <w:rFonts w:hint="cs"/>
          <w:rtl/>
        </w:rPr>
        <w:t>-</w:t>
      </w:r>
      <w:r w:rsidR="00DE02D4">
        <w:rPr>
          <w:rFonts w:hint="cs"/>
          <w:rtl/>
        </w:rPr>
        <w:tab/>
      </w:r>
      <w:r w:rsidR="00C35CB1" w:rsidRPr="00C35CB1">
        <w:rPr>
          <w:rFonts w:hint="cs"/>
          <w:rtl/>
        </w:rPr>
        <w:t>و 16 في المائة من المراكز</w:t>
      </w:r>
      <w:r w:rsidR="00765A56">
        <w:rPr>
          <w:rFonts w:hint="cs"/>
          <w:rtl/>
        </w:rPr>
        <w:t xml:space="preserve"> </w:t>
      </w:r>
      <w:r>
        <w:rPr>
          <w:rFonts w:hint="cs"/>
          <w:rtl/>
        </w:rPr>
        <w:t>الطبية الإقليمية،</w:t>
      </w:r>
      <w:r w:rsidR="00DE02D4">
        <w:rPr>
          <w:rFonts w:hint="cs"/>
          <w:rtl/>
        </w:rPr>
        <w:t xml:space="preserve"> </w:t>
      </w:r>
      <w:r w:rsidR="00C35CB1" w:rsidRPr="00C35CB1">
        <w:rPr>
          <w:rFonts w:hint="cs"/>
          <w:rtl/>
        </w:rPr>
        <w:t xml:space="preserve">ما يكفي من المرافق التقنية </w:t>
      </w:r>
      <w:r w:rsidR="00D666E0">
        <w:rPr>
          <w:rFonts w:hint="cs"/>
          <w:rtl/>
        </w:rPr>
        <w:t>و</w:t>
      </w:r>
      <w:r w:rsidR="00E71DD0">
        <w:rPr>
          <w:rFonts w:hint="cs"/>
          <w:rtl/>
        </w:rPr>
        <w:t>الموظفين</w:t>
      </w:r>
      <w:r w:rsidR="00E71DD0">
        <w:rPr>
          <w:rFonts w:hint="eastAsia"/>
          <w:rtl/>
        </w:rPr>
        <w:t> </w:t>
      </w:r>
      <w:r w:rsidR="00D666E0">
        <w:rPr>
          <w:rFonts w:hint="cs"/>
          <w:rtl/>
        </w:rPr>
        <w:t>و</w:t>
      </w:r>
      <w:r w:rsidR="006145D0">
        <w:rPr>
          <w:rFonts w:hint="cs"/>
          <w:rtl/>
        </w:rPr>
        <w:t>المباني</w:t>
      </w:r>
      <w:r w:rsidR="00C35CB1" w:rsidRPr="00C35CB1">
        <w:rPr>
          <w:rFonts w:hint="cs"/>
          <w:rtl/>
        </w:rPr>
        <w:t>.</w:t>
      </w:r>
    </w:p>
    <w:p w:rsidR="00BA462B" w:rsidRDefault="002D16EE" w:rsidP="00C35CB1">
      <w:pPr>
        <w:pStyle w:val="SingleTxt"/>
        <w:rPr>
          <w:rFonts w:hint="cs"/>
          <w:rtl/>
        </w:rPr>
      </w:pPr>
      <w:r>
        <w:rPr>
          <w:rFonts w:hint="cs"/>
          <w:rtl/>
        </w:rPr>
        <w:tab/>
      </w:r>
      <w:r w:rsidR="00D666E0">
        <w:rPr>
          <w:rFonts w:hint="cs"/>
          <w:rtl/>
        </w:rPr>
        <w:t>و</w:t>
      </w:r>
      <w:r w:rsidR="00C35CB1" w:rsidRPr="00C35CB1">
        <w:rPr>
          <w:rFonts w:hint="cs"/>
          <w:rtl/>
        </w:rPr>
        <w:t>قد انخفض معدل الإقبال على مراكز الرعاية الصحية الأساسية في عام 2006 بالمقارنة مع عام 2005.</w:t>
      </w:r>
    </w:p>
    <w:p w:rsidR="00BA462B" w:rsidRDefault="002D16EE" w:rsidP="002D16EE">
      <w:pPr>
        <w:pStyle w:val="SingleTxt"/>
        <w:rPr>
          <w:rFonts w:hint="cs"/>
          <w:rtl/>
        </w:rPr>
      </w:pPr>
      <w:r>
        <w:rPr>
          <w:rFonts w:hint="cs"/>
          <w:rtl/>
        </w:rPr>
        <w:tab/>
      </w:r>
      <w:r w:rsidR="00D666E0">
        <w:rPr>
          <w:rFonts w:hint="cs"/>
          <w:rtl/>
        </w:rPr>
        <w:t>و</w:t>
      </w:r>
      <w:r w:rsidR="00C35CB1" w:rsidRPr="00C35CB1">
        <w:rPr>
          <w:rFonts w:hint="cs"/>
          <w:rtl/>
        </w:rPr>
        <w:t xml:space="preserve">بالفعل فقد انخفض معدل الولادات التي تم فيها تدخل طبي في المراكز الصحية الأساسية من </w:t>
      </w:r>
      <w:r>
        <w:rPr>
          <w:rFonts w:hint="cs"/>
          <w:rtl/>
          <w:lang w:val="fr-FR"/>
        </w:rPr>
        <w:t>26.1</w:t>
      </w:r>
      <w:r w:rsidR="00C35CB1" w:rsidRPr="00C35CB1">
        <w:rPr>
          <w:rFonts w:hint="cs"/>
          <w:rtl/>
        </w:rPr>
        <w:t xml:space="preserve"> في المائة إلى </w:t>
      </w:r>
      <w:r>
        <w:rPr>
          <w:rFonts w:hint="cs"/>
          <w:rtl/>
          <w:lang w:val="fr-FR"/>
        </w:rPr>
        <w:t>22.2</w:t>
      </w:r>
      <w:r w:rsidR="00C35CB1" w:rsidRPr="00C35CB1">
        <w:rPr>
          <w:rFonts w:hint="cs"/>
          <w:rtl/>
        </w:rPr>
        <w:t xml:space="preserve"> في المائة</w:t>
      </w:r>
      <w:r w:rsidR="000A5EC7">
        <w:rPr>
          <w:rFonts w:hint="cs"/>
          <w:rtl/>
        </w:rPr>
        <w:t>،</w:t>
      </w:r>
      <w:r w:rsidR="00C35CB1" w:rsidRPr="00C35CB1">
        <w:rPr>
          <w:rFonts w:hint="cs"/>
          <w:rtl/>
        </w:rPr>
        <w:t xml:space="preserve"> </w:t>
      </w:r>
      <w:r w:rsidR="00D666E0">
        <w:rPr>
          <w:rFonts w:hint="cs"/>
          <w:rtl/>
        </w:rPr>
        <w:t>و</w:t>
      </w:r>
      <w:r w:rsidR="00C35CB1" w:rsidRPr="00C35CB1">
        <w:rPr>
          <w:rFonts w:hint="cs"/>
          <w:rtl/>
        </w:rPr>
        <w:t xml:space="preserve">معدل زيارات المرضى الخارجيين من </w:t>
      </w:r>
      <w:r w:rsidR="00765A56">
        <w:rPr>
          <w:rFonts w:hint="cs"/>
          <w:rtl/>
          <w:lang w:val="fr-FR"/>
        </w:rPr>
        <w:t>49</w:t>
      </w:r>
      <w:r>
        <w:rPr>
          <w:rFonts w:hint="cs"/>
          <w:rtl/>
        </w:rPr>
        <w:t> </w:t>
      </w:r>
      <w:r w:rsidR="00C35CB1" w:rsidRPr="00C35CB1">
        <w:rPr>
          <w:rFonts w:hint="cs"/>
          <w:rtl/>
        </w:rPr>
        <w:t xml:space="preserve">في المائة إلى </w:t>
      </w:r>
      <w:r w:rsidR="00765A56">
        <w:rPr>
          <w:rFonts w:hint="cs"/>
          <w:rtl/>
          <w:lang w:val="fr-FR"/>
        </w:rPr>
        <w:t>32.4</w:t>
      </w:r>
      <w:r w:rsidR="00C35CB1" w:rsidRPr="00C35CB1">
        <w:rPr>
          <w:rFonts w:hint="cs"/>
          <w:rtl/>
        </w:rPr>
        <w:t xml:space="preserve"> في المائة ( ا</w:t>
      </w:r>
      <w:r w:rsidR="006145D0">
        <w:rPr>
          <w:rFonts w:hint="cs"/>
          <w:rtl/>
        </w:rPr>
        <w:t>لمصدر: التقرير عن تنفيذ ورقة الا</w:t>
      </w:r>
      <w:r w:rsidR="00C35CB1" w:rsidRPr="00C35CB1">
        <w:rPr>
          <w:rFonts w:hint="cs"/>
          <w:rtl/>
        </w:rPr>
        <w:t>سترا</w:t>
      </w:r>
      <w:r w:rsidR="006145D0">
        <w:rPr>
          <w:rFonts w:hint="cs"/>
          <w:rtl/>
        </w:rPr>
        <w:t>تي</w:t>
      </w:r>
      <w:r w:rsidR="00C35CB1" w:rsidRPr="00C35CB1">
        <w:rPr>
          <w:rFonts w:hint="cs"/>
          <w:rtl/>
        </w:rPr>
        <w:t>جية للحد من الفقر في عام 2006).</w:t>
      </w:r>
    </w:p>
    <w:p w:rsidR="00BA462B" w:rsidRDefault="002D16EE" w:rsidP="00DE02D4">
      <w:pPr>
        <w:pStyle w:val="SingleTxt"/>
        <w:rPr>
          <w:rFonts w:hint="cs"/>
          <w:rtl/>
        </w:rPr>
      </w:pPr>
      <w:r>
        <w:rPr>
          <w:rFonts w:hint="cs"/>
          <w:rtl/>
        </w:rPr>
        <w:tab/>
      </w:r>
      <w:r w:rsidR="00D666E0">
        <w:rPr>
          <w:rFonts w:hint="cs"/>
          <w:rtl/>
        </w:rPr>
        <w:t>و</w:t>
      </w:r>
      <w:r w:rsidR="00C35CB1" w:rsidRPr="00C35CB1">
        <w:rPr>
          <w:rFonts w:hint="cs"/>
          <w:rtl/>
        </w:rPr>
        <w:t>ما</w:t>
      </w:r>
      <w:r>
        <w:rPr>
          <w:rFonts w:hint="cs"/>
          <w:rtl/>
        </w:rPr>
        <w:t xml:space="preserve"> </w:t>
      </w:r>
      <w:r w:rsidR="00C35CB1" w:rsidRPr="00C35CB1">
        <w:rPr>
          <w:rFonts w:hint="cs"/>
          <w:rtl/>
        </w:rPr>
        <w:t>زالت الموارد المالية المخصصة لقطاع الصحة غير كافية نظرا للاحتياجات الواجب تغطيتها.</w:t>
      </w:r>
      <w:r w:rsidR="00DE02D4">
        <w:rPr>
          <w:rFonts w:hint="cs"/>
          <w:rtl/>
        </w:rPr>
        <w:t xml:space="preserve"> </w:t>
      </w:r>
      <w:r w:rsidR="00D666E0">
        <w:rPr>
          <w:rFonts w:hint="cs"/>
          <w:rtl/>
        </w:rPr>
        <w:t>و</w:t>
      </w:r>
      <w:r w:rsidR="00C35CB1" w:rsidRPr="00C35CB1">
        <w:rPr>
          <w:rFonts w:hint="cs"/>
          <w:rtl/>
        </w:rPr>
        <w:t xml:space="preserve">سجّلت نفقات الصحة، كنسبة مئوية من الناتج المحلي الإجمالي، انخفاضا جليا من 2004 إلى 2005 (2004 : </w:t>
      </w:r>
      <w:r w:rsidR="00765A56">
        <w:rPr>
          <w:rFonts w:hint="cs"/>
          <w:rtl/>
          <w:lang w:val="fr-FR"/>
        </w:rPr>
        <w:t>1.7</w:t>
      </w:r>
      <w:r w:rsidR="00C35CB1" w:rsidRPr="00C35CB1">
        <w:rPr>
          <w:rFonts w:hint="cs"/>
          <w:rtl/>
        </w:rPr>
        <w:t xml:space="preserve"> في المائة، و 2005: </w:t>
      </w:r>
      <w:r w:rsidR="00765A56">
        <w:rPr>
          <w:rFonts w:hint="cs"/>
          <w:rtl/>
          <w:lang w:val="fr-FR"/>
        </w:rPr>
        <w:t>0.9</w:t>
      </w:r>
      <w:r w:rsidR="001E0E2A">
        <w:rPr>
          <w:rFonts w:hint="cs"/>
          <w:rtl/>
          <w:lang w:val="fr-FR"/>
        </w:rPr>
        <w:t xml:space="preserve"> - 4</w:t>
      </w:r>
      <w:r w:rsidR="00C35CB1" w:rsidRPr="00C35CB1">
        <w:rPr>
          <w:rFonts w:hint="cs"/>
          <w:rtl/>
        </w:rPr>
        <w:t xml:space="preserve"> في المائة).</w:t>
      </w:r>
    </w:p>
    <w:p w:rsidR="001E0E2A" w:rsidRPr="001E0E2A" w:rsidRDefault="001E0E2A" w:rsidP="001E0E2A">
      <w:pPr>
        <w:tabs>
          <w:tab w:val="left" w:pos="662"/>
          <w:tab w:val="left" w:pos="1267"/>
          <w:tab w:val="left" w:pos="1987"/>
          <w:tab w:val="left" w:pos="2650"/>
        </w:tabs>
        <w:spacing w:line="120" w:lineRule="exact"/>
        <w:rPr>
          <w:rFonts w:hint="cs"/>
          <w:sz w:val="10"/>
          <w:rtl/>
        </w:rPr>
      </w:pPr>
    </w:p>
    <w:p w:rsidR="002D16EE" w:rsidRDefault="00C35CB1" w:rsidP="000516B0">
      <w:pPr>
        <w:tabs>
          <w:tab w:val="left" w:pos="662"/>
          <w:tab w:val="left" w:pos="1267"/>
          <w:tab w:val="left" w:pos="1987"/>
          <w:tab w:val="left" w:pos="2650"/>
        </w:tabs>
        <w:rPr>
          <w:rFonts w:hint="cs"/>
          <w:rtl/>
        </w:rPr>
      </w:pPr>
      <w:r w:rsidRPr="00C35CB1">
        <w:rPr>
          <w:rFonts w:hint="cs"/>
          <w:rtl/>
        </w:rPr>
        <w:t>الجدول 3</w:t>
      </w:r>
    </w:p>
    <w:p w:rsidR="00C35CB1" w:rsidRPr="00C35CB1" w:rsidRDefault="00C35CB1" w:rsidP="002D16E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C35CB1">
        <w:rPr>
          <w:rFonts w:hint="cs"/>
          <w:rtl/>
        </w:rPr>
        <w:t>التطور العام لمخصصات ميزانية وزارة الصحة وتخطيط الأسرة</w:t>
      </w:r>
      <w:r w:rsidR="00BB6B48">
        <w:rPr>
          <w:rFonts w:hint="cs"/>
          <w:rtl/>
        </w:rPr>
        <w:t>/</w:t>
      </w:r>
      <w:r w:rsidRPr="00C35CB1">
        <w:rPr>
          <w:rFonts w:hint="cs"/>
          <w:rtl/>
        </w:rPr>
        <w:t>الحماية الاجتماعية</w:t>
      </w:r>
    </w:p>
    <w:p w:rsidR="002D16EE" w:rsidRPr="002D16EE" w:rsidRDefault="002D16EE" w:rsidP="002D16EE">
      <w:pPr>
        <w:pStyle w:val="SingleTxt"/>
        <w:spacing w:after="0" w:line="120" w:lineRule="exact"/>
        <w:rPr>
          <w:rFonts w:hint="cs"/>
          <w:b/>
          <w:bCs/>
          <w:sz w:val="10"/>
          <w:rtl/>
        </w:rPr>
      </w:pPr>
    </w:p>
    <w:tbl>
      <w:tblPr>
        <w:tblStyle w:val="TableGrid"/>
        <w:bidiVisual/>
        <w:tblW w:w="98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1E0" w:firstRow="1" w:lastRow="1" w:firstColumn="1" w:lastColumn="1" w:noHBand="0" w:noVBand="0"/>
      </w:tblPr>
      <w:tblGrid>
        <w:gridCol w:w="1382"/>
        <w:gridCol w:w="735"/>
        <w:gridCol w:w="816"/>
        <w:gridCol w:w="816"/>
        <w:gridCol w:w="816"/>
        <w:gridCol w:w="885"/>
        <w:gridCol w:w="885"/>
        <w:gridCol w:w="885"/>
        <w:gridCol w:w="816"/>
        <w:gridCol w:w="885"/>
        <w:gridCol w:w="885"/>
      </w:tblGrid>
      <w:tr w:rsidR="004C0C3C" w:rsidRPr="004C0C3C">
        <w:trPr>
          <w:cantSplit/>
          <w:tblHeader/>
          <w:jc w:val="center"/>
        </w:trPr>
        <w:tc>
          <w:tcPr>
            <w:tcW w:w="1382" w:type="dxa"/>
            <w:tcBorders>
              <w:top w:val="single" w:sz="4" w:space="0" w:color="auto"/>
              <w:bottom w:val="single" w:sz="12" w:space="0" w:color="auto"/>
            </w:tcBorders>
            <w:shd w:val="clear" w:color="auto" w:fill="auto"/>
            <w:vAlign w:val="bottom"/>
          </w:tcPr>
          <w:p w:rsidR="00C35CB1" w:rsidRPr="004C0C3C" w:rsidRDefault="00C35CB1" w:rsidP="004C0C3C">
            <w:pPr>
              <w:pStyle w:val="SingleTxt"/>
              <w:spacing w:before="80" w:after="80" w:line="240" w:lineRule="exact"/>
              <w:ind w:left="0" w:right="0"/>
              <w:rPr>
                <w:rFonts w:cs="Traditional Arabic" w:hint="cs"/>
                <w:i/>
                <w:iCs/>
                <w:sz w:val="16"/>
                <w:szCs w:val="24"/>
                <w:rtl/>
              </w:rPr>
            </w:pPr>
            <w:r w:rsidRPr="004C0C3C">
              <w:rPr>
                <w:rFonts w:cs="Traditional Arabic" w:hint="cs"/>
                <w:i/>
                <w:iCs/>
                <w:sz w:val="16"/>
                <w:szCs w:val="24"/>
                <w:rtl/>
              </w:rPr>
              <w:t xml:space="preserve">السنة </w:t>
            </w:r>
          </w:p>
        </w:tc>
        <w:tc>
          <w:tcPr>
            <w:tcW w:w="735" w:type="dxa"/>
            <w:tcBorders>
              <w:top w:val="single" w:sz="4" w:space="0" w:color="auto"/>
              <w:bottom w:val="single" w:sz="12" w:space="0" w:color="auto"/>
            </w:tcBorders>
            <w:shd w:val="clear" w:color="auto" w:fill="auto"/>
            <w:vAlign w:val="bottom"/>
          </w:tcPr>
          <w:p w:rsidR="00C35CB1" w:rsidRPr="004C0C3C" w:rsidRDefault="00C35CB1" w:rsidP="004C0C3C">
            <w:pPr>
              <w:pStyle w:val="SingleTxt"/>
              <w:spacing w:before="80" w:after="80" w:line="240" w:lineRule="exact"/>
              <w:ind w:left="0" w:right="144"/>
              <w:rPr>
                <w:rFonts w:cs="Traditional Arabic" w:hint="cs"/>
                <w:i/>
                <w:iCs/>
                <w:sz w:val="16"/>
                <w:szCs w:val="24"/>
                <w:rtl/>
              </w:rPr>
            </w:pPr>
            <w:r w:rsidRPr="004C0C3C">
              <w:rPr>
                <w:rFonts w:cs="Traditional Arabic" w:hint="cs"/>
                <w:i/>
                <w:iCs/>
                <w:sz w:val="16"/>
                <w:szCs w:val="24"/>
                <w:rtl/>
              </w:rPr>
              <w:t>1997</w:t>
            </w:r>
          </w:p>
        </w:tc>
        <w:tc>
          <w:tcPr>
            <w:tcW w:w="816" w:type="dxa"/>
            <w:tcBorders>
              <w:top w:val="single" w:sz="4" w:space="0" w:color="auto"/>
              <w:bottom w:val="single" w:sz="12" w:space="0" w:color="auto"/>
            </w:tcBorders>
            <w:shd w:val="clear" w:color="auto" w:fill="auto"/>
            <w:vAlign w:val="bottom"/>
          </w:tcPr>
          <w:p w:rsidR="00C35CB1" w:rsidRPr="004C0C3C" w:rsidRDefault="00C35CB1" w:rsidP="004C0C3C">
            <w:pPr>
              <w:pStyle w:val="SingleTxt"/>
              <w:spacing w:before="80" w:after="80" w:line="240" w:lineRule="exact"/>
              <w:ind w:left="0" w:right="144"/>
              <w:rPr>
                <w:rFonts w:cs="Traditional Arabic" w:hint="cs"/>
                <w:i/>
                <w:iCs/>
                <w:sz w:val="16"/>
                <w:szCs w:val="24"/>
                <w:rtl/>
              </w:rPr>
            </w:pPr>
            <w:r w:rsidRPr="004C0C3C">
              <w:rPr>
                <w:rFonts w:cs="Traditional Arabic" w:hint="cs"/>
                <w:i/>
                <w:iCs/>
                <w:sz w:val="16"/>
                <w:szCs w:val="24"/>
                <w:rtl/>
              </w:rPr>
              <w:t>1998</w:t>
            </w:r>
          </w:p>
        </w:tc>
        <w:tc>
          <w:tcPr>
            <w:tcW w:w="816" w:type="dxa"/>
            <w:tcBorders>
              <w:top w:val="single" w:sz="4" w:space="0" w:color="auto"/>
              <w:bottom w:val="single" w:sz="12" w:space="0" w:color="auto"/>
            </w:tcBorders>
            <w:shd w:val="clear" w:color="auto" w:fill="auto"/>
            <w:vAlign w:val="bottom"/>
          </w:tcPr>
          <w:p w:rsidR="00C35CB1" w:rsidRPr="004C0C3C" w:rsidRDefault="00C35CB1" w:rsidP="004C0C3C">
            <w:pPr>
              <w:pStyle w:val="SingleTxt"/>
              <w:spacing w:before="80" w:after="80" w:line="240" w:lineRule="exact"/>
              <w:ind w:left="0" w:right="144"/>
              <w:rPr>
                <w:rFonts w:cs="Traditional Arabic" w:hint="cs"/>
                <w:i/>
                <w:iCs/>
                <w:sz w:val="16"/>
                <w:szCs w:val="24"/>
                <w:rtl/>
              </w:rPr>
            </w:pPr>
            <w:r w:rsidRPr="004C0C3C">
              <w:rPr>
                <w:rFonts w:cs="Traditional Arabic" w:hint="cs"/>
                <w:i/>
                <w:iCs/>
                <w:sz w:val="16"/>
                <w:szCs w:val="24"/>
                <w:rtl/>
              </w:rPr>
              <w:t>1999</w:t>
            </w:r>
          </w:p>
        </w:tc>
        <w:tc>
          <w:tcPr>
            <w:tcW w:w="816" w:type="dxa"/>
            <w:tcBorders>
              <w:top w:val="single" w:sz="4" w:space="0" w:color="auto"/>
              <w:bottom w:val="single" w:sz="12" w:space="0" w:color="auto"/>
            </w:tcBorders>
            <w:shd w:val="clear" w:color="auto" w:fill="auto"/>
            <w:vAlign w:val="bottom"/>
          </w:tcPr>
          <w:p w:rsidR="00C35CB1" w:rsidRPr="004C0C3C" w:rsidRDefault="00C35CB1" w:rsidP="004C0C3C">
            <w:pPr>
              <w:pStyle w:val="SingleTxt"/>
              <w:spacing w:before="80" w:after="80" w:line="240" w:lineRule="exact"/>
              <w:ind w:left="0" w:right="144"/>
              <w:rPr>
                <w:rFonts w:cs="Traditional Arabic" w:hint="cs"/>
                <w:i/>
                <w:iCs/>
                <w:sz w:val="16"/>
                <w:szCs w:val="24"/>
                <w:rtl/>
              </w:rPr>
            </w:pPr>
            <w:r w:rsidRPr="004C0C3C">
              <w:rPr>
                <w:rFonts w:cs="Traditional Arabic" w:hint="cs"/>
                <w:i/>
                <w:iCs/>
                <w:sz w:val="16"/>
                <w:szCs w:val="24"/>
                <w:rtl/>
              </w:rPr>
              <w:t>2000</w:t>
            </w:r>
          </w:p>
        </w:tc>
        <w:tc>
          <w:tcPr>
            <w:tcW w:w="885" w:type="dxa"/>
            <w:tcBorders>
              <w:top w:val="single" w:sz="4" w:space="0" w:color="auto"/>
              <w:bottom w:val="single" w:sz="12" w:space="0" w:color="auto"/>
            </w:tcBorders>
            <w:shd w:val="clear" w:color="auto" w:fill="auto"/>
            <w:vAlign w:val="bottom"/>
          </w:tcPr>
          <w:p w:rsidR="00C35CB1" w:rsidRPr="004C0C3C" w:rsidRDefault="00C35CB1" w:rsidP="004C0C3C">
            <w:pPr>
              <w:pStyle w:val="SingleTxt"/>
              <w:spacing w:before="80" w:after="80" w:line="240" w:lineRule="exact"/>
              <w:ind w:left="0" w:right="144"/>
              <w:rPr>
                <w:rFonts w:cs="Traditional Arabic" w:hint="cs"/>
                <w:i/>
                <w:iCs/>
                <w:sz w:val="16"/>
                <w:szCs w:val="24"/>
                <w:rtl/>
              </w:rPr>
            </w:pPr>
            <w:r w:rsidRPr="004C0C3C">
              <w:rPr>
                <w:rFonts w:cs="Traditional Arabic" w:hint="cs"/>
                <w:i/>
                <w:iCs/>
                <w:sz w:val="16"/>
                <w:szCs w:val="24"/>
                <w:rtl/>
              </w:rPr>
              <w:t>2001</w:t>
            </w:r>
          </w:p>
        </w:tc>
        <w:tc>
          <w:tcPr>
            <w:tcW w:w="885" w:type="dxa"/>
            <w:tcBorders>
              <w:top w:val="single" w:sz="4" w:space="0" w:color="auto"/>
              <w:bottom w:val="single" w:sz="12" w:space="0" w:color="auto"/>
            </w:tcBorders>
            <w:shd w:val="clear" w:color="auto" w:fill="auto"/>
            <w:vAlign w:val="bottom"/>
          </w:tcPr>
          <w:p w:rsidR="00C35CB1" w:rsidRPr="004C0C3C" w:rsidRDefault="00C35CB1" w:rsidP="004C0C3C">
            <w:pPr>
              <w:pStyle w:val="SingleTxt"/>
              <w:spacing w:before="80" w:after="80" w:line="240" w:lineRule="exact"/>
              <w:ind w:left="0" w:right="144"/>
              <w:rPr>
                <w:rFonts w:cs="Traditional Arabic" w:hint="cs"/>
                <w:i/>
                <w:iCs/>
                <w:sz w:val="16"/>
                <w:szCs w:val="24"/>
                <w:rtl/>
              </w:rPr>
            </w:pPr>
            <w:r w:rsidRPr="004C0C3C">
              <w:rPr>
                <w:rFonts w:cs="Traditional Arabic" w:hint="cs"/>
                <w:i/>
                <w:iCs/>
                <w:sz w:val="16"/>
                <w:szCs w:val="24"/>
                <w:rtl/>
              </w:rPr>
              <w:t>2002</w:t>
            </w:r>
          </w:p>
        </w:tc>
        <w:tc>
          <w:tcPr>
            <w:tcW w:w="885" w:type="dxa"/>
            <w:tcBorders>
              <w:top w:val="single" w:sz="4" w:space="0" w:color="auto"/>
              <w:bottom w:val="single" w:sz="12" w:space="0" w:color="auto"/>
            </w:tcBorders>
            <w:shd w:val="clear" w:color="auto" w:fill="auto"/>
            <w:vAlign w:val="bottom"/>
          </w:tcPr>
          <w:p w:rsidR="00C35CB1" w:rsidRPr="004C0C3C" w:rsidRDefault="00C35CB1" w:rsidP="004C0C3C">
            <w:pPr>
              <w:pStyle w:val="SingleTxt"/>
              <w:spacing w:before="80" w:after="80" w:line="240" w:lineRule="exact"/>
              <w:ind w:left="0" w:right="144"/>
              <w:rPr>
                <w:rFonts w:cs="Traditional Arabic" w:hint="cs"/>
                <w:i/>
                <w:iCs/>
                <w:sz w:val="16"/>
                <w:szCs w:val="24"/>
                <w:rtl/>
              </w:rPr>
            </w:pPr>
            <w:r w:rsidRPr="004C0C3C">
              <w:rPr>
                <w:rFonts w:cs="Traditional Arabic" w:hint="cs"/>
                <w:i/>
                <w:iCs/>
                <w:sz w:val="16"/>
                <w:szCs w:val="24"/>
                <w:rtl/>
              </w:rPr>
              <w:t>2003</w:t>
            </w:r>
          </w:p>
        </w:tc>
        <w:tc>
          <w:tcPr>
            <w:tcW w:w="816" w:type="dxa"/>
            <w:tcBorders>
              <w:top w:val="single" w:sz="4" w:space="0" w:color="auto"/>
              <w:bottom w:val="single" w:sz="12" w:space="0" w:color="auto"/>
            </w:tcBorders>
            <w:shd w:val="clear" w:color="auto" w:fill="auto"/>
            <w:vAlign w:val="bottom"/>
          </w:tcPr>
          <w:p w:rsidR="00C35CB1" w:rsidRPr="004C0C3C" w:rsidRDefault="00C35CB1" w:rsidP="004C0C3C">
            <w:pPr>
              <w:pStyle w:val="SingleTxt"/>
              <w:spacing w:before="80" w:after="80" w:line="240" w:lineRule="exact"/>
              <w:ind w:left="0" w:right="144"/>
              <w:rPr>
                <w:rFonts w:cs="Traditional Arabic" w:hint="cs"/>
                <w:i/>
                <w:iCs/>
                <w:sz w:val="16"/>
                <w:szCs w:val="24"/>
                <w:rtl/>
              </w:rPr>
            </w:pPr>
            <w:r w:rsidRPr="004C0C3C">
              <w:rPr>
                <w:rFonts w:cs="Traditional Arabic" w:hint="cs"/>
                <w:i/>
                <w:iCs/>
                <w:sz w:val="16"/>
                <w:szCs w:val="24"/>
                <w:rtl/>
              </w:rPr>
              <w:t>2004</w:t>
            </w:r>
          </w:p>
        </w:tc>
        <w:tc>
          <w:tcPr>
            <w:tcW w:w="885" w:type="dxa"/>
            <w:tcBorders>
              <w:top w:val="single" w:sz="4" w:space="0" w:color="auto"/>
              <w:bottom w:val="single" w:sz="12" w:space="0" w:color="auto"/>
            </w:tcBorders>
            <w:shd w:val="clear" w:color="auto" w:fill="auto"/>
            <w:vAlign w:val="bottom"/>
          </w:tcPr>
          <w:p w:rsidR="00C35CB1" w:rsidRPr="004C0C3C" w:rsidRDefault="00C35CB1" w:rsidP="004C0C3C">
            <w:pPr>
              <w:pStyle w:val="SingleTxt"/>
              <w:spacing w:before="80" w:after="80" w:line="240" w:lineRule="exact"/>
              <w:ind w:left="0" w:right="144"/>
              <w:rPr>
                <w:rFonts w:cs="Traditional Arabic" w:hint="cs"/>
                <w:i/>
                <w:iCs/>
                <w:sz w:val="16"/>
                <w:szCs w:val="24"/>
                <w:rtl/>
              </w:rPr>
            </w:pPr>
            <w:r w:rsidRPr="004C0C3C">
              <w:rPr>
                <w:rFonts w:cs="Traditional Arabic" w:hint="cs"/>
                <w:i/>
                <w:iCs/>
                <w:sz w:val="16"/>
                <w:szCs w:val="24"/>
                <w:rtl/>
              </w:rPr>
              <w:t>2005</w:t>
            </w:r>
          </w:p>
        </w:tc>
        <w:tc>
          <w:tcPr>
            <w:tcW w:w="885" w:type="dxa"/>
            <w:tcBorders>
              <w:top w:val="single" w:sz="4" w:space="0" w:color="auto"/>
              <w:bottom w:val="single" w:sz="12" w:space="0" w:color="auto"/>
            </w:tcBorders>
            <w:shd w:val="clear" w:color="auto" w:fill="auto"/>
            <w:vAlign w:val="bottom"/>
          </w:tcPr>
          <w:p w:rsidR="00C35CB1" w:rsidRPr="004C0C3C" w:rsidRDefault="00C35CB1" w:rsidP="004C0C3C">
            <w:pPr>
              <w:pStyle w:val="SingleTxt"/>
              <w:spacing w:before="80" w:after="80" w:line="240" w:lineRule="exact"/>
              <w:ind w:left="0" w:right="144"/>
              <w:rPr>
                <w:rFonts w:cs="Traditional Arabic" w:hint="cs"/>
                <w:i/>
                <w:iCs/>
                <w:sz w:val="16"/>
                <w:szCs w:val="24"/>
                <w:rtl/>
              </w:rPr>
            </w:pPr>
            <w:r w:rsidRPr="004C0C3C">
              <w:rPr>
                <w:rFonts w:cs="Traditional Arabic" w:hint="cs"/>
                <w:i/>
                <w:iCs/>
                <w:sz w:val="16"/>
                <w:szCs w:val="24"/>
                <w:rtl/>
              </w:rPr>
              <w:t>2006</w:t>
            </w:r>
          </w:p>
        </w:tc>
      </w:tr>
      <w:tr w:rsidR="004C0C3C" w:rsidRPr="004C0C3C">
        <w:trPr>
          <w:cantSplit/>
          <w:trHeight w:hRule="exact" w:val="115"/>
          <w:tblHeader/>
          <w:jc w:val="center"/>
        </w:trPr>
        <w:tc>
          <w:tcPr>
            <w:tcW w:w="1382" w:type="dxa"/>
            <w:tcBorders>
              <w:top w:val="single" w:sz="12" w:space="0" w:color="auto"/>
            </w:tcBorders>
            <w:shd w:val="clear" w:color="auto" w:fill="auto"/>
            <w:vAlign w:val="bottom"/>
          </w:tcPr>
          <w:p w:rsidR="004C0C3C" w:rsidRPr="004C0C3C" w:rsidRDefault="004C0C3C" w:rsidP="004C0C3C">
            <w:pPr>
              <w:pStyle w:val="SingleTxt"/>
              <w:spacing w:before="40" w:after="80" w:line="240" w:lineRule="exact"/>
              <w:ind w:left="0" w:right="0"/>
              <w:rPr>
                <w:rFonts w:hint="cs"/>
                <w:b/>
                <w:bCs/>
                <w:sz w:val="16"/>
                <w:szCs w:val="24"/>
                <w:rtl/>
              </w:rPr>
            </w:pPr>
          </w:p>
        </w:tc>
        <w:tc>
          <w:tcPr>
            <w:tcW w:w="735" w:type="dxa"/>
            <w:tcBorders>
              <w:top w:val="single" w:sz="12" w:space="0" w:color="auto"/>
            </w:tcBorders>
            <w:shd w:val="clear" w:color="auto" w:fill="auto"/>
            <w:vAlign w:val="bottom"/>
          </w:tcPr>
          <w:p w:rsidR="004C0C3C" w:rsidRPr="004C0C3C" w:rsidRDefault="004C0C3C" w:rsidP="004C0C3C">
            <w:pPr>
              <w:pStyle w:val="SingleTxt"/>
              <w:spacing w:before="40" w:after="80" w:line="240" w:lineRule="exact"/>
              <w:ind w:left="0" w:right="144"/>
              <w:rPr>
                <w:rFonts w:hint="cs"/>
                <w:sz w:val="16"/>
                <w:szCs w:val="24"/>
                <w:rtl/>
              </w:rPr>
            </w:pPr>
          </w:p>
        </w:tc>
        <w:tc>
          <w:tcPr>
            <w:tcW w:w="816" w:type="dxa"/>
            <w:tcBorders>
              <w:top w:val="single" w:sz="12" w:space="0" w:color="auto"/>
            </w:tcBorders>
            <w:shd w:val="clear" w:color="auto" w:fill="auto"/>
            <w:vAlign w:val="bottom"/>
          </w:tcPr>
          <w:p w:rsidR="004C0C3C" w:rsidRPr="004C0C3C" w:rsidRDefault="004C0C3C" w:rsidP="004C0C3C">
            <w:pPr>
              <w:pStyle w:val="SingleTxt"/>
              <w:spacing w:before="40" w:after="80" w:line="240" w:lineRule="exact"/>
              <w:ind w:left="0" w:right="144"/>
              <w:rPr>
                <w:rFonts w:hint="cs"/>
                <w:sz w:val="16"/>
                <w:szCs w:val="24"/>
                <w:rtl/>
              </w:rPr>
            </w:pPr>
          </w:p>
        </w:tc>
        <w:tc>
          <w:tcPr>
            <w:tcW w:w="816" w:type="dxa"/>
            <w:tcBorders>
              <w:top w:val="single" w:sz="12" w:space="0" w:color="auto"/>
            </w:tcBorders>
            <w:shd w:val="clear" w:color="auto" w:fill="auto"/>
            <w:vAlign w:val="bottom"/>
          </w:tcPr>
          <w:p w:rsidR="004C0C3C" w:rsidRPr="004C0C3C" w:rsidRDefault="004C0C3C" w:rsidP="004C0C3C">
            <w:pPr>
              <w:pStyle w:val="SingleTxt"/>
              <w:spacing w:before="40" w:after="80" w:line="240" w:lineRule="exact"/>
              <w:ind w:left="0" w:right="144"/>
              <w:rPr>
                <w:rFonts w:hint="cs"/>
                <w:sz w:val="16"/>
                <w:szCs w:val="24"/>
                <w:rtl/>
              </w:rPr>
            </w:pPr>
          </w:p>
        </w:tc>
        <w:tc>
          <w:tcPr>
            <w:tcW w:w="816" w:type="dxa"/>
            <w:tcBorders>
              <w:top w:val="single" w:sz="12" w:space="0" w:color="auto"/>
            </w:tcBorders>
            <w:shd w:val="clear" w:color="auto" w:fill="auto"/>
            <w:vAlign w:val="bottom"/>
          </w:tcPr>
          <w:p w:rsidR="004C0C3C" w:rsidRPr="004C0C3C" w:rsidRDefault="004C0C3C" w:rsidP="004C0C3C">
            <w:pPr>
              <w:pStyle w:val="SingleTxt"/>
              <w:spacing w:before="40" w:after="80" w:line="240" w:lineRule="exact"/>
              <w:ind w:left="0" w:right="144"/>
              <w:rPr>
                <w:rFonts w:hint="cs"/>
                <w:sz w:val="16"/>
                <w:szCs w:val="24"/>
                <w:rtl/>
              </w:rPr>
            </w:pPr>
          </w:p>
        </w:tc>
        <w:tc>
          <w:tcPr>
            <w:tcW w:w="885" w:type="dxa"/>
            <w:tcBorders>
              <w:top w:val="single" w:sz="12" w:space="0" w:color="auto"/>
            </w:tcBorders>
            <w:shd w:val="clear" w:color="auto" w:fill="auto"/>
            <w:vAlign w:val="bottom"/>
          </w:tcPr>
          <w:p w:rsidR="004C0C3C" w:rsidRPr="004C0C3C" w:rsidRDefault="004C0C3C" w:rsidP="004C0C3C">
            <w:pPr>
              <w:pStyle w:val="SingleTxt"/>
              <w:spacing w:before="40" w:after="80" w:line="240" w:lineRule="exact"/>
              <w:ind w:left="0" w:right="144"/>
              <w:rPr>
                <w:rFonts w:hint="cs"/>
                <w:sz w:val="16"/>
                <w:szCs w:val="24"/>
                <w:rtl/>
              </w:rPr>
            </w:pPr>
          </w:p>
        </w:tc>
        <w:tc>
          <w:tcPr>
            <w:tcW w:w="885" w:type="dxa"/>
            <w:tcBorders>
              <w:top w:val="single" w:sz="12" w:space="0" w:color="auto"/>
            </w:tcBorders>
            <w:shd w:val="clear" w:color="auto" w:fill="auto"/>
            <w:vAlign w:val="bottom"/>
          </w:tcPr>
          <w:p w:rsidR="004C0C3C" w:rsidRPr="004C0C3C" w:rsidRDefault="004C0C3C" w:rsidP="004C0C3C">
            <w:pPr>
              <w:pStyle w:val="SingleTxt"/>
              <w:spacing w:before="40" w:after="80" w:line="240" w:lineRule="exact"/>
              <w:ind w:left="0" w:right="144"/>
              <w:rPr>
                <w:rFonts w:hint="cs"/>
                <w:sz w:val="16"/>
                <w:szCs w:val="24"/>
                <w:rtl/>
              </w:rPr>
            </w:pPr>
          </w:p>
        </w:tc>
        <w:tc>
          <w:tcPr>
            <w:tcW w:w="885" w:type="dxa"/>
            <w:tcBorders>
              <w:top w:val="single" w:sz="12" w:space="0" w:color="auto"/>
            </w:tcBorders>
            <w:shd w:val="clear" w:color="auto" w:fill="auto"/>
            <w:vAlign w:val="bottom"/>
          </w:tcPr>
          <w:p w:rsidR="004C0C3C" w:rsidRPr="004C0C3C" w:rsidRDefault="004C0C3C" w:rsidP="004C0C3C">
            <w:pPr>
              <w:pStyle w:val="SingleTxt"/>
              <w:spacing w:before="40" w:after="80" w:line="240" w:lineRule="exact"/>
              <w:ind w:left="0" w:right="144"/>
              <w:rPr>
                <w:rFonts w:hint="cs"/>
                <w:sz w:val="16"/>
                <w:szCs w:val="24"/>
                <w:rtl/>
              </w:rPr>
            </w:pPr>
          </w:p>
        </w:tc>
        <w:tc>
          <w:tcPr>
            <w:tcW w:w="816" w:type="dxa"/>
            <w:tcBorders>
              <w:top w:val="single" w:sz="12" w:space="0" w:color="auto"/>
            </w:tcBorders>
            <w:shd w:val="clear" w:color="auto" w:fill="auto"/>
            <w:vAlign w:val="bottom"/>
          </w:tcPr>
          <w:p w:rsidR="004C0C3C" w:rsidRPr="004C0C3C" w:rsidRDefault="004C0C3C" w:rsidP="004C0C3C">
            <w:pPr>
              <w:pStyle w:val="SingleTxt"/>
              <w:spacing w:before="40" w:after="80" w:line="240" w:lineRule="exact"/>
              <w:ind w:left="0" w:right="144"/>
              <w:rPr>
                <w:rFonts w:hint="cs"/>
                <w:sz w:val="16"/>
                <w:szCs w:val="24"/>
                <w:rtl/>
              </w:rPr>
            </w:pPr>
          </w:p>
        </w:tc>
        <w:tc>
          <w:tcPr>
            <w:tcW w:w="885" w:type="dxa"/>
            <w:tcBorders>
              <w:top w:val="single" w:sz="12" w:space="0" w:color="auto"/>
            </w:tcBorders>
            <w:shd w:val="clear" w:color="auto" w:fill="auto"/>
            <w:vAlign w:val="bottom"/>
          </w:tcPr>
          <w:p w:rsidR="004C0C3C" w:rsidRPr="004C0C3C" w:rsidRDefault="004C0C3C" w:rsidP="004C0C3C">
            <w:pPr>
              <w:pStyle w:val="SingleTxt"/>
              <w:spacing w:before="40" w:after="80" w:line="240" w:lineRule="exact"/>
              <w:ind w:left="0" w:right="144"/>
              <w:rPr>
                <w:rFonts w:hint="cs"/>
                <w:sz w:val="16"/>
                <w:szCs w:val="24"/>
                <w:rtl/>
              </w:rPr>
            </w:pPr>
          </w:p>
        </w:tc>
        <w:tc>
          <w:tcPr>
            <w:tcW w:w="885" w:type="dxa"/>
            <w:tcBorders>
              <w:top w:val="single" w:sz="12" w:space="0" w:color="auto"/>
            </w:tcBorders>
            <w:shd w:val="clear" w:color="auto" w:fill="auto"/>
            <w:vAlign w:val="bottom"/>
          </w:tcPr>
          <w:p w:rsidR="004C0C3C" w:rsidRPr="004C0C3C" w:rsidRDefault="004C0C3C" w:rsidP="004C0C3C">
            <w:pPr>
              <w:pStyle w:val="SingleTxt"/>
              <w:spacing w:before="40" w:after="80" w:line="240" w:lineRule="exact"/>
              <w:ind w:left="0" w:right="144"/>
              <w:rPr>
                <w:rFonts w:hint="cs"/>
                <w:sz w:val="16"/>
                <w:szCs w:val="24"/>
                <w:rtl/>
              </w:rPr>
            </w:pPr>
          </w:p>
        </w:tc>
      </w:tr>
      <w:tr w:rsidR="004C0C3C" w:rsidRPr="004C0C3C">
        <w:trPr>
          <w:cantSplit/>
          <w:jc w:val="center"/>
        </w:trPr>
        <w:tc>
          <w:tcPr>
            <w:tcW w:w="1382" w:type="dxa"/>
            <w:tcBorders>
              <w:bottom w:val="single" w:sz="12" w:space="0" w:color="auto"/>
            </w:tcBorders>
            <w:shd w:val="clear" w:color="auto" w:fill="auto"/>
            <w:vAlign w:val="bottom"/>
          </w:tcPr>
          <w:p w:rsidR="00C35CB1" w:rsidRPr="004C0C3C" w:rsidRDefault="00C35CB1" w:rsidP="004C0C3C">
            <w:pPr>
              <w:pStyle w:val="SingleTxt"/>
              <w:spacing w:before="40" w:after="80" w:line="240" w:lineRule="exact"/>
              <w:ind w:left="0" w:right="0"/>
              <w:rPr>
                <w:rFonts w:cs="Traditional Arabic" w:hint="cs"/>
                <w:sz w:val="16"/>
                <w:szCs w:val="24"/>
                <w:rtl/>
              </w:rPr>
            </w:pPr>
            <w:r w:rsidRPr="004C0C3C">
              <w:rPr>
                <w:rFonts w:cs="Traditional Arabic" w:hint="cs"/>
                <w:sz w:val="16"/>
                <w:szCs w:val="24"/>
                <w:rtl/>
              </w:rPr>
              <w:t>مخصصات الميزانية الكلية ببلايين الفرنكات الملغاشية</w:t>
            </w:r>
          </w:p>
        </w:tc>
        <w:tc>
          <w:tcPr>
            <w:tcW w:w="735" w:type="dxa"/>
            <w:tcBorders>
              <w:bottom w:val="single" w:sz="12" w:space="0" w:color="auto"/>
            </w:tcBorders>
            <w:shd w:val="clear" w:color="auto" w:fill="auto"/>
            <w:vAlign w:val="bottom"/>
          </w:tcPr>
          <w:p w:rsidR="00C35CB1" w:rsidRPr="004C0C3C" w:rsidRDefault="00C35CB1" w:rsidP="004C0C3C">
            <w:pPr>
              <w:pStyle w:val="SingleTxt"/>
              <w:spacing w:before="40" w:after="80" w:line="240" w:lineRule="exact"/>
              <w:ind w:left="0" w:right="144"/>
              <w:rPr>
                <w:rFonts w:cs="Traditional Arabic" w:hint="cs"/>
                <w:sz w:val="16"/>
                <w:szCs w:val="24"/>
                <w:rtl/>
              </w:rPr>
            </w:pPr>
            <w:r w:rsidRPr="004C0C3C">
              <w:rPr>
                <w:rFonts w:cs="Traditional Arabic" w:hint="cs"/>
                <w:sz w:val="16"/>
                <w:szCs w:val="24"/>
                <w:rtl/>
              </w:rPr>
              <w:t>51.4</w:t>
            </w:r>
          </w:p>
        </w:tc>
        <w:tc>
          <w:tcPr>
            <w:tcW w:w="816" w:type="dxa"/>
            <w:tcBorders>
              <w:bottom w:val="single" w:sz="12" w:space="0" w:color="auto"/>
            </w:tcBorders>
            <w:shd w:val="clear" w:color="auto" w:fill="auto"/>
            <w:vAlign w:val="bottom"/>
          </w:tcPr>
          <w:p w:rsidR="00C35CB1" w:rsidRPr="004C0C3C" w:rsidRDefault="00C35CB1" w:rsidP="004C0C3C">
            <w:pPr>
              <w:pStyle w:val="SingleTxt"/>
              <w:spacing w:before="40" w:after="80" w:line="240" w:lineRule="exact"/>
              <w:ind w:left="0" w:right="144"/>
              <w:rPr>
                <w:rFonts w:cs="Traditional Arabic" w:hint="cs"/>
                <w:sz w:val="16"/>
                <w:szCs w:val="24"/>
                <w:rtl/>
              </w:rPr>
            </w:pPr>
            <w:r w:rsidRPr="004C0C3C">
              <w:rPr>
                <w:rFonts w:cs="Traditional Arabic" w:hint="cs"/>
                <w:sz w:val="16"/>
                <w:szCs w:val="24"/>
                <w:rtl/>
              </w:rPr>
              <w:t>53.2</w:t>
            </w:r>
          </w:p>
        </w:tc>
        <w:tc>
          <w:tcPr>
            <w:tcW w:w="816" w:type="dxa"/>
            <w:tcBorders>
              <w:bottom w:val="single" w:sz="12" w:space="0" w:color="auto"/>
            </w:tcBorders>
            <w:shd w:val="clear" w:color="auto" w:fill="auto"/>
            <w:vAlign w:val="bottom"/>
          </w:tcPr>
          <w:p w:rsidR="00C35CB1" w:rsidRPr="004C0C3C" w:rsidRDefault="00C35CB1" w:rsidP="004C0C3C">
            <w:pPr>
              <w:pStyle w:val="SingleTxt"/>
              <w:spacing w:before="40" w:after="80" w:line="240" w:lineRule="exact"/>
              <w:ind w:left="0" w:right="144"/>
              <w:rPr>
                <w:rFonts w:cs="Traditional Arabic" w:hint="cs"/>
                <w:sz w:val="16"/>
                <w:szCs w:val="24"/>
                <w:rtl/>
              </w:rPr>
            </w:pPr>
            <w:r w:rsidRPr="004C0C3C">
              <w:rPr>
                <w:rFonts w:cs="Traditional Arabic" w:hint="cs"/>
                <w:sz w:val="16"/>
                <w:szCs w:val="24"/>
                <w:rtl/>
              </w:rPr>
              <w:t>69.8</w:t>
            </w:r>
          </w:p>
        </w:tc>
        <w:tc>
          <w:tcPr>
            <w:tcW w:w="816" w:type="dxa"/>
            <w:tcBorders>
              <w:bottom w:val="single" w:sz="12" w:space="0" w:color="auto"/>
            </w:tcBorders>
            <w:shd w:val="clear" w:color="auto" w:fill="auto"/>
            <w:vAlign w:val="bottom"/>
          </w:tcPr>
          <w:p w:rsidR="00C35CB1" w:rsidRPr="004C0C3C" w:rsidRDefault="00C35CB1" w:rsidP="004C0C3C">
            <w:pPr>
              <w:pStyle w:val="SingleTxt"/>
              <w:spacing w:before="40" w:after="80" w:line="240" w:lineRule="exact"/>
              <w:ind w:left="0" w:right="144"/>
              <w:rPr>
                <w:rFonts w:cs="Traditional Arabic" w:hint="cs"/>
                <w:sz w:val="16"/>
                <w:szCs w:val="24"/>
                <w:rtl/>
              </w:rPr>
            </w:pPr>
            <w:r w:rsidRPr="004C0C3C">
              <w:rPr>
                <w:rFonts w:cs="Traditional Arabic" w:hint="cs"/>
                <w:sz w:val="16"/>
                <w:szCs w:val="24"/>
                <w:rtl/>
              </w:rPr>
              <w:t>99</w:t>
            </w:r>
          </w:p>
        </w:tc>
        <w:tc>
          <w:tcPr>
            <w:tcW w:w="885" w:type="dxa"/>
            <w:tcBorders>
              <w:bottom w:val="single" w:sz="12" w:space="0" w:color="auto"/>
            </w:tcBorders>
            <w:shd w:val="clear" w:color="auto" w:fill="auto"/>
            <w:vAlign w:val="bottom"/>
          </w:tcPr>
          <w:p w:rsidR="00C35CB1" w:rsidRPr="004C0C3C" w:rsidRDefault="00C35CB1" w:rsidP="004C0C3C">
            <w:pPr>
              <w:pStyle w:val="SingleTxt"/>
              <w:spacing w:before="40" w:after="80" w:line="240" w:lineRule="exact"/>
              <w:ind w:left="0" w:right="144"/>
              <w:rPr>
                <w:rFonts w:cs="Traditional Arabic" w:hint="cs"/>
                <w:sz w:val="16"/>
                <w:szCs w:val="24"/>
                <w:rtl/>
              </w:rPr>
            </w:pPr>
            <w:r w:rsidRPr="004C0C3C">
              <w:rPr>
                <w:rFonts w:cs="Traditional Arabic" w:hint="cs"/>
                <w:sz w:val="16"/>
                <w:szCs w:val="24"/>
                <w:rtl/>
              </w:rPr>
              <w:t>102.1</w:t>
            </w:r>
          </w:p>
        </w:tc>
        <w:tc>
          <w:tcPr>
            <w:tcW w:w="885" w:type="dxa"/>
            <w:tcBorders>
              <w:bottom w:val="single" w:sz="12" w:space="0" w:color="auto"/>
            </w:tcBorders>
            <w:shd w:val="clear" w:color="auto" w:fill="auto"/>
            <w:vAlign w:val="bottom"/>
          </w:tcPr>
          <w:p w:rsidR="00C35CB1" w:rsidRPr="004C0C3C" w:rsidRDefault="00C35CB1" w:rsidP="004C0C3C">
            <w:pPr>
              <w:pStyle w:val="SingleTxt"/>
              <w:spacing w:before="40" w:after="80" w:line="240" w:lineRule="exact"/>
              <w:ind w:left="0" w:right="144"/>
              <w:rPr>
                <w:rFonts w:cs="Traditional Arabic" w:hint="cs"/>
                <w:sz w:val="16"/>
                <w:szCs w:val="24"/>
                <w:rtl/>
              </w:rPr>
            </w:pPr>
            <w:r w:rsidRPr="004C0C3C">
              <w:rPr>
                <w:rFonts w:cs="Traditional Arabic" w:hint="cs"/>
                <w:sz w:val="16"/>
                <w:szCs w:val="24"/>
                <w:rtl/>
              </w:rPr>
              <w:t>120.6</w:t>
            </w:r>
          </w:p>
        </w:tc>
        <w:tc>
          <w:tcPr>
            <w:tcW w:w="885" w:type="dxa"/>
            <w:tcBorders>
              <w:bottom w:val="single" w:sz="12" w:space="0" w:color="auto"/>
            </w:tcBorders>
            <w:shd w:val="clear" w:color="auto" w:fill="auto"/>
            <w:vAlign w:val="bottom"/>
          </w:tcPr>
          <w:p w:rsidR="00C35CB1" w:rsidRPr="004C0C3C" w:rsidRDefault="00C35CB1" w:rsidP="004C0C3C">
            <w:pPr>
              <w:pStyle w:val="SingleTxt"/>
              <w:spacing w:before="40" w:after="80" w:line="240" w:lineRule="exact"/>
              <w:ind w:left="0" w:right="144"/>
              <w:rPr>
                <w:rFonts w:cs="Traditional Arabic" w:hint="cs"/>
                <w:sz w:val="16"/>
                <w:szCs w:val="24"/>
                <w:rtl/>
              </w:rPr>
            </w:pPr>
            <w:r w:rsidRPr="004C0C3C">
              <w:rPr>
                <w:rFonts w:cs="Traditional Arabic" w:hint="cs"/>
                <w:sz w:val="16"/>
                <w:szCs w:val="24"/>
                <w:rtl/>
              </w:rPr>
              <w:t>100.3</w:t>
            </w:r>
          </w:p>
        </w:tc>
        <w:tc>
          <w:tcPr>
            <w:tcW w:w="816" w:type="dxa"/>
            <w:tcBorders>
              <w:bottom w:val="single" w:sz="12" w:space="0" w:color="auto"/>
            </w:tcBorders>
            <w:shd w:val="clear" w:color="auto" w:fill="auto"/>
            <w:vAlign w:val="bottom"/>
          </w:tcPr>
          <w:p w:rsidR="00C35CB1" w:rsidRPr="004C0C3C" w:rsidRDefault="00C35CB1" w:rsidP="004C0C3C">
            <w:pPr>
              <w:pStyle w:val="SingleTxt"/>
              <w:spacing w:before="40" w:after="80" w:line="240" w:lineRule="exact"/>
              <w:ind w:left="0" w:right="144"/>
              <w:rPr>
                <w:rFonts w:cs="Traditional Arabic" w:hint="cs"/>
                <w:sz w:val="16"/>
                <w:szCs w:val="24"/>
                <w:rtl/>
              </w:rPr>
            </w:pPr>
            <w:r w:rsidRPr="004C0C3C">
              <w:rPr>
                <w:rFonts w:cs="Traditional Arabic" w:hint="cs"/>
                <w:sz w:val="16"/>
                <w:szCs w:val="24"/>
                <w:rtl/>
              </w:rPr>
              <w:t>99.4</w:t>
            </w:r>
          </w:p>
        </w:tc>
        <w:tc>
          <w:tcPr>
            <w:tcW w:w="885" w:type="dxa"/>
            <w:tcBorders>
              <w:bottom w:val="single" w:sz="12" w:space="0" w:color="auto"/>
            </w:tcBorders>
            <w:shd w:val="clear" w:color="auto" w:fill="auto"/>
            <w:vAlign w:val="bottom"/>
          </w:tcPr>
          <w:p w:rsidR="00C35CB1" w:rsidRPr="004C0C3C" w:rsidRDefault="00C35CB1" w:rsidP="004C0C3C">
            <w:pPr>
              <w:pStyle w:val="SingleTxt"/>
              <w:spacing w:before="40" w:after="80" w:line="240" w:lineRule="exact"/>
              <w:ind w:left="0" w:right="144"/>
              <w:rPr>
                <w:rFonts w:cs="Traditional Arabic" w:hint="cs"/>
                <w:sz w:val="16"/>
                <w:szCs w:val="24"/>
                <w:rtl/>
              </w:rPr>
            </w:pPr>
            <w:r w:rsidRPr="004C0C3C">
              <w:rPr>
                <w:rFonts w:cs="Traditional Arabic" w:hint="cs"/>
                <w:sz w:val="16"/>
                <w:szCs w:val="24"/>
                <w:rtl/>
              </w:rPr>
              <w:t>140.8</w:t>
            </w:r>
          </w:p>
        </w:tc>
        <w:tc>
          <w:tcPr>
            <w:tcW w:w="885" w:type="dxa"/>
            <w:tcBorders>
              <w:bottom w:val="single" w:sz="12" w:space="0" w:color="auto"/>
            </w:tcBorders>
            <w:shd w:val="clear" w:color="auto" w:fill="auto"/>
            <w:vAlign w:val="bottom"/>
          </w:tcPr>
          <w:p w:rsidR="00C35CB1" w:rsidRPr="004C0C3C" w:rsidRDefault="00C35CB1" w:rsidP="004C0C3C">
            <w:pPr>
              <w:pStyle w:val="SingleTxt"/>
              <w:spacing w:before="40" w:after="80" w:line="240" w:lineRule="exact"/>
              <w:ind w:left="0" w:right="144"/>
              <w:rPr>
                <w:rFonts w:cs="Traditional Arabic" w:hint="cs"/>
                <w:sz w:val="16"/>
                <w:szCs w:val="24"/>
                <w:rtl/>
              </w:rPr>
            </w:pPr>
            <w:r w:rsidRPr="004C0C3C">
              <w:rPr>
                <w:rFonts w:cs="Traditional Arabic" w:hint="cs"/>
                <w:sz w:val="16"/>
                <w:szCs w:val="24"/>
                <w:rtl/>
              </w:rPr>
              <w:t>164.6</w:t>
            </w:r>
          </w:p>
        </w:tc>
      </w:tr>
    </w:tbl>
    <w:p w:rsidR="004C0C3C" w:rsidRPr="004C0C3C" w:rsidRDefault="004C0C3C" w:rsidP="004C0C3C">
      <w:pPr>
        <w:pStyle w:val="SingleTxt"/>
        <w:spacing w:after="0" w:line="120" w:lineRule="exact"/>
        <w:rPr>
          <w:rFonts w:hint="cs"/>
          <w:sz w:val="10"/>
          <w:rtl/>
        </w:rPr>
      </w:pPr>
    </w:p>
    <w:p w:rsidR="004C0C3C" w:rsidRPr="004C0C3C" w:rsidRDefault="004C0C3C" w:rsidP="004C0C3C">
      <w:pPr>
        <w:pStyle w:val="SingleTxt"/>
        <w:spacing w:after="0" w:line="120" w:lineRule="exact"/>
        <w:rPr>
          <w:rFonts w:hint="cs"/>
          <w:sz w:val="10"/>
          <w:rtl/>
        </w:rPr>
      </w:pPr>
    </w:p>
    <w:p w:rsidR="00BA462B" w:rsidRDefault="004C0C3C" w:rsidP="004C0C3C">
      <w:pPr>
        <w:pStyle w:val="SingleTxt"/>
        <w:rPr>
          <w:rFonts w:hint="cs"/>
          <w:rtl/>
        </w:rPr>
      </w:pPr>
      <w:r>
        <w:rPr>
          <w:rFonts w:hint="cs"/>
          <w:rtl/>
        </w:rPr>
        <w:tab/>
      </w:r>
      <w:r w:rsidR="00D666E0">
        <w:rPr>
          <w:rFonts w:hint="cs"/>
          <w:rtl/>
        </w:rPr>
        <w:t>و</w:t>
      </w:r>
      <w:r w:rsidR="00C35CB1" w:rsidRPr="00C35CB1">
        <w:rPr>
          <w:rFonts w:hint="cs"/>
          <w:rtl/>
        </w:rPr>
        <w:t>تسير مدغشقر حاليا، بصورة تدريجية، نحو توفير العلاج المجاني. وفي هذا الاتجاه، تستفيد حاليا تسع مقاطعات، بدعم من صندوق الأمم المتحدة للسكان، من تنفيذ مشاريع توفر الرعاية الصحية مجانا للمريضة وتغطي تكاليف وجود شخص مرافق لها في حالة ظهور صعوبة عند الوضع.</w:t>
      </w:r>
    </w:p>
    <w:p w:rsidR="004C0C3C" w:rsidRPr="004C0C3C" w:rsidRDefault="004C0C3C" w:rsidP="004C0C3C">
      <w:pPr>
        <w:pStyle w:val="SingleTxt"/>
        <w:spacing w:after="0" w:line="120" w:lineRule="exact"/>
        <w:rPr>
          <w:rFonts w:hint="cs"/>
          <w:i/>
          <w:iCs/>
          <w:sz w:val="10"/>
          <w:rtl/>
        </w:rPr>
      </w:pPr>
    </w:p>
    <w:p w:rsidR="00C35CB1" w:rsidRPr="00C35CB1" w:rsidRDefault="00C35CB1" w:rsidP="001E0E2A">
      <w:pPr>
        <w:pStyle w:val="SingleTxt"/>
        <w:rPr>
          <w:rFonts w:hint="cs"/>
          <w:i/>
          <w:iCs/>
          <w:rtl/>
        </w:rPr>
      </w:pPr>
      <w:r w:rsidRPr="00C35CB1">
        <w:rPr>
          <w:rFonts w:hint="cs"/>
          <w:i/>
          <w:iCs/>
          <w:rtl/>
        </w:rPr>
        <w:t xml:space="preserve">تحديات خطة عمل مدغشقر حتى </w:t>
      </w:r>
      <w:r w:rsidR="001E0E2A" w:rsidRPr="00C35CB1">
        <w:rPr>
          <w:rFonts w:hint="cs"/>
          <w:i/>
          <w:iCs/>
          <w:rtl/>
        </w:rPr>
        <w:t xml:space="preserve">عام </w:t>
      </w:r>
      <w:r w:rsidRPr="00C35CB1">
        <w:rPr>
          <w:rFonts w:hint="cs"/>
          <w:i/>
          <w:iCs/>
          <w:rtl/>
        </w:rPr>
        <w:t xml:space="preserve">2012 </w:t>
      </w:r>
    </w:p>
    <w:p w:rsidR="00C35CB1" w:rsidRPr="00C35CB1" w:rsidRDefault="004C0C3C" w:rsidP="004C0C3C">
      <w:pPr>
        <w:pStyle w:val="SingleTxt"/>
        <w:rPr>
          <w:rFonts w:hint="cs"/>
          <w:rtl/>
        </w:rPr>
      </w:pPr>
      <w:r>
        <w:rPr>
          <w:rFonts w:hint="cs"/>
          <w:rtl/>
        </w:rPr>
        <w:tab/>
      </w:r>
      <w:r w:rsidR="00C35CB1" w:rsidRPr="00C35CB1">
        <w:rPr>
          <w:rFonts w:hint="cs"/>
          <w:rtl/>
        </w:rPr>
        <w:t xml:space="preserve">بغية تحقيق وثبة نوعية هامة، تتوخى خطة العمل: </w:t>
      </w:r>
    </w:p>
    <w:p w:rsidR="00C35CB1" w:rsidRPr="00C35CB1" w:rsidRDefault="004C0C3C" w:rsidP="001E0E2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sidR="001E0E2A">
        <w:rPr>
          <w:rFonts w:hint="cs"/>
          <w:rtl/>
        </w:rPr>
        <w:t>-</w:t>
      </w:r>
      <w:r>
        <w:rPr>
          <w:rFonts w:hint="cs"/>
          <w:rtl/>
        </w:rPr>
        <w:tab/>
      </w:r>
      <w:r w:rsidR="00C35CB1" w:rsidRPr="00C35CB1">
        <w:rPr>
          <w:rFonts w:hint="cs"/>
          <w:rtl/>
        </w:rPr>
        <w:t>زيادة العمر المتوقع بمقدار 10 سنوات</w:t>
      </w:r>
      <w:r w:rsidR="0015762F">
        <w:rPr>
          <w:rFonts w:hint="cs"/>
          <w:rtl/>
        </w:rPr>
        <w:t>؛</w:t>
      </w:r>
    </w:p>
    <w:p w:rsidR="00C35CB1" w:rsidRPr="00C35CB1" w:rsidRDefault="004C0C3C" w:rsidP="00416A5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sidR="001E0E2A">
        <w:rPr>
          <w:rFonts w:hint="cs"/>
          <w:rtl/>
        </w:rPr>
        <w:t>-</w:t>
      </w:r>
      <w:r>
        <w:rPr>
          <w:rFonts w:hint="cs"/>
          <w:rtl/>
        </w:rPr>
        <w:tab/>
      </w:r>
      <w:r w:rsidR="00C35CB1" w:rsidRPr="00C35CB1">
        <w:rPr>
          <w:rFonts w:hint="cs"/>
          <w:rtl/>
        </w:rPr>
        <w:t>مضاعفة مدى الانتفاع بخدمات مراكز الرعاية الصحية الأساسية (العيادات الخارجية، الولادات)؛</w:t>
      </w:r>
    </w:p>
    <w:p w:rsidR="00C35CB1" w:rsidRPr="00C35CB1" w:rsidRDefault="004C0C3C" w:rsidP="001E0E2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sidR="001E0E2A">
        <w:rPr>
          <w:rFonts w:hint="cs"/>
          <w:rtl/>
        </w:rPr>
        <w:t>-</w:t>
      </w:r>
      <w:r>
        <w:rPr>
          <w:rFonts w:hint="cs"/>
          <w:rtl/>
        </w:rPr>
        <w:tab/>
      </w:r>
      <w:r w:rsidR="006145D0">
        <w:rPr>
          <w:rFonts w:hint="cs"/>
          <w:rtl/>
        </w:rPr>
        <w:t>خفض الرقم الإ</w:t>
      </w:r>
      <w:r w:rsidR="00C35CB1" w:rsidRPr="00C35CB1">
        <w:rPr>
          <w:rFonts w:hint="cs"/>
          <w:rtl/>
        </w:rPr>
        <w:t>رشادي التوليفي للخصوبة بمقدار</w:t>
      </w:r>
      <w:r w:rsidR="006145D0">
        <w:rPr>
          <w:rFonts w:hint="cs"/>
          <w:rtl/>
        </w:rPr>
        <w:t xml:space="preserve"> </w:t>
      </w:r>
      <w:r w:rsidR="00C35CB1" w:rsidRPr="00C35CB1">
        <w:rPr>
          <w:rFonts w:hint="cs"/>
          <w:rtl/>
        </w:rPr>
        <w:t>نقطتين</w:t>
      </w:r>
      <w:r w:rsidR="0015762F">
        <w:rPr>
          <w:rFonts w:hint="cs"/>
          <w:rtl/>
        </w:rPr>
        <w:t>؛</w:t>
      </w:r>
    </w:p>
    <w:p w:rsidR="00C35CB1" w:rsidRPr="00C35CB1" w:rsidRDefault="004C0C3C" w:rsidP="001E0E2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sidR="001E0E2A">
        <w:rPr>
          <w:rFonts w:hint="cs"/>
          <w:rtl/>
        </w:rPr>
        <w:t>-</w:t>
      </w:r>
      <w:r>
        <w:rPr>
          <w:rFonts w:hint="cs"/>
          <w:rtl/>
        </w:rPr>
        <w:tab/>
      </w:r>
      <w:r w:rsidR="00C35CB1" w:rsidRPr="00C35CB1">
        <w:rPr>
          <w:rFonts w:hint="cs"/>
          <w:rtl/>
        </w:rPr>
        <w:t>خفض معدل وفيات الأطفال بمقدار النصف</w:t>
      </w:r>
      <w:r w:rsidR="0015762F">
        <w:rPr>
          <w:rFonts w:hint="cs"/>
          <w:rtl/>
        </w:rPr>
        <w:t>؛</w:t>
      </w:r>
      <w:r w:rsidR="00C35CB1" w:rsidRPr="00C35CB1">
        <w:rPr>
          <w:rFonts w:hint="cs"/>
          <w:rtl/>
        </w:rPr>
        <w:t xml:space="preserve"> </w:t>
      </w:r>
    </w:p>
    <w:p w:rsidR="00C35CB1" w:rsidRPr="00C35CB1" w:rsidRDefault="004C0C3C" w:rsidP="001E0E2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sidR="001E0E2A">
        <w:rPr>
          <w:rFonts w:hint="cs"/>
          <w:rtl/>
        </w:rPr>
        <w:t>-</w:t>
      </w:r>
      <w:r>
        <w:rPr>
          <w:rFonts w:hint="cs"/>
          <w:rtl/>
        </w:rPr>
        <w:tab/>
      </w:r>
      <w:r w:rsidR="00C35CB1" w:rsidRPr="00C35CB1">
        <w:rPr>
          <w:rFonts w:hint="cs"/>
          <w:rtl/>
        </w:rPr>
        <w:t>خفض معدل وفيات الأمهات بمقدار النص</w:t>
      </w:r>
      <w:r w:rsidR="00C35CB1" w:rsidRPr="00C35CB1">
        <w:rPr>
          <w:rFonts w:hint="eastAsia"/>
          <w:rtl/>
        </w:rPr>
        <w:t>ف</w:t>
      </w:r>
      <w:r w:rsidR="0015762F">
        <w:rPr>
          <w:rFonts w:hint="cs"/>
          <w:rtl/>
        </w:rPr>
        <w:t>؛</w:t>
      </w:r>
    </w:p>
    <w:p w:rsidR="00C35CB1" w:rsidRPr="00C35CB1" w:rsidRDefault="004C0C3C" w:rsidP="001E0E2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sidR="001E0E2A">
        <w:rPr>
          <w:rFonts w:hint="cs"/>
          <w:rtl/>
        </w:rPr>
        <w:t>-</w:t>
      </w:r>
      <w:r>
        <w:rPr>
          <w:rFonts w:hint="cs"/>
          <w:rtl/>
        </w:rPr>
        <w:tab/>
      </w:r>
      <w:r w:rsidR="00C35CB1" w:rsidRPr="00C35CB1">
        <w:rPr>
          <w:rFonts w:hint="cs"/>
          <w:rtl/>
        </w:rPr>
        <w:t>القضاء على الأمراض المنتقلة الرئيسية، ولا</w:t>
      </w:r>
      <w:r w:rsidR="00382E75">
        <w:rPr>
          <w:rFonts w:hint="cs"/>
          <w:rtl/>
        </w:rPr>
        <w:t xml:space="preserve"> </w:t>
      </w:r>
      <w:r w:rsidR="00C35CB1" w:rsidRPr="00C35CB1">
        <w:rPr>
          <w:rFonts w:hint="cs"/>
          <w:rtl/>
        </w:rPr>
        <w:t xml:space="preserve">سيما حمّى المستنقعات ومرض الزهري </w:t>
      </w:r>
      <w:r w:rsidR="00D666E0">
        <w:rPr>
          <w:rFonts w:hint="cs"/>
          <w:rtl/>
        </w:rPr>
        <w:t>و</w:t>
      </w:r>
      <w:r w:rsidR="00C35CB1" w:rsidRPr="00C35CB1">
        <w:rPr>
          <w:rFonts w:hint="cs"/>
          <w:rtl/>
        </w:rPr>
        <w:t>مرض السل الفطري؛</w:t>
      </w:r>
    </w:p>
    <w:p w:rsidR="00C35CB1" w:rsidRPr="00C35CB1" w:rsidRDefault="004C0C3C" w:rsidP="001E0E2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sidR="001E0E2A">
        <w:rPr>
          <w:rFonts w:hint="cs"/>
          <w:rtl/>
        </w:rPr>
        <w:t>-</w:t>
      </w:r>
      <w:r>
        <w:rPr>
          <w:rFonts w:hint="cs"/>
          <w:rtl/>
        </w:rPr>
        <w:tab/>
      </w:r>
      <w:r w:rsidR="00C35CB1" w:rsidRPr="00C35CB1">
        <w:rPr>
          <w:rFonts w:hint="cs"/>
          <w:rtl/>
        </w:rPr>
        <w:t>خفض معدل سوء التغذية لدى الأطفال دون السن الخامسة بنسبة 28 في المائة؛</w:t>
      </w:r>
    </w:p>
    <w:p w:rsidR="00C35CB1" w:rsidRPr="00C35CB1" w:rsidRDefault="004C0C3C" w:rsidP="001E0E2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sidR="001E0E2A">
        <w:rPr>
          <w:rFonts w:hint="cs"/>
          <w:rtl/>
        </w:rPr>
        <w:t>-</w:t>
      </w:r>
      <w:r>
        <w:rPr>
          <w:rFonts w:hint="cs"/>
          <w:rtl/>
        </w:rPr>
        <w:tab/>
      </w:r>
      <w:r w:rsidR="00C35CB1" w:rsidRPr="00C35CB1">
        <w:rPr>
          <w:rFonts w:hint="cs"/>
          <w:rtl/>
        </w:rPr>
        <w:t>النجاح في مكافحة فيروس نقص المناعة البشرية</w:t>
      </w:r>
      <w:r w:rsidR="00BB6B48">
        <w:rPr>
          <w:rFonts w:hint="cs"/>
          <w:rtl/>
        </w:rPr>
        <w:t>/</w:t>
      </w:r>
      <w:r w:rsidR="00C35CB1" w:rsidRPr="00C35CB1">
        <w:rPr>
          <w:rFonts w:hint="cs"/>
          <w:rtl/>
        </w:rPr>
        <w:t xml:space="preserve">متلازمة نقص المناعة المكتسب (الإيدز) بإبقاء معدل التفشي في مستوى أدنى من </w:t>
      </w:r>
      <w:r w:rsidR="00765A56">
        <w:rPr>
          <w:rFonts w:hint="cs"/>
          <w:rtl/>
          <w:lang w:val="fr-FR"/>
        </w:rPr>
        <w:t xml:space="preserve">0.95 </w:t>
      </w:r>
      <w:r w:rsidR="00C35CB1" w:rsidRPr="00C35CB1">
        <w:rPr>
          <w:rFonts w:hint="cs"/>
          <w:rtl/>
        </w:rPr>
        <w:t>في المائة؛</w:t>
      </w:r>
    </w:p>
    <w:p w:rsidR="00BA462B" w:rsidRDefault="004C0C3C" w:rsidP="001E0E2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sidR="001E0E2A">
        <w:rPr>
          <w:rFonts w:hint="cs"/>
          <w:rtl/>
        </w:rPr>
        <w:t>-</w:t>
      </w:r>
      <w:r>
        <w:rPr>
          <w:rFonts w:hint="cs"/>
          <w:rtl/>
        </w:rPr>
        <w:tab/>
      </w:r>
      <w:r w:rsidR="00C35CB1" w:rsidRPr="00C35CB1">
        <w:rPr>
          <w:rFonts w:hint="cs"/>
          <w:rtl/>
        </w:rPr>
        <w:t>خفض معدل وفيات الأطفال المرتبطة بتلوث المياه.</w:t>
      </w:r>
    </w:p>
    <w:p w:rsidR="00BA462B" w:rsidRDefault="004C0C3C" w:rsidP="00C35CB1">
      <w:pPr>
        <w:pStyle w:val="SingleTxt"/>
        <w:rPr>
          <w:rFonts w:hint="cs"/>
          <w:rtl/>
        </w:rPr>
      </w:pPr>
      <w:r>
        <w:rPr>
          <w:rFonts w:hint="cs"/>
          <w:rtl/>
        </w:rPr>
        <w:tab/>
      </w:r>
      <w:r w:rsidR="00D666E0">
        <w:rPr>
          <w:rFonts w:hint="cs"/>
          <w:rtl/>
        </w:rPr>
        <w:t>و</w:t>
      </w:r>
      <w:r w:rsidR="00C35CB1" w:rsidRPr="00C35CB1">
        <w:rPr>
          <w:rFonts w:hint="cs"/>
          <w:rtl/>
        </w:rPr>
        <w:t>لكي تخفّض معدل وفيات الأمهات المرتبطة بالإجهاض السري، كرّست الدول</w:t>
      </w:r>
      <w:r w:rsidR="00DA6060">
        <w:rPr>
          <w:rFonts w:hint="cs"/>
          <w:rtl/>
        </w:rPr>
        <w:t>ة</w:t>
      </w:r>
      <w:r w:rsidR="00C35CB1" w:rsidRPr="00C35CB1">
        <w:rPr>
          <w:rFonts w:hint="cs"/>
          <w:rtl/>
        </w:rPr>
        <w:t xml:space="preserve"> إمكانيات لتيسير الحصول على وسائل منع الحمل</w:t>
      </w:r>
      <w:r w:rsidR="0015762F">
        <w:rPr>
          <w:rFonts w:hint="cs"/>
          <w:rtl/>
        </w:rPr>
        <w:t>.</w:t>
      </w:r>
    </w:p>
    <w:p w:rsidR="004C0C3C" w:rsidRDefault="00382E75" w:rsidP="004C0C3C">
      <w:pPr>
        <w:tabs>
          <w:tab w:val="left" w:pos="662"/>
          <w:tab w:val="left" w:pos="1267"/>
          <w:tab w:val="left" w:pos="1987"/>
          <w:tab w:val="left" w:pos="2650"/>
        </w:tabs>
        <w:rPr>
          <w:rFonts w:hint="cs"/>
          <w:rtl/>
        </w:rPr>
      </w:pPr>
      <w:r>
        <w:rPr>
          <w:rtl/>
        </w:rPr>
        <w:br w:type="page"/>
      </w:r>
      <w:r w:rsidR="00C35CB1" w:rsidRPr="00C35CB1">
        <w:rPr>
          <w:rFonts w:hint="cs"/>
          <w:rtl/>
        </w:rPr>
        <w:t>الجدول 4</w:t>
      </w:r>
    </w:p>
    <w:p w:rsidR="00C35CB1" w:rsidRPr="00C35CB1" w:rsidRDefault="00C35CB1" w:rsidP="004C0C3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C35CB1">
        <w:rPr>
          <w:rFonts w:hint="cs"/>
          <w:rtl/>
        </w:rPr>
        <w:t>مصدر التزويد</w:t>
      </w:r>
    </w:p>
    <w:p w:rsidR="000516B0" w:rsidRPr="000516B0" w:rsidRDefault="000516B0" w:rsidP="000516B0">
      <w:pPr>
        <w:pStyle w:val="SingleTxt"/>
        <w:spacing w:after="0" w:line="120" w:lineRule="exact"/>
        <w:rPr>
          <w:sz w:val="10"/>
        </w:rPr>
      </w:pPr>
    </w:p>
    <w:tbl>
      <w:tblPr>
        <w:tblStyle w:val="TableGrid"/>
        <w:bidiVisual/>
        <w:tblW w:w="9828" w:type="dxa"/>
        <w:jc w:val="center"/>
        <w:tblInd w:w="-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320"/>
        <w:gridCol w:w="1339"/>
        <w:gridCol w:w="1309"/>
        <w:gridCol w:w="943"/>
        <w:gridCol w:w="1305"/>
        <w:gridCol w:w="1304"/>
        <w:gridCol w:w="1308"/>
      </w:tblGrid>
      <w:tr w:rsidR="00C35CB1" w:rsidRPr="004C0C3C">
        <w:trPr>
          <w:cantSplit/>
          <w:tblHeader/>
          <w:jc w:val="center"/>
        </w:trPr>
        <w:tc>
          <w:tcPr>
            <w:tcW w:w="2320" w:type="dxa"/>
            <w:tcBorders>
              <w:top w:val="single" w:sz="4" w:space="0" w:color="auto"/>
              <w:bottom w:val="single" w:sz="12" w:space="0" w:color="auto"/>
            </w:tcBorders>
            <w:shd w:val="clear" w:color="auto" w:fill="auto"/>
            <w:vAlign w:val="bottom"/>
          </w:tcPr>
          <w:p w:rsidR="00C35CB1" w:rsidRPr="004C0C3C" w:rsidRDefault="00C35CB1" w:rsidP="004C0C3C">
            <w:pPr>
              <w:pStyle w:val="SingleTxt"/>
              <w:spacing w:before="80" w:after="80" w:line="240" w:lineRule="exact"/>
              <w:ind w:left="0" w:right="0"/>
              <w:rPr>
                <w:rFonts w:cs="Traditional Arabic" w:hint="cs"/>
                <w:i/>
                <w:iCs/>
                <w:sz w:val="16"/>
                <w:szCs w:val="24"/>
                <w:rtl/>
              </w:rPr>
            </w:pPr>
            <w:r w:rsidRPr="004C0C3C">
              <w:rPr>
                <w:rFonts w:cs="Traditional Arabic" w:hint="cs"/>
                <w:i/>
                <w:iCs/>
                <w:sz w:val="16"/>
                <w:szCs w:val="24"/>
                <w:rtl/>
              </w:rPr>
              <w:t>مصدر التزويد</w:t>
            </w:r>
          </w:p>
        </w:tc>
        <w:tc>
          <w:tcPr>
            <w:tcW w:w="1339" w:type="dxa"/>
            <w:tcBorders>
              <w:top w:val="single" w:sz="4" w:space="0" w:color="auto"/>
              <w:bottom w:val="single" w:sz="12" w:space="0" w:color="auto"/>
            </w:tcBorders>
            <w:shd w:val="clear" w:color="auto" w:fill="auto"/>
            <w:vAlign w:val="bottom"/>
          </w:tcPr>
          <w:p w:rsidR="00C35CB1" w:rsidRPr="004C0C3C" w:rsidRDefault="00C35CB1" w:rsidP="004C0C3C">
            <w:pPr>
              <w:pStyle w:val="SingleTxt"/>
              <w:spacing w:before="80" w:after="80" w:line="240" w:lineRule="exact"/>
              <w:ind w:left="0" w:right="144"/>
              <w:rPr>
                <w:rFonts w:cs="Traditional Arabic" w:hint="cs"/>
                <w:i/>
                <w:iCs/>
                <w:sz w:val="16"/>
                <w:szCs w:val="24"/>
                <w:lang w:val="fr-FR"/>
              </w:rPr>
            </w:pPr>
            <w:r w:rsidRPr="004C0C3C">
              <w:rPr>
                <w:rFonts w:cs="Traditional Arabic" w:hint="cs"/>
                <w:i/>
                <w:iCs/>
                <w:sz w:val="16"/>
                <w:szCs w:val="24"/>
                <w:rtl/>
              </w:rPr>
              <w:t>القرص</w:t>
            </w:r>
          </w:p>
        </w:tc>
        <w:tc>
          <w:tcPr>
            <w:tcW w:w="1309" w:type="dxa"/>
            <w:tcBorders>
              <w:top w:val="single" w:sz="4" w:space="0" w:color="auto"/>
              <w:bottom w:val="single" w:sz="12" w:space="0" w:color="auto"/>
            </w:tcBorders>
            <w:shd w:val="clear" w:color="auto" w:fill="auto"/>
            <w:vAlign w:val="bottom"/>
          </w:tcPr>
          <w:p w:rsidR="00C35CB1" w:rsidRPr="004C0C3C" w:rsidRDefault="00C35CB1" w:rsidP="004C0C3C">
            <w:pPr>
              <w:pStyle w:val="SingleTxt"/>
              <w:spacing w:before="80" w:after="80" w:line="240" w:lineRule="exact"/>
              <w:ind w:left="0" w:right="144"/>
              <w:rPr>
                <w:rFonts w:cs="Traditional Arabic" w:hint="cs"/>
                <w:i/>
                <w:iCs/>
                <w:sz w:val="16"/>
                <w:szCs w:val="24"/>
                <w:rtl/>
              </w:rPr>
            </w:pPr>
            <w:r w:rsidRPr="004C0C3C">
              <w:rPr>
                <w:rFonts w:cs="Traditional Arabic" w:hint="cs"/>
                <w:i/>
                <w:iCs/>
                <w:sz w:val="16"/>
                <w:szCs w:val="24"/>
                <w:rtl/>
              </w:rPr>
              <w:t>جهاز رحمي</w:t>
            </w:r>
          </w:p>
        </w:tc>
        <w:tc>
          <w:tcPr>
            <w:tcW w:w="943" w:type="dxa"/>
            <w:tcBorders>
              <w:top w:val="single" w:sz="4" w:space="0" w:color="auto"/>
              <w:bottom w:val="single" w:sz="12" w:space="0" w:color="auto"/>
            </w:tcBorders>
            <w:shd w:val="clear" w:color="auto" w:fill="auto"/>
            <w:vAlign w:val="bottom"/>
          </w:tcPr>
          <w:p w:rsidR="00C35CB1" w:rsidRPr="004C0C3C" w:rsidRDefault="00C35CB1" w:rsidP="004C0C3C">
            <w:pPr>
              <w:pStyle w:val="SingleTxt"/>
              <w:spacing w:before="80" w:after="80" w:line="240" w:lineRule="exact"/>
              <w:ind w:left="0" w:right="144"/>
              <w:rPr>
                <w:rFonts w:cs="Traditional Arabic" w:hint="cs"/>
                <w:i/>
                <w:iCs/>
                <w:sz w:val="16"/>
                <w:szCs w:val="24"/>
                <w:rtl/>
              </w:rPr>
            </w:pPr>
            <w:r w:rsidRPr="004C0C3C">
              <w:rPr>
                <w:rFonts w:cs="Traditional Arabic" w:hint="cs"/>
                <w:i/>
                <w:iCs/>
                <w:sz w:val="16"/>
                <w:szCs w:val="24"/>
                <w:rtl/>
              </w:rPr>
              <w:t>محقونات</w:t>
            </w:r>
          </w:p>
        </w:tc>
        <w:tc>
          <w:tcPr>
            <w:tcW w:w="1305" w:type="dxa"/>
            <w:tcBorders>
              <w:top w:val="single" w:sz="4" w:space="0" w:color="auto"/>
              <w:bottom w:val="single" w:sz="12" w:space="0" w:color="auto"/>
            </w:tcBorders>
            <w:shd w:val="clear" w:color="auto" w:fill="auto"/>
            <w:vAlign w:val="bottom"/>
          </w:tcPr>
          <w:p w:rsidR="00C35CB1" w:rsidRPr="004C0C3C" w:rsidRDefault="00C35CB1" w:rsidP="004C0C3C">
            <w:pPr>
              <w:pStyle w:val="SingleTxt"/>
              <w:spacing w:before="80" w:after="80" w:line="240" w:lineRule="exact"/>
              <w:ind w:left="0" w:right="144"/>
              <w:rPr>
                <w:rFonts w:cs="Traditional Arabic" w:hint="cs"/>
                <w:i/>
                <w:iCs/>
                <w:sz w:val="16"/>
                <w:szCs w:val="24"/>
                <w:rtl/>
              </w:rPr>
            </w:pPr>
            <w:r w:rsidRPr="004C0C3C">
              <w:rPr>
                <w:rFonts w:cs="Traditional Arabic" w:hint="cs"/>
                <w:i/>
                <w:iCs/>
                <w:sz w:val="16"/>
                <w:szCs w:val="24"/>
                <w:rtl/>
              </w:rPr>
              <w:t>واقيات ذكرية</w:t>
            </w:r>
          </w:p>
        </w:tc>
        <w:tc>
          <w:tcPr>
            <w:tcW w:w="1304" w:type="dxa"/>
            <w:tcBorders>
              <w:top w:val="single" w:sz="4" w:space="0" w:color="auto"/>
              <w:bottom w:val="single" w:sz="12" w:space="0" w:color="auto"/>
            </w:tcBorders>
            <w:shd w:val="clear" w:color="auto" w:fill="auto"/>
            <w:vAlign w:val="bottom"/>
          </w:tcPr>
          <w:p w:rsidR="00C35CB1" w:rsidRPr="004C0C3C" w:rsidRDefault="00C35CB1" w:rsidP="004C0C3C">
            <w:pPr>
              <w:pStyle w:val="SingleTxt"/>
              <w:spacing w:before="80" w:after="80" w:line="240" w:lineRule="exact"/>
              <w:ind w:left="0" w:right="144"/>
              <w:rPr>
                <w:rFonts w:cs="Traditional Arabic" w:hint="cs"/>
                <w:i/>
                <w:iCs/>
                <w:sz w:val="16"/>
                <w:szCs w:val="24"/>
                <w:rtl/>
              </w:rPr>
            </w:pPr>
            <w:r w:rsidRPr="004C0C3C">
              <w:rPr>
                <w:rFonts w:cs="Traditional Arabic" w:hint="cs"/>
                <w:i/>
                <w:iCs/>
                <w:sz w:val="16"/>
                <w:szCs w:val="24"/>
                <w:rtl/>
              </w:rPr>
              <w:t>تعقيم النساء</w:t>
            </w:r>
          </w:p>
        </w:tc>
        <w:tc>
          <w:tcPr>
            <w:tcW w:w="1308" w:type="dxa"/>
            <w:tcBorders>
              <w:top w:val="single" w:sz="4" w:space="0" w:color="auto"/>
              <w:bottom w:val="single" w:sz="12" w:space="0" w:color="auto"/>
            </w:tcBorders>
            <w:shd w:val="clear" w:color="auto" w:fill="auto"/>
            <w:vAlign w:val="bottom"/>
          </w:tcPr>
          <w:p w:rsidR="00C35CB1" w:rsidRPr="004C0C3C" w:rsidRDefault="00C35CB1" w:rsidP="004C0C3C">
            <w:pPr>
              <w:pStyle w:val="SingleTxt"/>
              <w:spacing w:before="80" w:after="80" w:line="240" w:lineRule="exact"/>
              <w:ind w:left="0" w:right="144"/>
              <w:rPr>
                <w:rFonts w:cs="Traditional Arabic" w:hint="cs"/>
                <w:i/>
                <w:iCs/>
                <w:sz w:val="16"/>
                <w:szCs w:val="24"/>
                <w:rtl/>
              </w:rPr>
            </w:pPr>
            <w:r w:rsidRPr="004C0C3C">
              <w:rPr>
                <w:rFonts w:cs="Traditional Arabic" w:hint="cs"/>
                <w:i/>
                <w:iCs/>
                <w:sz w:val="16"/>
                <w:szCs w:val="24"/>
                <w:rtl/>
              </w:rPr>
              <w:t>المجموع</w:t>
            </w:r>
          </w:p>
        </w:tc>
      </w:tr>
      <w:tr w:rsidR="004C0C3C" w:rsidRPr="004C0C3C">
        <w:trPr>
          <w:cantSplit/>
          <w:trHeight w:hRule="exact" w:val="115"/>
          <w:tblHeader/>
          <w:jc w:val="center"/>
        </w:trPr>
        <w:tc>
          <w:tcPr>
            <w:tcW w:w="2320" w:type="dxa"/>
            <w:tcBorders>
              <w:top w:val="single" w:sz="12" w:space="0" w:color="auto"/>
            </w:tcBorders>
            <w:shd w:val="clear" w:color="auto" w:fill="auto"/>
            <w:vAlign w:val="bottom"/>
          </w:tcPr>
          <w:p w:rsidR="004C0C3C" w:rsidRPr="004C0C3C" w:rsidRDefault="004C0C3C" w:rsidP="004C0C3C">
            <w:pPr>
              <w:pStyle w:val="SingleTxt"/>
              <w:spacing w:before="40" w:after="80" w:line="240" w:lineRule="exact"/>
              <w:ind w:left="0" w:right="0"/>
              <w:rPr>
                <w:rFonts w:hint="cs"/>
                <w:b/>
                <w:bCs/>
                <w:sz w:val="16"/>
                <w:szCs w:val="24"/>
                <w:rtl/>
              </w:rPr>
            </w:pPr>
          </w:p>
        </w:tc>
        <w:tc>
          <w:tcPr>
            <w:tcW w:w="1339" w:type="dxa"/>
            <w:tcBorders>
              <w:top w:val="single" w:sz="12" w:space="0" w:color="auto"/>
            </w:tcBorders>
            <w:shd w:val="clear" w:color="auto" w:fill="auto"/>
            <w:vAlign w:val="bottom"/>
          </w:tcPr>
          <w:p w:rsidR="004C0C3C" w:rsidRPr="004C0C3C" w:rsidRDefault="004C0C3C" w:rsidP="004C0C3C">
            <w:pPr>
              <w:pStyle w:val="SingleTxt"/>
              <w:spacing w:before="40" w:after="80" w:line="240" w:lineRule="exact"/>
              <w:ind w:left="0" w:right="144"/>
              <w:rPr>
                <w:rFonts w:hint="cs"/>
                <w:sz w:val="16"/>
                <w:szCs w:val="24"/>
                <w:rtl/>
              </w:rPr>
            </w:pPr>
          </w:p>
        </w:tc>
        <w:tc>
          <w:tcPr>
            <w:tcW w:w="1309" w:type="dxa"/>
            <w:tcBorders>
              <w:top w:val="single" w:sz="12" w:space="0" w:color="auto"/>
            </w:tcBorders>
            <w:shd w:val="clear" w:color="auto" w:fill="auto"/>
            <w:vAlign w:val="bottom"/>
          </w:tcPr>
          <w:p w:rsidR="004C0C3C" w:rsidRPr="004C0C3C" w:rsidRDefault="004C0C3C" w:rsidP="004C0C3C">
            <w:pPr>
              <w:pStyle w:val="SingleTxt"/>
              <w:spacing w:before="40" w:after="80" w:line="240" w:lineRule="exact"/>
              <w:ind w:left="0" w:right="144"/>
              <w:rPr>
                <w:rFonts w:hint="cs"/>
                <w:sz w:val="16"/>
                <w:szCs w:val="24"/>
                <w:rtl/>
              </w:rPr>
            </w:pPr>
          </w:p>
        </w:tc>
        <w:tc>
          <w:tcPr>
            <w:tcW w:w="943" w:type="dxa"/>
            <w:tcBorders>
              <w:top w:val="single" w:sz="12" w:space="0" w:color="auto"/>
            </w:tcBorders>
            <w:shd w:val="clear" w:color="auto" w:fill="auto"/>
            <w:vAlign w:val="bottom"/>
          </w:tcPr>
          <w:p w:rsidR="004C0C3C" w:rsidRPr="004C0C3C" w:rsidRDefault="004C0C3C" w:rsidP="004C0C3C">
            <w:pPr>
              <w:pStyle w:val="SingleTxt"/>
              <w:spacing w:before="40" w:after="80" w:line="240" w:lineRule="exact"/>
              <w:ind w:left="0" w:right="144"/>
              <w:rPr>
                <w:rFonts w:hint="cs"/>
                <w:sz w:val="16"/>
                <w:szCs w:val="24"/>
                <w:rtl/>
              </w:rPr>
            </w:pPr>
          </w:p>
        </w:tc>
        <w:tc>
          <w:tcPr>
            <w:tcW w:w="1305" w:type="dxa"/>
            <w:tcBorders>
              <w:top w:val="single" w:sz="12" w:space="0" w:color="auto"/>
            </w:tcBorders>
            <w:shd w:val="clear" w:color="auto" w:fill="auto"/>
            <w:vAlign w:val="bottom"/>
          </w:tcPr>
          <w:p w:rsidR="004C0C3C" w:rsidRPr="004C0C3C" w:rsidRDefault="004C0C3C" w:rsidP="004C0C3C">
            <w:pPr>
              <w:pStyle w:val="SingleTxt"/>
              <w:spacing w:before="40" w:after="80" w:line="240" w:lineRule="exact"/>
              <w:ind w:left="0" w:right="144"/>
              <w:rPr>
                <w:rFonts w:hint="cs"/>
                <w:sz w:val="16"/>
                <w:szCs w:val="24"/>
                <w:rtl/>
              </w:rPr>
            </w:pPr>
          </w:p>
        </w:tc>
        <w:tc>
          <w:tcPr>
            <w:tcW w:w="1304" w:type="dxa"/>
            <w:tcBorders>
              <w:top w:val="single" w:sz="12" w:space="0" w:color="auto"/>
            </w:tcBorders>
            <w:shd w:val="clear" w:color="auto" w:fill="auto"/>
            <w:vAlign w:val="bottom"/>
          </w:tcPr>
          <w:p w:rsidR="004C0C3C" w:rsidRPr="004C0C3C" w:rsidRDefault="004C0C3C" w:rsidP="004C0C3C">
            <w:pPr>
              <w:pStyle w:val="SingleTxt"/>
              <w:spacing w:before="40" w:after="80" w:line="240" w:lineRule="exact"/>
              <w:ind w:left="0" w:right="144"/>
              <w:rPr>
                <w:rFonts w:hint="cs"/>
                <w:sz w:val="16"/>
                <w:szCs w:val="24"/>
                <w:rtl/>
              </w:rPr>
            </w:pPr>
          </w:p>
        </w:tc>
        <w:tc>
          <w:tcPr>
            <w:tcW w:w="1308" w:type="dxa"/>
            <w:tcBorders>
              <w:top w:val="single" w:sz="12" w:space="0" w:color="auto"/>
            </w:tcBorders>
            <w:shd w:val="clear" w:color="auto" w:fill="auto"/>
            <w:vAlign w:val="bottom"/>
          </w:tcPr>
          <w:p w:rsidR="004C0C3C" w:rsidRPr="004C0C3C" w:rsidRDefault="004C0C3C" w:rsidP="004C0C3C">
            <w:pPr>
              <w:pStyle w:val="SingleTxt"/>
              <w:spacing w:before="40" w:after="80" w:line="240" w:lineRule="exact"/>
              <w:ind w:left="0" w:right="144"/>
              <w:rPr>
                <w:rFonts w:hint="cs"/>
                <w:sz w:val="16"/>
                <w:szCs w:val="24"/>
                <w:rtl/>
              </w:rPr>
            </w:pPr>
          </w:p>
        </w:tc>
      </w:tr>
      <w:tr w:rsidR="00C35CB1" w:rsidRPr="001E0E2A">
        <w:trPr>
          <w:cantSplit/>
          <w:jc w:val="center"/>
        </w:trPr>
        <w:tc>
          <w:tcPr>
            <w:tcW w:w="2320" w:type="dxa"/>
            <w:shd w:val="clear" w:color="auto" w:fill="auto"/>
            <w:vAlign w:val="bottom"/>
          </w:tcPr>
          <w:p w:rsidR="00C35CB1" w:rsidRPr="001E0E2A" w:rsidRDefault="00C35CB1" w:rsidP="004C0C3C">
            <w:pPr>
              <w:pStyle w:val="SingleTxt"/>
              <w:spacing w:before="40" w:after="80" w:line="240" w:lineRule="exact"/>
              <w:ind w:left="0" w:right="0"/>
              <w:rPr>
                <w:rFonts w:cs="Traditional Arabic" w:hint="cs"/>
                <w:b/>
                <w:bCs/>
                <w:sz w:val="16"/>
                <w:szCs w:val="24"/>
                <w:rtl/>
              </w:rPr>
            </w:pPr>
            <w:r w:rsidRPr="001E0E2A">
              <w:rPr>
                <w:rFonts w:cs="Traditional Arabic" w:hint="cs"/>
                <w:b/>
                <w:bCs/>
                <w:sz w:val="16"/>
                <w:szCs w:val="24"/>
                <w:rtl/>
              </w:rPr>
              <w:t>القطاع العام</w:t>
            </w:r>
          </w:p>
        </w:tc>
        <w:tc>
          <w:tcPr>
            <w:tcW w:w="1339" w:type="dxa"/>
            <w:shd w:val="clear" w:color="auto" w:fill="auto"/>
            <w:vAlign w:val="bottom"/>
          </w:tcPr>
          <w:p w:rsidR="00C35CB1" w:rsidRPr="001E0E2A" w:rsidRDefault="00C35CB1" w:rsidP="004C0C3C">
            <w:pPr>
              <w:pStyle w:val="SingleTxt"/>
              <w:spacing w:before="40" w:after="80" w:line="240" w:lineRule="exact"/>
              <w:ind w:left="0" w:right="144"/>
              <w:rPr>
                <w:rFonts w:cs="Traditional Arabic" w:hint="cs"/>
                <w:b/>
                <w:bCs/>
                <w:sz w:val="16"/>
                <w:szCs w:val="24"/>
                <w:rtl/>
              </w:rPr>
            </w:pPr>
            <w:r w:rsidRPr="001E0E2A">
              <w:rPr>
                <w:rFonts w:cs="Traditional Arabic" w:hint="cs"/>
                <w:b/>
                <w:bCs/>
                <w:sz w:val="16"/>
                <w:szCs w:val="24"/>
                <w:rtl/>
              </w:rPr>
              <w:t>56.5</w:t>
            </w:r>
          </w:p>
        </w:tc>
        <w:tc>
          <w:tcPr>
            <w:tcW w:w="1309" w:type="dxa"/>
            <w:shd w:val="clear" w:color="auto" w:fill="auto"/>
            <w:vAlign w:val="bottom"/>
          </w:tcPr>
          <w:p w:rsidR="00C35CB1" w:rsidRPr="001E0E2A" w:rsidRDefault="00C35CB1" w:rsidP="004C0C3C">
            <w:pPr>
              <w:pStyle w:val="SingleTxt"/>
              <w:spacing w:before="40" w:after="80" w:line="240" w:lineRule="exact"/>
              <w:ind w:left="0" w:right="144"/>
              <w:rPr>
                <w:rFonts w:cs="Traditional Arabic" w:hint="cs"/>
                <w:b/>
                <w:bCs/>
                <w:sz w:val="16"/>
                <w:szCs w:val="24"/>
                <w:rtl/>
              </w:rPr>
            </w:pPr>
            <w:r w:rsidRPr="001E0E2A">
              <w:rPr>
                <w:rFonts w:cs="Traditional Arabic" w:hint="cs"/>
                <w:b/>
                <w:bCs/>
                <w:sz w:val="16"/>
                <w:szCs w:val="24"/>
                <w:rtl/>
              </w:rPr>
              <w:t>(34.0)</w:t>
            </w:r>
          </w:p>
        </w:tc>
        <w:tc>
          <w:tcPr>
            <w:tcW w:w="943" w:type="dxa"/>
            <w:shd w:val="clear" w:color="auto" w:fill="auto"/>
            <w:vAlign w:val="bottom"/>
          </w:tcPr>
          <w:p w:rsidR="00C35CB1" w:rsidRPr="001E0E2A" w:rsidRDefault="00C35CB1" w:rsidP="004C0C3C">
            <w:pPr>
              <w:pStyle w:val="SingleTxt"/>
              <w:spacing w:before="40" w:after="80" w:line="240" w:lineRule="exact"/>
              <w:ind w:left="0" w:right="144"/>
              <w:rPr>
                <w:rFonts w:cs="Traditional Arabic" w:hint="cs"/>
                <w:b/>
                <w:bCs/>
                <w:sz w:val="16"/>
                <w:szCs w:val="24"/>
                <w:rtl/>
              </w:rPr>
            </w:pPr>
            <w:r w:rsidRPr="001E0E2A">
              <w:rPr>
                <w:rFonts w:cs="Traditional Arabic" w:hint="cs"/>
                <w:b/>
                <w:bCs/>
                <w:sz w:val="16"/>
                <w:szCs w:val="24"/>
                <w:rtl/>
              </w:rPr>
              <w:t>67.6</w:t>
            </w:r>
          </w:p>
        </w:tc>
        <w:tc>
          <w:tcPr>
            <w:tcW w:w="1305" w:type="dxa"/>
            <w:shd w:val="clear" w:color="auto" w:fill="auto"/>
            <w:vAlign w:val="bottom"/>
          </w:tcPr>
          <w:p w:rsidR="00C35CB1" w:rsidRPr="001E0E2A" w:rsidRDefault="00C35CB1" w:rsidP="004C0C3C">
            <w:pPr>
              <w:pStyle w:val="SingleTxt"/>
              <w:spacing w:before="40" w:after="80" w:line="240" w:lineRule="exact"/>
              <w:ind w:left="0" w:right="144"/>
              <w:rPr>
                <w:rFonts w:cs="Traditional Arabic" w:hint="cs"/>
                <w:b/>
                <w:bCs/>
                <w:sz w:val="16"/>
                <w:szCs w:val="24"/>
                <w:rtl/>
              </w:rPr>
            </w:pPr>
            <w:r w:rsidRPr="001E0E2A">
              <w:rPr>
                <w:rFonts w:cs="Traditional Arabic" w:hint="cs"/>
                <w:b/>
                <w:bCs/>
                <w:sz w:val="16"/>
                <w:szCs w:val="24"/>
                <w:rtl/>
              </w:rPr>
              <w:t>2.3</w:t>
            </w:r>
          </w:p>
        </w:tc>
        <w:tc>
          <w:tcPr>
            <w:tcW w:w="1304" w:type="dxa"/>
            <w:shd w:val="clear" w:color="auto" w:fill="auto"/>
            <w:vAlign w:val="bottom"/>
          </w:tcPr>
          <w:p w:rsidR="00C35CB1" w:rsidRPr="001E0E2A" w:rsidRDefault="00C35CB1" w:rsidP="004C0C3C">
            <w:pPr>
              <w:pStyle w:val="SingleTxt"/>
              <w:spacing w:before="40" w:after="80" w:line="240" w:lineRule="exact"/>
              <w:ind w:left="0" w:right="144"/>
              <w:rPr>
                <w:rFonts w:cs="Traditional Arabic" w:hint="cs"/>
                <w:b/>
                <w:bCs/>
                <w:sz w:val="16"/>
                <w:szCs w:val="24"/>
                <w:rtl/>
              </w:rPr>
            </w:pPr>
            <w:r w:rsidRPr="001E0E2A">
              <w:rPr>
                <w:rFonts w:cs="Traditional Arabic" w:hint="cs"/>
                <w:b/>
                <w:bCs/>
                <w:sz w:val="16"/>
                <w:szCs w:val="24"/>
                <w:rtl/>
              </w:rPr>
              <w:t>66.9</w:t>
            </w:r>
          </w:p>
        </w:tc>
        <w:tc>
          <w:tcPr>
            <w:tcW w:w="1308" w:type="dxa"/>
            <w:shd w:val="clear" w:color="auto" w:fill="auto"/>
            <w:vAlign w:val="bottom"/>
          </w:tcPr>
          <w:p w:rsidR="00C35CB1" w:rsidRPr="001E0E2A" w:rsidRDefault="00C35CB1" w:rsidP="004C0C3C">
            <w:pPr>
              <w:pStyle w:val="SingleTxt"/>
              <w:spacing w:before="40" w:after="80" w:line="240" w:lineRule="exact"/>
              <w:ind w:left="0" w:right="144"/>
              <w:rPr>
                <w:rFonts w:cs="Traditional Arabic" w:hint="cs"/>
                <w:b/>
                <w:bCs/>
                <w:sz w:val="16"/>
                <w:szCs w:val="24"/>
                <w:rtl/>
              </w:rPr>
            </w:pPr>
            <w:r w:rsidRPr="001E0E2A">
              <w:rPr>
                <w:rFonts w:cs="Traditional Arabic" w:hint="cs"/>
                <w:b/>
                <w:bCs/>
                <w:sz w:val="16"/>
                <w:szCs w:val="24"/>
                <w:rtl/>
              </w:rPr>
              <w:t>57.4</w:t>
            </w:r>
          </w:p>
        </w:tc>
      </w:tr>
      <w:tr w:rsidR="00C35CB1" w:rsidRPr="004C0C3C">
        <w:trPr>
          <w:cantSplit/>
          <w:jc w:val="center"/>
        </w:trPr>
        <w:tc>
          <w:tcPr>
            <w:tcW w:w="2320" w:type="dxa"/>
            <w:shd w:val="clear" w:color="auto" w:fill="auto"/>
            <w:vAlign w:val="bottom"/>
          </w:tcPr>
          <w:p w:rsidR="00C35CB1" w:rsidRPr="004C0C3C" w:rsidRDefault="00C35CB1" w:rsidP="00416A5F">
            <w:pPr>
              <w:pStyle w:val="SingleTxt"/>
              <w:spacing w:before="40" w:after="80" w:line="240" w:lineRule="exact"/>
              <w:ind w:left="152" w:right="0"/>
              <w:rPr>
                <w:rFonts w:cs="Traditional Arabic" w:hint="cs"/>
                <w:sz w:val="16"/>
                <w:szCs w:val="24"/>
                <w:rtl/>
              </w:rPr>
            </w:pPr>
            <w:r w:rsidRPr="004C0C3C">
              <w:rPr>
                <w:rFonts w:cs="Traditional Arabic" w:hint="cs"/>
                <w:sz w:val="16"/>
                <w:szCs w:val="24"/>
                <w:rtl/>
              </w:rPr>
              <w:t>مستشفى حكومي</w:t>
            </w:r>
          </w:p>
        </w:tc>
        <w:tc>
          <w:tcPr>
            <w:tcW w:w="1339" w:type="dxa"/>
            <w:shd w:val="clear" w:color="auto" w:fill="auto"/>
            <w:vAlign w:val="bottom"/>
          </w:tcPr>
          <w:p w:rsidR="00C35CB1" w:rsidRPr="004C0C3C" w:rsidRDefault="00C35CB1" w:rsidP="004C0C3C">
            <w:pPr>
              <w:pStyle w:val="SingleTxt"/>
              <w:spacing w:before="40" w:after="80" w:line="240" w:lineRule="exact"/>
              <w:ind w:left="0" w:right="144"/>
              <w:rPr>
                <w:rFonts w:cs="Traditional Arabic" w:hint="cs"/>
                <w:sz w:val="16"/>
                <w:szCs w:val="24"/>
                <w:rtl/>
              </w:rPr>
            </w:pPr>
            <w:r w:rsidRPr="004C0C3C">
              <w:rPr>
                <w:rFonts w:cs="Traditional Arabic" w:hint="cs"/>
                <w:sz w:val="16"/>
                <w:szCs w:val="24"/>
                <w:rtl/>
              </w:rPr>
              <w:t>11.6</w:t>
            </w:r>
          </w:p>
        </w:tc>
        <w:tc>
          <w:tcPr>
            <w:tcW w:w="1309" w:type="dxa"/>
            <w:shd w:val="clear" w:color="auto" w:fill="auto"/>
            <w:vAlign w:val="bottom"/>
          </w:tcPr>
          <w:p w:rsidR="00C35CB1" w:rsidRPr="004C0C3C" w:rsidRDefault="00C35CB1" w:rsidP="004C0C3C">
            <w:pPr>
              <w:pStyle w:val="SingleTxt"/>
              <w:spacing w:before="40" w:after="80" w:line="240" w:lineRule="exact"/>
              <w:ind w:left="0" w:right="144"/>
              <w:rPr>
                <w:rFonts w:cs="Traditional Arabic" w:hint="cs"/>
                <w:sz w:val="16"/>
                <w:szCs w:val="24"/>
                <w:rtl/>
              </w:rPr>
            </w:pPr>
            <w:r w:rsidRPr="004C0C3C">
              <w:rPr>
                <w:rFonts w:cs="Traditional Arabic" w:hint="cs"/>
                <w:sz w:val="16"/>
                <w:szCs w:val="24"/>
                <w:rtl/>
              </w:rPr>
              <w:t>(4.6)</w:t>
            </w:r>
          </w:p>
        </w:tc>
        <w:tc>
          <w:tcPr>
            <w:tcW w:w="943" w:type="dxa"/>
            <w:shd w:val="clear" w:color="auto" w:fill="auto"/>
            <w:vAlign w:val="bottom"/>
          </w:tcPr>
          <w:p w:rsidR="00C35CB1" w:rsidRPr="004C0C3C" w:rsidRDefault="00C35CB1" w:rsidP="004C0C3C">
            <w:pPr>
              <w:pStyle w:val="SingleTxt"/>
              <w:spacing w:before="40" w:after="80" w:line="240" w:lineRule="exact"/>
              <w:ind w:left="0" w:right="144"/>
              <w:rPr>
                <w:rFonts w:cs="Traditional Arabic" w:hint="cs"/>
                <w:sz w:val="16"/>
                <w:szCs w:val="24"/>
                <w:rtl/>
              </w:rPr>
            </w:pPr>
            <w:r w:rsidRPr="004C0C3C">
              <w:rPr>
                <w:rFonts w:cs="Traditional Arabic" w:hint="cs"/>
                <w:sz w:val="16"/>
                <w:szCs w:val="24"/>
                <w:rtl/>
              </w:rPr>
              <w:t>7.9</w:t>
            </w:r>
          </w:p>
        </w:tc>
        <w:tc>
          <w:tcPr>
            <w:tcW w:w="1305" w:type="dxa"/>
            <w:shd w:val="clear" w:color="auto" w:fill="auto"/>
            <w:vAlign w:val="bottom"/>
          </w:tcPr>
          <w:p w:rsidR="00C35CB1" w:rsidRPr="004C0C3C" w:rsidRDefault="00C35CB1" w:rsidP="004C0C3C">
            <w:pPr>
              <w:pStyle w:val="SingleTxt"/>
              <w:spacing w:before="40" w:after="80" w:line="240" w:lineRule="exact"/>
              <w:ind w:left="0" w:right="144"/>
              <w:rPr>
                <w:rFonts w:cs="Traditional Arabic" w:hint="cs"/>
                <w:sz w:val="16"/>
                <w:szCs w:val="24"/>
                <w:rtl/>
              </w:rPr>
            </w:pPr>
            <w:r w:rsidRPr="004C0C3C">
              <w:rPr>
                <w:rFonts w:cs="Traditional Arabic" w:hint="cs"/>
                <w:sz w:val="16"/>
                <w:szCs w:val="24"/>
                <w:rtl/>
              </w:rPr>
              <w:t>1.9</w:t>
            </w:r>
          </w:p>
        </w:tc>
        <w:tc>
          <w:tcPr>
            <w:tcW w:w="1304" w:type="dxa"/>
            <w:shd w:val="clear" w:color="auto" w:fill="auto"/>
            <w:vAlign w:val="bottom"/>
          </w:tcPr>
          <w:p w:rsidR="00C35CB1" w:rsidRPr="004C0C3C" w:rsidRDefault="00C35CB1" w:rsidP="004C0C3C">
            <w:pPr>
              <w:pStyle w:val="SingleTxt"/>
              <w:spacing w:before="40" w:after="80" w:line="240" w:lineRule="exact"/>
              <w:ind w:left="0" w:right="144"/>
              <w:rPr>
                <w:rFonts w:cs="Traditional Arabic" w:hint="cs"/>
                <w:sz w:val="16"/>
                <w:szCs w:val="24"/>
                <w:rtl/>
              </w:rPr>
            </w:pPr>
            <w:r w:rsidRPr="004C0C3C">
              <w:rPr>
                <w:rFonts w:cs="Traditional Arabic" w:hint="cs"/>
                <w:sz w:val="16"/>
                <w:szCs w:val="24"/>
                <w:rtl/>
              </w:rPr>
              <w:t>65.7</w:t>
            </w:r>
          </w:p>
        </w:tc>
        <w:tc>
          <w:tcPr>
            <w:tcW w:w="1308" w:type="dxa"/>
            <w:shd w:val="clear" w:color="auto" w:fill="auto"/>
            <w:vAlign w:val="bottom"/>
          </w:tcPr>
          <w:p w:rsidR="00C35CB1" w:rsidRPr="004C0C3C" w:rsidRDefault="00C35CB1" w:rsidP="004C0C3C">
            <w:pPr>
              <w:pStyle w:val="SingleTxt"/>
              <w:spacing w:before="40" w:after="80" w:line="240" w:lineRule="exact"/>
              <w:ind w:left="0" w:right="144"/>
              <w:rPr>
                <w:rFonts w:cs="Traditional Arabic" w:hint="cs"/>
                <w:sz w:val="16"/>
                <w:szCs w:val="24"/>
                <w:rtl/>
              </w:rPr>
            </w:pPr>
            <w:r w:rsidRPr="004C0C3C">
              <w:rPr>
                <w:rFonts w:cs="Traditional Arabic" w:hint="cs"/>
                <w:sz w:val="16"/>
                <w:szCs w:val="24"/>
                <w:rtl/>
              </w:rPr>
              <w:t>11.6</w:t>
            </w:r>
          </w:p>
        </w:tc>
      </w:tr>
      <w:tr w:rsidR="00C35CB1" w:rsidRPr="004C0C3C">
        <w:trPr>
          <w:cantSplit/>
          <w:jc w:val="center"/>
        </w:trPr>
        <w:tc>
          <w:tcPr>
            <w:tcW w:w="2320" w:type="dxa"/>
            <w:shd w:val="clear" w:color="auto" w:fill="auto"/>
            <w:vAlign w:val="bottom"/>
          </w:tcPr>
          <w:p w:rsidR="00C35CB1" w:rsidRPr="004C0C3C" w:rsidRDefault="00C35CB1" w:rsidP="00416A5F">
            <w:pPr>
              <w:pStyle w:val="SingleTxt"/>
              <w:spacing w:before="40" w:after="80" w:line="240" w:lineRule="exact"/>
              <w:ind w:left="152" w:right="0"/>
              <w:rPr>
                <w:rFonts w:cs="Traditional Arabic" w:hint="cs"/>
                <w:sz w:val="16"/>
                <w:szCs w:val="24"/>
                <w:rtl/>
              </w:rPr>
            </w:pPr>
            <w:r w:rsidRPr="004C0C3C">
              <w:rPr>
                <w:rFonts w:cs="Traditional Arabic" w:hint="cs"/>
                <w:sz w:val="16"/>
                <w:szCs w:val="24"/>
                <w:rtl/>
              </w:rPr>
              <w:t>مركز صحي حكومي</w:t>
            </w:r>
          </w:p>
        </w:tc>
        <w:tc>
          <w:tcPr>
            <w:tcW w:w="1339" w:type="dxa"/>
            <w:shd w:val="clear" w:color="auto" w:fill="auto"/>
            <w:vAlign w:val="bottom"/>
          </w:tcPr>
          <w:p w:rsidR="00C35CB1" w:rsidRPr="004C0C3C" w:rsidRDefault="00C35CB1" w:rsidP="004C0C3C">
            <w:pPr>
              <w:pStyle w:val="SingleTxt"/>
              <w:spacing w:before="40" w:after="80" w:line="240" w:lineRule="exact"/>
              <w:ind w:left="0" w:right="144"/>
              <w:rPr>
                <w:rFonts w:cs="Traditional Arabic" w:hint="cs"/>
                <w:sz w:val="16"/>
                <w:szCs w:val="24"/>
                <w:rtl/>
              </w:rPr>
            </w:pPr>
            <w:r w:rsidRPr="004C0C3C">
              <w:rPr>
                <w:rFonts w:cs="Traditional Arabic" w:hint="cs"/>
                <w:sz w:val="16"/>
                <w:szCs w:val="24"/>
                <w:rtl/>
              </w:rPr>
              <w:t>44.9</w:t>
            </w:r>
          </w:p>
        </w:tc>
        <w:tc>
          <w:tcPr>
            <w:tcW w:w="1309" w:type="dxa"/>
            <w:shd w:val="clear" w:color="auto" w:fill="auto"/>
            <w:vAlign w:val="bottom"/>
          </w:tcPr>
          <w:p w:rsidR="00C35CB1" w:rsidRPr="004C0C3C" w:rsidRDefault="00C35CB1" w:rsidP="004C0C3C">
            <w:pPr>
              <w:pStyle w:val="SingleTxt"/>
              <w:spacing w:before="40" w:after="80" w:line="240" w:lineRule="exact"/>
              <w:ind w:left="0" w:right="144"/>
              <w:rPr>
                <w:rFonts w:cs="Traditional Arabic" w:hint="cs"/>
                <w:sz w:val="16"/>
                <w:szCs w:val="24"/>
                <w:rtl/>
              </w:rPr>
            </w:pPr>
            <w:r w:rsidRPr="004C0C3C">
              <w:rPr>
                <w:rFonts w:cs="Traditional Arabic" w:hint="cs"/>
                <w:sz w:val="16"/>
                <w:szCs w:val="24"/>
                <w:rtl/>
              </w:rPr>
              <w:t>(29.4)</w:t>
            </w:r>
          </w:p>
        </w:tc>
        <w:tc>
          <w:tcPr>
            <w:tcW w:w="943" w:type="dxa"/>
            <w:shd w:val="clear" w:color="auto" w:fill="auto"/>
            <w:vAlign w:val="bottom"/>
          </w:tcPr>
          <w:p w:rsidR="00C35CB1" w:rsidRPr="004C0C3C" w:rsidRDefault="00C35CB1" w:rsidP="004C0C3C">
            <w:pPr>
              <w:pStyle w:val="SingleTxt"/>
              <w:spacing w:before="40" w:after="80" w:line="240" w:lineRule="exact"/>
              <w:ind w:left="0" w:right="144"/>
              <w:rPr>
                <w:rFonts w:cs="Traditional Arabic" w:hint="cs"/>
                <w:sz w:val="16"/>
                <w:szCs w:val="24"/>
                <w:rtl/>
              </w:rPr>
            </w:pPr>
            <w:r w:rsidRPr="004C0C3C">
              <w:rPr>
                <w:rFonts w:cs="Traditional Arabic" w:hint="cs"/>
                <w:sz w:val="16"/>
                <w:szCs w:val="24"/>
                <w:rtl/>
              </w:rPr>
              <w:t>59.8</w:t>
            </w:r>
          </w:p>
        </w:tc>
        <w:tc>
          <w:tcPr>
            <w:tcW w:w="1305" w:type="dxa"/>
            <w:shd w:val="clear" w:color="auto" w:fill="auto"/>
            <w:vAlign w:val="bottom"/>
          </w:tcPr>
          <w:p w:rsidR="00C35CB1" w:rsidRPr="004C0C3C" w:rsidRDefault="00C35CB1" w:rsidP="004C0C3C">
            <w:pPr>
              <w:pStyle w:val="SingleTxt"/>
              <w:spacing w:before="40" w:after="80" w:line="240" w:lineRule="exact"/>
              <w:ind w:left="0" w:right="144"/>
              <w:rPr>
                <w:rFonts w:cs="Traditional Arabic" w:hint="cs"/>
                <w:sz w:val="16"/>
                <w:szCs w:val="24"/>
                <w:rtl/>
              </w:rPr>
            </w:pPr>
            <w:r w:rsidRPr="004C0C3C">
              <w:rPr>
                <w:rFonts w:cs="Traditional Arabic" w:hint="cs"/>
                <w:sz w:val="16"/>
                <w:szCs w:val="24"/>
                <w:rtl/>
              </w:rPr>
              <w:t>0.4</w:t>
            </w:r>
          </w:p>
        </w:tc>
        <w:tc>
          <w:tcPr>
            <w:tcW w:w="1304" w:type="dxa"/>
            <w:shd w:val="clear" w:color="auto" w:fill="auto"/>
            <w:vAlign w:val="bottom"/>
          </w:tcPr>
          <w:p w:rsidR="00C35CB1" w:rsidRPr="004C0C3C" w:rsidRDefault="00C35CB1" w:rsidP="004C0C3C">
            <w:pPr>
              <w:pStyle w:val="SingleTxt"/>
              <w:spacing w:before="40" w:after="80" w:line="240" w:lineRule="exact"/>
              <w:ind w:left="0" w:right="144"/>
              <w:rPr>
                <w:rFonts w:cs="Traditional Arabic" w:hint="cs"/>
                <w:sz w:val="16"/>
                <w:szCs w:val="24"/>
                <w:rtl/>
              </w:rPr>
            </w:pPr>
            <w:r w:rsidRPr="004C0C3C">
              <w:rPr>
                <w:rFonts w:cs="Traditional Arabic" w:hint="cs"/>
                <w:sz w:val="16"/>
                <w:szCs w:val="24"/>
                <w:rtl/>
              </w:rPr>
              <w:t>1.2</w:t>
            </w:r>
          </w:p>
        </w:tc>
        <w:tc>
          <w:tcPr>
            <w:tcW w:w="1308" w:type="dxa"/>
            <w:shd w:val="clear" w:color="auto" w:fill="auto"/>
            <w:vAlign w:val="bottom"/>
          </w:tcPr>
          <w:p w:rsidR="00C35CB1" w:rsidRPr="004C0C3C" w:rsidRDefault="00C35CB1" w:rsidP="004C0C3C">
            <w:pPr>
              <w:pStyle w:val="SingleTxt"/>
              <w:spacing w:before="40" w:after="80" w:line="240" w:lineRule="exact"/>
              <w:ind w:left="0" w:right="144"/>
              <w:rPr>
                <w:rFonts w:cs="Traditional Arabic" w:hint="cs"/>
                <w:sz w:val="16"/>
                <w:szCs w:val="24"/>
                <w:rtl/>
              </w:rPr>
            </w:pPr>
            <w:r w:rsidRPr="004C0C3C">
              <w:rPr>
                <w:rFonts w:cs="Traditional Arabic" w:hint="cs"/>
                <w:sz w:val="16"/>
                <w:szCs w:val="24"/>
                <w:rtl/>
              </w:rPr>
              <w:t>45.8</w:t>
            </w:r>
          </w:p>
        </w:tc>
      </w:tr>
      <w:tr w:rsidR="00C35CB1" w:rsidRPr="001E0E2A">
        <w:trPr>
          <w:cantSplit/>
          <w:jc w:val="center"/>
        </w:trPr>
        <w:tc>
          <w:tcPr>
            <w:tcW w:w="2320" w:type="dxa"/>
            <w:shd w:val="clear" w:color="auto" w:fill="auto"/>
            <w:vAlign w:val="bottom"/>
          </w:tcPr>
          <w:p w:rsidR="00C35CB1" w:rsidRPr="001E0E2A" w:rsidRDefault="00C35CB1" w:rsidP="004C0C3C">
            <w:pPr>
              <w:pStyle w:val="SingleTxt"/>
              <w:spacing w:before="40" w:after="80" w:line="240" w:lineRule="exact"/>
              <w:ind w:left="0" w:right="0"/>
              <w:rPr>
                <w:rFonts w:cs="Traditional Arabic" w:hint="cs"/>
                <w:b/>
                <w:bCs/>
                <w:sz w:val="16"/>
                <w:szCs w:val="24"/>
                <w:rtl/>
              </w:rPr>
            </w:pPr>
            <w:r w:rsidRPr="001E0E2A">
              <w:rPr>
                <w:rFonts w:cs="Traditional Arabic" w:hint="cs"/>
                <w:b/>
                <w:bCs/>
                <w:sz w:val="16"/>
                <w:szCs w:val="24"/>
                <w:rtl/>
              </w:rPr>
              <w:t>مركز صحي خاص</w:t>
            </w:r>
          </w:p>
        </w:tc>
        <w:tc>
          <w:tcPr>
            <w:tcW w:w="1339" w:type="dxa"/>
            <w:shd w:val="clear" w:color="auto" w:fill="auto"/>
            <w:vAlign w:val="bottom"/>
          </w:tcPr>
          <w:p w:rsidR="00C35CB1" w:rsidRPr="001E0E2A" w:rsidRDefault="00C35CB1" w:rsidP="004C0C3C">
            <w:pPr>
              <w:pStyle w:val="SingleTxt"/>
              <w:spacing w:before="40" w:after="80" w:line="240" w:lineRule="exact"/>
              <w:ind w:left="0" w:right="144"/>
              <w:rPr>
                <w:rFonts w:cs="Traditional Arabic" w:hint="cs"/>
                <w:b/>
                <w:bCs/>
                <w:sz w:val="16"/>
                <w:szCs w:val="24"/>
                <w:rtl/>
              </w:rPr>
            </w:pPr>
            <w:r w:rsidRPr="001E0E2A">
              <w:rPr>
                <w:rFonts w:cs="Traditional Arabic" w:hint="cs"/>
                <w:b/>
                <w:bCs/>
                <w:sz w:val="16"/>
                <w:szCs w:val="24"/>
                <w:rtl/>
              </w:rPr>
              <w:t>33.6</w:t>
            </w:r>
          </w:p>
        </w:tc>
        <w:tc>
          <w:tcPr>
            <w:tcW w:w="1309" w:type="dxa"/>
            <w:shd w:val="clear" w:color="auto" w:fill="auto"/>
            <w:vAlign w:val="bottom"/>
          </w:tcPr>
          <w:p w:rsidR="00C35CB1" w:rsidRPr="001E0E2A" w:rsidRDefault="00C35CB1" w:rsidP="004C0C3C">
            <w:pPr>
              <w:pStyle w:val="SingleTxt"/>
              <w:spacing w:before="40" w:after="80" w:line="240" w:lineRule="exact"/>
              <w:ind w:left="0" w:right="144"/>
              <w:rPr>
                <w:rFonts w:cs="Traditional Arabic" w:hint="cs"/>
                <w:b/>
                <w:bCs/>
                <w:sz w:val="16"/>
                <w:szCs w:val="24"/>
                <w:rtl/>
              </w:rPr>
            </w:pPr>
            <w:r w:rsidRPr="001E0E2A">
              <w:rPr>
                <w:rFonts w:cs="Traditional Arabic" w:hint="cs"/>
                <w:b/>
                <w:bCs/>
                <w:sz w:val="16"/>
                <w:szCs w:val="24"/>
                <w:rtl/>
              </w:rPr>
              <w:t>(66.0)</w:t>
            </w:r>
          </w:p>
        </w:tc>
        <w:tc>
          <w:tcPr>
            <w:tcW w:w="943" w:type="dxa"/>
            <w:shd w:val="clear" w:color="auto" w:fill="auto"/>
            <w:vAlign w:val="bottom"/>
          </w:tcPr>
          <w:p w:rsidR="00C35CB1" w:rsidRPr="001E0E2A" w:rsidRDefault="00C35CB1" w:rsidP="004C0C3C">
            <w:pPr>
              <w:pStyle w:val="SingleTxt"/>
              <w:spacing w:before="40" w:after="80" w:line="240" w:lineRule="exact"/>
              <w:ind w:left="0" w:right="144"/>
              <w:rPr>
                <w:rFonts w:cs="Traditional Arabic" w:hint="cs"/>
                <w:b/>
                <w:bCs/>
                <w:sz w:val="16"/>
                <w:szCs w:val="24"/>
                <w:rtl/>
              </w:rPr>
            </w:pPr>
            <w:r w:rsidRPr="001E0E2A">
              <w:rPr>
                <w:rFonts w:cs="Traditional Arabic" w:hint="cs"/>
                <w:b/>
                <w:bCs/>
                <w:sz w:val="16"/>
                <w:szCs w:val="24"/>
                <w:rtl/>
              </w:rPr>
              <w:t>31.8</w:t>
            </w:r>
          </w:p>
        </w:tc>
        <w:tc>
          <w:tcPr>
            <w:tcW w:w="1305" w:type="dxa"/>
            <w:shd w:val="clear" w:color="auto" w:fill="auto"/>
            <w:vAlign w:val="bottom"/>
          </w:tcPr>
          <w:p w:rsidR="00C35CB1" w:rsidRPr="001E0E2A" w:rsidRDefault="00C35CB1" w:rsidP="004C0C3C">
            <w:pPr>
              <w:pStyle w:val="SingleTxt"/>
              <w:spacing w:before="40" w:after="80" w:line="240" w:lineRule="exact"/>
              <w:ind w:left="0" w:right="144"/>
              <w:rPr>
                <w:rFonts w:cs="Traditional Arabic" w:hint="cs"/>
                <w:b/>
                <w:bCs/>
                <w:sz w:val="16"/>
                <w:szCs w:val="24"/>
                <w:rtl/>
              </w:rPr>
            </w:pPr>
            <w:r w:rsidRPr="001E0E2A">
              <w:rPr>
                <w:rFonts w:cs="Traditional Arabic" w:hint="cs"/>
                <w:b/>
                <w:bCs/>
                <w:sz w:val="16"/>
                <w:szCs w:val="24"/>
                <w:rtl/>
              </w:rPr>
              <w:t>9.8</w:t>
            </w:r>
          </w:p>
        </w:tc>
        <w:tc>
          <w:tcPr>
            <w:tcW w:w="1304" w:type="dxa"/>
            <w:shd w:val="clear" w:color="auto" w:fill="auto"/>
            <w:vAlign w:val="bottom"/>
          </w:tcPr>
          <w:p w:rsidR="00C35CB1" w:rsidRPr="001E0E2A" w:rsidRDefault="00C35CB1" w:rsidP="004C0C3C">
            <w:pPr>
              <w:pStyle w:val="SingleTxt"/>
              <w:spacing w:before="40" w:after="80" w:line="240" w:lineRule="exact"/>
              <w:ind w:left="0" w:right="144"/>
              <w:rPr>
                <w:rFonts w:cs="Traditional Arabic" w:hint="cs"/>
                <w:b/>
                <w:bCs/>
                <w:sz w:val="16"/>
                <w:szCs w:val="24"/>
                <w:rtl/>
              </w:rPr>
            </w:pPr>
            <w:r w:rsidRPr="001E0E2A">
              <w:rPr>
                <w:rFonts w:cs="Traditional Arabic" w:hint="cs"/>
                <w:b/>
                <w:bCs/>
                <w:sz w:val="16"/>
                <w:szCs w:val="24"/>
                <w:rtl/>
              </w:rPr>
              <w:t>31.3</w:t>
            </w:r>
          </w:p>
        </w:tc>
        <w:tc>
          <w:tcPr>
            <w:tcW w:w="1308" w:type="dxa"/>
            <w:shd w:val="clear" w:color="auto" w:fill="auto"/>
            <w:vAlign w:val="bottom"/>
          </w:tcPr>
          <w:p w:rsidR="00C35CB1" w:rsidRPr="001E0E2A" w:rsidRDefault="00C35CB1" w:rsidP="004C0C3C">
            <w:pPr>
              <w:pStyle w:val="SingleTxt"/>
              <w:spacing w:before="40" w:after="80" w:line="240" w:lineRule="exact"/>
              <w:ind w:left="0" w:right="144"/>
              <w:rPr>
                <w:rFonts w:cs="Traditional Arabic" w:hint="cs"/>
                <w:b/>
                <w:bCs/>
                <w:sz w:val="16"/>
                <w:szCs w:val="24"/>
                <w:rtl/>
              </w:rPr>
            </w:pPr>
            <w:r w:rsidRPr="001E0E2A">
              <w:rPr>
                <w:rFonts w:cs="Traditional Arabic" w:hint="cs"/>
                <w:b/>
                <w:bCs/>
                <w:sz w:val="16"/>
                <w:szCs w:val="24"/>
                <w:rtl/>
              </w:rPr>
              <w:t>31.5</w:t>
            </w:r>
          </w:p>
        </w:tc>
      </w:tr>
      <w:tr w:rsidR="00C35CB1" w:rsidRPr="004C0C3C">
        <w:trPr>
          <w:cantSplit/>
          <w:jc w:val="center"/>
        </w:trPr>
        <w:tc>
          <w:tcPr>
            <w:tcW w:w="2320" w:type="dxa"/>
            <w:shd w:val="clear" w:color="auto" w:fill="auto"/>
            <w:vAlign w:val="bottom"/>
          </w:tcPr>
          <w:p w:rsidR="00C35CB1" w:rsidRPr="004C0C3C" w:rsidRDefault="00C35CB1" w:rsidP="00416A5F">
            <w:pPr>
              <w:pStyle w:val="SingleTxt"/>
              <w:spacing w:before="40" w:after="80" w:line="240" w:lineRule="exact"/>
              <w:ind w:left="152" w:right="0"/>
              <w:rPr>
                <w:rFonts w:cs="Traditional Arabic" w:hint="cs"/>
                <w:sz w:val="16"/>
                <w:szCs w:val="24"/>
                <w:rtl/>
              </w:rPr>
            </w:pPr>
            <w:r w:rsidRPr="004C0C3C">
              <w:rPr>
                <w:rFonts w:cs="Traditional Arabic" w:hint="cs"/>
                <w:sz w:val="16"/>
                <w:szCs w:val="24"/>
                <w:rtl/>
              </w:rPr>
              <w:t>مستشفى،</w:t>
            </w:r>
            <w:r w:rsidR="00416A5F">
              <w:rPr>
                <w:rFonts w:cs="Traditional Arabic" w:hint="cs"/>
                <w:sz w:val="16"/>
                <w:szCs w:val="24"/>
                <w:rtl/>
              </w:rPr>
              <w:t xml:space="preserve"> </w:t>
            </w:r>
            <w:r w:rsidRPr="004C0C3C">
              <w:rPr>
                <w:rFonts w:cs="Traditional Arabic" w:hint="cs"/>
                <w:sz w:val="16"/>
                <w:szCs w:val="24"/>
                <w:rtl/>
              </w:rPr>
              <w:t>عيادة، قطاع</w:t>
            </w:r>
            <w:r w:rsidR="00765A56" w:rsidRPr="004C0C3C">
              <w:rPr>
                <w:rFonts w:cs="Traditional Arabic" w:hint="cs"/>
                <w:sz w:val="16"/>
                <w:szCs w:val="24"/>
                <w:rtl/>
              </w:rPr>
              <w:t xml:space="preserve"> </w:t>
            </w:r>
            <w:r w:rsidRPr="004C0C3C">
              <w:rPr>
                <w:rFonts w:cs="Traditional Arabic" w:hint="cs"/>
                <w:sz w:val="16"/>
                <w:szCs w:val="24"/>
                <w:rtl/>
              </w:rPr>
              <w:t>خاص</w:t>
            </w:r>
          </w:p>
        </w:tc>
        <w:tc>
          <w:tcPr>
            <w:tcW w:w="1339" w:type="dxa"/>
            <w:shd w:val="clear" w:color="auto" w:fill="auto"/>
            <w:vAlign w:val="bottom"/>
          </w:tcPr>
          <w:p w:rsidR="00C35CB1" w:rsidRPr="004C0C3C" w:rsidRDefault="00C35CB1" w:rsidP="004C0C3C">
            <w:pPr>
              <w:pStyle w:val="SingleTxt"/>
              <w:spacing w:before="40" w:after="80" w:line="240" w:lineRule="exact"/>
              <w:ind w:left="0" w:right="144"/>
              <w:rPr>
                <w:rFonts w:cs="Traditional Arabic" w:hint="cs"/>
                <w:sz w:val="16"/>
                <w:szCs w:val="24"/>
                <w:rtl/>
              </w:rPr>
            </w:pPr>
            <w:r w:rsidRPr="004C0C3C">
              <w:rPr>
                <w:rFonts w:cs="Traditional Arabic" w:hint="cs"/>
                <w:sz w:val="16"/>
                <w:szCs w:val="24"/>
                <w:rtl/>
              </w:rPr>
              <w:t>1.3</w:t>
            </w:r>
          </w:p>
        </w:tc>
        <w:tc>
          <w:tcPr>
            <w:tcW w:w="1309" w:type="dxa"/>
            <w:shd w:val="clear" w:color="auto" w:fill="auto"/>
            <w:vAlign w:val="bottom"/>
          </w:tcPr>
          <w:p w:rsidR="00C35CB1" w:rsidRPr="004C0C3C" w:rsidRDefault="00C35CB1" w:rsidP="004C0C3C">
            <w:pPr>
              <w:pStyle w:val="SingleTxt"/>
              <w:spacing w:before="40" w:after="80" w:line="240" w:lineRule="exact"/>
              <w:ind w:left="0" w:right="144"/>
              <w:rPr>
                <w:rFonts w:cs="Traditional Arabic" w:hint="cs"/>
                <w:sz w:val="16"/>
                <w:szCs w:val="24"/>
                <w:rtl/>
              </w:rPr>
            </w:pPr>
            <w:r w:rsidRPr="004C0C3C">
              <w:rPr>
                <w:rFonts w:cs="Traditional Arabic" w:hint="cs"/>
                <w:sz w:val="16"/>
                <w:szCs w:val="24"/>
                <w:rtl/>
              </w:rPr>
              <w:t>(16.4)</w:t>
            </w:r>
          </w:p>
        </w:tc>
        <w:tc>
          <w:tcPr>
            <w:tcW w:w="943" w:type="dxa"/>
            <w:shd w:val="clear" w:color="auto" w:fill="auto"/>
            <w:vAlign w:val="bottom"/>
          </w:tcPr>
          <w:p w:rsidR="00C35CB1" w:rsidRPr="004C0C3C" w:rsidRDefault="00C35CB1" w:rsidP="004C0C3C">
            <w:pPr>
              <w:pStyle w:val="SingleTxt"/>
              <w:spacing w:before="40" w:after="80" w:line="240" w:lineRule="exact"/>
              <w:ind w:left="0" w:right="144"/>
              <w:rPr>
                <w:rFonts w:cs="Traditional Arabic" w:hint="cs"/>
                <w:sz w:val="16"/>
                <w:szCs w:val="24"/>
                <w:rtl/>
              </w:rPr>
            </w:pPr>
            <w:r w:rsidRPr="004C0C3C">
              <w:rPr>
                <w:rFonts w:cs="Traditional Arabic" w:hint="cs"/>
                <w:sz w:val="16"/>
                <w:szCs w:val="24"/>
                <w:rtl/>
              </w:rPr>
              <w:t>2.0</w:t>
            </w:r>
          </w:p>
        </w:tc>
        <w:tc>
          <w:tcPr>
            <w:tcW w:w="1305" w:type="dxa"/>
            <w:shd w:val="clear" w:color="auto" w:fill="auto"/>
            <w:vAlign w:val="bottom"/>
          </w:tcPr>
          <w:p w:rsidR="00C35CB1" w:rsidRPr="004C0C3C" w:rsidRDefault="00C35CB1" w:rsidP="004C0C3C">
            <w:pPr>
              <w:pStyle w:val="SingleTxt"/>
              <w:spacing w:before="40" w:after="80" w:line="240" w:lineRule="exact"/>
              <w:ind w:left="0" w:right="144"/>
              <w:rPr>
                <w:rFonts w:cs="Traditional Arabic" w:hint="cs"/>
                <w:sz w:val="16"/>
                <w:szCs w:val="24"/>
                <w:rtl/>
              </w:rPr>
            </w:pPr>
            <w:r w:rsidRPr="004C0C3C">
              <w:rPr>
                <w:rFonts w:cs="Traditional Arabic" w:hint="cs"/>
                <w:sz w:val="16"/>
                <w:szCs w:val="24"/>
                <w:rtl/>
              </w:rPr>
              <w:t>0.5</w:t>
            </w:r>
          </w:p>
        </w:tc>
        <w:tc>
          <w:tcPr>
            <w:tcW w:w="1304" w:type="dxa"/>
            <w:shd w:val="clear" w:color="auto" w:fill="auto"/>
            <w:vAlign w:val="bottom"/>
          </w:tcPr>
          <w:p w:rsidR="00C35CB1" w:rsidRPr="004C0C3C" w:rsidRDefault="00C35CB1" w:rsidP="004C0C3C">
            <w:pPr>
              <w:pStyle w:val="SingleTxt"/>
              <w:spacing w:before="40" w:after="80" w:line="240" w:lineRule="exact"/>
              <w:ind w:left="0" w:right="144"/>
              <w:rPr>
                <w:rFonts w:cs="Traditional Arabic" w:hint="cs"/>
                <w:sz w:val="16"/>
                <w:szCs w:val="24"/>
                <w:rtl/>
              </w:rPr>
            </w:pPr>
            <w:r w:rsidRPr="004C0C3C">
              <w:rPr>
                <w:rFonts w:cs="Traditional Arabic" w:hint="cs"/>
                <w:sz w:val="16"/>
                <w:szCs w:val="24"/>
                <w:rtl/>
              </w:rPr>
              <w:t>30.6</w:t>
            </w:r>
          </w:p>
        </w:tc>
        <w:tc>
          <w:tcPr>
            <w:tcW w:w="1308" w:type="dxa"/>
            <w:shd w:val="clear" w:color="auto" w:fill="auto"/>
            <w:vAlign w:val="bottom"/>
          </w:tcPr>
          <w:p w:rsidR="00C35CB1" w:rsidRPr="004C0C3C" w:rsidRDefault="00C35CB1" w:rsidP="004C0C3C">
            <w:pPr>
              <w:pStyle w:val="SingleTxt"/>
              <w:spacing w:before="40" w:after="80" w:line="240" w:lineRule="exact"/>
              <w:ind w:left="0" w:right="144"/>
              <w:rPr>
                <w:rFonts w:cs="Traditional Arabic" w:hint="cs"/>
                <w:sz w:val="16"/>
                <w:szCs w:val="24"/>
                <w:rtl/>
              </w:rPr>
            </w:pPr>
            <w:r w:rsidRPr="004C0C3C">
              <w:rPr>
                <w:rFonts w:cs="Traditional Arabic" w:hint="cs"/>
                <w:sz w:val="16"/>
                <w:szCs w:val="24"/>
                <w:rtl/>
              </w:rPr>
              <w:t>4.4</w:t>
            </w:r>
          </w:p>
        </w:tc>
      </w:tr>
      <w:tr w:rsidR="00C35CB1" w:rsidRPr="004C0C3C">
        <w:trPr>
          <w:cantSplit/>
          <w:jc w:val="center"/>
        </w:trPr>
        <w:tc>
          <w:tcPr>
            <w:tcW w:w="2320" w:type="dxa"/>
            <w:shd w:val="clear" w:color="auto" w:fill="auto"/>
            <w:vAlign w:val="bottom"/>
          </w:tcPr>
          <w:p w:rsidR="00C35CB1" w:rsidRPr="004C0C3C" w:rsidRDefault="00C35CB1" w:rsidP="00416A5F">
            <w:pPr>
              <w:pStyle w:val="SingleTxt"/>
              <w:spacing w:before="40" w:after="80" w:line="240" w:lineRule="exact"/>
              <w:ind w:left="152" w:right="0"/>
              <w:rPr>
                <w:rFonts w:cs="Traditional Arabic" w:hint="cs"/>
                <w:sz w:val="16"/>
                <w:szCs w:val="24"/>
                <w:rtl/>
              </w:rPr>
            </w:pPr>
            <w:r w:rsidRPr="004C0C3C">
              <w:rPr>
                <w:rFonts w:cs="Traditional Arabic" w:hint="cs"/>
                <w:sz w:val="16"/>
                <w:szCs w:val="24"/>
                <w:rtl/>
              </w:rPr>
              <w:t>مركز صحي خاص</w:t>
            </w:r>
          </w:p>
        </w:tc>
        <w:tc>
          <w:tcPr>
            <w:tcW w:w="1339" w:type="dxa"/>
            <w:shd w:val="clear" w:color="auto" w:fill="auto"/>
            <w:vAlign w:val="bottom"/>
          </w:tcPr>
          <w:p w:rsidR="00C35CB1" w:rsidRPr="004C0C3C" w:rsidRDefault="00C35CB1" w:rsidP="004C0C3C">
            <w:pPr>
              <w:pStyle w:val="SingleTxt"/>
              <w:spacing w:before="40" w:after="80" w:line="240" w:lineRule="exact"/>
              <w:ind w:left="0" w:right="144"/>
              <w:rPr>
                <w:rFonts w:cs="Traditional Arabic" w:hint="cs"/>
                <w:sz w:val="16"/>
                <w:szCs w:val="24"/>
                <w:rtl/>
              </w:rPr>
            </w:pPr>
            <w:r w:rsidRPr="004C0C3C">
              <w:rPr>
                <w:rFonts w:cs="Traditional Arabic" w:hint="cs"/>
                <w:sz w:val="16"/>
                <w:szCs w:val="24"/>
                <w:rtl/>
              </w:rPr>
              <w:t>3.5</w:t>
            </w:r>
          </w:p>
        </w:tc>
        <w:tc>
          <w:tcPr>
            <w:tcW w:w="1309" w:type="dxa"/>
            <w:shd w:val="clear" w:color="auto" w:fill="auto"/>
            <w:vAlign w:val="bottom"/>
          </w:tcPr>
          <w:p w:rsidR="00C35CB1" w:rsidRPr="004C0C3C" w:rsidRDefault="00C35CB1" w:rsidP="004C0C3C">
            <w:pPr>
              <w:pStyle w:val="SingleTxt"/>
              <w:spacing w:before="40" w:after="80" w:line="240" w:lineRule="exact"/>
              <w:ind w:left="0" w:right="144"/>
              <w:rPr>
                <w:rFonts w:cs="Traditional Arabic" w:hint="cs"/>
                <w:sz w:val="16"/>
                <w:szCs w:val="24"/>
                <w:rtl/>
              </w:rPr>
            </w:pPr>
            <w:r w:rsidRPr="004C0C3C">
              <w:rPr>
                <w:rFonts w:cs="Traditional Arabic" w:hint="cs"/>
                <w:sz w:val="16"/>
                <w:szCs w:val="24"/>
                <w:rtl/>
              </w:rPr>
              <w:t>(15.1)</w:t>
            </w:r>
          </w:p>
        </w:tc>
        <w:tc>
          <w:tcPr>
            <w:tcW w:w="943" w:type="dxa"/>
            <w:shd w:val="clear" w:color="auto" w:fill="auto"/>
            <w:vAlign w:val="bottom"/>
          </w:tcPr>
          <w:p w:rsidR="00C35CB1" w:rsidRPr="004C0C3C" w:rsidRDefault="00C35CB1" w:rsidP="004C0C3C">
            <w:pPr>
              <w:pStyle w:val="SingleTxt"/>
              <w:spacing w:before="40" w:after="80" w:line="240" w:lineRule="exact"/>
              <w:ind w:left="0" w:right="144"/>
              <w:rPr>
                <w:rFonts w:cs="Traditional Arabic" w:hint="cs"/>
                <w:sz w:val="16"/>
                <w:szCs w:val="24"/>
                <w:rtl/>
              </w:rPr>
            </w:pPr>
            <w:r w:rsidRPr="004C0C3C">
              <w:rPr>
                <w:rFonts w:cs="Traditional Arabic" w:hint="cs"/>
                <w:sz w:val="16"/>
                <w:szCs w:val="24"/>
                <w:rtl/>
              </w:rPr>
              <w:t>9.1</w:t>
            </w:r>
          </w:p>
        </w:tc>
        <w:tc>
          <w:tcPr>
            <w:tcW w:w="1305" w:type="dxa"/>
            <w:shd w:val="clear" w:color="auto" w:fill="auto"/>
            <w:vAlign w:val="bottom"/>
          </w:tcPr>
          <w:p w:rsidR="00C35CB1" w:rsidRPr="004C0C3C" w:rsidRDefault="00C35CB1" w:rsidP="004C0C3C">
            <w:pPr>
              <w:pStyle w:val="SingleTxt"/>
              <w:spacing w:before="40" w:after="80" w:line="240" w:lineRule="exact"/>
              <w:ind w:left="0" w:right="144"/>
              <w:rPr>
                <w:rFonts w:cs="Traditional Arabic" w:hint="cs"/>
                <w:sz w:val="16"/>
                <w:szCs w:val="24"/>
                <w:rtl/>
              </w:rPr>
            </w:pPr>
            <w:r w:rsidRPr="004C0C3C">
              <w:rPr>
                <w:rFonts w:cs="Traditional Arabic" w:hint="cs"/>
                <w:sz w:val="16"/>
                <w:szCs w:val="24"/>
                <w:rtl/>
              </w:rPr>
              <w:t>0.5</w:t>
            </w:r>
          </w:p>
        </w:tc>
        <w:tc>
          <w:tcPr>
            <w:tcW w:w="1304" w:type="dxa"/>
            <w:shd w:val="clear" w:color="auto" w:fill="auto"/>
            <w:vAlign w:val="bottom"/>
          </w:tcPr>
          <w:p w:rsidR="00C35CB1" w:rsidRPr="004C0C3C" w:rsidRDefault="00C35CB1" w:rsidP="004C0C3C">
            <w:pPr>
              <w:pStyle w:val="SingleTxt"/>
              <w:spacing w:before="40" w:after="80" w:line="240" w:lineRule="exact"/>
              <w:ind w:left="0" w:right="144"/>
              <w:rPr>
                <w:rFonts w:cs="Traditional Arabic" w:hint="cs"/>
                <w:sz w:val="16"/>
                <w:szCs w:val="24"/>
                <w:rtl/>
              </w:rPr>
            </w:pPr>
            <w:r w:rsidRPr="004C0C3C">
              <w:rPr>
                <w:rFonts w:cs="Traditional Arabic" w:hint="cs"/>
                <w:sz w:val="16"/>
                <w:szCs w:val="24"/>
                <w:rtl/>
              </w:rPr>
              <w:t>0.0</w:t>
            </w:r>
          </w:p>
        </w:tc>
        <w:tc>
          <w:tcPr>
            <w:tcW w:w="1308" w:type="dxa"/>
            <w:shd w:val="clear" w:color="auto" w:fill="auto"/>
            <w:vAlign w:val="bottom"/>
          </w:tcPr>
          <w:p w:rsidR="00C35CB1" w:rsidRPr="004C0C3C" w:rsidRDefault="00C35CB1" w:rsidP="004C0C3C">
            <w:pPr>
              <w:pStyle w:val="SingleTxt"/>
              <w:spacing w:before="40" w:after="80" w:line="240" w:lineRule="exact"/>
              <w:ind w:left="0" w:right="144"/>
              <w:rPr>
                <w:rFonts w:cs="Traditional Arabic" w:hint="cs"/>
                <w:sz w:val="16"/>
                <w:szCs w:val="24"/>
                <w:rtl/>
              </w:rPr>
            </w:pPr>
            <w:r w:rsidRPr="004C0C3C">
              <w:rPr>
                <w:rFonts w:cs="Traditional Arabic" w:hint="cs"/>
                <w:sz w:val="16"/>
                <w:szCs w:val="24"/>
                <w:rtl/>
              </w:rPr>
              <w:t>6.6</w:t>
            </w:r>
          </w:p>
        </w:tc>
      </w:tr>
      <w:tr w:rsidR="00C35CB1" w:rsidRPr="004C0C3C">
        <w:trPr>
          <w:cantSplit/>
          <w:jc w:val="center"/>
        </w:trPr>
        <w:tc>
          <w:tcPr>
            <w:tcW w:w="2320" w:type="dxa"/>
            <w:shd w:val="clear" w:color="auto" w:fill="auto"/>
            <w:vAlign w:val="bottom"/>
          </w:tcPr>
          <w:p w:rsidR="00C35CB1" w:rsidRPr="004C0C3C" w:rsidRDefault="00C35CB1" w:rsidP="00416A5F">
            <w:pPr>
              <w:pStyle w:val="SingleTxt"/>
              <w:spacing w:before="40" w:after="80" w:line="240" w:lineRule="exact"/>
              <w:ind w:left="152" w:right="0"/>
              <w:rPr>
                <w:rFonts w:cs="Traditional Arabic" w:hint="cs"/>
                <w:sz w:val="16"/>
                <w:szCs w:val="24"/>
                <w:rtl/>
              </w:rPr>
            </w:pPr>
            <w:r w:rsidRPr="004C0C3C">
              <w:rPr>
                <w:rFonts w:cs="Traditional Arabic" w:hint="cs"/>
                <w:sz w:val="16"/>
                <w:szCs w:val="24"/>
                <w:rtl/>
              </w:rPr>
              <w:t>صيدلية</w:t>
            </w:r>
          </w:p>
        </w:tc>
        <w:tc>
          <w:tcPr>
            <w:tcW w:w="1339" w:type="dxa"/>
            <w:shd w:val="clear" w:color="auto" w:fill="auto"/>
            <w:vAlign w:val="bottom"/>
          </w:tcPr>
          <w:p w:rsidR="00C35CB1" w:rsidRPr="004C0C3C" w:rsidRDefault="00C35CB1" w:rsidP="004C0C3C">
            <w:pPr>
              <w:pStyle w:val="SingleTxt"/>
              <w:spacing w:before="40" w:after="80" w:line="240" w:lineRule="exact"/>
              <w:ind w:left="0" w:right="144"/>
              <w:rPr>
                <w:rFonts w:cs="Traditional Arabic" w:hint="cs"/>
                <w:sz w:val="16"/>
                <w:szCs w:val="24"/>
                <w:rtl/>
              </w:rPr>
            </w:pPr>
            <w:r w:rsidRPr="004C0C3C">
              <w:rPr>
                <w:rFonts w:cs="Traditional Arabic" w:hint="cs"/>
                <w:sz w:val="16"/>
                <w:szCs w:val="24"/>
                <w:rtl/>
              </w:rPr>
              <w:t>13.5</w:t>
            </w:r>
          </w:p>
        </w:tc>
        <w:tc>
          <w:tcPr>
            <w:tcW w:w="1309" w:type="dxa"/>
            <w:shd w:val="clear" w:color="auto" w:fill="auto"/>
            <w:vAlign w:val="bottom"/>
          </w:tcPr>
          <w:p w:rsidR="00C35CB1" w:rsidRPr="004C0C3C" w:rsidRDefault="00C35CB1" w:rsidP="004C0C3C">
            <w:pPr>
              <w:pStyle w:val="SingleTxt"/>
              <w:spacing w:before="40" w:after="80" w:line="240" w:lineRule="exact"/>
              <w:ind w:left="0" w:right="144"/>
              <w:rPr>
                <w:rFonts w:cs="Traditional Arabic" w:hint="cs"/>
                <w:sz w:val="16"/>
                <w:szCs w:val="24"/>
                <w:rtl/>
              </w:rPr>
            </w:pPr>
            <w:r w:rsidRPr="004C0C3C">
              <w:rPr>
                <w:rFonts w:cs="Traditional Arabic" w:hint="cs"/>
                <w:sz w:val="16"/>
                <w:szCs w:val="24"/>
                <w:rtl/>
              </w:rPr>
              <w:t>(0.0)</w:t>
            </w:r>
          </w:p>
        </w:tc>
        <w:tc>
          <w:tcPr>
            <w:tcW w:w="943" w:type="dxa"/>
            <w:shd w:val="clear" w:color="auto" w:fill="auto"/>
            <w:vAlign w:val="bottom"/>
          </w:tcPr>
          <w:p w:rsidR="00C35CB1" w:rsidRPr="004C0C3C" w:rsidRDefault="00C35CB1" w:rsidP="004C0C3C">
            <w:pPr>
              <w:pStyle w:val="SingleTxt"/>
              <w:spacing w:before="40" w:after="80" w:line="240" w:lineRule="exact"/>
              <w:ind w:left="0" w:right="144"/>
              <w:rPr>
                <w:rFonts w:cs="Traditional Arabic" w:hint="cs"/>
                <w:sz w:val="16"/>
                <w:szCs w:val="24"/>
                <w:rtl/>
              </w:rPr>
            </w:pPr>
            <w:r w:rsidRPr="004C0C3C">
              <w:rPr>
                <w:rFonts w:cs="Traditional Arabic" w:hint="cs"/>
                <w:sz w:val="16"/>
                <w:szCs w:val="24"/>
                <w:rtl/>
              </w:rPr>
              <w:t>0.5</w:t>
            </w:r>
          </w:p>
        </w:tc>
        <w:tc>
          <w:tcPr>
            <w:tcW w:w="1305" w:type="dxa"/>
            <w:shd w:val="clear" w:color="auto" w:fill="auto"/>
            <w:vAlign w:val="bottom"/>
          </w:tcPr>
          <w:p w:rsidR="00C35CB1" w:rsidRPr="004C0C3C" w:rsidRDefault="00C35CB1" w:rsidP="004C0C3C">
            <w:pPr>
              <w:pStyle w:val="SingleTxt"/>
              <w:spacing w:before="40" w:after="80" w:line="240" w:lineRule="exact"/>
              <w:ind w:left="0" w:right="144"/>
              <w:rPr>
                <w:rFonts w:cs="Traditional Arabic" w:hint="cs"/>
                <w:sz w:val="16"/>
                <w:szCs w:val="24"/>
                <w:rtl/>
              </w:rPr>
            </w:pPr>
            <w:r w:rsidRPr="004C0C3C">
              <w:rPr>
                <w:rFonts w:cs="Traditional Arabic" w:hint="cs"/>
                <w:sz w:val="16"/>
                <w:szCs w:val="24"/>
                <w:rtl/>
              </w:rPr>
              <w:t>6.4</w:t>
            </w:r>
          </w:p>
        </w:tc>
        <w:tc>
          <w:tcPr>
            <w:tcW w:w="1304" w:type="dxa"/>
            <w:shd w:val="clear" w:color="auto" w:fill="auto"/>
            <w:vAlign w:val="bottom"/>
          </w:tcPr>
          <w:p w:rsidR="00C35CB1" w:rsidRPr="004C0C3C" w:rsidRDefault="00C35CB1" w:rsidP="004C0C3C">
            <w:pPr>
              <w:pStyle w:val="SingleTxt"/>
              <w:spacing w:before="40" w:after="80" w:line="240" w:lineRule="exact"/>
              <w:ind w:left="0" w:right="144"/>
              <w:rPr>
                <w:rFonts w:cs="Traditional Arabic" w:hint="cs"/>
                <w:sz w:val="16"/>
                <w:szCs w:val="24"/>
                <w:rtl/>
              </w:rPr>
            </w:pPr>
            <w:r w:rsidRPr="004C0C3C">
              <w:rPr>
                <w:rFonts w:cs="Traditional Arabic" w:hint="cs"/>
                <w:sz w:val="16"/>
                <w:szCs w:val="24"/>
                <w:rtl/>
              </w:rPr>
              <w:t>0.7</w:t>
            </w:r>
          </w:p>
        </w:tc>
        <w:tc>
          <w:tcPr>
            <w:tcW w:w="1308" w:type="dxa"/>
            <w:shd w:val="clear" w:color="auto" w:fill="auto"/>
            <w:vAlign w:val="bottom"/>
          </w:tcPr>
          <w:p w:rsidR="00C35CB1" w:rsidRPr="004C0C3C" w:rsidRDefault="00C35CB1" w:rsidP="004C0C3C">
            <w:pPr>
              <w:pStyle w:val="SingleTxt"/>
              <w:spacing w:before="40" w:after="80" w:line="240" w:lineRule="exact"/>
              <w:ind w:left="0" w:right="144"/>
              <w:rPr>
                <w:rFonts w:cs="Traditional Arabic" w:hint="cs"/>
                <w:sz w:val="16"/>
                <w:szCs w:val="24"/>
                <w:rtl/>
              </w:rPr>
            </w:pPr>
            <w:r w:rsidRPr="004C0C3C">
              <w:rPr>
                <w:rFonts w:cs="Traditional Arabic" w:hint="cs"/>
                <w:sz w:val="16"/>
                <w:szCs w:val="24"/>
                <w:rtl/>
              </w:rPr>
              <w:t>3.9</w:t>
            </w:r>
          </w:p>
        </w:tc>
      </w:tr>
      <w:tr w:rsidR="00C35CB1" w:rsidRPr="004C0C3C">
        <w:trPr>
          <w:cantSplit/>
          <w:jc w:val="center"/>
        </w:trPr>
        <w:tc>
          <w:tcPr>
            <w:tcW w:w="2320" w:type="dxa"/>
            <w:shd w:val="clear" w:color="auto" w:fill="auto"/>
            <w:vAlign w:val="bottom"/>
          </w:tcPr>
          <w:p w:rsidR="00C35CB1" w:rsidRPr="004C0C3C" w:rsidRDefault="00C35CB1" w:rsidP="00416A5F">
            <w:pPr>
              <w:pStyle w:val="SingleTxt"/>
              <w:spacing w:before="40" w:after="80" w:line="240" w:lineRule="exact"/>
              <w:ind w:left="152" w:right="0"/>
              <w:rPr>
                <w:rFonts w:cs="Traditional Arabic" w:hint="cs"/>
                <w:sz w:val="16"/>
                <w:szCs w:val="24"/>
                <w:rtl/>
              </w:rPr>
            </w:pPr>
            <w:r w:rsidRPr="004C0C3C">
              <w:rPr>
                <w:rFonts w:cs="Traditional Arabic" w:hint="cs"/>
                <w:sz w:val="16"/>
                <w:szCs w:val="24"/>
                <w:rtl/>
              </w:rPr>
              <w:t xml:space="preserve">طبيب خاص </w:t>
            </w:r>
          </w:p>
        </w:tc>
        <w:tc>
          <w:tcPr>
            <w:tcW w:w="1339" w:type="dxa"/>
            <w:shd w:val="clear" w:color="auto" w:fill="auto"/>
            <w:vAlign w:val="bottom"/>
          </w:tcPr>
          <w:p w:rsidR="00C35CB1" w:rsidRPr="004C0C3C" w:rsidRDefault="00C35CB1" w:rsidP="004C0C3C">
            <w:pPr>
              <w:pStyle w:val="SingleTxt"/>
              <w:spacing w:before="40" w:after="80" w:line="240" w:lineRule="exact"/>
              <w:ind w:left="0" w:right="144"/>
              <w:rPr>
                <w:rFonts w:cs="Traditional Arabic" w:hint="cs"/>
                <w:sz w:val="16"/>
                <w:szCs w:val="24"/>
                <w:rtl/>
              </w:rPr>
            </w:pPr>
            <w:r w:rsidRPr="004C0C3C">
              <w:rPr>
                <w:rFonts w:cs="Traditional Arabic" w:hint="cs"/>
                <w:sz w:val="16"/>
                <w:szCs w:val="24"/>
                <w:rtl/>
              </w:rPr>
              <w:t>7.5</w:t>
            </w:r>
          </w:p>
        </w:tc>
        <w:tc>
          <w:tcPr>
            <w:tcW w:w="1309" w:type="dxa"/>
            <w:shd w:val="clear" w:color="auto" w:fill="auto"/>
            <w:vAlign w:val="bottom"/>
          </w:tcPr>
          <w:p w:rsidR="00C35CB1" w:rsidRPr="004C0C3C" w:rsidRDefault="00C35CB1" w:rsidP="004C0C3C">
            <w:pPr>
              <w:pStyle w:val="SingleTxt"/>
              <w:spacing w:before="40" w:after="80" w:line="240" w:lineRule="exact"/>
              <w:ind w:left="0" w:right="144"/>
              <w:rPr>
                <w:rFonts w:cs="Traditional Arabic" w:hint="cs"/>
                <w:sz w:val="16"/>
                <w:szCs w:val="24"/>
                <w:rtl/>
              </w:rPr>
            </w:pPr>
            <w:r w:rsidRPr="004C0C3C">
              <w:rPr>
                <w:rFonts w:cs="Traditional Arabic" w:hint="cs"/>
                <w:sz w:val="16"/>
                <w:szCs w:val="24"/>
                <w:rtl/>
              </w:rPr>
              <w:t>(2.8)</w:t>
            </w:r>
          </w:p>
        </w:tc>
        <w:tc>
          <w:tcPr>
            <w:tcW w:w="943" w:type="dxa"/>
            <w:shd w:val="clear" w:color="auto" w:fill="auto"/>
            <w:vAlign w:val="bottom"/>
          </w:tcPr>
          <w:p w:rsidR="00C35CB1" w:rsidRPr="004C0C3C" w:rsidRDefault="00C35CB1" w:rsidP="004C0C3C">
            <w:pPr>
              <w:pStyle w:val="SingleTxt"/>
              <w:spacing w:before="40" w:after="80" w:line="240" w:lineRule="exact"/>
              <w:ind w:left="0" w:right="144"/>
              <w:rPr>
                <w:rFonts w:cs="Traditional Arabic" w:hint="cs"/>
                <w:sz w:val="16"/>
                <w:szCs w:val="24"/>
                <w:rtl/>
              </w:rPr>
            </w:pPr>
            <w:r w:rsidRPr="004C0C3C">
              <w:rPr>
                <w:rFonts w:cs="Traditional Arabic" w:hint="cs"/>
                <w:sz w:val="16"/>
                <w:szCs w:val="24"/>
                <w:rtl/>
              </w:rPr>
              <w:t>13.1</w:t>
            </w:r>
          </w:p>
        </w:tc>
        <w:tc>
          <w:tcPr>
            <w:tcW w:w="1305" w:type="dxa"/>
            <w:shd w:val="clear" w:color="auto" w:fill="auto"/>
            <w:vAlign w:val="bottom"/>
          </w:tcPr>
          <w:p w:rsidR="00C35CB1" w:rsidRPr="004C0C3C" w:rsidRDefault="00C35CB1" w:rsidP="004C0C3C">
            <w:pPr>
              <w:pStyle w:val="SingleTxt"/>
              <w:spacing w:before="40" w:after="80" w:line="240" w:lineRule="exact"/>
              <w:ind w:left="0" w:right="144"/>
              <w:rPr>
                <w:rFonts w:cs="Traditional Arabic" w:hint="cs"/>
                <w:sz w:val="16"/>
                <w:szCs w:val="24"/>
                <w:rtl/>
              </w:rPr>
            </w:pPr>
            <w:r w:rsidRPr="004C0C3C">
              <w:rPr>
                <w:rFonts w:cs="Traditional Arabic" w:hint="cs"/>
                <w:sz w:val="16"/>
                <w:szCs w:val="24"/>
                <w:rtl/>
              </w:rPr>
              <w:t>2.3</w:t>
            </w:r>
          </w:p>
        </w:tc>
        <w:tc>
          <w:tcPr>
            <w:tcW w:w="1304" w:type="dxa"/>
            <w:shd w:val="clear" w:color="auto" w:fill="auto"/>
            <w:vAlign w:val="bottom"/>
          </w:tcPr>
          <w:p w:rsidR="00C35CB1" w:rsidRPr="004C0C3C" w:rsidRDefault="00C35CB1" w:rsidP="004C0C3C">
            <w:pPr>
              <w:pStyle w:val="SingleTxt"/>
              <w:spacing w:before="40" w:after="80" w:line="240" w:lineRule="exact"/>
              <w:ind w:left="0" w:right="144"/>
              <w:rPr>
                <w:rFonts w:cs="Traditional Arabic" w:hint="cs"/>
                <w:sz w:val="16"/>
                <w:szCs w:val="24"/>
                <w:rtl/>
              </w:rPr>
            </w:pPr>
            <w:r w:rsidRPr="004C0C3C">
              <w:rPr>
                <w:rFonts w:cs="Traditional Arabic" w:hint="cs"/>
                <w:sz w:val="16"/>
                <w:szCs w:val="24"/>
                <w:rtl/>
              </w:rPr>
              <w:t>0.0</w:t>
            </w:r>
          </w:p>
        </w:tc>
        <w:tc>
          <w:tcPr>
            <w:tcW w:w="1308" w:type="dxa"/>
            <w:shd w:val="clear" w:color="auto" w:fill="auto"/>
            <w:vAlign w:val="bottom"/>
          </w:tcPr>
          <w:p w:rsidR="00C35CB1" w:rsidRPr="004C0C3C" w:rsidRDefault="00C35CB1" w:rsidP="004C0C3C">
            <w:pPr>
              <w:pStyle w:val="SingleTxt"/>
              <w:spacing w:before="40" w:after="80" w:line="240" w:lineRule="exact"/>
              <w:ind w:left="0" w:right="144"/>
              <w:rPr>
                <w:rFonts w:cs="Traditional Arabic" w:hint="cs"/>
                <w:sz w:val="16"/>
                <w:szCs w:val="24"/>
                <w:rtl/>
              </w:rPr>
            </w:pPr>
            <w:r w:rsidRPr="004C0C3C">
              <w:rPr>
                <w:rFonts w:cs="Traditional Arabic" w:hint="cs"/>
                <w:sz w:val="16"/>
                <w:szCs w:val="24"/>
                <w:rtl/>
              </w:rPr>
              <w:t>9.6</w:t>
            </w:r>
          </w:p>
        </w:tc>
      </w:tr>
      <w:tr w:rsidR="00C35CB1" w:rsidRPr="004C0C3C">
        <w:trPr>
          <w:cantSplit/>
          <w:jc w:val="center"/>
        </w:trPr>
        <w:tc>
          <w:tcPr>
            <w:tcW w:w="2320" w:type="dxa"/>
            <w:shd w:val="clear" w:color="auto" w:fill="auto"/>
            <w:vAlign w:val="bottom"/>
          </w:tcPr>
          <w:p w:rsidR="00C35CB1" w:rsidRPr="004C0C3C" w:rsidRDefault="00C35CB1" w:rsidP="00416A5F">
            <w:pPr>
              <w:pStyle w:val="SingleTxt"/>
              <w:spacing w:before="40" w:after="80" w:line="240" w:lineRule="exact"/>
              <w:ind w:left="152" w:right="0"/>
              <w:rPr>
                <w:rFonts w:cs="Traditional Arabic" w:hint="cs"/>
                <w:sz w:val="16"/>
                <w:szCs w:val="24"/>
                <w:rtl/>
              </w:rPr>
            </w:pPr>
            <w:r w:rsidRPr="004C0C3C">
              <w:rPr>
                <w:rFonts w:cs="Traditional Arabic" w:hint="cs"/>
                <w:sz w:val="16"/>
                <w:szCs w:val="24"/>
                <w:rtl/>
              </w:rPr>
              <w:t>مركز تخطيط الأسرة</w:t>
            </w:r>
          </w:p>
        </w:tc>
        <w:tc>
          <w:tcPr>
            <w:tcW w:w="1339" w:type="dxa"/>
            <w:shd w:val="clear" w:color="auto" w:fill="auto"/>
            <w:vAlign w:val="bottom"/>
          </w:tcPr>
          <w:p w:rsidR="00C35CB1" w:rsidRPr="004C0C3C" w:rsidRDefault="00C35CB1" w:rsidP="004C0C3C">
            <w:pPr>
              <w:pStyle w:val="SingleTxt"/>
              <w:spacing w:before="40" w:after="80" w:line="240" w:lineRule="exact"/>
              <w:ind w:left="0" w:right="144"/>
              <w:rPr>
                <w:rFonts w:cs="Traditional Arabic" w:hint="cs"/>
                <w:sz w:val="16"/>
                <w:szCs w:val="24"/>
                <w:rtl/>
              </w:rPr>
            </w:pPr>
            <w:r w:rsidRPr="004C0C3C">
              <w:rPr>
                <w:rFonts w:cs="Traditional Arabic" w:hint="cs"/>
                <w:sz w:val="16"/>
                <w:szCs w:val="24"/>
                <w:rtl/>
              </w:rPr>
              <w:t>8.0</w:t>
            </w:r>
          </w:p>
        </w:tc>
        <w:tc>
          <w:tcPr>
            <w:tcW w:w="1309" w:type="dxa"/>
            <w:shd w:val="clear" w:color="auto" w:fill="auto"/>
            <w:vAlign w:val="bottom"/>
          </w:tcPr>
          <w:p w:rsidR="00C35CB1" w:rsidRPr="004C0C3C" w:rsidRDefault="00C35CB1" w:rsidP="004C0C3C">
            <w:pPr>
              <w:pStyle w:val="SingleTxt"/>
              <w:spacing w:before="40" w:after="80" w:line="240" w:lineRule="exact"/>
              <w:ind w:left="0" w:right="144"/>
              <w:rPr>
                <w:rFonts w:cs="Traditional Arabic" w:hint="cs"/>
                <w:sz w:val="16"/>
                <w:szCs w:val="24"/>
                <w:rtl/>
              </w:rPr>
            </w:pPr>
            <w:r w:rsidRPr="004C0C3C">
              <w:rPr>
                <w:rFonts w:cs="Traditional Arabic" w:hint="cs"/>
                <w:sz w:val="16"/>
                <w:szCs w:val="24"/>
                <w:rtl/>
              </w:rPr>
              <w:t>(31.8)</w:t>
            </w:r>
          </w:p>
        </w:tc>
        <w:tc>
          <w:tcPr>
            <w:tcW w:w="943" w:type="dxa"/>
            <w:shd w:val="clear" w:color="auto" w:fill="auto"/>
            <w:vAlign w:val="bottom"/>
          </w:tcPr>
          <w:p w:rsidR="00C35CB1" w:rsidRPr="004C0C3C" w:rsidRDefault="00C35CB1" w:rsidP="004C0C3C">
            <w:pPr>
              <w:pStyle w:val="SingleTxt"/>
              <w:spacing w:before="40" w:after="80" w:line="240" w:lineRule="exact"/>
              <w:ind w:left="0" w:right="144"/>
              <w:rPr>
                <w:rFonts w:cs="Traditional Arabic" w:hint="cs"/>
                <w:sz w:val="16"/>
                <w:szCs w:val="24"/>
                <w:rtl/>
              </w:rPr>
            </w:pPr>
            <w:r w:rsidRPr="004C0C3C">
              <w:rPr>
                <w:rFonts w:cs="Traditional Arabic" w:hint="cs"/>
                <w:sz w:val="16"/>
                <w:szCs w:val="24"/>
                <w:rtl/>
              </w:rPr>
              <w:t>7.1</w:t>
            </w:r>
          </w:p>
        </w:tc>
        <w:tc>
          <w:tcPr>
            <w:tcW w:w="1305" w:type="dxa"/>
            <w:shd w:val="clear" w:color="auto" w:fill="auto"/>
            <w:vAlign w:val="bottom"/>
          </w:tcPr>
          <w:p w:rsidR="00C35CB1" w:rsidRPr="004C0C3C" w:rsidRDefault="00C35CB1" w:rsidP="004C0C3C">
            <w:pPr>
              <w:pStyle w:val="SingleTxt"/>
              <w:spacing w:before="40" w:after="80" w:line="240" w:lineRule="exact"/>
              <w:ind w:left="0" w:right="144"/>
              <w:rPr>
                <w:rFonts w:cs="Traditional Arabic" w:hint="cs"/>
                <w:sz w:val="16"/>
                <w:szCs w:val="24"/>
                <w:rtl/>
              </w:rPr>
            </w:pPr>
            <w:r w:rsidRPr="004C0C3C">
              <w:rPr>
                <w:rFonts w:cs="Traditional Arabic" w:hint="cs"/>
                <w:sz w:val="16"/>
                <w:szCs w:val="24"/>
                <w:rtl/>
              </w:rPr>
              <w:t>0.2</w:t>
            </w:r>
          </w:p>
        </w:tc>
        <w:tc>
          <w:tcPr>
            <w:tcW w:w="1304" w:type="dxa"/>
            <w:shd w:val="clear" w:color="auto" w:fill="auto"/>
            <w:vAlign w:val="bottom"/>
          </w:tcPr>
          <w:p w:rsidR="00C35CB1" w:rsidRPr="004C0C3C" w:rsidRDefault="00C35CB1" w:rsidP="004C0C3C">
            <w:pPr>
              <w:pStyle w:val="SingleTxt"/>
              <w:spacing w:before="40" w:after="80" w:line="240" w:lineRule="exact"/>
              <w:ind w:left="0" w:right="144"/>
              <w:rPr>
                <w:rFonts w:cs="Traditional Arabic" w:hint="cs"/>
                <w:sz w:val="16"/>
                <w:szCs w:val="24"/>
                <w:rtl/>
              </w:rPr>
            </w:pPr>
            <w:r w:rsidRPr="004C0C3C">
              <w:rPr>
                <w:rFonts w:cs="Traditional Arabic" w:hint="cs"/>
                <w:sz w:val="16"/>
                <w:szCs w:val="24"/>
                <w:rtl/>
              </w:rPr>
              <w:t>0.0</w:t>
            </w:r>
          </w:p>
        </w:tc>
        <w:tc>
          <w:tcPr>
            <w:tcW w:w="1308" w:type="dxa"/>
            <w:shd w:val="clear" w:color="auto" w:fill="auto"/>
            <w:vAlign w:val="bottom"/>
          </w:tcPr>
          <w:p w:rsidR="00C35CB1" w:rsidRPr="004C0C3C" w:rsidRDefault="00C35CB1" w:rsidP="004C0C3C">
            <w:pPr>
              <w:pStyle w:val="SingleTxt"/>
              <w:spacing w:before="40" w:after="80" w:line="240" w:lineRule="exact"/>
              <w:ind w:left="0" w:right="144"/>
              <w:rPr>
                <w:rFonts w:cs="Traditional Arabic" w:hint="cs"/>
                <w:sz w:val="16"/>
                <w:szCs w:val="24"/>
                <w:rtl/>
              </w:rPr>
            </w:pPr>
            <w:r w:rsidRPr="004C0C3C">
              <w:rPr>
                <w:rFonts w:cs="Traditional Arabic" w:hint="cs"/>
                <w:sz w:val="16"/>
                <w:szCs w:val="24"/>
                <w:rtl/>
              </w:rPr>
              <w:t>7.1</w:t>
            </w:r>
          </w:p>
        </w:tc>
      </w:tr>
      <w:tr w:rsidR="00C35CB1" w:rsidRPr="001E0E2A">
        <w:trPr>
          <w:cantSplit/>
          <w:jc w:val="center"/>
        </w:trPr>
        <w:tc>
          <w:tcPr>
            <w:tcW w:w="2320" w:type="dxa"/>
            <w:shd w:val="clear" w:color="auto" w:fill="auto"/>
            <w:vAlign w:val="bottom"/>
          </w:tcPr>
          <w:p w:rsidR="00C35CB1" w:rsidRPr="001E0E2A" w:rsidRDefault="00C35CB1" w:rsidP="004C0C3C">
            <w:pPr>
              <w:pStyle w:val="SingleTxt"/>
              <w:spacing w:before="40" w:after="80" w:line="240" w:lineRule="exact"/>
              <w:ind w:left="0" w:right="0"/>
              <w:rPr>
                <w:rFonts w:cs="Traditional Arabic" w:hint="cs"/>
                <w:b/>
                <w:bCs/>
                <w:sz w:val="16"/>
                <w:szCs w:val="24"/>
                <w:rtl/>
              </w:rPr>
            </w:pPr>
            <w:r w:rsidRPr="001E0E2A">
              <w:rPr>
                <w:rFonts w:cs="Traditional Arabic" w:hint="cs"/>
                <w:b/>
                <w:bCs/>
                <w:sz w:val="16"/>
                <w:szCs w:val="24"/>
                <w:rtl/>
              </w:rPr>
              <w:t>مصادر أخرى</w:t>
            </w:r>
          </w:p>
        </w:tc>
        <w:tc>
          <w:tcPr>
            <w:tcW w:w="1339" w:type="dxa"/>
            <w:shd w:val="clear" w:color="auto" w:fill="auto"/>
            <w:vAlign w:val="bottom"/>
          </w:tcPr>
          <w:p w:rsidR="00C35CB1" w:rsidRPr="001E0E2A" w:rsidRDefault="00C35CB1" w:rsidP="004C0C3C">
            <w:pPr>
              <w:pStyle w:val="SingleTxt"/>
              <w:spacing w:before="40" w:after="80" w:line="240" w:lineRule="exact"/>
              <w:ind w:left="0" w:right="144"/>
              <w:rPr>
                <w:rFonts w:cs="Traditional Arabic" w:hint="cs"/>
                <w:b/>
                <w:bCs/>
                <w:sz w:val="16"/>
                <w:szCs w:val="24"/>
                <w:rtl/>
              </w:rPr>
            </w:pPr>
            <w:r w:rsidRPr="001E0E2A">
              <w:rPr>
                <w:rFonts w:cs="Traditional Arabic" w:hint="cs"/>
                <w:b/>
                <w:bCs/>
                <w:sz w:val="16"/>
                <w:szCs w:val="24"/>
                <w:rtl/>
              </w:rPr>
              <w:t>9.3</w:t>
            </w:r>
          </w:p>
        </w:tc>
        <w:tc>
          <w:tcPr>
            <w:tcW w:w="1309" w:type="dxa"/>
            <w:shd w:val="clear" w:color="auto" w:fill="auto"/>
            <w:vAlign w:val="bottom"/>
          </w:tcPr>
          <w:p w:rsidR="00C35CB1" w:rsidRPr="001E0E2A" w:rsidRDefault="00C35CB1" w:rsidP="004C0C3C">
            <w:pPr>
              <w:pStyle w:val="SingleTxt"/>
              <w:spacing w:before="40" w:after="80" w:line="240" w:lineRule="exact"/>
              <w:ind w:left="0" w:right="144"/>
              <w:rPr>
                <w:rFonts w:cs="Traditional Arabic" w:hint="cs"/>
                <w:b/>
                <w:bCs/>
                <w:sz w:val="16"/>
                <w:szCs w:val="24"/>
                <w:rtl/>
              </w:rPr>
            </w:pPr>
            <w:r w:rsidRPr="001E0E2A">
              <w:rPr>
                <w:rFonts w:cs="Traditional Arabic" w:hint="cs"/>
                <w:b/>
                <w:bCs/>
                <w:sz w:val="16"/>
                <w:szCs w:val="24"/>
                <w:rtl/>
              </w:rPr>
              <w:t>(0.0)</w:t>
            </w:r>
          </w:p>
        </w:tc>
        <w:tc>
          <w:tcPr>
            <w:tcW w:w="943" w:type="dxa"/>
            <w:shd w:val="clear" w:color="auto" w:fill="auto"/>
            <w:vAlign w:val="bottom"/>
          </w:tcPr>
          <w:p w:rsidR="00C35CB1" w:rsidRPr="001E0E2A" w:rsidRDefault="00C35CB1" w:rsidP="004C0C3C">
            <w:pPr>
              <w:pStyle w:val="SingleTxt"/>
              <w:spacing w:before="40" w:after="80" w:line="240" w:lineRule="exact"/>
              <w:ind w:left="0" w:right="144"/>
              <w:rPr>
                <w:rFonts w:cs="Traditional Arabic" w:hint="cs"/>
                <w:b/>
                <w:bCs/>
                <w:sz w:val="16"/>
                <w:szCs w:val="24"/>
                <w:rtl/>
              </w:rPr>
            </w:pPr>
            <w:r w:rsidRPr="001E0E2A">
              <w:rPr>
                <w:rFonts w:cs="Traditional Arabic" w:hint="cs"/>
                <w:b/>
                <w:bCs/>
                <w:sz w:val="16"/>
                <w:szCs w:val="24"/>
                <w:rtl/>
              </w:rPr>
              <w:t>0.1</w:t>
            </w:r>
          </w:p>
        </w:tc>
        <w:tc>
          <w:tcPr>
            <w:tcW w:w="1305" w:type="dxa"/>
            <w:shd w:val="clear" w:color="auto" w:fill="auto"/>
            <w:vAlign w:val="bottom"/>
          </w:tcPr>
          <w:p w:rsidR="00C35CB1" w:rsidRPr="001E0E2A" w:rsidRDefault="00C35CB1" w:rsidP="004C0C3C">
            <w:pPr>
              <w:pStyle w:val="SingleTxt"/>
              <w:spacing w:before="40" w:after="80" w:line="240" w:lineRule="exact"/>
              <w:ind w:left="0" w:right="144"/>
              <w:rPr>
                <w:rFonts w:cs="Traditional Arabic" w:hint="cs"/>
                <w:b/>
                <w:bCs/>
                <w:sz w:val="16"/>
                <w:szCs w:val="24"/>
                <w:rtl/>
              </w:rPr>
            </w:pPr>
            <w:r w:rsidRPr="001E0E2A">
              <w:rPr>
                <w:rFonts w:cs="Traditional Arabic" w:hint="cs"/>
                <w:b/>
                <w:bCs/>
                <w:sz w:val="16"/>
                <w:szCs w:val="24"/>
                <w:rtl/>
              </w:rPr>
              <w:t>76.8</w:t>
            </w:r>
          </w:p>
        </w:tc>
        <w:tc>
          <w:tcPr>
            <w:tcW w:w="1304" w:type="dxa"/>
            <w:shd w:val="clear" w:color="auto" w:fill="auto"/>
            <w:vAlign w:val="bottom"/>
          </w:tcPr>
          <w:p w:rsidR="00C35CB1" w:rsidRPr="001E0E2A" w:rsidRDefault="00C35CB1" w:rsidP="004C0C3C">
            <w:pPr>
              <w:pStyle w:val="SingleTxt"/>
              <w:spacing w:before="40" w:after="80" w:line="240" w:lineRule="exact"/>
              <w:ind w:left="0" w:right="144"/>
              <w:rPr>
                <w:rFonts w:cs="Traditional Arabic" w:hint="cs"/>
                <w:b/>
                <w:bCs/>
                <w:sz w:val="16"/>
                <w:szCs w:val="24"/>
                <w:rtl/>
              </w:rPr>
            </w:pPr>
            <w:r w:rsidRPr="001E0E2A">
              <w:rPr>
                <w:rFonts w:cs="Traditional Arabic" w:hint="cs"/>
                <w:b/>
                <w:bCs/>
                <w:sz w:val="16"/>
                <w:szCs w:val="24"/>
                <w:rtl/>
              </w:rPr>
              <w:t>0.0</w:t>
            </w:r>
          </w:p>
        </w:tc>
        <w:tc>
          <w:tcPr>
            <w:tcW w:w="1308" w:type="dxa"/>
            <w:shd w:val="clear" w:color="auto" w:fill="auto"/>
            <w:vAlign w:val="bottom"/>
          </w:tcPr>
          <w:p w:rsidR="00C35CB1" w:rsidRPr="001E0E2A" w:rsidRDefault="00C35CB1" w:rsidP="004C0C3C">
            <w:pPr>
              <w:pStyle w:val="SingleTxt"/>
              <w:spacing w:before="40" w:after="80" w:line="240" w:lineRule="exact"/>
              <w:ind w:left="0" w:right="144"/>
              <w:rPr>
                <w:rFonts w:cs="Traditional Arabic" w:hint="cs"/>
                <w:b/>
                <w:bCs/>
                <w:sz w:val="16"/>
                <w:szCs w:val="24"/>
                <w:rtl/>
              </w:rPr>
            </w:pPr>
            <w:r w:rsidRPr="001E0E2A">
              <w:rPr>
                <w:rFonts w:cs="Traditional Arabic" w:hint="cs"/>
                <w:b/>
                <w:bCs/>
                <w:sz w:val="16"/>
                <w:szCs w:val="24"/>
                <w:rtl/>
              </w:rPr>
              <w:t>8.9</w:t>
            </w:r>
          </w:p>
        </w:tc>
      </w:tr>
      <w:tr w:rsidR="00C35CB1" w:rsidRPr="004C0C3C">
        <w:trPr>
          <w:cantSplit/>
          <w:jc w:val="center"/>
        </w:trPr>
        <w:tc>
          <w:tcPr>
            <w:tcW w:w="2320" w:type="dxa"/>
            <w:shd w:val="clear" w:color="auto" w:fill="auto"/>
            <w:vAlign w:val="bottom"/>
          </w:tcPr>
          <w:p w:rsidR="00C35CB1" w:rsidRPr="004C0C3C" w:rsidRDefault="00C35CB1" w:rsidP="00416A5F">
            <w:pPr>
              <w:pStyle w:val="SingleTxt"/>
              <w:spacing w:before="40" w:after="80" w:line="240" w:lineRule="exact"/>
              <w:ind w:left="152" w:right="0"/>
              <w:rPr>
                <w:rFonts w:cs="Traditional Arabic" w:hint="cs"/>
                <w:sz w:val="16"/>
                <w:szCs w:val="24"/>
                <w:rtl/>
              </w:rPr>
            </w:pPr>
            <w:r w:rsidRPr="004C0C3C">
              <w:rPr>
                <w:rFonts w:cs="Traditional Arabic" w:hint="cs"/>
                <w:sz w:val="16"/>
                <w:szCs w:val="24"/>
                <w:rtl/>
              </w:rPr>
              <w:t>مرشد صحي متطوع</w:t>
            </w:r>
          </w:p>
        </w:tc>
        <w:tc>
          <w:tcPr>
            <w:tcW w:w="1339" w:type="dxa"/>
            <w:shd w:val="clear" w:color="auto" w:fill="auto"/>
            <w:vAlign w:val="bottom"/>
          </w:tcPr>
          <w:p w:rsidR="00C35CB1" w:rsidRPr="004C0C3C" w:rsidRDefault="00C35CB1" w:rsidP="004C0C3C">
            <w:pPr>
              <w:pStyle w:val="SingleTxt"/>
              <w:spacing w:before="40" w:after="80" w:line="240" w:lineRule="exact"/>
              <w:ind w:left="0" w:right="144"/>
              <w:rPr>
                <w:rFonts w:cs="Traditional Arabic" w:hint="cs"/>
                <w:sz w:val="16"/>
                <w:szCs w:val="24"/>
                <w:rtl/>
              </w:rPr>
            </w:pPr>
            <w:r w:rsidRPr="004C0C3C">
              <w:rPr>
                <w:rFonts w:cs="Traditional Arabic" w:hint="cs"/>
                <w:sz w:val="16"/>
                <w:szCs w:val="24"/>
                <w:rtl/>
              </w:rPr>
              <w:t>0.5</w:t>
            </w:r>
          </w:p>
        </w:tc>
        <w:tc>
          <w:tcPr>
            <w:tcW w:w="1309" w:type="dxa"/>
            <w:shd w:val="clear" w:color="auto" w:fill="auto"/>
            <w:vAlign w:val="bottom"/>
          </w:tcPr>
          <w:p w:rsidR="00C35CB1" w:rsidRPr="004C0C3C" w:rsidRDefault="00C35CB1" w:rsidP="004C0C3C">
            <w:pPr>
              <w:pStyle w:val="SingleTxt"/>
              <w:spacing w:before="40" w:after="80" w:line="240" w:lineRule="exact"/>
              <w:ind w:left="0" w:right="144"/>
              <w:rPr>
                <w:rFonts w:cs="Traditional Arabic" w:hint="cs"/>
                <w:sz w:val="16"/>
                <w:szCs w:val="24"/>
                <w:rtl/>
              </w:rPr>
            </w:pPr>
            <w:r w:rsidRPr="004C0C3C">
              <w:rPr>
                <w:rFonts w:cs="Traditional Arabic" w:hint="cs"/>
                <w:sz w:val="16"/>
                <w:szCs w:val="24"/>
                <w:rtl/>
              </w:rPr>
              <w:t>(0.0)</w:t>
            </w:r>
          </w:p>
        </w:tc>
        <w:tc>
          <w:tcPr>
            <w:tcW w:w="943" w:type="dxa"/>
            <w:shd w:val="clear" w:color="auto" w:fill="auto"/>
            <w:vAlign w:val="bottom"/>
          </w:tcPr>
          <w:p w:rsidR="00C35CB1" w:rsidRPr="004C0C3C" w:rsidRDefault="00C35CB1" w:rsidP="004C0C3C">
            <w:pPr>
              <w:pStyle w:val="SingleTxt"/>
              <w:spacing w:before="40" w:after="80" w:line="240" w:lineRule="exact"/>
              <w:ind w:left="0" w:right="144"/>
              <w:rPr>
                <w:rFonts w:cs="Traditional Arabic" w:hint="cs"/>
                <w:sz w:val="16"/>
                <w:szCs w:val="24"/>
                <w:rtl/>
              </w:rPr>
            </w:pPr>
            <w:r w:rsidRPr="004C0C3C">
              <w:rPr>
                <w:rFonts w:cs="Traditional Arabic" w:hint="cs"/>
                <w:sz w:val="16"/>
                <w:szCs w:val="24"/>
                <w:rtl/>
              </w:rPr>
              <w:t>0.0</w:t>
            </w:r>
          </w:p>
        </w:tc>
        <w:tc>
          <w:tcPr>
            <w:tcW w:w="1305" w:type="dxa"/>
            <w:shd w:val="clear" w:color="auto" w:fill="auto"/>
            <w:vAlign w:val="bottom"/>
          </w:tcPr>
          <w:p w:rsidR="00C35CB1" w:rsidRPr="004C0C3C" w:rsidRDefault="00C35CB1" w:rsidP="004C0C3C">
            <w:pPr>
              <w:pStyle w:val="SingleTxt"/>
              <w:spacing w:before="40" w:after="80" w:line="240" w:lineRule="exact"/>
              <w:ind w:left="0" w:right="144"/>
              <w:rPr>
                <w:rFonts w:cs="Traditional Arabic" w:hint="cs"/>
                <w:sz w:val="16"/>
                <w:szCs w:val="24"/>
                <w:rtl/>
              </w:rPr>
            </w:pPr>
            <w:r w:rsidRPr="004C0C3C">
              <w:rPr>
                <w:rFonts w:cs="Traditional Arabic" w:hint="cs"/>
                <w:sz w:val="16"/>
                <w:szCs w:val="24"/>
                <w:rtl/>
              </w:rPr>
              <w:t>3.0</w:t>
            </w:r>
          </w:p>
        </w:tc>
        <w:tc>
          <w:tcPr>
            <w:tcW w:w="1304" w:type="dxa"/>
            <w:shd w:val="clear" w:color="auto" w:fill="auto"/>
            <w:vAlign w:val="bottom"/>
          </w:tcPr>
          <w:p w:rsidR="00C35CB1" w:rsidRPr="004C0C3C" w:rsidRDefault="00C35CB1" w:rsidP="004C0C3C">
            <w:pPr>
              <w:pStyle w:val="SingleTxt"/>
              <w:spacing w:before="40" w:after="80" w:line="240" w:lineRule="exact"/>
              <w:ind w:left="0" w:right="144"/>
              <w:rPr>
                <w:rFonts w:cs="Traditional Arabic" w:hint="cs"/>
                <w:sz w:val="16"/>
                <w:szCs w:val="24"/>
                <w:rtl/>
              </w:rPr>
            </w:pPr>
            <w:r w:rsidRPr="004C0C3C">
              <w:rPr>
                <w:rFonts w:cs="Traditional Arabic" w:hint="cs"/>
                <w:sz w:val="16"/>
                <w:szCs w:val="24"/>
                <w:rtl/>
              </w:rPr>
              <w:t>0.0</w:t>
            </w:r>
          </w:p>
        </w:tc>
        <w:tc>
          <w:tcPr>
            <w:tcW w:w="1308" w:type="dxa"/>
            <w:shd w:val="clear" w:color="auto" w:fill="auto"/>
            <w:vAlign w:val="bottom"/>
          </w:tcPr>
          <w:p w:rsidR="00C35CB1" w:rsidRPr="004C0C3C" w:rsidRDefault="00C35CB1" w:rsidP="004C0C3C">
            <w:pPr>
              <w:pStyle w:val="SingleTxt"/>
              <w:spacing w:before="40" w:after="80" w:line="240" w:lineRule="exact"/>
              <w:ind w:left="0" w:right="144"/>
              <w:rPr>
                <w:rFonts w:cs="Traditional Arabic" w:hint="cs"/>
                <w:sz w:val="16"/>
                <w:szCs w:val="24"/>
                <w:rtl/>
              </w:rPr>
            </w:pPr>
            <w:r w:rsidRPr="004C0C3C">
              <w:rPr>
                <w:rFonts w:cs="Traditional Arabic" w:hint="cs"/>
                <w:sz w:val="16"/>
                <w:szCs w:val="24"/>
                <w:rtl/>
              </w:rPr>
              <w:t>0.4</w:t>
            </w:r>
          </w:p>
        </w:tc>
      </w:tr>
      <w:tr w:rsidR="00C35CB1" w:rsidRPr="004C0C3C">
        <w:trPr>
          <w:cantSplit/>
          <w:jc w:val="center"/>
        </w:trPr>
        <w:tc>
          <w:tcPr>
            <w:tcW w:w="2320" w:type="dxa"/>
            <w:shd w:val="clear" w:color="auto" w:fill="auto"/>
            <w:vAlign w:val="bottom"/>
          </w:tcPr>
          <w:p w:rsidR="00C35CB1" w:rsidRPr="004C0C3C" w:rsidRDefault="00C35CB1" w:rsidP="00416A5F">
            <w:pPr>
              <w:pStyle w:val="SingleTxt"/>
              <w:spacing w:before="40" w:after="80" w:line="240" w:lineRule="exact"/>
              <w:ind w:left="152" w:right="0"/>
              <w:rPr>
                <w:rFonts w:cs="Traditional Arabic" w:hint="cs"/>
                <w:sz w:val="16"/>
                <w:szCs w:val="24"/>
                <w:rtl/>
              </w:rPr>
            </w:pPr>
            <w:r w:rsidRPr="004C0C3C">
              <w:rPr>
                <w:rFonts w:cs="Traditional Arabic" w:hint="cs"/>
                <w:sz w:val="16"/>
                <w:szCs w:val="24"/>
                <w:rtl/>
              </w:rPr>
              <w:t>دكان</w:t>
            </w:r>
          </w:p>
        </w:tc>
        <w:tc>
          <w:tcPr>
            <w:tcW w:w="1339" w:type="dxa"/>
            <w:shd w:val="clear" w:color="auto" w:fill="auto"/>
            <w:vAlign w:val="bottom"/>
          </w:tcPr>
          <w:p w:rsidR="00C35CB1" w:rsidRPr="004C0C3C" w:rsidRDefault="00C35CB1" w:rsidP="004C0C3C">
            <w:pPr>
              <w:pStyle w:val="SingleTxt"/>
              <w:spacing w:before="40" w:after="80" w:line="240" w:lineRule="exact"/>
              <w:ind w:left="0" w:right="144"/>
              <w:rPr>
                <w:rFonts w:cs="Traditional Arabic" w:hint="cs"/>
                <w:sz w:val="16"/>
                <w:szCs w:val="24"/>
                <w:rtl/>
              </w:rPr>
            </w:pPr>
            <w:r w:rsidRPr="004C0C3C">
              <w:rPr>
                <w:rFonts w:cs="Traditional Arabic" w:hint="cs"/>
                <w:sz w:val="16"/>
                <w:szCs w:val="24"/>
                <w:rtl/>
              </w:rPr>
              <w:t>5.2</w:t>
            </w:r>
          </w:p>
        </w:tc>
        <w:tc>
          <w:tcPr>
            <w:tcW w:w="1309" w:type="dxa"/>
            <w:shd w:val="clear" w:color="auto" w:fill="auto"/>
            <w:vAlign w:val="bottom"/>
          </w:tcPr>
          <w:p w:rsidR="00C35CB1" w:rsidRPr="004C0C3C" w:rsidRDefault="00C35CB1" w:rsidP="004C0C3C">
            <w:pPr>
              <w:pStyle w:val="SingleTxt"/>
              <w:spacing w:before="40" w:after="80" w:line="240" w:lineRule="exact"/>
              <w:ind w:left="0" w:right="144"/>
              <w:rPr>
                <w:rFonts w:cs="Traditional Arabic" w:hint="cs"/>
                <w:sz w:val="16"/>
                <w:szCs w:val="24"/>
                <w:rtl/>
              </w:rPr>
            </w:pPr>
            <w:r w:rsidRPr="004C0C3C">
              <w:rPr>
                <w:rFonts w:cs="Traditional Arabic" w:hint="cs"/>
                <w:sz w:val="16"/>
                <w:szCs w:val="24"/>
                <w:rtl/>
              </w:rPr>
              <w:t>(0.0)</w:t>
            </w:r>
          </w:p>
        </w:tc>
        <w:tc>
          <w:tcPr>
            <w:tcW w:w="943" w:type="dxa"/>
            <w:shd w:val="clear" w:color="auto" w:fill="auto"/>
            <w:vAlign w:val="bottom"/>
          </w:tcPr>
          <w:p w:rsidR="00C35CB1" w:rsidRPr="004C0C3C" w:rsidRDefault="00C35CB1" w:rsidP="004C0C3C">
            <w:pPr>
              <w:pStyle w:val="SingleTxt"/>
              <w:spacing w:before="40" w:after="80" w:line="240" w:lineRule="exact"/>
              <w:ind w:left="0" w:right="144"/>
              <w:rPr>
                <w:rFonts w:cs="Traditional Arabic" w:hint="cs"/>
                <w:sz w:val="16"/>
                <w:szCs w:val="24"/>
                <w:rtl/>
              </w:rPr>
            </w:pPr>
            <w:r w:rsidRPr="004C0C3C">
              <w:rPr>
                <w:rFonts w:cs="Traditional Arabic" w:hint="cs"/>
                <w:sz w:val="16"/>
                <w:szCs w:val="24"/>
                <w:rtl/>
              </w:rPr>
              <w:t>0.0</w:t>
            </w:r>
          </w:p>
        </w:tc>
        <w:tc>
          <w:tcPr>
            <w:tcW w:w="1305" w:type="dxa"/>
            <w:shd w:val="clear" w:color="auto" w:fill="auto"/>
            <w:vAlign w:val="bottom"/>
          </w:tcPr>
          <w:p w:rsidR="00C35CB1" w:rsidRPr="004C0C3C" w:rsidRDefault="00C35CB1" w:rsidP="004C0C3C">
            <w:pPr>
              <w:pStyle w:val="SingleTxt"/>
              <w:spacing w:before="40" w:after="80" w:line="240" w:lineRule="exact"/>
              <w:ind w:left="0" w:right="144"/>
              <w:rPr>
                <w:rFonts w:cs="Traditional Arabic" w:hint="cs"/>
                <w:sz w:val="16"/>
                <w:szCs w:val="24"/>
                <w:rtl/>
              </w:rPr>
            </w:pPr>
            <w:r w:rsidRPr="004C0C3C">
              <w:rPr>
                <w:rFonts w:cs="Traditional Arabic" w:hint="cs"/>
                <w:sz w:val="16"/>
                <w:szCs w:val="24"/>
                <w:rtl/>
              </w:rPr>
              <w:t>69.7</w:t>
            </w:r>
          </w:p>
        </w:tc>
        <w:tc>
          <w:tcPr>
            <w:tcW w:w="1304" w:type="dxa"/>
            <w:shd w:val="clear" w:color="auto" w:fill="auto"/>
            <w:vAlign w:val="bottom"/>
          </w:tcPr>
          <w:p w:rsidR="00C35CB1" w:rsidRPr="004C0C3C" w:rsidRDefault="00C35CB1" w:rsidP="004C0C3C">
            <w:pPr>
              <w:pStyle w:val="SingleTxt"/>
              <w:spacing w:before="40" w:after="80" w:line="240" w:lineRule="exact"/>
              <w:ind w:left="0" w:right="144"/>
              <w:rPr>
                <w:rFonts w:cs="Traditional Arabic" w:hint="cs"/>
                <w:sz w:val="16"/>
                <w:szCs w:val="24"/>
                <w:rtl/>
              </w:rPr>
            </w:pPr>
            <w:r w:rsidRPr="004C0C3C">
              <w:rPr>
                <w:rFonts w:cs="Traditional Arabic" w:hint="cs"/>
                <w:sz w:val="16"/>
                <w:szCs w:val="24"/>
                <w:rtl/>
              </w:rPr>
              <w:t>0.0</w:t>
            </w:r>
          </w:p>
        </w:tc>
        <w:tc>
          <w:tcPr>
            <w:tcW w:w="1308" w:type="dxa"/>
            <w:shd w:val="clear" w:color="auto" w:fill="auto"/>
            <w:vAlign w:val="bottom"/>
          </w:tcPr>
          <w:p w:rsidR="00C35CB1" w:rsidRPr="004C0C3C" w:rsidRDefault="00C35CB1" w:rsidP="004C0C3C">
            <w:pPr>
              <w:pStyle w:val="SingleTxt"/>
              <w:spacing w:before="40" w:after="80" w:line="240" w:lineRule="exact"/>
              <w:ind w:left="0" w:right="144"/>
              <w:rPr>
                <w:rFonts w:cs="Traditional Arabic" w:hint="cs"/>
                <w:sz w:val="16"/>
                <w:szCs w:val="24"/>
                <w:rtl/>
              </w:rPr>
            </w:pPr>
            <w:r w:rsidRPr="004C0C3C">
              <w:rPr>
                <w:rFonts w:cs="Traditional Arabic" w:hint="cs"/>
                <w:sz w:val="16"/>
                <w:szCs w:val="24"/>
                <w:rtl/>
              </w:rPr>
              <w:t>7.3</w:t>
            </w:r>
          </w:p>
        </w:tc>
      </w:tr>
      <w:tr w:rsidR="00C35CB1" w:rsidRPr="004C0C3C">
        <w:trPr>
          <w:cantSplit/>
          <w:jc w:val="center"/>
        </w:trPr>
        <w:tc>
          <w:tcPr>
            <w:tcW w:w="2320" w:type="dxa"/>
            <w:shd w:val="clear" w:color="auto" w:fill="auto"/>
            <w:vAlign w:val="bottom"/>
          </w:tcPr>
          <w:p w:rsidR="00C35CB1" w:rsidRPr="004C0C3C" w:rsidRDefault="00C35CB1" w:rsidP="00416A5F">
            <w:pPr>
              <w:pStyle w:val="SingleTxt"/>
              <w:spacing w:before="40" w:after="80" w:line="240" w:lineRule="exact"/>
              <w:ind w:left="152" w:right="0"/>
              <w:rPr>
                <w:rFonts w:cs="Traditional Arabic" w:hint="cs"/>
                <w:sz w:val="16"/>
                <w:szCs w:val="24"/>
                <w:rtl/>
              </w:rPr>
            </w:pPr>
            <w:r w:rsidRPr="004C0C3C">
              <w:rPr>
                <w:rFonts w:cs="Traditional Arabic" w:hint="cs"/>
                <w:sz w:val="16"/>
                <w:szCs w:val="24"/>
                <w:rtl/>
              </w:rPr>
              <w:t>مركز بيع الصحف</w:t>
            </w:r>
          </w:p>
        </w:tc>
        <w:tc>
          <w:tcPr>
            <w:tcW w:w="1339" w:type="dxa"/>
            <w:shd w:val="clear" w:color="auto" w:fill="auto"/>
            <w:vAlign w:val="bottom"/>
          </w:tcPr>
          <w:p w:rsidR="00C35CB1" w:rsidRPr="004C0C3C" w:rsidRDefault="00C35CB1" w:rsidP="004C0C3C">
            <w:pPr>
              <w:pStyle w:val="SingleTxt"/>
              <w:spacing w:before="40" w:after="80" w:line="240" w:lineRule="exact"/>
              <w:ind w:left="0" w:right="144"/>
              <w:rPr>
                <w:rFonts w:cs="Traditional Arabic" w:hint="cs"/>
                <w:sz w:val="16"/>
                <w:szCs w:val="24"/>
                <w:rtl/>
              </w:rPr>
            </w:pPr>
            <w:r w:rsidRPr="004C0C3C">
              <w:rPr>
                <w:rFonts w:cs="Traditional Arabic" w:hint="cs"/>
                <w:sz w:val="16"/>
                <w:szCs w:val="24"/>
                <w:rtl/>
              </w:rPr>
              <w:t>0.0</w:t>
            </w:r>
          </w:p>
        </w:tc>
        <w:tc>
          <w:tcPr>
            <w:tcW w:w="1309" w:type="dxa"/>
            <w:shd w:val="clear" w:color="auto" w:fill="auto"/>
            <w:vAlign w:val="bottom"/>
          </w:tcPr>
          <w:p w:rsidR="00C35CB1" w:rsidRPr="004C0C3C" w:rsidRDefault="00C35CB1" w:rsidP="004C0C3C">
            <w:pPr>
              <w:pStyle w:val="SingleTxt"/>
              <w:spacing w:before="40" w:after="80" w:line="240" w:lineRule="exact"/>
              <w:ind w:left="0" w:right="144"/>
              <w:rPr>
                <w:rFonts w:cs="Traditional Arabic" w:hint="cs"/>
                <w:sz w:val="16"/>
                <w:szCs w:val="24"/>
                <w:rtl/>
              </w:rPr>
            </w:pPr>
            <w:r w:rsidRPr="004C0C3C">
              <w:rPr>
                <w:rFonts w:cs="Traditional Arabic" w:hint="cs"/>
                <w:sz w:val="16"/>
                <w:szCs w:val="24"/>
                <w:rtl/>
              </w:rPr>
              <w:t>(0.0)</w:t>
            </w:r>
          </w:p>
        </w:tc>
        <w:tc>
          <w:tcPr>
            <w:tcW w:w="943" w:type="dxa"/>
            <w:shd w:val="clear" w:color="auto" w:fill="auto"/>
            <w:vAlign w:val="bottom"/>
          </w:tcPr>
          <w:p w:rsidR="00C35CB1" w:rsidRPr="004C0C3C" w:rsidRDefault="00C35CB1" w:rsidP="004C0C3C">
            <w:pPr>
              <w:pStyle w:val="SingleTxt"/>
              <w:spacing w:before="40" w:after="80" w:line="240" w:lineRule="exact"/>
              <w:ind w:left="0" w:right="144"/>
              <w:rPr>
                <w:rFonts w:cs="Traditional Arabic" w:hint="cs"/>
                <w:sz w:val="16"/>
                <w:szCs w:val="24"/>
                <w:rtl/>
              </w:rPr>
            </w:pPr>
            <w:r w:rsidRPr="004C0C3C">
              <w:rPr>
                <w:rFonts w:cs="Traditional Arabic" w:hint="cs"/>
                <w:sz w:val="16"/>
                <w:szCs w:val="24"/>
                <w:rtl/>
              </w:rPr>
              <w:t>0.0</w:t>
            </w:r>
          </w:p>
        </w:tc>
        <w:tc>
          <w:tcPr>
            <w:tcW w:w="1305" w:type="dxa"/>
            <w:shd w:val="clear" w:color="auto" w:fill="auto"/>
            <w:vAlign w:val="bottom"/>
          </w:tcPr>
          <w:p w:rsidR="00C35CB1" w:rsidRPr="004C0C3C" w:rsidRDefault="00C35CB1" w:rsidP="004C0C3C">
            <w:pPr>
              <w:pStyle w:val="SingleTxt"/>
              <w:spacing w:before="40" w:after="80" w:line="240" w:lineRule="exact"/>
              <w:ind w:left="0" w:right="144"/>
              <w:rPr>
                <w:rFonts w:cs="Traditional Arabic" w:hint="cs"/>
                <w:sz w:val="16"/>
                <w:szCs w:val="24"/>
                <w:rtl/>
              </w:rPr>
            </w:pPr>
            <w:r w:rsidRPr="004C0C3C">
              <w:rPr>
                <w:rFonts w:cs="Traditional Arabic" w:hint="cs"/>
                <w:sz w:val="16"/>
                <w:szCs w:val="24"/>
                <w:rtl/>
              </w:rPr>
              <w:t>1.1</w:t>
            </w:r>
          </w:p>
        </w:tc>
        <w:tc>
          <w:tcPr>
            <w:tcW w:w="1304" w:type="dxa"/>
            <w:shd w:val="clear" w:color="auto" w:fill="auto"/>
            <w:vAlign w:val="bottom"/>
          </w:tcPr>
          <w:p w:rsidR="00C35CB1" w:rsidRPr="004C0C3C" w:rsidRDefault="00C35CB1" w:rsidP="004C0C3C">
            <w:pPr>
              <w:pStyle w:val="SingleTxt"/>
              <w:spacing w:before="40" w:after="80" w:line="240" w:lineRule="exact"/>
              <w:ind w:left="0" w:right="144"/>
              <w:rPr>
                <w:rFonts w:cs="Traditional Arabic" w:hint="cs"/>
                <w:sz w:val="16"/>
                <w:szCs w:val="24"/>
                <w:rtl/>
              </w:rPr>
            </w:pPr>
            <w:r w:rsidRPr="004C0C3C">
              <w:rPr>
                <w:rFonts w:cs="Traditional Arabic" w:hint="cs"/>
                <w:sz w:val="16"/>
                <w:szCs w:val="24"/>
                <w:rtl/>
              </w:rPr>
              <w:t>0.0</w:t>
            </w:r>
          </w:p>
        </w:tc>
        <w:tc>
          <w:tcPr>
            <w:tcW w:w="1308" w:type="dxa"/>
            <w:shd w:val="clear" w:color="auto" w:fill="auto"/>
            <w:vAlign w:val="bottom"/>
          </w:tcPr>
          <w:p w:rsidR="00C35CB1" w:rsidRPr="004C0C3C" w:rsidRDefault="00C35CB1" w:rsidP="004C0C3C">
            <w:pPr>
              <w:pStyle w:val="SingleTxt"/>
              <w:spacing w:before="40" w:after="80" w:line="240" w:lineRule="exact"/>
              <w:ind w:left="0" w:right="144"/>
              <w:rPr>
                <w:rFonts w:cs="Traditional Arabic" w:hint="cs"/>
                <w:sz w:val="16"/>
                <w:szCs w:val="24"/>
                <w:rtl/>
              </w:rPr>
            </w:pPr>
            <w:r w:rsidRPr="004C0C3C">
              <w:rPr>
                <w:rFonts w:cs="Traditional Arabic" w:hint="cs"/>
                <w:sz w:val="16"/>
                <w:szCs w:val="24"/>
                <w:rtl/>
              </w:rPr>
              <w:t>0.1</w:t>
            </w:r>
          </w:p>
        </w:tc>
      </w:tr>
      <w:tr w:rsidR="00C35CB1" w:rsidRPr="004C0C3C">
        <w:trPr>
          <w:cantSplit/>
          <w:jc w:val="center"/>
        </w:trPr>
        <w:tc>
          <w:tcPr>
            <w:tcW w:w="2320" w:type="dxa"/>
            <w:shd w:val="clear" w:color="auto" w:fill="auto"/>
            <w:vAlign w:val="bottom"/>
          </w:tcPr>
          <w:p w:rsidR="00C35CB1" w:rsidRPr="004C0C3C" w:rsidRDefault="00C35CB1" w:rsidP="00416A5F">
            <w:pPr>
              <w:pStyle w:val="SingleTxt"/>
              <w:spacing w:before="40" w:after="80" w:line="240" w:lineRule="exact"/>
              <w:ind w:left="152" w:right="0"/>
              <w:rPr>
                <w:rFonts w:cs="Traditional Arabic" w:hint="cs"/>
                <w:sz w:val="16"/>
                <w:szCs w:val="24"/>
                <w:rtl/>
              </w:rPr>
            </w:pPr>
            <w:r w:rsidRPr="004C0C3C">
              <w:rPr>
                <w:rFonts w:cs="Traditional Arabic" w:hint="cs"/>
                <w:sz w:val="16"/>
                <w:szCs w:val="24"/>
                <w:rtl/>
              </w:rPr>
              <w:t>كنيسة</w:t>
            </w:r>
          </w:p>
        </w:tc>
        <w:tc>
          <w:tcPr>
            <w:tcW w:w="1339" w:type="dxa"/>
            <w:shd w:val="clear" w:color="auto" w:fill="auto"/>
            <w:vAlign w:val="bottom"/>
          </w:tcPr>
          <w:p w:rsidR="00C35CB1" w:rsidRPr="004C0C3C" w:rsidRDefault="00C35CB1" w:rsidP="004C0C3C">
            <w:pPr>
              <w:pStyle w:val="SingleTxt"/>
              <w:spacing w:before="40" w:after="80" w:line="240" w:lineRule="exact"/>
              <w:ind w:left="0" w:right="144"/>
              <w:rPr>
                <w:rFonts w:cs="Traditional Arabic" w:hint="cs"/>
                <w:sz w:val="16"/>
                <w:szCs w:val="24"/>
                <w:rtl/>
              </w:rPr>
            </w:pPr>
            <w:r w:rsidRPr="004C0C3C">
              <w:rPr>
                <w:rFonts w:cs="Traditional Arabic" w:hint="cs"/>
                <w:sz w:val="16"/>
                <w:szCs w:val="24"/>
                <w:rtl/>
              </w:rPr>
              <w:t>1.7</w:t>
            </w:r>
          </w:p>
        </w:tc>
        <w:tc>
          <w:tcPr>
            <w:tcW w:w="1309" w:type="dxa"/>
            <w:shd w:val="clear" w:color="auto" w:fill="auto"/>
            <w:vAlign w:val="bottom"/>
          </w:tcPr>
          <w:p w:rsidR="00C35CB1" w:rsidRPr="004C0C3C" w:rsidRDefault="00C35CB1" w:rsidP="004C0C3C">
            <w:pPr>
              <w:pStyle w:val="SingleTxt"/>
              <w:spacing w:before="40" w:after="80" w:line="240" w:lineRule="exact"/>
              <w:ind w:left="0" w:right="144"/>
              <w:rPr>
                <w:rFonts w:cs="Traditional Arabic" w:hint="cs"/>
                <w:sz w:val="16"/>
                <w:szCs w:val="24"/>
                <w:rtl/>
              </w:rPr>
            </w:pPr>
            <w:r w:rsidRPr="004C0C3C">
              <w:rPr>
                <w:rFonts w:cs="Traditional Arabic" w:hint="cs"/>
                <w:sz w:val="16"/>
                <w:szCs w:val="24"/>
                <w:rtl/>
              </w:rPr>
              <w:t>(0.0)</w:t>
            </w:r>
          </w:p>
        </w:tc>
        <w:tc>
          <w:tcPr>
            <w:tcW w:w="943" w:type="dxa"/>
            <w:shd w:val="clear" w:color="auto" w:fill="auto"/>
            <w:vAlign w:val="bottom"/>
          </w:tcPr>
          <w:p w:rsidR="00C35CB1" w:rsidRPr="004C0C3C" w:rsidRDefault="00C35CB1" w:rsidP="004C0C3C">
            <w:pPr>
              <w:pStyle w:val="SingleTxt"/>
              <w:spacing w:before="40" w:after="80" w:line="240" w:lineRule="exact"/>
              <w:ind w:left="0" w:right="144"/>
              <w:rPr>
                <w:rFonts w:cs="Traditional Arabic" w:hint="cs"/>
                <w:sz w:val="16"/>
                <w:szCs w:val="24"/>
                <w:rtl/>
              </w:rPr>
            </w:pPr>
            <w:r w:rsidRPr="004C0C3C">
              <w:rPr>
                <w:rFonts w:cs="Traditional Arabic" w:hint="cs"/>
                <w:sz w:val="16"/>
                <w:szCs w:val="24"/>
                <w:rtl/>
              </w:rPr>
              <w:t>0.1</w:t>
            </w:r>
          </w:p>
        </w:tc>
        <w:tc>
          <w:tcPr>
            <w:tcW w:w="1305" w:type="dxa"/>
            <w:shd w:val="clear" w:color="auto" w:fill="auto"/>
            <w:vAlign w:val="bottom"/>
          </w:tcPr>
          <w:p w:rsidR="00C35CB1" w:rsidRPr="004C0C3C" w:rsidRDefault="00C35CB1" w:rsidP="004C0C3C">
            <w:pPr>
              <w:pStyle w:val="SingleTxt"/>
              <w:spacing w:before="40" w:after="80" w:line="240" w:lineRule="exact"/>
              <w:ind w:left="0" w:right="144"/>
              <w:rPr>
                <w:rFonts w:cs="Traditional Arabic" w:hint="cs"/>
                <w:sz w:val="16"/>
                <w:szCs w:val="24"/>
                <w:rtl/>
              </w:rPr>
            </w:pPr>
            <w:r w:rsidRPr="004C0C3C">
              <w:rPr>
                <w:rFonts w:cs="Traditional Arabic" w:hint="cs"/>
                <w:sz w:val="16"/>
                <w:szCs w:val="24"/>
                <w:rtl/>
              </w:rPr>
              <w:t>(0.0)</w:t>
            </w:r>
          </w:p>
        </w:tc>
        <w:tc>
          <w:tcPr>
            <w:tcW w:w="1304" w:type="dxa"/>
            <w:shd w:val="clear" w:color="auto" w:fill="auto"/>
            <w:vAlign w:val="bottom"/>
          </w:tcPr>
          <w:p w:rsidR="00C35CB1" w:rsidRPr="004C0C3C" w:rsidRDefault="00C35CB1" w:rsidP="004C0C3C">
            <w:pPr>
              <w:pStyle w:val="SingleTxt"/>
              <w:spacing w:before="40" w:after="80" w:line="240" w:lineRule="exact"/>
              <w:ind w:left="0" w:right="144"/>
              <w:rPr>
                <w:rFonts w:cs="Traditional Arabic" w:hint="cs"/>
                <w:sz w:val="16"/>
                <w:szCs w:val="24"/>
                <w:rtl/>
              </w:rPr>
            </w:pPr>
            <w:r w:rsidRPr="004C0C3C">
              <w:rPr>
                <w:rFonts w:cs="Traditional Arabic" w:hint="cs"/>
                <w:sz w:val="16"/>
                <w:szCs w:val="24"/>
                <w:rtl/>
              </w:rPr>
              <w:t>0.0</w:t>
            </w:r>
          </w:p>
        </w:tc>
        <w:tc>
          <w:tcPr>
            <w:tcW w:w="1308" w:type="dxa"/>
            <w:shd w:val="clear" w:color="auto" w:fill="auto"/>
            <w:vAlign w:val="bottom"/>
          </w:tcPr>
          <w:p w:rsidR="00C35CB1" w:rsidRPr="004C0C3C" w:rsidRDefault="00C35CB1" w:rsidP="004C0C3C">
            <w:pPr>
              <w:pStyle w:val="SingleTxt"/>
              <w:spacing w:before="40" w:after="80" w:line="240" w:lineRule="exact"/>
              <w:ind w:left="0" w:right="144"/>
              <w:rPr>
                <w:rFonts w:cs="Traditional Arabic" w:hint="cs"/>
                <w:sz w:val="16"/>
                <w:szCs w:val="24"/>
                <w:rtl/>
              </w:rPr>
            </w:pPr>
            <w:r w:rsidRPr="004C0C3C">
              <w:rPr>
                <w:rFonts w:cs="Traditional Arabic" w:hint="cs"/>
                <w:sz w:val="16"/>
                <w:szCs w:val="24"/>
                <w:rtl/>
              </w:rPr>
              <w:t>0.4</w:t>
            </w:r>
          </w:p>
        </w:tc>
      </w:tr>
      <w:tr w:rsidR="00C35CB1" w:rsidRPr="004C0C3C">
        <w:trPr>
          <w:cantSplit/>
          <w:jc w:val="center"/>
        </w:trPr>
        <w:tc>
          <w:tcPr>
            <w:tcW w:w="2320" w:type="dxa"/>
            <w:shd w:val="clear" w:color="auto" w:fill="auto"/>
            <w:vAlign w:val="bottom"/>
          </w:tcPr>
          <w:p w:rsidR="00C35CB1" w:rsidRPr="004C0C3C" w:rsidRDefault="00C35CB1" w:rsidP="00416A5F">
            <w:pPr>
              <w:pStyle w:val="SingleTxt"/>
              <w:spacing w:before="40" w:after="80" w:line="240" w:lineRule="exact"/>
              <w:ind w:left="152" w:right="0"/>
              <w:rPr>
                <w:rFonts w:cs="Traditional Arabic" w:hint="cs"/>
                <w:sz w:val="16"/>
                <w:szCs w:val="24"/>
                <w:rtl/>
              </w:rPr>
            </w:pPr>
            <w:r w:rsidRPr="004C0C3C">
              <w:rPr>
                <w:rFonts w:cs="Traditional Arabic" w:hint="cs"/>
                <w:sz w:val="16"/>
                <w:szCs w:val="24"/>
                <w:rtl/>
              </w:rPr>
              <w:t>أصدقاء أقارب</w:t>
            </w:r>
          </w:p>
        </w:tc>
        <w:tc>
          <w:tcPr>
            <w:tcW w:w="1339" w:type="dxa"/>
            <w:shd w:val="clear" w:color="auto" w:fill="auto"/>
            <w:vAlign w:val="bottom"/>
          </w:tcPr>
          <w:p w:rsidR="00C35CB1" w:rsidRPr="004C0C3C" w:rsidRDefault="00C35CB1" w:rsidP="004C0C3C">
            <w:pPr>
              <w:pStyle w:val="SingleTxt"/>
              <w:spacing w:before="40" w:after="80" w:line="240" w:lineRule="exact"/>
              <w:ind w:left="0" w:right="144"/>
              <w:rPr>
                <w:rFonts w:cs="Traditional Arabic" w:hint="cs"/>
                <w:sz w:val="16"/>
                <w:szCs w:val="24"/>
                <w:rtl/>
              </w:rPr>
            </w:pPr>
            <w:r w:rsidRPr="004C0C3C">
              <w:rPr>
                <w:rFonts w:cs="Traditional Arabic" w:hint="cs"/>
                <w:sz w:val="16"/>
                <w:szCs w:val="24"/>
                <w:rtl/>
              </w:rPr>
              <w:t>1.8</w:t>
            </w:r>
          </w:p>
        </w:tc>
        <w:tc>
          <w:tcPr>
            <w:tcW w:w="1309" w:type="dxa"/>
            <w:shd w:val="clear" w:color="auto" w:fill="auto"/>
            <w:vAlign w:val="bottom"/>
          </w:tcPr>
          <w:p w:rsidR="00C35CB1" w:rsidRPr="004C0C3C" w:rsidRDefault="00C35CB1" w:rsidP="004C0C3C">
            <w:pPr>
              <w:pStyle w:val="SingleTxt"/>
              <w:spacing w:before="40" w:after="80" w:line="240" w:lineRule="exact"/>
              <w:ind w:left="0" w:right="144"/>
              <w:rPr>
                <w:rFonts w:cs="Traditional Arabic" w:hint="cs"/>
                <w:sz w:val="16"/>
                <w:szCs w:val="24"/>
                <w:rtl/>
              </w:rPr>
            </w:pPr>
            <w:r w:rsidRPr="004C0C3C">
              <w:rPr>
                <w:rFonts w:cs="Traditional Arabic" w:hint="cs"/>
                <w:sz w:val="16"/>
                <w:szCs w:val="24"/>
                <w:rtl/>
              </w:rPr>
              <w:t>(0.0)</w:t>
            </w:r>
          </w:p>
        </w:tc>
        <w:tc>
          <w:tcPr>
            <w:tcW w:w="943" w:type="dxa"/>
            <w:shd w:val="clear" w:color="auto" w:fill="auto"/>
            <w:vAlign w:val="bottom"/>
          </w:tcPr>
          <w:p w:rsidR="00C35CB1" w:rsidRPr="004C0C3C" w:rsidRDefault="00C35CB1" w:rsidP="004C0C3C">
            <w:pPr>
              <w:pStyle w:val="SingleTxt"/>
              <w:spacing w:before="40" w:after="80" w:line="240" w:lineRule="exact"/>
              <w:ind w:left="0" w:right="144"/>
              <w:rPr>
                <w:rFonts w:cs="Traditional Arabic" w:hint="cs"/>
                <w:sz w:val="16"/>
                <w:szCs w:val="24"/>
                <w:rtl/>
              </w:rPr>
            </w:pPr>
            <w:r w:rsidRPr="004C0C3C">
              <w:rPr>
                <w:rFonts w:cs="Traditional Arabic" w:hint="cs"/>
                <w:sz w:val="16"/>
                <w:szCs w:val="24"/>
                <w:rtl/>
              </w:rPr>
              <w:t>0.0</w:t>
            </w:r>
          </w:p>
        </w:tc>
        <w:tc>
          <w:tcPr>
            <w:tcW w:w="1305" w:type="dxa"/>
            <w:shd w:val="clear" w:color="auto" w:fill="auto"/>
            <w:vAlign w:val="bottom"/>
          </w:tcPr>
          <w:p w:rsidR="00C35CB1" w:rsidRPr="004C0C3C" w:rsidRDefault="00C35CB1" w:rsidP="004C0C3C">
            <w:pPr>
              <w:pStyle w:val="SingleTxt"/>
              <w:spacing w:before="40" w:after="80" w:line="240" w:lineRule="exact"/>
              <w:ind w:left="0" w:right="144"/>
              <w:rPr>
                <w:rFonts w:cs="Traditional Arabic" w:hint="cs"/>
                <w:sz w:val="16"/>
                <w:szCs w:val="24"/>
                <w:rtl/>
              </w:rPr>
            </w:pPr>
            <w:r w:rsidRPr="004C0C3C">
              <w:rPr>
                <w:rFonts w:cs="Traditional Arabic" w:hint="cs"/>
                <w:sz w:val="16"/>
                <w:szCs w:val="24"/>
                <w:rtl/>
              </w:rPr>
              <w:t>2.9</w:t>
            </w:r>
          </w:p>
        </w:tc>
        <w:tc>
          <w:tcPr>
            <w:tcW w:w="1304" w:type="dxa"/>
            <w:shd w:val="clear" w:color="auto" w:fill="auto"/>
            <w:vAlign w:val="bottom"/>
          </w:tcPr>
          <w:p w:rsidR="00C35CB1" w:rsidRPr="004C0C3C" w:rsidRDefault="00C35CB1" w:rsidP="004C0C3C">
            <w:pPr>
              <w:pStyle w:val="SingleTxt"/>
              <w:spacing w:before="40" w:after="80" w:line="240" w:lineRule="exact"/>
              <w:ind w:left="0" w:right="144"/>
              <w:rPr>
                <w:rFonts w:cs="Traditional Arabic" w:hint="cs"/>
                <w:sz w:val="16"/>
                <w:szCs w:val="24"/>
                <w:rtl/>
              </w:rPr>
            </w:pPr>
            <w:r w:rsidRPr="004C0C3C">
              <w:rPr>
                <w:rFonts w:cs="Traditional Arabic" w:hint="cs"/>
                <w:sz w:val="16"/>
                <w:szCs w:val="24"/>
                <w:rtl/>
              </w:rPr>
              <w:t>0.0</w:t>
            </w:r>
          </w:p>
        </w:tc>
        <w:tc>
          <w:tcPr>
            <w:tcW w:w="1308" w:type="dxa"/>
            <w:shd w:val="clear" w:color="auto" w:fill="auto"/>
            <w:vAlign w:val="bottom"/>
          </w:tcPr>
          <w:p w:rsidR="00C35CB1" w:rsidRPr="004C0C3C" w:rsidRDefault="00C35CB1" w:rsidP="004C0C3C">
            <w:pPr>
              <w:pStyle w:val="SingleTxt"/>
              <w:spacing w:before="40" w:after="80" w:line="240" w:lineRule="exact"/>
              <w:ind w:left="0" w:right="144"/>
              <w:rPr>
                <w:rFonts w:cs="Traditional Arabic" w:hint="cs"/>
                <w:sz w:val="16"/>
                <w:szCs w:val="24"/>
                <w:rtl/>
              </w:rPr>
            </w:pPr>
            <w:r w:rsidRPr="004C0C3C">
              <w:rPr>
                <w:rFonts w:cs="Traditional Arabic" w:hint="cs"/>
                <w:sz w:val="16"/>
                <w:szCs w:val="24"/>
                <w:rtl/>
              </w:rPr>
              <w:t>0.7</w:t>
            </w:r>
          </w:p>
        </w:tc>
      </w:tr>
      <w:tr w:rsidR="00C35CB1" w:rsidRPr="004C0C3C">
        <w:trPr>
          <w:cantSplit/>
          <w:jc w:val="center"/>
        </w:trPr>
        <w:tc>
          <w:tcPr>
            <w:tcW w:w="2320" w:type="dxa"/>
            <w:shd w:val="clear" w:color="auto" w:fill="auto"/>
            <w:vAlign w:val="bottom"/>
          </w:tcPr>
          <w:p w:rsidR="00C35CB1" w:rsidRPr="004C0C3C" w:rsidRDefault="00C35CB1" w:rsidP="00416A5F">
            <w:pPr>
              <w:pStyle w:val="SingleTxt"/>
              <w:spacing w:before="40" w:after="80" w:line="240" w:lineRule="exact"/>
              <w:ind w:left="152" w:right="0"/>
              <w:rPr>
                <w:rFonts w:cs="Traditional Arabic" w:hint="cs"/>
                <w:sz w:val="16"/>
                <w:szCs w:val="24"/>
                <w:rtl/>
              </w:rPr>
            </w:pPr>
            <w:r w:rsidRPr="004C0C3C">
              <w:rPr>
                <w:rFonts w:cs="Traditional Arabic" w:hint="cs"/>
                <w:sz w:val="16"/>
                <w:szCs w:val="24"/>
                <w:rtl/>
              </w:rPr>
              <w:t>مصدر آخر</w:t>
            </w:r>
          </w:p>
        </w:tc>
        <w:tc>
          <w:tcPr>
            <w:tcW w:w="1339" w:type="dxa"/>
            <w:shd w:val="clear" w:color="auto" w:fill="auto"/>
            <w:vAlign w:val="bottom"/>
          </w:tcPr>
          <w:p w:rsidR="00C35CB1" w:rsidRPr="004C0C3C" w:rsidRDefault="00C35CB1" w:rsidP="004C0C3C">
            <w:pPr>
              <w:pStyle w:val="SingleTxt"/>
              <w:spacing w:before="40" w:after="80" w:line="240" w:lineRule="exact"/>
              <w:ind w:left="0" w:right="144"/>
              <w:rPr>
                <w:rFonts w:cs="Traditional Arabic" w:hint="cs"/>
                <w:sz w:val="16"/>
                <w:szCs w:val="24"/>
                <w:rtl/>
              </w:rPr>
            </w:pPr>
            <w:r w:rsidRPr="004C0C3C">
              <w:rPr>
                <w:rFonts w:cs="Traditional Arabic" w:hint="cs"/>
                <w:sz w:val="16"/>
                <w:szCs w:val="24"/>
                <w:rtl/>
              </w:rPr>
              <w:t>0.3</w:t>
            </w:r>
          </w:p>
        </w:tc>
        <w:tc>
          <w:tcPr>
            <w:tcW w:w="1309" w:type="dxa"/>
            <w:shd w:val="clear" w:color="auto" w:fill="auto"/>
            <w:vAlign w:val="bottom"/>
          </w:tcPr>
          <w:p w:rsidR="00C35CB1" w:rsidRPr="004C0C3C" w:rsidRDefault="00C35CB1" w:rsidP="004C0C3C">
            <w:pPr>
              <w:pStyle w:val="SingleTxt"/>
              <w:spacing w:before="40" w:after="80" w:line="240" w:lineRule="exact"/>
              <w:ind w:left="0" w:right="144"/>
              <w:rPr>
                <w:rFonts w:cs="Traditional Arabic" w:hint="cs"/>
                <w:sz w:val="16"/>
                <w:szCs w:val="24"/>
                <w:rtl/>
              </w:rPr>
            </w:pPr>
            <w:r w:rsidRPr="004C0C3C">
              <w:rPr>
                <w:rFonts w:cs="Traditional Arabic" w:hint="cs"/>
                <w:sz w:val="16"/>
                <w:szCs w:val="24"/>
                <w:rtl/>
              </w:rPr>
              <w:t>(0.0)</w:t>
            </w:r>
          </w:p>
        </w:tc>
        <w:tc>
          <w:tcPr>
            <w:tcW w:w="943" w:type="dxa"/>
            <w:shd w:val="clear" w:color="auto" w:fill="auto"/>
            <w:vAlign w:val="bottom"/>
          </w:tcPr>
          <w:p w:rsidR="00C35CB1" w:rsidRPr="004C0C3C" w:rsidRDefault="00C35CB1" w:rsidP="004C0C3C">
            <w:pPr>
              <w:pStyle w:val="SingleTxt"/>
              <w:spacing w:before="40" w:after="80" w:line="240" w:lineRule="exact"/>
              <w:ind w:left="0" w:right="144"/>
              <w:rPr>
                <w:rFonts w:cs="Traditional Arabic" w:hint="cs"/>
                <w:sz w:val="16"/>
                <w:szCs w:val="24"/>
                <w:rtl/>
              </w:rPr>
            </w:pPr>
            <w:r w:rsidRPr="004C0C3C">
              <w:rPr>
                <w:rFonts w:cs="Traditional Arabic" w:hint="cs"/>
                <w:sz w:val="16"/>
                <w:szCs w:val="24"/>
                <w:rtl/>
              </w:rPr>
              <w:t>0.2</w:t>
            </w:r>
          </w:p>
        </w:tc>
        <w:tc>
          <w:tcPr>
            <w:tcW w:w="1305" w:type="dxa"/>
            <w:shd w:val="clear" w:color="auto" w:fill="auto"/>
            <w:vAlign w:val="bottom"/>
          </w:tcPr>
          <w:p w:rsidR="00C35CB1" w:rsidRPr="004C0C3C" w:rsidRDefault="00C35CB1" w:rsidP="004C0C3C">
            <w:pPr>
              <w:pStyle w:val="SingleTxt"/>
              <w:spacing w:before="40" w:after="80" w:line="240" w:lineRule="exact"/>
              <w:ind w:left="0" w:right="144"/>
              <w:rPr>
                <w:rFonts w:cs="Traditional Arabic" w:hint="cs"/>
                <w:sz w:val="16"/>
                <w:szCs w:val="24"/>
                <w:rtl/>
              </w:rPr>
            </w:pPr>
            <w:r w:rsidRPr="004C0C3C">
              <w:rPr>
                <w:rFonts w:cs="Traditional Arabic" w:hint="cs"/>
                <w:sz w:val="16"/>
                <w:szCs w:val="24"/>
                <w:rtl/>
              </w:rPr>
              <w:t>2.9</w:t>
            </w:r>
          </w:p>
        </w:tc>
        <w:tc>
          <w:tcPr>
            <w:tcW w:w="1304" w:type="dxa"/>
            <w:shd w:val="clear" w:color="auto" w:fill="auto"/>
            <w:vAlign w:val="bottom"/>
          </w:tcPr>
          <w:p w:rsidR="00C35CB1" w:rsidRPr="004C0C3C" w:rsidRDefault="00C35CB1" w:rsidP="004C0C3C">
            <w:pPr>
              <w:pStyle w:val="SingleTxt"/>
              <w:spacing w:before="40" w:after="80" w:line="240" w:lineRule="exact"/>
              <w:ind w:left="0" w:right="144"/>
              <w:rPr>
                <w:rFonts w:cs="Traditional Arabic" w:hint="cs"/>
                <w:sz w:val="16"/>
                <w:szCs w:val="24"/>
                <w:rtl/>
              </w:rPr>
            </w:pPr>
            <w:r w:rsidRPr="004C0C3C">
              <w:rPr>
                <w:rFonts w:cs="Traditional Arabic" w:hint="cs"/>
                <w:sz w:val="16"/>
                <w:szCs w:val="24"/>
                <w:rtl/>
              </w:rPr>
              <w:t>0.0</w:t>
            </w:r>
          </w:p>
        </w:tc>
        <w:tc>
          <w:tcPr>
            <w:tcW w:w="1308" w:type="dxa"/>
            <w:shd w:val="clear" w:color="auto" w:fill="auto"/>
            <w:vAlign w:val="bottom"/>
          </w:tcPr>
          <w:p w:rsidR="00C35CB1" w:rsidRPr="004C0C3C" w:rsidRDefault="00C35CB1" w:rsidP="004C0C3C">
            <w:pPr>
              <w:pStyle w:val="SingleTxt"/>
              <w:spacing w:before="40" w:after="80" w:line="240" w:lineRule="exact"/>
              <w:ind w:left="0" w:right="144"/>
              <w:rPr>
                <w:rFonts w:cs="Traditional Arabic" w:hint="cs"/>
                <w:sz w:val="16"/>
                <w:szCs w:val="24"/>
                <w:rtl/>
              </w:rPr>
            </w:pPr>
            <w:r w:rsidRPr="004C0C3C">
              <w:rPr>
                <w:rFonts w:cs="Traditional Arabic" w:hint="cs"/>
                <w:sz w:val="16"/>
                <w:szCs w:val="24"/>
                <w:rtl/>
              </w:rPr>
              <w:t>0.4</w:t>
            </w:r>
          </w:p>
        </w:tc>
      </w:tr>
      <w:tr w:rsidR="00C35CB1" w:rsidRPr="004C0C3C">
        <w:trPr>
          <w:cantSplit/>
          <w:jc w:val="center"/>
        </w:trPr>
        <w:tc>
          <w:tcPr>
            <w:tcW w:w="2320" w:type="dxa"/>
            <w:tcBorders>
              <w:bottom w:val="single" w:sz="4" w:space="0" w:color="auto"/>
            </w:tcBorders>
            <w:shd w:val="clear" w:color="auto" w:fill="auto"/>
            <w:vAlign w:val="bottom"/>
          </w:tcPr>
          <w:p w:rsidR="00C35CB1" w:rsidRPr="004C0C3C" w:rsidRDefault="00C35CB1" w:rsidP="00416A5F">
            <w:pPr>
              <w:pStyle w:val="SingleTxt"/>
              <w:spacing w:before="40" w:after="80" w:line="240" w:lineRule="exact"/>
              <w:ind w:left="152" w:right="0"/>
              <w:rPr>
                <w:rFonts w:cs="Traditional Arabic" w:hint="cs"/>
                <w:sz w:val="16"/>
                <w:szCs w:val="24"/>
                <w:rtl/>
              </w:rPr>
            </w:pPr>
            <w:r w:rsidRPr="004C0C3C">
              <w:rPr>
                <w:rFonts w:cs="Traditional Arabic" w:hint="cs"/>
                <w:sz w:val="16"/>
                <w:szCs w:val="24"/>
                <w:rtl/>
              </w:rPr>
              <w:t>غير محدد</w:t>
            </w:r>
          </w:p>
        </w:tc>
        <w:tc>
          <w:tcPr>
            <w:tcW w:w="1339" w:type="dxa"/>
            <w:tcBorders>
              <w:bottom w:val="single" w:sz="4" w:space="0" w:color="auto"/>
            </w:tcBorders>
            <w:shd w:val="clear" w:color="auto" w:fill="auto"/>
            <w:vAlign w:val="bottom"/>
          </w:tcPr>
          <w:p w:rsidR="00C35CB1" w:rsidRPr="004C0C3C" w:rsidRDefault="00C35CB1" w:rsidP="004C0C3C">
            <w:pPr>
              <w:pStyle w:val="SingleTxt"/>
              <w:spacing w:before="40" w:after="80" w:line="240" w:lineRule="exact"/>
              <w:ind w:left="0" w:right="144"/>
              <w:rPr>
                <w:rFonts w:cs="Traditional Arabic" w:hint="cs"/>
                <w:sz w:val="16"/>
                <w:szCs w:val="24"/>
                <w:rtl/>
              </w:rPr>
            </w:pPr>
            <w:r w:rsidRPr="004C0C3C">
              <w:rPr>
                <w:rFonts w:cs="Traditional Arabic" w:hint="cs"/>
                <w:sz w:val="16"/>
                <w:szCs w:val="24"/>
                <w:rtl/>
              </w:rPr>
              <w:t>0.1</w:t>
            </w:r>
          </w:p>
        </w:tc>
        <w:tc>
          <w:tcPr>
            <w:tcW w:w="1309" w:type="dxa"/>
            <w:tcBorders>
              <w:bottom w:val="single" w:sz="4" w:space="0" w:color="auto"/>
            </w:tcBorders>
            <w:shd w:val="clear" w:color="auto" w:fill="auto"/>
            <w:vAlign w:val="bottom"/>
          </w:tcPr>
          <w:p w:rsidR="00C35CB1" w:rsidRPr="004C0C3C" w:rsidRDefault="00C35CB1" w:rsidP="004C0C3C">
            <w:pPr>
              <w:pStyle w:val="SingleTxt"/>
              <w:spacing w:before="40" w:after="80" w:line="240" w:lineRule="exact"/>
              <w:ind w:left="0" w:right="144"/>
              <w:rPr>
                <w:rFonts w:cs="Traditional Arabic" w:hint="cs"/>
                <w:sz w:val="16"/>
                <w:szCs w:val="24"/>
                <w:rtl/>
              </w:rPr>
            </w:pPr>
            <w:r w:rsidRPr="004C0C3C">
              <w:rPr>
                <w:rFonts w:cs="Traditional Arabic" w:hint="cs"/>
                <w:sz w:val="16"/>
                <w:szCs w:val="24"/>
                <w:rtl/>
              </w:rPr>
              <w:t>(0.0)</w:t>
            </w:r>
          </w:p>
        </w:tc>
        <w:tc>
          <w:tcPr>
            <w:tcW w:w="943" w:type="dxa"/>
            <w:tcBorders>
              <w:bottom w:val="single" w:sz="4" w:space="0" w:color="auto"/>
            </w:tcBorders>
            <w:shd w:val="clear" w:color="auto" w:fill="auto"/>
            <w:vAlign w:val="bottom"/>
          </w:tcPr>
          <w:p w:rsidR="00C35CB1" w:rsidRPr="004C0C3C" w:rsidRDefault="00C35CB1" w:rsidP="004C0C3C">
            <w:pPr>
              <w:pStyle w:val="SingleTxt"/>
              <w:spacing w:before="40" w:after="80" w:line="240" w:lineRule="exact"/>
              <w:ind w:left="0" w:right="144"/>
              <w:rPr>
                <w:rFonts w:cs="Traditional Arabic" w:hint="cs"/>
                <w:sz w:val="16"/>
                <w:szCs w:val="24"/>
                <w:rtl/>
              </w:rPr>
            </w:pPr>
            <w:r w:rsidRPr="004C0C3C">
              <w:rPr>
                <w:rFonts w:cs="Traditional Arabic" w:hint="cs"/>
                <w:sz w:val="16"/>
                <w:szCs w:val="24"/>
                <w:rtl/>
              </w:rPr>
              <w:t>0.1</w:t>
            </w:r>
          </w:p>
        </w:tc>
        <w:tc>
          <w:tcPr>
            <w:tcW w:w="1305" w:type="dxa"/>
            <w:tcBorders>
              <w:bottom w:val="single" w:sz="4" w:space="0" w:color="auto"/>
            </w:tcBorders>
            <w:shd w:val="clear" w:color="auto" w:fill="auto"/>
            <w:vAlign w:val="bottom"/>
          </w:tcPr>
          <w:p w:rsidR="00C35CB1" w:rsidRPr="004C0C3C" w:rsidRDefault="00C35CB1" w:rsidP="004C0C3C">
            <w:pPr>
              <w:pStyle w:val="SingleTxt"/>
              <w:spacing w:before="40" w:after="80" w:line="240" w:lineRule="exact"/>
              <w:ind w:left="0" w:right="144"/>
              <w:rPr>
                <w:rFonts w:cs="Traditional Arabic" w:hint="cs"/>
                <w:sz w:val="16"/>
                <w:szCs w:val="24"/>
                <w:rtl/>
              </w:rPr>
            </w:pPr>
            <w:r w:rsidRPr="004C0C3C">
              <w:rPr>
                <w:rFonts w:cs="Traditional Arabic" w:hint="cs"/>
                <w:sz w:val="16"/>
                <w:szCs w:val="24"/>
                <w:rtl/>
              </w:rPr>
              <w:t>8.1</w:t>
            </w:r>
          </w:p>
        </w:tc>
        <w:tc>
          <w:tcPr>
            <w:tcW w:w="1304" w:type="dxa"/>
            <w:tcBorders>
              <w:bottom w:val="single" w:sz="4" w:space="0" w:color="auto"/>
            </w:tcBorders>
            <w:shd w:val="clear" w:color="auto" w:fill="auto"/>
            <w:vAlign w:val="bottom"/>
          </w:tcPr>
          <w:p w:rsidR="00C35CB1" w:rsidRPr="004C0C3C" w:rsidRDefault="00C35CB1" w:rsidP="004C0C3C">
            <w:pPr>
              <w:pStyle w:val="SingleTxt"/>
              <w:spacing w:before="40" w:after="80" w:line="240" w:lineRule="exact"/>
              <w:ind w:left="0" w:right="144"/>
              <w:rPr>
                <w:rFonts w:cs="Traditional Arabic" w:hint="cs"/>
                <w:sz w:val="16"/>
                <w:szCs w:val="24"/>
                <w:rtl/>
              </w:rPr>
            </w:pPr>
            <w:r w:rsidRPr="004C0C3C">
              <w:rPr>
                <w:rFonts w:cs="Traditional Arabic" w:hint="cs"/>
                <w:sz w:val="16"/>
                <w:szCs w:val="24"/>
                <w:rtl/>
              </w:rPr>
              <w:t>1.8</w:t>
            </w:r>
          </w:p>
        </w:tc>
        <w:tc>
          <w:tcPr>
            <w:tcW w:w="1308" w:type="dxa"/>
            <w:tcBorders>
              <w:bottom w:val="single" w:sz="4" w:space="0" w:color="auto"/>
            </w:tcBorders>
            <w:shd w:val="clear" w:color="auto" w:fill="auto"/>
            <w:vAlign w:val="bottom"/>
          </w:tcPr>
          <w:p w:rsidR="00C35CB1" w:rsidRPr="004C0C3C" w:rsidRDefault="00C35CB1" w:rsidP="004C0C3C">
            <w:pPr>
              <w:pStyle w:val="SingleTxt"/>
              <w:spacing w:before="40" w:after="80" w:line="240" w:lineRule="exact"/>
              <w:ind w:left="0" w:right="144"/>
              <w:rPr>
                <w:rFonts w:cs="Traditional Arabic" w:hint="cs"/>
                <w:sz w:val="16"/>
                <w:szCs w:val="24"/>
                <w:rtl/>
              </w:rPr>
            </w:pPr>
            <w:r w:rsidRPr="004C0C3C">
              <w:rPr>
                <w:rFonts w:cs="Traditional Arabic" w:hint="cs"/>
                <w:sz w:val="16"/>
                <w:szCs w:val="24"/>
                <w:rtl/>
              </w:rPr>
              <w:t>1.2</w:t>
            </w:r>
          </w:p>
        </w:tc>
      </w:tr>
      <w:tr w:rsidR="00C35CB1" w:rsidRPr="004C0C3C">
        <w:trPr>
          <w:cantSplit/>
          <w:jc w:val="center"/>
        </w:trPr>
        <w:tc>
          <w:tcPr>
            <w:tcW w:w="2320" w:type="dxa"/>
            <w:tcBorders>
              <w:top w:val="single" w:sz="4" w:space="0" w:color="auto"/>
              <w:bottom w:val="single" w:sz="4" w:space="0" w:color="auto"/>
            </w:tcBorders>
            <w:shd w:val="clear" w:color="auto" w:fill="auto"/>
            <w:vAlign w:val="bottom"/>
          </w:tcPr>
          <w:p w:rsidR="00C35CB1" w:rsidRPr="004C0C3C" w:rsidRDefault="00C35CB1" w:rsidP="004C0C3C">
            <w:pPr>
              <w:pStyle w:val="SingleTxt"/>
              <w:spacing w:before="40" w:after="80" w:line="240" w:lineRule="exact"/>
              <w:ind w:left="0" w:right="0"/>
              <w:rPr>
                <w:rFonts w:cs="Traditional Arabic" w:hint="cs"/>
                <w:b/>
                <w:bCs/>
                <w:sz w:val="16"/>
                <w:szCs w:val="24"/>
                <w:rtl/>
              </w:rPr>
            </w:pPr>
            <w:r w:rsidRPr="004C0C3C">
              <w:rPr>
                <w:rFonts w:cs="Traditional Arabic" w:hint="cs"/>
                <w:b/>
                <w:bCs/>
                <w:sz w:val="16"/>
                <w:szCs w:val="24"/>
                <w:rtl/>
              </w:rPr>
              <w:t>المجموع</w:t>
            </w:r>
          </w:p>
        </w:tc>
        <w:tc>
          <w:tcPr>
            <w:tcW w:w="1339" w:type="dxa"/>
            <w:tcBorders>
              <w:top w:val="single" w:sz="4" w:space="0" w:color="auto"/>
              <w:bottom w:val="single" w:sz="4" w:space="0" w:color="auto"/>
            </w:tcBorders>
            <w:shd w:val="clear" w:color="auto" w:fill="auto"/>
            <w:vAlign w:val="bottom"/>
          </w:tcPr>
          <w:p w:rsidR="00C35CB1" w:rsidRPr="004C0C3C" w:rsidRDefault="00C35CB1" w:rsidP="004C0C3C">
            <w:pPr>
              <w:pStyle w:val="SingleTxt"/>
              <w:spacing w:before="40" w:after="80" w:line="240" w:lineRule="exact"/>
              <w:ind w:left="0" w:right="144"/>
              <w:rPr>
                <w:rFonts w:cs="Traditional Arabic" w:hint="cs"/>
                <w:b/>
                <w:bCs/>
                <w:sz w:val="16"/>
                <w:szCs w:val="24"/>
                <w:rtl/>
              </w:rPr>
            </w:pPr>
            <w:r w:rsidRPr="004C0C3C">
              <w:rPr>
                <w:rFonts w:cs="Traditional Arabic" w:hint="cs"/>
                <w:b/>
                <w:bCs/>
                <w:sz w:val="16"/>
                <w:szCs w:val="24"/>
                <w:rtl/>
              </w:rPr>
              <w:t>100.0</w:t>
            </w:r>
          </w:p>
        </w:tc>
        <w:tc>
          <w:tcPr>
            <w:tcW w:w="1309" w:type="dxa"/>
            <w:tcBorders>
              <w:top w:val="single" w:sz="4" w:space="0" w:color="auto"/>
              <w:bottom w:val="single" w:sz="4" w:space="0" w:color="auto"/>
            </w:tcBorders>
            <w:shd w:val="clear" w:color="auto" w:fill="auto"/>
            <w:vAlign w:val="bottom"/>
          </w:tcPr>
          <w:p w:rsidR="00C35CB1" w:rsidRPr="004C0C3C" w:rsidRDefault="00C35CB1" w:rsidP="004C0C3C">
            <w:pPr>
              <w:pStyle w:val="SingleTxt"/>
              <w:spacing w:before="40" w:after="80" w:line="240" w:lineRule="exact"/>
              <w:ind w:left="0" w:right="144"/>
              <w:rPr>
                <w:rFonts w:cs="Traditional Arabic" w:hint="cs"/>
                <w:b/>
                <w:bCs/>
                <w:sz w:val="16"/>
                <w:szCs w:val="24"/>
                <w:rtl/>
              </w:rPr>
            </w:pPr>
            <w:r w:rsidRPr="004C0C3C">
              <w:rPr>
                <w:rFonts w:cs="Traditional Arabic" w:hint="cs"/>
                <w:b/>
                <w:bCs/>
                <w:sz w:val="16"/>
                <w:szCs w:val="24"/>
                <w:rtl/>
              </w:rPr>
              <w:t>100.0</w:t>
            </w:r>
          </w:p>
        </w:tc>
        <w:tc>
          <w:tcPr>
            <w:tcW w:w="943" w:type="dxa"/>
            <w:tcBorders>
              <w:top w:val="single" w:sz="4" w:space="0" w:color="auto"/>
              <w:bottom w:val="single" w:sz="4" w:space="0" w:color="auto"/>
            </w:tcBorders>
            <w:shd w:val="clear" w:color="auto" w:fill="auto"/>
            <w:vAlign w:val="bottom"/>
          </w:tcPr>
          <w:p w:rsidR="00C35CB1" w:rsidRPr="004C0C3C" w:rsidRDefault="00C35CB1" w:rsidP="004C0C3C">
            <w:pPr>
              <w:pStyle w:val="SingleTxt"/>
              <w:spacing w:before="40" w:after="80" w:line="240" w:lineRule="exact"/>
              <w:ind w:left="0" w:right="144"/>
              <w:rPr>
                <w:rFonts w:cs="Traditional Arabic" w:hint="cs"/>
                <w:b/>
                <w:bCs/>
                <w:sz w:val="16"/>
                <w:szCs w:val="24"/>
                <w:rtl/>
              </w:rPr>
            </w:pPr>
            <w:r w:rsidRPr="004C0C3C">
              <w:rPr>
                <w:rFonts w:cs="Traditional Arabic" w:hint="cs"/>
                <w:b/>
                <w:bCs/>
                <w:sz w:val="16"/>
                <w:szCs w:val="24"/>
                <w:rtl/>
              </w:rPr>
              <w:t>100.0</w:t>
            </w:r>
          </w:p>
        </w:tc>
        <w:tc>
          <w:tcPr>
            <w:tcW w:w="1305" w:type="dxa"/>
            <w:tcBorders>
              <w:top w:val="single" w:sz="4" w:space="0" w:color="auto"/>
              <w:bottom w:val="single" w:sz="4" w:space="0" w:color="auto"/>
            </w:tcBorders>
            <w:shd w:val="clear" w:color="auto" w:fill="auto"/>
            <w:vAlign w:val="bottom"/>
          </w:tcPr>
          <w:p w:rsidR="00C35CB1" w:rsidRPr="004C0C3C" w:rsidRDefault="00C35CB1" w:rsidP="004C0C3C">
            <w:pPr>
              <w:pStyle w:val="SingleTxt"/>
              <w:spacing w:before="40" w:after="80" w:line="240" w:lineRule="exact"/>
              <w:ind w:left="0" w:right="144"/>
              <w:rPr>
                <w:rFonts w:cs="Traditional Arabic" w:hint="cs"/>
                <w:b/>
                <w:bCs/>
                <w:sz w:val="16"/>
                <w:szCs w:val="24"/>
                <w:rtl/>
              </w:rPr>
            </w:pPr>
            <w:r w:rsidRPr="004C0C3C">
              <w:rPr>
                <w:rFonts w:cs="Traditional Arabic" w:hint="cs"/>
                <w:b/>
                <w:bCs/>
                <w:sz w:val="16"/>
                <w:szCs w:val="24"/>
                <w:rtl/>
              </w:rPr>
              <w:t>100.0</w:t>
            </w:r>
          </w:p>
        </w:tc>
        <w:tc>
          <w:tcPr>
            <w:tcW w:w="1304" w:type="dxa"/>
            <w:tcBorders>
              <w:top w:val="single" w:sz="4" w:space="0" w:color="auto"/>
              <w:bottom w:val="single" w:sz="4" w:space="0" w:color="auto"/>
            </w:tcBorders>
            <w:shd w:val="clear" w:color="auto" w:fill="auto"/>
            <w:vAlign w:val="bottom"/>
          </w:tcPr>
          <w:p w:rsidR="00C35CB1" w:rsidRPr="004C0C3C" w:rsidRDefault="00C35CB1" w:rsidP="004C0C3C">
            <w:pPr>
              <w:pStyle w:val="SingleTxt"/>
              <w:spacing w:before="40" w:after="80" w:line="240" w:lineRule="exact"/>
              <w:ind w:left="0" w:right="144"/>
              <w:rPr>
                <w:rFonts w:cs="Traditional Arabic" w:hint="cs"/>
                <w:b/>
                <w:bCs/>
                <w:sz w:val="16"/>
                <w:szCs w:val="24"/>
                <w:rtl/>
              </w:rPr>
            </w:pPr>
            <w:r w:rsidRPr="004C0C3C">
              <w:rPr>
                <w:rFonts w:cs="Traditional Arabic" w:hint="cs"/>
                <w:b/>
                <w:bCs/>
                <w:sz w:val="16"/>
                <w:szCs w:val="24"/>
                <w:rtl/>
              </w:rPr>
              <w:t>100.0</w:t>
            </w:r>
          </w:p>
        </w:tc>
        <w:tc>
          <w:tcPr>
            <w:tcW w:w="1308" w:type="dxa"/>
            <w:tcBorders>
              <w:top w:val="single" w:sz="4" w:space="0" w:color="auto"/>
              <w:bottom w:val="single" w:sz="4" w:space="0" w:color="auto"/>
            </w:tcBorders>
            <w:shd w:val="clear" w:color="auto" w:fill="auto"/>
            <w:vAlign w:val="bottom"/>
          </w:tcPr>
          <w:p w:rsidR="00C35CB1" w:rsidRPr="004C0C3C" w:rsidRDefault="00C35CB1" w:rsidP="004C0C3C">
            <w:pPr>
              <w:pStyle w:val="SingleTxt"/>
              <w:spacing w:before="40" w:after="80" w:line="240" w:lineRule="exact"/>
              <w:ind w:left="0" w:right="144"/>
              <w:rPr>
                <w:rFonts w:cs="Traditional Arabic" w:hint="cs"/>
                <w:b/>
                <w:bCs/>
                <w:sz w:val="16"/>
                <w:szCs w:val="24"/>
                <w:rtl/>
              </w:rPr>
            </w:pPr>
            <w:r w:rsidRPr="004C0C3C">
              <w:rPr>
                <w:rFonts w:cs="Traditional Arabic" w:hint="cs"/>
                <w:b/>
                <w:bCs/>
                <w:sz w:val="16"/>
                <w:szCs w:val="24"/>
                <w:rtl/>
              </w:rPr>
              <w:t>100.0</w:t>
            </w:r>
          </w:p>
        </w:tc>
      </w:tr>
      <w:tr w:rsidR="00C35CB1" w:rsidRPr="004C0C3C">
        <w:trPr>
          <w:cantSplit/>
          <w:jc w:val="center"/>
        </w:trPr>
        <w:tc>
          <w:tcPr>
            <w:tcW w:w="2320" w:type="dxa"/>
            <w:tcBorders>
              <w:top w:val="single" w:sz="4" w:space="0" w:color="auto"/>
              <w:bottom w:val="single" w:sz="12" w:space="0" w:color="auto"/>
            </w:tcBorders>
            <w:shd w:val="clear" w:color="auto" w:fill="auto"/>
            <w:vAlign w:val="bottom"/>
          </w:tcPr>
          <w:p w:rsidR="00C35CB1" w:rsidRPr="004C0C3C" w:rsidRDefault="00C35CB1" w:rsidP="004C0C3C">
            <w:pPr>
              <w:pStyle w:val="SingleTxt"/>
              <w:spacing w:before="40" w:after="80" w:line="240" w:lineRule="exact"/>
              <w:ind w:left="0" w:right="0"/>
              <w:rPr>
                <w:rFonts w:cs="Traditional Arabic" w:hint="cs"/>
                <w:sz w:val="16"/>
                <w:szCs w:val="24"/>
                <w:rtl/>
              </w:rPr>
            </w:pPr>
            <w:r w:rsidRPr="004C0C3C">
              <w:rPr>
                <w:rFonts w:cs="Traditional Arabic" w:hint="cs"/>
                <w:sz w:val="16"/>
                <w:szCs w:val="24"/>
                <w:rtl/>
              </w:rPr>
              <w:t>ملاك الموظفين</w:t>
            </w:r>
          </w:p>
        </w:tc>
        <w:tc>
          <w:tcPr>
            <w:tcW w:w="1339" w:type="dxa"/>
            <w:tcBorders>
              <w:top w:val="single" w:sz="4" w:space="0" w:color="auto"/>
              <w:bottom w:val="single" w:sz="12" w:space="0" w:color="auto"/>
            </w:tcBorders>
            <w:shd w:val="clear" w:color="auto" w:fill="auto"/>
            <w:vAlign w:val="bottom"/>
          </w:tcPr>
          <w:p w:rsidR="00C35CB1" w:rsidRPr="004C0C3C" w:rsidRDefault="00C35CB1" w:rsidP="004C0C3C">
            <w:pPr>
              <w:pStyle w:val="SingleTxt"/>
              <w:spacing w:before="40" w:after="80" w:line="240" w:lineRule="exact"/>
              <w:ind w:left="0" w:right="144"/>
              <w:rPr>
                <w:rFonts w:cs="Traditional Arabic" w:hint="cs"/>
                <w:sz w:val="16"/>
                <w:szCs w:val="24"/>
                <w:rtl/>
              </w:rPr>
            </w:pPr>
            <w:r w:rsidRPr="004C0C3C">
              <w:rPr>
                <w:rFonts w:cs="Traditional Arabic" w:hint="cs"/>
                <w:sz w:val="16"/>
                <w:szCs w:val="24"/>
                <w:rtl/>
              </w:rPr>
              <w:t>227</w:t>
            </w:r>
          </w:p>
        </w:tc>
        <w:tc>
          <w:tcPr>
            <w:tcW w:w="1309" w:type="dxa"/>
            <w:tcBorders>
              <w:top w:val="single" w:sz="4" w:space="0" w:color="auto"/>
              <w:bottom w:val="single" w:sz="12" w:space="0" w:color="auto"/>
            </w:tcBorders>
            <w:shd w:val="clear" w:color="auto" w:fill="auto"/>
            <w:vAlign w:val="bottom"/>
          </w:tcPr>
          <w:p w:rsidR="00C35CB1" w:rsidRPr="004C0C3C" w:rsidRDefault="00C35CB1" w:rsidP="004C0C3C">
            <w:pPr>
              <w:pStyle w:val="SingleTxt"/>
              <w:spacing w:before="40" w:after="80" w:line="240" w:lineRule="exact"/>
              <w:ind w:left="0" w:right="144"/>
              <w:rPr>
                <w:rFonts w:cs="Traditional Arabic" w:hint="cs"/>
                <w:sz w:val="16"/>
                <w:szCs w:val="24"/>
                <w:rtl/>
              </w:rPr>
            </w:pPr>
            <w:r w:rsidRPr="004C0C3C">
              <w:rPr>
                <w:rFonts w:cs="Traditional Arabic" w:hint="cs"/>
                <w:sz w:val="16"/>
                <w:szCs w:val="24"/>
                <w:rtl/>
              </w:rPr>
              <w:t>34</w:t>
            </w:r>
          </w:p>
        </w:tc>
        <w:tc>
          <w:tcPr>
            <w:tcW w:w="943" w:type="dxa"/>
            <w:tcBorders>
              <w:top w:val="single" w:sz="4" w:space="0" w:color="auto"/>
              <w:bottom w:val="single" w:sz="12" w:space="0" w:color="auto"/>
            </w:tcBorders>
            <w:shd w:val="clear" w:color="auto" w:fill="auto"/>
            <w:vAlign w:val="bottom"/>
          </w:tcPr>
          <w:p w:rsidR="00C35CB1" w:rsidRPr="004C0C3C" w:rsidRDefault="00C35CB1" w:rsidP="004C0C3C">
            <w:pPr>
              <w:pStyle w:val="SingleTxt"/>
              <w:spacing w:before="40" w:after="80" w:line="240" w:lineRule="exact"/>
              <w:ind w:left="0" w:right="144"/>
              <w:rPr>
                <w:rFonts w:cs="Traditional Arabic" w:hint="cs"/>
                <w:sz w:val="16"/>
                <w:szCs w:val="24"/>
                <w:rtl/>
              </w:rPr>
            </w:pPr>
            <w:r w:rsidRPr="004C0C3C">
              <w:rPr>
                <w:rFonts w:cs="Traditional Arabic" w:hint="cs"/>
                <w:sz w:val="16"/>
                <w:szCs w:val="24"/>
                <w:rtl/>
              </w:rPr>
              <w:t>598</w:t>
            </w:r>
          </w:p>
        </w:tc>
        <w:tc>
          <w:tcPr>
            <w:tcW w:w="1305" w:type="dxa"/>
            <w:tcBorders>
              <w:top w:val="single" w:sz="4" w:space="0" w:color="auto"/>
              <w:bottom w:val="single" w:sz="12" w:space="0" w:color="auto"/>
            </w:tcBorders>
            <w:shd w:val="clear" w:color="auto" w:fill="auto"/>
            <w:vAlign w:val="bottom"/>
          </w:tcPr>
          <w:p w:rsidR="00C35CB1" w:rsidRPr="004C0C3C" w:rsidRDefault="00C35CB1" w:rsidP="004C0C3C">
            <w:pPr>
              <w:pStyle w:val="SingleTxt"/>
              <w:spacing w:before="40" w:after="80" w:line="240" w:lineRule="exact"/>
              <w:ind w:left="0" w:right="144"/>
              <w:rPr>
                <w:rFonts w:cs="Traditional Arabic" w:hint="cs"/>
                <w:sz w:val="16"/>
                <w:szCs w:val="24"/>
                <w:rtl/>
              </w:rPr>
            </w:pPr>
            <w:r w:rsidRPr="004C0C3C">
              <w:rPr>
                <w:rFonts w:cs="Traditional Arabic" w:hint="cs"/>
                <w:sz w:val="16"/>
                <w:szCs w:val="24"/>
                <w:rtl/>
              </w:rPr>
              <w:t>91</w:t>
            </w:r>
          </w:p>
        </w:tc>
        <w:tc>
          <w:tcPr>
            <w:tcW w:w="1304" w:type="dxa"/>
            <w:tcBorders>
              <w:top w:val="single" w:sz="4" w:space="0" w:color="auto"/>
              <w:bottom w:val="single" w:sz="12" w:space="0" w:color="auto"/>
            </w:tcBorders>
            <w:shd w:val="clear" w:color="auto" w:fill="auto"/>
            <w:vAlign w:val="bottom"/>
          </w:tcPr>
          <w:p w:rsidR="00C35CB1" w:rsidRPr="004C0C3C" w:rsidRDefault="00C35CB1" w:rsidP="004C0C3C">
            <w:pPr>
              <w:pStyle w:val="SingleTxt"/>
              <w:spacing w:before="40" w:after="80" w:line="240" w:lineRule="exact"/>
              <w:ind w:left="0" w:right="144"/>
              <w:rPr>
                <w:rFonts w:cs="Traditional Arabic" w:hint="cs"/>
                <w:sz w:val="16"/>
                <w:szCs w:val="24"/>
                <w:rtl/>
              </w:rPr>
            </w:pPr>
            <w:r w:rsidRPr="004C0C3C">
              <w:rPr>
                <w:rFonts w:cs="Traditional Arabic" w:hint="cs"/>
                <w:sz w:val="16"/>
                <w:szCs w:val="24"/>
                <w:rtl/>
              </w:rPr>
              <w:t>57</w:t>
            </w:r>
          </w:p>
        </w:tc>
        <w:tc>
          <w:tcPr>
            <w:tcW w:w="1308" w:type="dxa"/>
            <w:tcBorders>
              <w:top w:val="single" w:sz="4" w:space="0" w:color="auto"/>
              <w:bottom w:val="single" w:sz="12" w:space="0" w:color="auto"/>
            </w:tcBorders>
            <w:shd w:val="clear" w:color="auto" w:fill="auto"/>
            <w:vAlign w:val="bottom"/>
          </w:tcPr>
          <w:p w:rsidR="00C35CB1" w:rsidRPr="004C0C3C" w:rsidRDefault="00C35CB1" w:rsidP="004C0C3C">
            <w:pPr>
              <w:pStyle w:val="SingleTxt"/>
              <w:spacing w:before="40" w:after="80" w:line="240" w:lineRule="exact"/>
              <w:ind w:left="0" w:right="144"/>
              <w:rPr>
                <w:rFonts w:cs="Traditional Arabic" w:hint="cs"/>
                <w:sz w:val="16"/>
                <w:szCs w:val="24"/>
                <w:rtl/>
              </w:rPr>
            </w:pPr>
            <w:r w:rsidRPr="004C0C3C">
              <w:rPr>
                <w:rFonts w:cs="Traditional Arabic" w:hint="cs"/>
                <w:sz w:val="16"/>
                <w:szCs w:val="24"/>
                <w:rtl/>
              </w:rPr>
              <w:t>1028</w:t>
            </w:r>
          </w:p>
        </w:tc>
      </w:tr>
    </w:tbl>
    <w:p w:rsidR="004C0C3C" w:rsidRPr="004C0C3C" w:rsidRDefault="004C0C3C" w:rsidP="004C0C3C">
      <w:pPr>
        <w:pStyle w:val="SingleTxt"/>
        <w:spacing w:after="0" w:line="120" w:lineRule="exact"/>
        <w:rPr>
          <w:rFonts w:hint="cs"/>
          <w:sz w:val="10"/>
          <w:rtl/>
        </w:rPr>
      </w:pPr>
    </w:p>
    <w:p w:rsidR="00BA462B" w:rsidRDefault="004C0C3C" w:rsidP="001E0E2A">
      <w:pPr>
        <w:pStyle w:val="FootnoteText"/>
        <w:tabs>
          <w:tab w:val="clear" w:pos="418"/>
          <w:tab w:val="right" w:pos="662"/>
          <w:tab w:val="left" w:pos="763"/>
          <w:tab w:val="left" w:pos="1210"/>
          <w:tab w:val="left" w:pos="1685"/>
          <w:tab w:val="left" w:pos="2174"/>
          <w:tab w:val="left" w:pos="2650"/>
        </w:tabs>
        <w:spacing w:after="80"/>
        <w:ind w:left="763" w:right="0" w:hanging="763"/>
        <w:rPr>
          <w:rFonts w:hint="cs"/>
          <w:rtl/>
        </w:rPr>
      </w:pPr>
      <w:r>
        <w:rPr>
          <w:rFonts w:hint="cs"/>
          <w:rtl/>
        </w:rPr>
        <w:tab/>
      </w:r>
      <w:r w:rsidR="00C35CB1" w:rsidRPr="00C35CB1">
        <w:rPr>
          <w:rFonts w:hint="cs"/>
          <w:rtl/>
        </w:rPr>
        <w:t>المصدر:</w:t>
      </w:r>
      <w:r>
        <w:rPr>
          <w:rFonts w:hint="cs"/>
          <w:rtl/>
        </w:rPr>
        <w:tab/>
      </w:r>
      <w:r w:rsidR="00C35CB1" w:rsidRPr="00C35CB1">
        <w:rPr>
          <w:rFonts w:hint="cs"/>
          <w:rtl/>
        </w:rPr>
        <w:t>التحقيق الديمغرافي والصحي للأسر المعيشية</w:t>
      </w:r>
      <w:r w:rsidR="00416A5F">
        <w:rPr>
          <w:rFonts w:hint="cs"/>
          <w:rtl/>
        </w:rPr>
        <w:t xml:space="preserve"> </w:t>
      </w:r>
      <w:r w:rsidR="00C35CB1" w:rsidRPr="00C35CB1">
        <w:rPr>
          <w:rFonts w:hint="cs"/>
          <w:rtl/>
        </w:rPr>
        <w:t>- ثالثا</w:t>
      </w:r>
      <w:r w:rsidR="00765A56">
        <w:rPr>
          <w:rFonts w:hint="cs"/>
          <w:rtl/>
        </w:rPr>
        <w:t xml:space="preserve"> </w:t>
      </w:r>
      <w:r w:rsidR="00B63C07">
        <w:rPr>
          <w:rtl/>
        </w:rPr>
        <w:t>-</w:t>
      </w:r>
      <w:r w:rsidR="00DA6060">
        <w:rPr>
          <w:rFonts w:hint="cs"/>
          <w:rtl/>
        </w:rPr>
        <w:t xml:space="preserve"> مدغشقر 2003</w:t>
      </w:r>
      <w:r>
        <w:rPr>
          <w:rFonts w:hint="cs"/>
          <w:rtl/>
        </w:rPr>
        <w:t>-2004</w:t>
      </w:r>
      <w:r w:rsidR="001E0E2A">
        <w:rPr>
          <w:rFonts w:hint="cs"/>
          <w:rtl/>
        </w:rPr>
        <w:t xml:space="preserve">. </w:t>
      </w:r>
      <w:r w:rsidR="00C35CB1" w:rsidRPr="00C35CB1">
        <w:rPr>
          <w:rFonts w:hint="cs"/>
          <w:rtl/>
        </w:rPr>
        <w:t>التوزيع (كنسبة مئوية)</w:t>
      </w:r>
      <w:r w:rsidR="00416A5F">
        <w:rPr>
          <w:rFonts w:hint="cs"/>
          <w:rtl/>
        </w:rPr>
        <w:t>.</w:t>
      </w:r>
    </w:p>
    <w:p w:rsidR="001E0E2A" w:rsidRPr="001E0E2A" w:rsidRDefault="001E0E2A" w:rsidP="001E0E2A">
      <w:pPr>
        <w:pStyle w:val="SingleTxt"/>
        <w:spacing w:after="0" w:line="120" w:lineRule="exact"/>
        <w:rPr>
          <w:rFonts w:hint="cs"/>
          <w:sz w:val="10"/>
          <w:rtl/>
        </w:rPr>
      </w:pPr>
    </w:p>
    <w:p w:rsidR="004C0C3C" w:rsidRPr="004C0C3C" w:rsidRDefault="004C0C3C" w:rsidP="004C0C3C">
      <w:pPr>
        <w:pStyle w:val="SingleTxt"/>
        <w:spacing w:after="0" w:line="120" w:lineRule="exact"/>
        <w:rPr>
          <w:rFonts w:hint="cs"/>
          <w:sz w:val="10"/>
          <w:rtl/>
        </w:rPr>
      </w:pPr>
    </w:p>
    <w:p w:rsidR="00BA462B" w:rsidRPr="007B5624" w:rsidRDefault="004C0C3C" w:rsidP="00C35CB1">
      <w:pPr>
        <w:pStyle w:val="SingleTxt"/>
        <w:rPr>
          <w:rFonts w:hint="cs"/>
          <w:w w:val="100"/>
          <w:rtl/>
        </w:rPr>
      </w:pPr>
      <w:r w:rsidRPr="007B5624">
        <w:rPr>
          <w:rFonts w:hint="cs"/>
          <w:w w:val="100"/>
          <w:rtl/>
        </w:rPr>
        <w:tab/>
      </w:r>
      <w:r w:rsidR="00D666E0" w:rsidRPr="007B5624">
        <w:rPr>
          <w:rFonts w:hint="cs"/>
          <w:w w:val="100"/>
          <w:rtl/>
        </w:rPr>
        <w:t>و</w:t>
      </w:r>
      <w:r w:rsidR="00C35CB1" w:rsidRPr="007B5624">
        <w:rPr>
          <w:rFonts w:hint="cs"/>
          <w:w w:val="100"/>
          <w:rtl/>
        </w:rPr>
        <w:t>بخصوص مسألة ما إذا كانت النساء يح</w:t>
      </w:r>
      <w:r w:rsidR="00DA6060" w:rsidRPr="007B5624">
        <w:rPr>
          <w:rFonts w:hint="cs"/>
          <w:w w:val="100"/>
          <w:rtl/>
        </w:rPr>
        <w:t>صلن على رعاية صحية في حالة عدم ا</w:t>
      </w:r>
      <w:r w:rsidR="00C35CB1" w:rsidRPr="007B5624">
        <w:rPr>
          <w:rFonts w:hint="cs"/>
          <w:w w:val="100"/>
          <w:rtl/>
        </w:rPr>
        <w:t>كتمال عملية إجهاض، يتعين ملاحظة أن الأطباء ملزمون بتوفير العلاج المناسب لإنق</w:t>
      </w:r>
      <w:r w:rsidR="00DA6060" w:rsidRPr="007B5624">
        <w:rPr>
          <w:rFonts w:hint="cs"/>
          <w:w w:val="100"/>
          <w:rtl/>
        </w:rPr>
        <w:t>اذ حياة المرأة</w:t>
      </w:r>
      <w:r w:rsidR="0015762F" w:rsidRPr="007B5624">
        <w:rPr>
          <w:rFonts w:hint="cs"/>
          <w:w w:val="100"/>
          <w:rtl/>
        </w:rPr>
        <w:t>،</w:t>
      </w:r>
      <w:r w:rsidR="00DA6060" w:rsidRPr="007B5624">
        <w:rPr>
          <w:rFonts w:hint="cs"/>
          <w:w w:val="100"/>
          <w:rtl/>
        </w:rPr>
        <w:t xml:space="preserve"> دون مراعاة أي ا</w:t>
      </w:r>
      <w:r w:rsidR="00C35CB1" w:rsidRPr="007B5624">
        <w:rPr>
          <w:rFonts w:hint="cs"/>
          <w:w w:val="100"/>
          <w:rtl/>
        </w:rPr>
        <w:t xml:space="preserve">عتبار آخر، </w:t>
      </w:r>
      <w:r w:rsidR="00D666E0" w:rsidRPr="007B5624">
        <w:rPr>
          <w:rFonts w:hint="cs"/>
          <w:w w:val="100"/>
          <w:rtl/>
        </w:rPr>
        <w:t>و</w:t>
      </w:r>
      <w:r w:rsidR="00C35CB1" w:rsidRPr="007B5624">
        <w:rPr>
          <w:rFonts w:hint="cs"/>
          <w:w w:val="100"/>
          <w:rtl/>
        </w:rPr>
        <w:t>إلا فإنهم يتعرّضون لاتهامهم بعدم مساعدة شخص في خطر.</w:t>
      </w:r>
    </w:p>
    <w:p w:rsidR="00BA462B" w:rsidRDefault="00C35CB1" w:rsidP="001E0E2A">
      <w:pPr>
        <w:pStyle w:val="SingleTxt"/>
        <w:rPr>
          <w:rFonts w:hint="cs"/>
          <w:rtl/>
        </w:rPr>
      </w:pPr>
      <w:r w:rsidRPr="00C35CB1">
        <w:rPr>
          <w:rFonts w:hint="cs"/>
          <w:rtl/>
        </w:rPr>
        <w:t>22</w:t>
      </w:r>
      <w:r w:rsidR="00D666E0">
        <w:rPr>
          <w:rFonts w:hint="cs"/>
          <w:rtl/>
        </w:rPr>
        <w:t xml:space="preserve"> -</w:t>
      </w:r>
      <w:r w:rsidR="00D666E0">
        <w:rPr>
          <w:rFonts w:hint="cs"/>
          <w:rtl/>
        </w:rPr>
        <w:tab/>
      </w:r>
      <w:r w:rsidRPr="00C35CB1">
        <w:rPr>
          <w:rFonts w:hint="cs"/>
          <w:rtl/>
        </w:rPr>
        <w:t>يهدف البرنامج المشار إليه في الفقرة 378 من التقرير إلى تدارك عدم وجود نظام للضمان الاجتماعي</w:t>
      </w:r>
      <w:r w:rsidR="0015762F">
        <w:rPr>
          <w:rFonts w:hint="cs"/>
          <w:rtl/>
        </w:rPr>
        <w:t>.</w:t>
      </w:r>
      <w:r w:rsidRPr="00C35CB1">
        <w:rPr>
          <w:rFonts w:hint="cs"/>
          <w:rtl/>
        </w:rPr>
        <w:t xml:space="preserve"> </w:t>
      </w:r>
      <w:r w:rsidR="00D666E0">
        <w:rPr>
          <w:rFonts w:hint="cs"/>
          <w:rtl/>
        </w:rPr>
        <w:t>و</w:t>
      </w:r>
      <w:r w:rsidRPr="00C35CB1">
        <w:rPr>
          <w:rFonts w:hint="cs"/>
          <w:rtl/>
        </w:rPr>
        <w:t xml:space="preserve">سيسمح تنفيذ هذا البرنامج بتحسين أوضاع النساء </w:t>
      </w:r>
      <w:r w:rsidR="00D666E0">
        <w:rPr>
          <w:rFonts w:hint="cs"/>
          <w:rtl/>
        </w:rPr>
        <w:t>و</w:t>
      </w:r>
      <w:r w:rsidRPr="00C35CB1">
        <w:rPr>
          <w:rFonts w:hint="cs"/>
          <w:rtl/>
        </w:rPr>
        <w:t>لا سيما النساء اللاتي يعشن في حالة فقر قصوى.</w:t>
      </w:r>
      <w:r w:rsidR="001E0E2A">
        <w:rPr>
          <w:rFonts w:hint="cs"/>
          <w:rtl/>
        </w:rPr>
        <w:t xml:space="preserve"> </w:t>
      </w:r>
      <w:r w:rsidR="00D666E0">
        <w:rPr>
          <w:rFonts w:hint="cs"/>
          <w:rtl/>
        </w:rPr>
        <w:t>و</w:t>
      </w:r>
      <w:r w:rsidRPr="00C35CB1">
        <w:rPr>
          <w:rFonts w:hint="cs"/>
          <w:rtl/>
        </w:rPr>
        <w:t>يرد أدناه الجدول الذي يبيّن إطار المتابعة التقي</w:t>
      </w:r>
      <w:r w:rsidR="00DA6060">
        <w:rPr>
          <w:rFonts w:hint="cs"/>
          <w:rtl/>
        </w:rPr>
        <w:t>ي</w:t>
      </w:r>
      <w:r w:rsidRPr="00C35CB1">
        <w:rPr>
          <w:rFonts w:hint="cs"/>
          <w:rtl/>
        </w:rPr>
        <w:t>مية لتنفيذ البرنامج المنبثق عن خطة عمل مدغشقر</w:t>
      </w:r>
      <w:r w:rsidR="00416A5F">
        <w:rPr>
          <w:rFonts w:hint="cs"/>
          <w:rtl/>
        </w:rPr>
        <w:t>.</w:t>
      </w:r>
    </w:p>
    <w:p w:rsidR="004C0C3C" w:rsidRDefault="00C35CB1" w:rsidP="004C0C3C">
      <w:pPr>
        <w:tabs>
          <w:tab w:val="left" w:pos="662"/>
          <w:tab w:val="left" w:pos="1267"/>
          <w:tab w:val="left" w:pos="1987"/>
          <w:tab w:val="left" w:pos="2650"/>
        </w:tabs>
        <w:rPr>
          <w:rFonts w:hint="cs"/>
          <w:rtl/>
        </w:rPr>
      </w:pPr>
      <w:r w:rsidRPr="00C35CB1">
        <w:rPr>
          <w:rFonts w:hint="cs"/>
          <w:rtl/>
        </w:rPr>
        <w:t>الجدول 5</w:t>
      </w:r>
    </w:p>
    <w:p w:rsidR="00C35CB1" w:rsidRPr="00C35CB1" w:rsidRDefault="00C35CB1" w:rsidP="00B80FA6">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Fonts w:hint="cs"/>
          <w:rtl/>
        </w:rPr>
      </w:pPr>
      <w:r w:rsidRPr="00C35CB1">
        <w:rPr>
          <w:rFonts w:hint="cs"/>
          <w:rtl/>
        </w:rPr>
        <w:t xml:space="preserve">اعتماد </w:t>
      </w:r>
      <w:r w:rsidR="00D666E0">
        <w:rPr>
          <w:rFonts w:hint="cs"/>
          <w:rtl/>
        </w:rPr>
        <w:t>و</w:t>
      </w:r>
      <w:r w:rsidRPr="00C35CB1">
        <w:rPr>
          <w:rFonts w:hint="cs"/>
          <w:rtl/>
        </w:rPr>
        <w:t>استخدام إطار مؤسسي للحماية الاجتماعية</w:t>
      </w:r>
    </w:p>
    <w:p w:rsidR="00C35CB1" w:rsidRPr="00C35CB1" w:rsidRDefault="00C35CB1" w:rsidP="004C0C3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C35CB1">
        <w:rPr>
          <w:rFonts w:hint="cs"/>
          <w:rtl/>
        </w:rPr>
        <w:t xml:space="preserve">التحدي 4 </w:t>
      </w:r>
      <w:r w:rsidR="004C0C3C">
        <w:rPr>
          <w:rFonts w:hint="cs"/>
          <w:rtl/>
        </w:rPr>
        <w:t>-</w:t>
      </w:r>
      <w:r w:rsidRPr="00C35CB1">
        <w:rPr>
          <w:rFonts w:hint="cs"/>
          <w:rtl/>
        </w:rPr>
        <w:t xml:space="preserve"> تحسين الدعم للمعوزين </w:t>
      </w:r>
      <w:r w:rsidR="00D666E0">
        <w:rPr>
          <w:rFonts w:hint="cs"/>
          <w:rtl/>
        </w:rPr>
        <w:t>و</w:t>
      </w:r>
      <w:r w:rsidRPr="00C35CB1">
        <w:rPr>
          <w:rFonts w:hint="cs"/>
          <w:rtl/>
        </w:rPr>
        <w:t>الضعفاء</w:t>
      </w:r>
    </w:p>
    <w:p w:rsidR="004C0C3C" w:rsidRPr="004C0C3C" w:rsidRDefault="004C0C3C" w:rsidP="004C0C3C">
      <w:pPr>
        <w:pStyle w:val="SingleTxt"/>
        <w:spacing w:after="0" w:line="120" w:lineRule="exact"/>
        <w:rPr>
          <w:rFonts w:hint="cs"/>
          <w:b/>
          <w:bCs/>
          <w:sz w:val="10"/>
          <w:rtl/>
        </w:rPr>
      </w:pPr>
    </w:p>
    <w:tbl>
      <w:tblPr>
        <w:tblStyle w:val="TableGrid"/>
        <w:bidiVisual/>
        <w:tblW w:w="98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6" w:type="dxa"/>
          <w:right w:w="86" w:type="dxa"/>
        </w:tblCellMar>
        <w:tblLook w:val="01E0" w:firstRow="1" w:lastRow="1" w:firstColumn="1" w:lastColumn="1" w:noHBand="0" w:noVBand="0"/>
      </w:tblPr>
      <w:tblGrid>
        <w:gridCol w:w="2020"/>
        <w:gridCol w:w="2124"/>
        <w:gridCol w:w="968"/>
        <w:gridCol w:w="1133"/>
        <w:gridCol w:w="1442"/>
        <w:gridCol w:w="1133"/>
        <w:gridCol w:w="1030"/>
      </w:tblGrid>
      <w:tr w:rsidR="00B80FA6" w:rsidRPr="00B80FA6">
        <w:trPr>
          <w:cantSplit/>
          <w:tblHeader/>
          <w:jc w:val="center"/>
        </w:trPr>
        <w:tc>
          <w:tcPr>
            <w:tcW w:w="2020" w:type="dxa"/>
            <w:tcBorders>
              <w:top w:val="single" w:sz="4" w:space="0" w:color="auto"/>
              <w:bottom w:val="single" w:sz="12" w:space="0" w:color="auto"/>
            </w:tcBorders>
            <w:shd w:val="clear" w:color="auto" w:fill="auto"/>
            <w:vAlign w:val="bottom"/>
          </w:tcPr>
          <w:p w:rsidR="00C35CB1" w:rsidRPr="00B80FA6" w:rsidRDefault="00C35CB1" w:rsidP="00B80FA6">
            <w:pPr>
              <w:pStyle w:val="SingleTxt"/>
              <w:spacing w:before="80" w:after="80" w:line="240" w:lineRule="exact"/>
              <w:ind w:left="0" w:right="0"/>
              <w:rPr>
                <w:rFonts w:cs="Traditional Arabic" w:hint="cs"/>
                <w:i/>
                <w:iCs/>
                <w:sz w:val="16"/>
                <w:szCs w:val="24"/>
                <w:rtl/>
              </w:rPr>
            </w:pPr>
            <w:r w:rsidRPr="00B80FA6">
              <w:rPr>
                <w:rFonts w:cs="Traditional Arabic" w:hint="cs"/>
                <w:i/>
                <w:iCs/>
                <w:sz w:val="16"/>
                <w:szCs w:val="24"/>
                <w:rtl/>
              </w:rPr>
              <w:t>النتائج ا</w:t>
            </w:r>
            <w:r w:rsidR="00416A5F">
              <w:rPr>
                <w:rFonts w:cs="Traditional Arabic" w:hint="cs"/>
                <w:i/>
                <w:iCs/>
                <w:sz w:val="16"/>
                <w:szCs w:val="24"/>
                <w:rtl/>
              </w:rPr>
              <w:t>لمحرزة/</w:t>
            </w:r>
            <w:r w:rsidRPr="00B80FA6">
              <w:rPr>
                <w:rFonts w:cs="Traditional Arabic" w:hint="cs"/>
                <w:i/>
                <w:iCs/>
                <w:sz w:val="16"/>
                <w:szCs w:val="24"/>
                <w:rtl/>
              </w:rPr>
              <w:t>النواتج</w:t>
            </w:r>
          </w:p>
        </w:tc>
        <w:tc>
          <w:tcPr>
            <w:tcW w:w="2124" w:type="dxa"/>
            <w:tcBorders>
              <w:top w:val="single" w:sz="4" w:space="0" w:color="auto"/>
              <w:bottom w:val="single" w:sz="12" w:space="0" w:color="auto"/>
            </w:tcBorders>
            <w:shd w:val="clear" w:color="auto" w:fill="auto"/>
            <w:vAlign w:val="bottom"/>
          </w:tcPr>
          <w:p w:rsidR="00C35CB1" w:rsidRPr="00B80FA6" w:rsidRDefault="00C35CB1" w:rsidP="00B80FA6">
            <w:pPr>
              <w:pStyle w:val="SingleTxt"/>
              <w:spacing w:before="80" w:after="80" w:line="240" w:lineRule="exact"/>
              <w:ind w:left="0" w:right="0"/>
              <w:rPr>
                <w:rFonts w:cs="Traditional Arabic" w:hint="cs"/>
                <w:i/>
                <w:iCs/>
                <w:sz w:val="16"/>
                <w:szCs w:val="24"/>
                <w:rtl/>
              </w:rPr>
            </w:pPr>
            <w:r w:rsidRPr="00B80FA6">
              <w:rPr>
                <w:rFonts w:cs="Traditional Arabic" w:hint="cs"/>
                <w:i/>
                <w:iCs/>
                <w:sz w:val="16"/>
                <w:szCs w:val="24"/>
                <w:rtl/>
              </w:rPr>
              <w:t>المؤشرات</w:t>
            </w:r>
          </w:p>
        </w:tc>
        <w:tc>
          <w:tcPr>
            <w:tcW w:w="968" w:type="dxa"/>
            <w:tcBorders>
              <w:top w:val="single" w:sz="4" w:space="0" w:color="auto"/>
              <w:bottom w:val="single" w:sz="12" w:space="0" w:color="auto"/>
            </w:tcBorders>
            <w:shd w:val="clear" w:color="auto" w:fill="auto"/>
            <w:vAlign w:val="bottom"/>
          </w:tcPr>
          <w:p w:rsidR="00C35CB1" w:rsidRPr="00B80FA6" w:rsidRDefault="00C35CB1" w:rsidP="00B80FA6">
            <w:pPr>
              <w:pStyle w:val="SingleTxt"/>
              <w:spacing w:before="80" w:after="80" w:line="240" w:lineRule="exact"/>
              <w:ind w:left="0" w:right="0"/>
              <w:rPr>
                <w:rFonts w:cs="Traditional Arabic" w:hint="cs"/>
                <w:i/>
                <w:iCs/>
                <w:sz w:val="16"/>
                <w:szCs w:val="24"/>
                <w:rtl/>
              </w:rPr>
            </w:pPr>
            <w:r w:rsidRPr="00B80FA6">
              <w:rPr>
                <w:rFonts w:cs="Traditional Arabic" w:hint="cs"/>
                <w:i/>
                <w:iCs/>
                <w:sz w:val="16"/>
                <w:szCs w:val="24"/>
                <w:rtl/>
              </w:rPr>
              <w:t>الأساس</w:t>
            </w:r>
          </w:p>
        </w:tc>
        <w:tc>
          <w:tcPr>
            <w:tcW w:w="1133" w:type="dxa"/>
            <w:tcBorders>
              <w:top w:val="single" w:sz="4" w:space="0" w:color="auto"/>
              <w:bottom w:val="single" w:sz="12" w:space="0" w:color="auto"/>
            </w:tcBorders>
            <w:shd w:val="clear" w:color="auto" w:fill="auto"/>
            <w:vAlign w:val="bottom"/>
          </w:tcPr>
          <w:p w:rsidR="00C35CB1" w:rsidRPr="00B80FA6" w:rsidRDefault="00C35CB1" w:rsidP="00B80FA6">
            <w:pPr>
              <w:pStyle w:val="SingleTxt"/>
              <w:spacing w:before="80" w:after="80" w:line="240" w:lineRule="exact"/>
              <w:ind w:left="0" w:right="0"/>
              <w:rPr>
                <w:rFonts w:cs="Traditional Arabic" w:hint="cs"/>
                <w:i/>
                <w:iCs/>
                <w:sz w:val="16"/>
                <w:szCs w:val="24"/>
                <w:rtl/>
              </w:rPr>
            </w:pPr>
            <w:r w:rsidRPr="00B80FA6">
              <w:rPr>
                <w:rFonts w:cs="Traditional Arabic" w:hint="cs"/>
                <w:i/>
                <w:iCs/>
                <w:sz w:val="16"/>
                <w:szCs w:val="24"/>
                <w:rtl/>
              </w:rPr>
              <w:t>هدف 2012</w:t>
            </w:r>
          </w:p>
        </w:tc>
        <w:tc>
          <w:tcPr>
            <w:tcW w:w="1442" w:type="dxa"/>
            <w:tcBorders>
              <w:top w:val="single" w:sz="4" w:space="0" w:color="auto"/>
              <w:bottom w:val="single" w:sz="12" w:space="0" w:color="auto"/>
            </w:tcBorders>
            <w:shd w:val="clear" w:color="auto" w:fill="auto"/>
            <w:vAlign w:val="bottom"/>
          </w:tcPr>
          <w:p w:rsidR="00C35CB1" w:rsidRPr="00B80FA6" w:rsidRDefault="00C35CB1" w:rsidP="00B80FA6">
            <w:pPr>
              <w:pStyle w:val="SingleTxt"/>
              <w:spacing w:before="80" w:after="80" w:line="240" w:lineRule="exact"/>
              <w:ind w:left="0" w:right="0"/>
              <w:rPr>
                <w:rFonts w:cs="Traditional Arabic" w:hint="cs"/>
                <w:i/>
                <w:iCs/>
                <w:sz w:val="16"/>
                <w:szCs w:val="24"/>
                <w:rtl/>
              </w:rPr>
            </w:pPr>
            <w:r w:rsidRPr="00B80FA6">
              <w:rPr>
                <w:rFonts w:cs="Traditional Arabic" w:hint="cs"/>
                <w:i/>
                <w:iCs/>
                <w:sz w:val="16"/>
                <w:szCs w:val="24"/>
                <w:rtl/>
              </w:rPr>
              <w:t>المصادر</w:t>
            </w:r>
          </w:p>
        </w:tc>
        <w:tc>
          <w:tcPr>
            <w:tcW w:w="1133" w:type="dxa"/>
            <w:tcBorders>
              <w:top w:val="single" w:sz="4" w:space="0" w:color="auto"/>
              <w:bottom w:val="single" w:sz="12" w:space="0" w:color="auto"/>
            </w:tcBorders>
            <w:shd w:val="clear" w:color="auto" w:fill="auto"/>
            <w:vAlign w:val="bottom"/>
          </w:tcPr>
          <w:p w:rsidR="00C35CB1" w:rsidRPr="00B80FA6" w:rsidRDefault="00C35CB1" w:rsidP="00B80FA6">
            <w:pPr>
              <w:pStyle w:val="SingleTxt"/>
              <w:spacing w:before="80" w:after="80" w:line="240" w:lineRule="exact"/>
              <w:ind w:left="0" w:right="0"/>
              <w:rPr>
                <w:rFonts w:cs="Traditional Arabic" w:hint="cs"/>
                <w:i/>
                <w:iCs/>
                <w:sz w:val="16"/>
                <w:szCs w:val="24"/>
                <w:rtl/>
              </w:rPr>
            </w:pPr>
            <w:r w:rsidRPr="00B80FA6">
              <w:rPr>
                <w:rFonts w:cs="Traditional Arabic" w:hint="cs"/>
                <w:i/>
                <w:iCs/>
                <w:sz w:val="16"/>
                <w:szCs w:val="24"/>
                <w:rtl/>
              </w:rPr>
              <w:t>المسؤولون</w:t>
            </w:r>
          </w:p>
        </w:tc>
        <w:tc>
          <w:tcPr>
            <w:tcW w:w="1030" w:type="dxa"/>
            <w:tcBorders>
              <w:top w:val="single" w:sz="4" w:space="0" w:color="auto"/>
              <w:bottom w:val="single" w:sz="12" w:space="0" w:color="auto"/>
            </w:tcBorders>
            <w:shd w:val="clear" w:color="auto" w:fill="auto"/>
            <w:vAlign w:val="bottom"/>
          </w:tcPr>
          <w:p w:rsidR="00C35CB1" w:rsidRPr="00B80FA6" w:rsidRDefault="00C35CB1" w:rsidP="00B80FA6">
            <w:pPr>
              <w:pStyle w:val="SingleTxt"/>
              <w:spacing w:before="80" w:after="80" w:line="240" w:lineRule="exact"/>
              <w:ind w:left="0" w:right="0"/>
              <w:rPr>
                <w:rFonts w:cs="Traditional Arabic" w:hint="cs"/>
                <w:i/>
                <w:iCs/>
                <w:sz w:val="16"/>
                <w:szCs w:val="24"/>
                <w:rtl/>
              </w:rPr>
            </w:pPr>
            <w:r w:rsidRPr="00B80FA6">
              <w:rPr>
                <w:rFonts w:cs="Traditional Arabic" w:hint="cs"/>
                <w:i/>
                <w:iCs/>
                <w:sz w:val="16"/>
                <w:szCs w:val="24"/>
                <w:rtl/>
              </w:rPr>
              <w:t>تواتر عمليات الجمع</w:t>
            </w:r>
          </w:p>
        </w:tc>
      </w:tr>
      <w:tr w:rsidR="00B80FA6" w:rsidRPr="00B80FA6">
        <w:trPr>
          <w:cantSplit/>
          <w:trHeight w:hRule="exact" w:val="115"/>
          <w:tblHeader/>
          <w:jc w:val="center"/>
        </w:trPr>
        <w:tc>
          <w:tcPr>
            <w:tcW w:w="2020" w:type="dxa"/>
            <w:tcBorders>
              <w:top w:val="single" w:sz="12" w:space="0" w:color="auto"/>
            </w:tcBorders>
            <w:shd w:val="clear" w:color="auto" w:fill="auto"/>
            <w:vAlign w:val="bottom"/>
          </w:tcPr>
          <w:p w:rsidR="00B80FA6" w:rsidRPr="00B80FA6" w:rsidRDefault="00B80FA6" w:rsidP="00B80FA6">
            <w:pPr>
              <w:pStyle w:val="SingleTxt"/>
              <w:spacing w:before="40" w:after="80" w:line="240" w:lineRule="exact"/>
              <w:ind w:left="0" w:right="0"/>
              <w:rPr>
                <w:rFonts w:hint="cs"/>
                <w:sz w:val="16"/>
                <w:szCs w:val="24"/>
                <w:rtl/>
              </w:rPr>
            </w:pPr>
          </w:p>
        </w:tc>
        <w:tc>
          <w:tcPr>
            <w:tcW w:w="2124" w:type="dxa"/>
            <w:tcBorders>
              <w:top w:val="single" w:sz="12" w:space="0" w:color="auto"/>
            </w:tcBorders>
            <w:shd w:val="clear" w:color="auto" w:fill="auto"/>
            <w:vAlign w:val="bottom"/>
          </w:tcPr>
          <w:p w:rsidR="00B80FA6" w:rsidRPr="00B80FA6" w:rsidRDefault="00B80FA6" w:rsidP="00B80FA6">
            <w:pPr>
              <w:pStyle w:val="SingleTxt"/>
              <w:spacing w:before="40" w:after="80" w:line="240" w:lineRule="exact"/>
              <w:ind w:left="0" w:right="0"/>
              <w:rPr>
                <w:rFonts w:hint="cs"/>
                <w:sz w:val="16"/>
                <w:szCs w:val="24"/>
                <w:rtl/>
              </w:rPr>
            </w:pPr>
          </w:p>
        </w:tc>
        <w:tc>
          <w:tcPr>
            <w:tcW w:w="968" w:type="dxa"/>
            <w:tcBorders>
              <w:top w:val="single" w:sz="12" w:space="0" w:color="auto"/>
            </w:tcBorders>
            <w:shd w:val="clear" w:color="auto" w:fill="auto"/>
            <w:vAlign w:val="bottom"/>
          </w:tcPr>
          <w:p w:rsidR="00B80FA6" w:rsidRPr="00B80FA6" w:rsidRDefault="00B80FA6" w:rsidP="00B80FA6">
            <w:pPr>
              <w:pStyle w:val="SingleTxt"/>
              <w:spacing w:before="40" w:after="80" w:line="240" w:lineRule="exact"/>
              <w:ind w:left="0" w:right="0"/>
              <w:rPr>
                <w:rFonts w:hint="cs"/>
                <w:sz w:val="16"/>
                <w:szCs w:val="24"/>
                <w:rtl/>
              </w:rPr>
            </w:pPr>
          </w:p>
        </w:tc>
        <w:tc>
          <w:tcPr>
            <w:tcW w:w="1133" w:type="dxa"/>
            <w:tcBorders>
              <w:top w:val="single" w:sz="12" w:space="0" w:color="auto"/>
            </w:tcBorders>
            <w:shd w:val="clear" w:color="auto" w:fill="auto"/>
            <w:vAlign w:val="bottom"/>
          </w:tcPr>
          <w:p w:rsidR="00B80FA6" w:rsidRPr="00B80FA6" w:rsidRDefault="00B80FA6" w:rsidP="00B80FA6">
            <w:pPr>
              <w:pStyle w:val="SingleTxt"/>
              <w:spacing w:before="40" w:after="80" w:line="240" w:lineRule="exact"/>
              <w:ind w:left="0" w:right="0"/>
              <w:rPr>
                <w:rFonts w:hint="cs"/>
                <w:sz w:val="16"/>
                <w:szCs w:val="24"/>
                <w:rtl/>
                <w:lang w:val="fr-CA"/>
              </w:rPr>
            </w:pPr>
          </w:p>
        </w:tc>
        <w:tc>
          <w:tcPr>
            <w:tcW w:w="1442" w:type="dxa"/>
            <w:tcBorders>
              <w:top w:val="single" w:sz="12" w:space="0" w:color="auto"/>
            </w:tcBorders>
            <w:shd w:val="clear" w:color="auto" w:fill="auto"/>
            <w:vAlign w:val="bottom"/>
          </w:tcPr>
          <w:p w:rsidR="00B80FA6" w:rsidRPr="00B80FA6" w:rsidRDefault="00B80FA6" w:rsidP="00B80FA6">
            <w:pPr>
              <w:pStyle w:val="SingleTxt"/>
              <w:spacing w:before="40" w:after="80" w:line="240" w:lineRule="exact"/>
              <w:ind w:left="0" w:right="0"/>
              <w:rPr>
                <w:rFonts w:hint="cs"/>
                <w:sz w:val="16"/>
                <w:szCs w:val="24"/>
                <w:rtl/>
              </w:rPr>
            </w:pPr>
          </w:p>
        </w:tc>
        <w:tc>
          <w:tcPr>
            <w:tcW w:w="1133" w:type="dxa"/>
            <w:tcBorders>
              <w:top w:val="single" w:sz="12" w:space="0" w:color="auto"/>
            </w:tcBorders>
            <w:shd w:val="clear" w:color="auto" w:fill="auto"/>
            <w:vAlign w:val="bottom"/>
          </w:tcPr>
          <w:p w:rsidR="00B80FA6" w:rsidRPr="00B80FA6" w:rsidRDefault="00B80FA6" w:rsidP="00B80FA6">
            <w:pPr>
              <w:pStyle w:val="SingleTxt"/>
              <w:spacing w:before="40" w:after="80" w:line="240" w:lineRule="exact"/>
              <w:ind w:left="0" w:right="0"/>
              <w:rPr>
                <w:rFonts w:hint="cs"/>
                <w:sz w:val="16"/>
                <w:szCs w:val="24"/>
                <w:rtl/>
              </w:rPr>
            </w:pPr>
          </w:p>
        </w:tc>
        <w:tc>
          <w:tcPr>
            <w:tcW w:w="1030" w:type="dxa"/>
            <w:tcBorders>
              <w:top w:val="single" w:sz="12" w:space="0" w:color="auto"/>
            </w:tcBorders>
            <w:shd w:val="clear" w:color="auto" w:fill="auto"/>
            <w:vAlign w:val="bottom"/>
          </w:tcPr>
          <w:p w:rsidR="00B80FA6" w:rsidRPr="00B80FA6" w:rsidRDefault="00B80FA6" w:rsidP="00B80FA6">
            <w:pPr>
              <w:pStyle w:val="SingleTxt"/>
              <w:spacing w:before="40" w:after="80" w:line="240" w:lineRule="exact"/>
              <w:ind w:left="0" w:right="0"/>
              <w:rPr>
                <w:sz w:val="16"/>
                <w:szCs w:val="24"/>
                <w:lang w:val="fr-CA"/>
              </w:rPr>
            </w:pPr>
          </w:p>
        </w:tc>
      </w:tr>
      <w:tr w:rsidR="00B80FA6" w:rsidRPr="00B80FA6">
        <w:trPr>
          <w:cantSplit/>
          <w:jc w:val="center"/>
        </w:trPr>
        <w:tc>
          <w:tcPr>
            <w:tcW w:w="2020" w:type="dxa"/>
            <w:shd w:val="clear" w:color="auto" w:fill="auto"/>
          </w:tcPr>
          <w:p w:rsidR="00C35CB1" w:rsidRPr="00B80FA6" w:rsidRDefault="00C35CB1" w:rsidP="00B80FA6">
            <w:pPr>
              <w:pStyle w:val="SingleTxt"/>
              <w:spacing w:before="40" w:after="80" w:line="240" w:lineRule="exact"/>
              <w:ind w:left="0" w:right="0"/>
              <w:rPr>
                <w:rFonts w:cs="Traditional Arabic" w:hint="cs"/>
                <w:sz w:val="16"/>
                <w:szCs w:val="24"/>
                <w:rtl/>
              </w:rPr>
            </w:pPr>
            <w:r w:rsidRPr="00B80FA6">
              <w:rPr>
                <w:rFonts w:cs="Traditional Arabic" w:hint="cs"/>
                <w:sz w:val="16"/>
                <w:szCs w:val="24"/>
                <w:rtl/>
              </w:rPr>
              <w:t>الأثر 1- تحسين الدعم للمعوزين والضعفاء</w:t>
            </w:r>
          </w:p>
        </w:tc>
        <w:tc>
          <w:tcPr>
            <w:tcW w:w="2124" w:type="dxa"/>
            <w:shd w:val="clear" w:color="auto" w:fill="auto"/>
          </w:tcPr>
          <w:p w:rsidR="00C35CB1" w:rsidRPr="007B5624" w:rsidRDefault="00C35CB1" w:rsidP="00B80FA6">
            <w:pPr>
              <w:pStyle w:val="SingleTxt"/>
              <w:spacing w:before="40" w:after="80" w:line="240" w:lineRule="exact"/>
              <w:ind w:left="0" w:right="0"/>
              <w:rPr>
                <w:rFonts w:cs="Traditional Arabic" w:hint="cs"/>
                <w:w w:val="100"/>
                <w:sz w:val="16"/>
                <w:szCs w:val="24"/>
                <w:rtl/>
              </w:rPr>
            </w:pPr>
            <w:r w:rsidRPr="007B5624">
              <w:rPr>
                <w:rFonts w:cs="Traditional Arabic" w:hint="cs"/>
                <w:w w:val="100"/>
                <w:sz w:val="16"/>
                <w:szCs w:val="24"/>
                <w:rtl/>
              </w:rPr>
              <w:t>النسبة المئوية من الأسر التي تتوفر فيها 3 من مؤشرات الفقر</w:t>
            </w:r>
          </w:p>
        </w:tc>
        <w:tc>
          <w:tcPr>
            <w:tcW w:w="968" w:type="dxa"/>
            <w:shd w:val="clear" w:color="auto" w:fill="auto"/>
          </w:tcPr>
          <w:p w:rsidR="00C35CB1" w:rsidRPr="00B80FA6" w:rsidRDefault="00C35CB1" w:rsidP="00B80FA6">
            <w:pPr>
              <w:pStyle w:val="SingleTxt"/>
              <w:spacing w:before="40" w:after="80" w:line="240" w:lineRule="exact"/>
              <w:ind w:left="0" w:right="0"/>
              <w:rPr>
                <w:rFonts w:cs="Traditional Arabic" w:hint="cs"/>
                <w:sz w:val="16"/>
                <w:szCs w:val="24"/>
                <w:rtl/>
              </w:rPr>
            </w:pPr>
            <w:r w:rsidRPr="00B80FA6">
              <w:rPr>
                <w:rFonts w:cs="Traditional Arabic" w:hint="cs"/>
                <w:sz w:val="16"/>
                <w:szCs w:val="24"/>
                <w:rtl/>
              </w:rPr>
              <w:t>90</w:t>
            </w:r>
            <w:r w:rsidR="00765A56" w:rsidRPr="00B80FA6">
              <w:rPr>
                <w:rFonts w:cs="Traditional Arabic" w:hint="cs"/>
                <w:sz w:val="16"/>
                <w:szCs w:val="24"/>
                <w:rtl/>
                <w:lang w:val="fr-FR"/>
              </w:rPr>
              <w:t xml:space="preserve"> في المائة</w:t>
            </w:r>
          </w:p>
        </w:tc>
        <w:tc>
          <w:tcPr>
            <w:tcW w:w="1133" w:type="dxa"/>
            <w:shd w:val="clear" w:color="auto" w:fill="auto"/>
          </w:tcPr>
          <w:p w:rsidR="00C35CB1" w:rsidRPr="00B80FA6" w:rsidRDefault="00765A56" w:rsidP="00B80FA6">
            <w:pPr>
              <w:pStyle w:val="SingleTxt"/>
              <w:spacing w:before="40" w:after="80" w:line="240" w:lineRule="exact"/>
              <w:ind w:left="0" w:right="0"/>
              <w:rPr>
                <w:rFonts w:cs="Traditional Arabic" w:hint="cs"/>
                <w:sz w:val="16"/>
                <w:szCs w:val="24"/>
                <w:rtl/>
              </w:rPr>
            </w:pPr>
            <w:r w:rsidRPr="00B80FA6">
              <w:rPr>
                <w:rFonts w:cs="Traditional Arabic" w:hint="cs"/>
                <w:sz w:val="16"/>
                <w:szCs w:val="24"/>
                <w:rtl/>
                <w:lang w:val="fr-CA"/>
              </w:rPr>
              <w:t>49 في المائة</w:t>
            </w:r>
          </w:p>
        </w:tc>
        <w:tc>
          <w:tcPr>
            <w:tcW w:w="1442" w:type="dxa"/>
            <w:shd w:val="clear" w:color="auto" w:fill="auto"/>
          </w:tcPr>
          <w:p w:rsidR="00C35CB1" w:rsidRPr="00B80FA6" w:rsidRDefault="00B80FA6" w:rsidP="00B80FA6">
            <w:pPr>
              <w:pStyle w:val="SingleTxt"/>
              <w:spacing w:before="40" w:after="80" w:line="240" w:lineRule="exact"/>
              <w:ind w:left="0" w:right="0"/>
              <w:rPr>
                <w:rFonts w:cs="Traditional Arabic" w:hint="cs"/>
                <w:sz w:val="16"/>
                <w:szCs w:val="24"/>
                <w:lang w:val="fr-FR"/>
              </w:rPr>
            </w:pPr>
            <w:r>
              <w:rPr>
                <w:rFonts w:cs="Traditional Arabic" w:hint="cs"/>
                <w:sz w:val="16"/>
                <w:szCs w:val="24"/>
                <w:rtl/>
              </w:rPr>
              <w:t>التحقيق الدائم بشأن الأ</w:t>
            </w:r>
            <w:r w:rsidR="00C35CB1" w:rsidRPr="00B80FA6">
              <w:rPr>
                <w:rFonts w:cs="Traditional Arabic" w:hint="cs"/>
                <w:sz w:val="16"/>
                <w:szCs w:val="24"/>
                <w:rtl/>
              </w:rPr>
              <w:t xml:space="preserve">سر المعيشية </w:t>
            </w:r>
          </w:p>
        </w:tc>
        <w:tc>
          <w:tcPr>
            <w:tcW w:w="1133" w:type="dxa"/>
            <w:shd w:val="clear" w:color="auto" w:fill="auto"/>
          </w:tcPr>
          <w:p w:rsidR="00C35CB1" w:rsidRPr="00B80FA6" w:rsidRDefault="00C35CB1" w:rsidP="00B80FA6">
            <w:pPr>
              <w:pStyle w:val="SingleTxt"/>
              <w:spacing w:before="40" w:after="80" w:line="240" w:lineRule="exact"/>
              <w:ind w:left="0" w:right="0"/>
              <w:rPr>
                <w:rFonts w:cs="Traditional Arabic" w:hint="cs"/>
                <w:sz w:val="16"/>
                <w:szCs w:val="24"/>
                <w:rtl/>
              </w:rPr>
            </w:pPr>
            <w:r w:rsidRPr="00B80FA6">
              <w:rPr>
                <w:rFonts w:cs="Traditional Arabic" w:hint="cs"/>
                <w:sz w:val="16"/>
                <w:szCs w:val="24"/>
                <w:rtl/>
              </w:rPr>
              <w:t xml:space="preserve">المعهد الوطني للإحصاءات </w:t>
            </w:r>
          </w:p>
        </w:tc>
        <w:tc>
          <w:tcPr>
            <w:tcW w:w="1030" w:type="dxa"/>
            <w:shd w:val="clear" w:color="auto" w:fill="auto"/>
          </w:tcPr>
          <w:p w:rsidR="00C35CB1" w:rsidRPr="00B80FA6" w:rsidRDefault="00C35CB1" w:rsidP="00B80FA6">
            <w:pPr>
              <w:pStyle w:val="SingleTxt"/>
              <w:spacing w:before="40" w:after="80" w:line="240" w:lineRule="exact"/>
              <w:ind w:left="0" w:right="0"/>
              <w:rPr>
                <w:rFonts w:cs="Traditional Arabic" w:hint="cs"/>
                <w:sz w:val="16"/>
                <w:szCs w:val="24"/>
                <w:rtl/>
              </w:rPr>
            </w:pPr>
            <w:r w:rsidRPr="00B80FA6">
              <w:rPr>
                <w:rFonts w:cs="Traditional Arabic" w:hint="cs"/>
                <w:sz w:val="16"/>
                <w:szCs w:val="24"/>
                <w:rtl/>
              </w:rPr>
              <w:t>سنويا</w:t>
            </w:r>
          </w:p>
        </w:tc>
      </w:tr>
      <w:tr w:rsidR="00B80FA6" w:rsidRPr="00B80FA6">
        <w:trPr>
          <w:cantSplit/>
          <w:jc w:val="center"/>
        </w:trPr>
        <w:tc>
          <w:tcPr>
            <w:tcW w:w="2020" w:type="dxa"/>
            <w:shd w:val="clear" w:color="auto" w:fill="auto"/>
          </w:tcPr>
          <w:p w:rsidR="00C35CB1" w:rsidRPr="00B80FA6" w:rsidRDefault="00C35CB1" w:rsidP="00B80FA6">
            <w:pPr>
              <w:pStyle w:val="SingleTxt"/>
              <w:spacing w:before="40" w:after="80" w:line="240" w:lineRule="exact"/>
              <w:ind w:left="0" w:right="0"/>
              <w:rPr>
                <w:rFonts w:cs="Traditional Arabic" w:hint="cs"/>
                <w:sz w:val="16"/>
                <w:szCs w:val="24"/>
                <w:rtl/>
              </w:rPr>
            </w:pPr>
            <w:r w:rsidRPr="00B80FA6">
              <w:rPr>
                <w:rFonts w:cs="Traditional Arabic" w:hint="cs"/>
                <w:sz w:val="16"/>
                <w:szCs w:val="24"/>
                <w:rtl/>
              </w:rPr>
              <w:t>الناتج 1</w:t>
            </w:r>
            <w:r w:rsidR="0015762F">
              <w:rPr>
                <w:rFonts w:cs="Traditional Arabic" w:hint="cs"/>
                <w:sz w:val="16"/>
                <w:szCs w:val="24"/>
                <w:rtl/>
              </w:rPr>
              <w:t xml:space="preserve"> -</w:t>
            </w:r>
            <w:r w:rsidRPr="00B80FA6">
              <w:rPr>
                <w:rFonts w:cs="Traditional Arabic" w:hint="cs"/>
                <w:sz w:val="16"/>
                <w:szCs w:val="24"/>
                <w:rtl/>
              </w:rPr>
              <w:t xml:space="preserve"> الخدمات الاجتماعية الأساسية (صحة، تثقيف،</w:t>
            </w:r>
            <w:r w:rsidR="00416A5F">
              <w:rPr>
                <w:rFonts w:cs="Traditional Arabic" w:hint="cs"/>
                <w:sz w:val="16"/>
                <w:szCs w:val="24"/>
                <w:rtl/>
              </w:rPr>
              <w:t xml:space="preserve"> </w:t>
            </w:r>
            <w:r w:rsidRPr="00B80FA6">
              <w:rPr>
                <w:rFonts w:cs="Traditional Arabic" w:hint="cs"/>
                <w:sz w:val="16"/>
                <w:szCs w:val="24"/>
                <w:rtl/>
              </w:rPr>
              <w:t>تغذية) المتاحة للفئات الضعيفة والمعوزة</w:t>
            </w:r>
          </w:p>
        </w:tc>
        <w:tc>
          <w:tcPr>
            <w:tcW w:w="2124" w:type="dxa"/>
            <w:shd w:val="clear" w:color="auto" w:fill="auto"/>
          </w:tcPr>
          <w:p w:rsidR="00C35CB1" w:rsidRPr="00B80FA6" w:rsidRDefault="00C35CB1" w:rsidP="00B80FA6">
            <w:pPr>
              <w:pStyle w:val="SingleTxt"/>
              <w:spacing w:before="40" w:after="80" w:line="240" w:lineRule="exact"/>
              <w:ind w:left="0" w:right="0"/>
              <w:rPr>
                <w:rFonts w:cs="Traditional Arabic" w:hint="cs"/>
                <w:sz w:val="16"/>
                <w:szCs w:val="24"/>
                <w:rtl/>
              </w:rPr>
            </w:pPr>
            <w:r w:rsidRPr="00B80FA6">
              <w:rPr>
                <w:rFonts w:cs="Traditional Arabic" w:hint="cs"/>
                <w:sz w:val="16"/>
                <w:szCs w:val="24"/>
                <w:rtl/>
              </w:rPr>
              <w:t>النسبة من السكان المعوزين والضعفاء الذين تتوفر لهم إمكانية الحصول على الرعاية الصحية</w:t>
            </w:r>
          </w:p>
        </w:tc>
        <w:tc>
          <w:tcPr>
            <w:tcW w:w="968" w:type="dxa"/>
            <w:shd w:val="clear" w:color="auto" w:fill="auto"/>
          </w:tcPr>
          <w:p w:rsidR="00C35CB1" w:rsidRPr="00B80FA6" w:rsidRDefault="00C35CB1" w:rsidP="00B80FA6">
            <w:pPr>
              <w:pStyle w:val="SingleTxt"/>
              <w:spacing w:before="40" w:after="80" w:line="240" w:lineRule="exact"/>
              <w:ind w:left="0" w:right="0"/>
              <w:rPr>
                <w:rFonts w:cs="Traditional Arabic" w:hint="cs"/>
                <w:sz w:val="16"/>
                <w:szCs w:val="24"/>
                <w:lang w:val="fr-FR"/>
              </w:rPr>
            </w:pPr>
            <w:r w:rsidRPr="00B80FA6">
              <w:rPr>
                <w:rFonts w:cs="Traditional Arabic" w:hint="cs"/>
                <w:sz w:val="16"/>
                <w:szCs w:val="24"/>
                <w:rtl/>
              </w:rPr>
              <w:t>38</w:t>
            </w:r>
            <w:r w:rsidR="00B80FA6">
              <w:rPr>
                <w:rFonts w:cs="Traditional Arabic" w:hint="cs"/>
                <w:sz w:val="16"/>
                <w:szCs w:val="24"/>
                <w:rtl/>
                <w:lang w:val="fr-FR"/>
              </w:rPr>
              <w:t xml:space="preserve"> في المائة</w:t>
            </w:r>
          </w:p>
        </w:tc>
        <w:tc>
          <w:tcPr>
            <w:tcW w:w="1133" w:type="dxa"/>
            <w:shd w:val="clear" w:color="auto" w:fill="auto"/>
          </w:tcPr>
          <w:p w:rsidR="00C35CB1" w:rsidRPr="00B80FA6" w:rsidRDefault="00765A56" w:rsidP="00B80FA6">
            <w:pPr>
              <w:pStyle w:val="SingleTxt"/>
              <w:spacing w:before="40" w:after="80" w:line="240" w:lineRule="exact"/>
              <w:ind w:left="0" w:right="0"/>
              <w:rPr>
                <w:rFonts w:cs="Traditional Arabic" w:hint="cs"/>
                <w:sz w:val="16"/>
                <w:szCs w:val="24"/>
                <w:rtl/>
              </w:rPr>
            </w:pPr>
            <w:r w:rsidRPr="00B80FA6">
              <w:rPr>
                <w:rFonts w:cs="Traditional Arabic" w:hint="cs"/>
                <w:sz w:val="16"/>
                <w:szCs w:val="24"/>
                <w:rtl/>
                <w:lang w:val="fr-CA"/>
              </w:rPr>
              <w:t>53 في المائة</w:t>
            </w:r>
          </w:p>
        </w:tc>
        <w:tc>
          <w:tcPr>
            <w:tcW w:w="1442" w:type="dxa"/>
            <w:shd w:val="clear" w:color="auto" w:fill="auto"/>
          </w:tcPr>
          <w:p w:rsidR="00C35CB1" w:rsidRPr="00B80FA6" w:rsidRDefault="00C35CB1" w:rsidP="00B80FA6">
            <w:pPr>
              <w:pStyle w:val="SingleTxt"/>
              <w:spacing w:before="40" w:after="80" w:line="240" w:lineRule="exact"/>
              <w:ind w:left="0" w:right="0"/>
              <w:rPr>
                <w:rFonts w:cs="Traditional Arabic" w:hint="cs"/>
                <w:sz w:val="16"/>
                <w:szCs w:val="24"/>
                <w:rtl/>
              </w:rPr>
            </w:pPr>
            <w:r w:rsidRPr="00B80FA6">
              <w:rPr>
                <w:rFonts w:cs="Traditional Arabic" w:hint="cs"/>
                <w:sz w:val="16"/>
                <w:szCs w:val="24"/>
                <w:rtl/>
              </w:rPr>
              <w:t>تقارير ومراكز الصحة الأساسية</w:t>
            </w:r>
          </w:p>
        </w:tc>
        <w:tc>
          <w:tcPr>
            <w:tcW w:w="1133" w:type="dxa"/>
            <w:shd w:val="clear" w:color="auto" w:fill="auto"/>
          </w:tcPr>
          <w:p w:rsidR="00C35CB1" w:rsidRPr="00B80FA6" w:rsidRDefault="00C35CB1" w:rsidP="00B80FA6">
            <w:pPr>
              <w:pStyle w:val="SingleTxt"/>
              <w:spacing w:before="40" w:after="80" w:line="240" w:lineRule="exact"/>
              <w:ind w:left="0" w:right="0"/>
              <w:rPr>
                <w:rFonts w:cs="Traditional Arabic" w:hint="cs"/>
                <w:sz w:val="16"/>
                <w:szCs w:val="24"/>
                <w:rtl/>
              </w:rPr>
            </w:pPr>
            <w:r w:rsidRPr="00B80FA6">
              <w:rPr>
                <w:rFonts w:cs="Traditional Arabic" w:hint="cs"/>
                <w:sz w:val="16"/>
                <w:szCs w:val="24"/>
                <w:rtl/>
              </w:rPr>
              <w:t>وزارة الصحة</w:t>
            </w:r>
          </w:p>
        </w:tc>
        <w:tc>
          <w:tcPr>
            <w:tcW w:w="1030" w:type="dxa"/>
            <w:shd w:val="clear" w:color="auto" w:fill="auto"/>
          </w:tcPr>
          <w:p w:rsidR="00C35CB1" w:rsidRPr="00B80FA6" w:rsidRDefault="00C35CB1" w:rsidP="00B80FA6">
            <w:pPr>
              <w:pStyle w:val="SingleTxt"/>
              <w:spacing w:before="40" w:after="80" w:line="240" w:lineRule="exact"/>
              <w:ind w:left="0" w:right="0"/>
              <w:rPr>
                <w:rFonts w:cs="Traditional Arabic" w:hint="cs"/>
                <w:sz w:val="16"/>
                <w:szCs w:val="24"/>
                <w:rtl/>
              </w:rPr>
            </w:pPr>
            <w:r w:rsidRPr="00B80FA6">
              <w:rPr>
                <w:rFonts w:cs="Traditional Arabic" w:hint="cs"/>
                <w:sz w:val="16"/>
                <w:szCs w:val="24"/>
                <w:rtl/>
              </w:rPr>
              <w:t>سنويا</w:t>
            </w:r>
          </w:p>
        </w:tc>
      </w:tr>
      <w:tr w:rsidR="00B80FA6" w:rsidRPr="00B80FA6">
        <w:trPr>
          <w:cantSplit/>
          <w:jc w:val="center"/>
        </w:trPr>
        <w:tc>
          <w:tcPr>
            <w:tcW w:w="2020" w:type="dxa"/>
            <w:shd w:val="clear" w:color="auto" w:fill="auto"/>
          </w:tcPr>
          <w:p w:rsidR="00C35CB1" w:rsidRPr="00B80FA6" w:rsidRDefault="00C35CB1" w:rsidP="00B80FA6">
            <w:pPr>
              <w:pStyle w:val="SingleTxt"/>
              <w:spacing w:before="40" w:after="80" w:line="240" w:lineRule="exact"/>
              <w:ind w:left="0" w:right="0"/>
              <w:rPr>
                <w:rFonts w:cs="Traditional Arabic" w:hint="cs"/>
                <w:sz w:val="16"/>
                <w:szCs w:val="24"/>
                <w:rtl/>
              </w:rPr>
            </w:pPr>
            <w:r w:rsidRPr="00B80FA6">
              <w:rPr>
                <w:rFonts w:cs="Traditional Arabic" w:hint="cs"/>
                <w:sz w:val="16"/>
                <w:szCs w:val="24"/>
                <w:rtl/>
              </w:rPr>
              <w:t>الناتج</w:t>
            </w:r>
            <w:r w:rsidR="00416A5F">
              <w:rPr>
                <w:rFonts w:cs="Traditional Arabic" w:hint="cs"/>
                <w:sz w:val="16"/>
                <w:szCs w:val="24"/>
                <w:rtl/>
              </w:rPr>
              <w:t xml:space="preserve"> </w:t>
            </w:r>
            <w:r w:rsidRPr="00B80FA6">
              <w:rPr>
                <w:rFonts w:cs="Traditional Arabic" w:hint="cs"/>
                <w:sz w:val="16"/>
                <w:szCs w:val="24"/>
                <w:rtl/>
              </w:rPr>
              <w:t>2</w:t>
            </w:r>
            <w:r w:rsidR="0015762F">
              <w:rPr>
                <w:rFonts w:cs="Traditional Arabic" w:hint="cs"/>
                <w:sz w:val="16"/>
                <w:szCs w:val="24"/>
                <w:rtl/>
              </w:rPr>
              <w:t xml:space="preserve"> -</w:t>
            </w:r>
            <w:r w:rsidRPr="00B80FA6">
              <w:rPr>
                <w:rFonts w:cs="Traditional Arabic" w:hint="cs"/>
                <w:sz w:val="16"/>
                <w:szCs w:val="24"/>
                <w:rtl/>
              </w:rPr>
              <w:t xml:space="preserve"> تحسين أنظمة توفير الأمن للضعفاء والمعوزين</w:t>
            </w:r>
          </w:p>
        </w:tc>
        <w:tc>
          <w:tcPr>
            <w:tcW w:w="2124" w:type="dxa"/>
            <w:shd w:val="clear" w:color="auto" w:fill="auto"/>
          </w:tcPr>
          <w:p w:rsidR="00C35CB1" w:rsidRPr="00B80FA6" w:rsidRDefault="00C35CB1" w:rsidP="00B80FA6">
            <w:pPr>
              <w:pStyle w:val="SingleTxt"/>
              <w:spacing w:before="40" w:after="80" w:line="240" w:lineRule="exact"/>
              <w:ind w:left="0" w:right="0"/>
              <w:rPr>
                <w:rFonts w:cs="Traditional Arabic" w:hint="cs"/>
                <w:sz w:val="16"/>
                <w:szCs w:val="24"/>
                <w:rtl/>
              </w:rPr>
            </w:pPr>
            <w:r w:rsidRPr="00B80FA6">
              <w:rPr>
                <w:rFonts w:cs="Traditional Arabic" w:hint="cs"/>
                <w:sz w:val="16"/>
                <w:szCs w:val="24"/>
                <w:rtl/>
              </w:rPr>
              <w:t>عدد مواطن العمل على أساس دائم المنشأة في كل عام</w:t>
            </w:r>
          </w:p>
        </w:tc>
        <w:tc>
          <w:tcPr>
            <w:tcW w:w="968" w:type="dxa"/>
            <w:shd w:val="clear" w:color="auto" w:fill="auto"/>
          </w:tcPr>
          <w:p w:rsidR="00C35CB1" w:rsidRPr="00B80FA6" w:rsidRDefault="00B80FA6" w:rsidP="00B80FA6">
            <w:pPr>
              <w:pStyle w:val="SingleTxt"/>
              <w:spacing w:before="40" w:after="80" w:line="240" w:lineRule="exact"/>
              <w:ind w:left="0" w:right="0"/>
              <w:rPr>
                <w:rFonts w:cs="Traditional Arabic" w:hint="cs"/>
                <w:sz w:val="16"/>
                <w:szCs w:val="24"/>
                <w:rtl/>
              </w:rPr>
            </w:pPr>
            <w:r>
              <w:rPr>
                <w:rFonts w:cs="Traditional Arabic" w:hint="cs"/>
                <w:sz w:val="16"/>
                <w:szCs w:val="24"/>
                <w:rtl/>
                <w:lang w:val="fr-CA"/>
              </w:rPr>
              <w:t>225 ف</w:t>
            </w:r>
            <w:r w:rsidR="007B5624">
              <w:rPr>
                <w:rFonts w:cs="Traditional Arabic" w:hint="cs"/>
                <w:sz w:val="16"/>
                <w:szCs w:val="24"/>
                <w:rtl/>
                <w:lang w:val="fr-CA"/>
              </w:rPr>
              <w:t>ـ</w:t>
            </w:r>
            <w:r>
              <w:rPr>
                <w:rFonts w:cs="Traditional Arabic" w:hint="cs"/>
                <w:sz w:val="16"/>
                <w:szCs w:val="24"/>
                <w:rtl/>
                <w:lang w:val="fr-CA"/>
              </w:rPr>
              <w:t>ي المائة</w:t>
            </w:r>
          </w:p>
        </w:tc>
        <w:tc>
          <w:tcPr>
            <w:tcW w:w="1133" w:type="dxa"/>
            <w:shd w:val="clear" w:color="auto" w:fill="auto"/>
          </w:tcPr>
          <w:p w:rsidR="00C35CB1" w:rsidRPr="00B80FA6" w:rsidRDefault="00C35CB1" w:rsidP="00B80FA6">
            <w:pPr>
              <w:pStyle w:val="SingleTxt"/>
              <w:spacing w:before="40" w:after="80" w:line="240" w:lineRule="exact"/>
              <w:ind w:left="0" w:right="0"/>
              <w:rPr>
                <w:rFonts w:cs="Traditional Arabic" w:hint="cs"/>
                <w:sz w:val="16"/>
                <w:szCs w:val="24"/>
                <w:lang w:val="fr-FR"/>
              </w:rPr>
            </w:pPr>
            <w:r w:rsidRPr="00B80FA6">
              <w:rPr>
                <w:rFonts w:cs="Traditional Arabic" w:hint="cs"/>
                <w:sz w:val="16"/>
                <w:szCs w:val="24"/>
                <w:rtl/>
              </w:rPr>
              <w:t>450</w:t>
            </w:r>
            <w:r w:rsidR="00DA6060" w:rsidRPr="00B80FA6">
              <w:rPr>
                <w:rFonts w:cs="Traditional Arabic" w:hint="cs"/>
                <w:sz w:val="16"/>
                <w:szCs w:val="24"/>
                <w:rtl/>
                <w:lang w:val="fr-FR"/>
              </w:rPr>
              <w:t xml:space="preserve"> في المائة</w:t>
            </w:r>
          </w:p>
        </w:tc>
        <w:tc>
          <w:tcPr>
            <w:tcW w:w="1442" w:type="dxa"/>
            <w:shd w:val="clear" w:color="auto" w:fill="auto"/>
          </w:tcPr>
          <w:p w:rsidR="00C35CB1" w:rsidRPr="00B80FA6" w:rsidRDefault="00C35CB1" w:rsidP="00B80FA6">
            <w:pPr>
              <w:pStyle w:val="SingleTxt"/>
              <w:spacing w:before="40" w:after="80" w:line="240" w:lineRule="exact"/>
              <w:ind w:left="0" w:right="0"/>
              <w:rPr>
                <w:rFonts w:cs="Traditional Arabic" w:hint="cs"/>
                <w:sz w:val="16"/>
                <w:szCs w:val="24"/>
                <w:rtl/>
              </w:rPr>
            </w:pPr>
            <w:r w:rsidRPr="00B80FA6">
              <w:rPr>
                <w:rFonts w:cs="Traditional Arabic" w:hint="cs"/>
                <w:sz w:val="16"/>
                <w:szCs w:val="24"/>
                <w:rtl/>
              </w:rPr>
              <w:t>التقرير عن أنشطة الإدارة العامة للحماية الاجتماعية</w:t>
            </w:r>
          </w:p>
        </w:tc>
        <w:tc>
          <w:tcPr>
            <w:tcW w:w="1133" w:type="dxa"/>
            <w:shd w:val="clear" w:color="auto" w:fill="auto"/>
          </w:tcPr>
          <w:p w:rsidR="00C35CB1" w:rsidRPr="00B80FA6" w:rsidRDefault="00C35CB1" w:rsidP="00B80FA6">
            <w:pPr>
              <w:pStyle w:val="SingleTxt"/>
              <w:spacing w:before="40" w:after="80" w:line="240" w:lineRule="exact"/>
              <w:ind w:left="0" w:right="0"/>
              <w:rPr>
                <w:rFonts w:cs="Traditional Arabic" w:hint="cs"/>
                <w:sz w:val="16"/>
                <w:szCs w:val="24"/>
                <w:rtl/>
              </w:rPr>
            </w:pPr>
            <w:r w:rsidRPr="00B80FA6">
              <w:rPr>
                <w:rFonts w:cs="Traditional Arabic" w:hint="cs"/>
                <w:sz w:val="16"/>
                <w:szCs w:val="24"/>
                <w:rtl/>
              </w:rPr>
              <w:t>الوزارة المكلفة بالحماية الاجتماعية</w:t>
            </w:r>
          </w:p>
        </w:tc>
        <w:tc>
          <w:tcPr>
            <w:tcW w:w="1030" w:type="dxa"/>
            <w:shd w:val="clear" w:color="auto" w:fill="auto"/>
          </w:tcPr>
          <w:p w:rsidR="00C35CB1" w:rsidRPr="00B80FA6" w:rsidRDefault="00C35CB1" w:rsidP="00B80FA6">
            <w:pPr>
              <w:pStyle w:val="SingleTxt"/>
              <w:spacing w:before="40" w:after="80" w:line="240" w:lineRule="exact"/>
              <w:ind w:left="0" w:right="0"/>
              <w:rPr>
                <w:rFonts w:cs="Traditional Arabic" w:hint="cs"/>
                <w:sz w:val="16"/>
                <w:szCs w:val="24"/>
                <w:rtl/>
              </w:rPr>
            </w:pPr>
            <w:r w:rsidRPr="00B80FA6">
              <w:rPr>
                <w:rFonts w:cs="Traditional Arabic" w:hint="cs"/>
                <w:sz w:val="16"/>
                <w:szCs w:val="24"/>
                <w:rtl/>
              </w:rPr>
              <w:t>سنويا</w:t>
            </w:r>
          </w:p>
        </w:tc>
      </w:tr>
      <w:tr w:rsidR="00B80FA6" w:rsidRPr="00B80FA6">
        <w:trPr>
          <w:cantSplit/>
          <w:jc w:val="center"/>
        </w:trPr>
        <w:tc>
          <w:tcPr>
            <w:tcW w:w="2020" w:type="dxa"/>
            <w:tcBorders>
              <w:bottom w:val="single" w:sz="12" w:space="0" w:color="auto"/>
            </w:tcBorders>
            <w:shd w:val="clear" w:color="auto" w:fill="auto"/>
          </w:tcPr>
          <w:p w:rsidR="00C35CB1" w:rsidRPr="000F5CDE" w:rsidRDefault="00C35CB1" w:rsidP="00B80FA6">
            <w:pPr>
              <w:pStyle w:val="SingleTxt"/>
              <w:spacing w:before="40" w:after="80" w:line="240" w:lineRule="exact"/>
              <w:ind w:left="0" w:right="0"/>
              <w:rPr>
                <w:rFonts w:cs="Traditional Arabic" w:hint="cs"/>
                <w:w w:val="100"/>
                <w:sz w:val="16"/>
                <w:szCs w:val="24"/>
                <w:rtl/>
              </w:rPr>
            </w:pPr>
            <w:r w:rsidRPr="000F5CDE">
              <w:rPr>
                <w:rFonts w:cs="Traditional Arabic" w:hint="cs"/>
                <w:w w:val="100"/>
                <w:sz w:val="16"/>
                <w:szCs w:val="24"/>
                <w:rtl/>
              </w:rPr>
              <w:t>الناتج</w:t>
            </w:r>
            <w:r w:rsidR="00416A5F" w:rsidRPr="000F5CDE">
              <w:rPr>
                <w:rFonts w:cs="Traditional Arabic" w:hint="cs"/>
                <w:w w:val="100"/>
                <w:sz w:val="16"/>
                <w:szCs w:val="24"/>
                <w:rtl/>
              </w:rPr>
              <w:t xml:space="preserve"> </w:t>
            </w:r>
            <w:r w:rsidRPr="000F5CDE">
              <w:rPr>
                <w:rFonts w:cs="Traditional Arabic" w:hint="cs"/>
                <w:w w:val="100"/>
                <w:sz w:val="16"/>
                <w:szCs w:val="24"/>
                <w:rtl/>
              </w:rPr>
              <w:t>3</w:t>
            </w:r>
            <w:r w:rsidR="0015762F" w:rsidRPr="000F5CDE">
              <w:rPr>
                <w:rFonts w:cs="Traditional Arabic" w:hint="cs"/>
                <w:w w:val="100"/>
                <w:sz w:val="16"/>
                <w:szCs w:val="24"/>
                <w:rtl/>
              </w:rPr>
              <w:t xml:space="preserve"> - </w:t>
            </w:r>
            <w:r w:rsidRPr="000F5CDE">
              <w:rPr>
                <w:rFonts w:cs="Traditional Arabic" w:hint="cs"/>
                <w:w w:val="100"/>
                <w:sz w:val="16"/>
                <w:szCs w:val="24"/>
                <w:rtl/>
              </w:rPr>
              <w:t>قيام الدولة بتنسيق أعمال الجهات العاملة في دعم</w:t>
            </w:r>
            <w:r w:rsidR="00B80FA6" w:rsidRPr="000F5CDE">
              <w:rPr>
                <w:rFonts w:cs="Traditional Arabic" w:hint="cs"/>
                <w:w w:val="100"/>
                <w:sz w:val="16"/>
                <w:szCs w:val="24"/>
                <w:rtl/>
              </w:rPr>
              <w:t xml:space="preserve"> </w:t>
            </w:r>
            <w:r w:rsidRPr="000F5CDE">
              <w:rPr>
                <w:rFonts w:cs="Traditional Arabic" w:hint="cs"/>
                <w:w w:val="100"/>
                <w:sz w:val="16"/>
                <w:szCs w:val="24"/>
                <w:rtl/>
              </w:rPr>
              <w:t>الفقراء والمعوزين وبمتابعة تلك الأعمال</w:t>
            </w:r>
          </w:p>
        </w:tc>
        <w:tc>
          <w:tcPr>
            <w:tcW w:w="2124" w:type="dxa"/>
            <w:tcBorders>
              <w:bottom w:val="single" w:sz="12" w:space="0" w:color="auto"/>
            </w:tcBorders>
            <w:shd w:val="clear" w:color="auto" w:fill="auto"/>
          </w:tcPr>
          <w:p w:rsidR="00C35CB1" w:rsidRPr="00B80FA6" w:rsidRDefault="00C35CB1" w:rsidP="00B80FA6">
            <w:pPr>
              <w:pStyle w:val="SingleTxt"/>
              <w:spacing w:before="40" w:after="80" w:line="240" w:lineRule="exact"/>
              <w:ind w:left="0" w:right="0"/>
              <w:rPr>
                <w:rFonts w:cs="Traditional Arabic" w:hint="cs"/>
                <w:sz w:val="16"/>
                <w:szCs w:val="24"/>
                <w:rtl/>
              </w:rPr>
            </w:pPr>
            <w:r w:rsidRPr="00B80FA6">
              <w:rPr>
                <w:rFonts w:cs="Traditional Arabic" w:hint="cs"/>
                <w:sz w:val="16"/>
                <w:szCs w:val="24"/>
                <w:rtl/>
              </w:rPr>
              <w:t>النسبة المئوية من الجهات العاملة في مجال الحماية الاجتماعية التي تم تنسيق ومتابعة أنشطتها</w:t>
            </w:r>
          </w:p>
        </w:tc>
        <w:tc>
          <w:tcPr>
            <w:tcW w:w="968" w:type="dxa"/>
            <w:tcBorders>
              <w:bottom w:val="single" w:sz="12" w:space="0" w:color="auto"/>
            </w:tcBorders>
            <w:shd w:val="clear" w:color="auto" w:fill="auto"/>
          </w:tcPr>
          <w:p w:rsidR="00C35CB1" w:rsidRPr="00B80FA6" w:rsidRDefault="00DA6060" w:rsidP="00B80FA6">
            <w:pPr>
              <w:pStyle w:val="SingleTxt"/>
              <w:spacing w:before="40" w:after="80" w:line="240" w:lineRule="exact"/>
              <w:ind w:left="0" w:right="0"/>
              <w:rPr>
                <w:rFonts w:cs="Traditional Arabic" w:hint="cs"/>
                <w:sz w:val="16"/>
                <w:szCs w:val="24"/>
                <w:lang w:val="fr-FR"/>
              </w:rPr>
            </w:pPr>
            <w:r w:rsidRPr="00B80FA6">
              <w:rPr>
                <w:rFonts w:cs="Traditional Arabic" w:hint="cs"/>
                <w:sz w:val="16"/>
                <w:szCs w:val="24"/>
                <w:rtl/>
              </w:rPr>
              <w:t xml:space="preserve">صفر </w:t>
            </w:r>
            <w:r w:rsidRPr="00B80FA6">
              <w:rPr>
                <w:rFonts w:cs="Traditional Arabic" w:hint="cs"/>
                <w:sz w:val="16"/>
                <w:szCs w:val="24"/>
                <w:rtl/>
                <w:lang w:val="fr-FR"/>
              </w:rPr>
              <w:t>في المائة</w:t>
            </w:r>
          </w:p>
        </w:tc>
        <w:tc>
          <w:tcPr>
            <w:tcW w:w="1133" w:type="dxa"/>
            <w:tcBorders>
              <w:bottom w:val="single" w:sz="12" w:space="0" w:color="auto"/>
            </w:tcBorders>
            <w:shd w:val="clear" w:color="auto" w:fill="auto"/>
          </w:tcPr>
          <w:p w:rsidR="00C35CB1" w:rsidRPr="00B80FA6" w:rsidRDefault="00C35CB1" w:rsidP="00B80FA6">
            <w:pPr>
              <w:pStyle w:val="SingleTxt"/>
              <w:spacing w:before="40" w:after="80" w:line="240" w:lineRule="exact"/>
              <w:ind w:left="0" w:right="0"/>
              <w:rPr>
                <w:rFonts w:cs="Traditional Arabic" w:hint="cs"/>
                <w:sz w:val="16"/>
                <w:szCs w:val="24"/>
                <w:lang w:val="fr-FR"/>
              </w:rPr>
            </w:pPr>
            <w:r w:rsidRPr="00B80FA6">
              <w:rPr>
                <w:rFonts w:cs="Traditional Arabic" w:hint="cs"/>
                <w:sz w:val="16"/>
                <w:szCs w:val="24"/>
                <w:rtl/>
              </w:rPr>
              <w:t>100</w:t>
            </w:r>
            <w:r w:rsidR="00DA6060" w:rsidRPr="00B80FA6">
              <w:rPr>
                <w:rFonts w:cs="Traditional Arabic" w:hint="cs"/>
                <w:sz w:val="16"/>
                <w:szCs w:val="24"/>
                <w:rtl/>
                <w:lang w:val="fr-FR"/>
              </w:rPr>
              <w:t xml:space="preserve"> في المائة</w:t>
            </w:r>
          </w:p>
        </w:tc>
        <w:tc>
          <w:tcPr>
            <w:tcW w:w="1442" w:type="dxa"/>
            <w:tcBorders>
              <w:bottom w:val="single" w:sz="12" w:space="0" w:color="auto"/>
            </w:tcBorders>
            <w:shd w:val="clear" w:color="auto" w:fill="auto"/>
          </w:tcPr>
          <w:p w:rsidR="00C35CB1" w:rsidRPr="00B80FA6" w:rsidRDefault="00DA6060" w:rsidP="00B80FA6">
            <w:pPr>
              <w:pStyle w:val="SingleTxt"/>
              <w:spacing w:before="40" w:after="80" w:line="240" w:lineRule="exact"/>
              <w:ind w:left="0" w:right="0"/>
              <w:rPr>
                <w:rFonts w:cs="Traditional Arabic" w:hint="cs"/>
                <w:sz w:val="16"/>
                <w:szCs w:val="24"/>
                <w:rtl/>
              </w:rPr>
            </w:pPr>
            <w:r w:rsidRPr="00B80FA6">
              <w:rPr>
                <w:rFonts w:cs="Traditional Arabic" w:hint="cs"/>
                <w:sz w:val="16"/>
                <w:szCs w:val="24"/>
                <w:rtl/>
              </w:rPr>
              <w:t>إ</w:t>
            </w:r>
            <w:r w:rsidR="00C35CB1" w:rsidRPr="00B80FA6">
              <w:rPr>
                <w:rFonts w:cs="Traditional Arabic" w:hint="cs"/>
                <w:sz w:val="16"/>
                <w:szCs w:val="24"/>
                <w:rtl/>
              </w:rPr>
              <w:t>حصاءات قامت المنظمات غير الحكومية بتجميعها تقارير عن الأنشطة</w:t>
            </w:r>
          </w:p>
        </w:tc>
        <w:tc>
          <w:tcPr>
            <w:tcW w:w="1133" w:type="dxa"/>
            <w:tcBorders>
              <w:bottom w:val="single" w:sz="12" w:space="0" w:color="auto"/>
            </w:tcBorders>
            <w:shd w:val="clear" w:color="auto" w:fill="auto"/>
          </w:tcPr>
          <w:p w:rsidR="00C35CB1" w:rsidRPr="00B80FA6" w:rsidRDefault="00C35CB1" w:rsidP="00B80FA6">
            <w:pPr>
              <w:pStyle w:val="SingleTxt"/>
              <w:spacing w:before="40" w:after="80" w:line="240" w:lineRule="exact"/>
              <w:ind w:left="0" w:right="0"/>
              <w:rPr>
                <w:rFonts w:cs="Traditional Arabic" w:hint="cs"/>
                <w:sz w:val="16"/>
                <w:szCs w:val="24"/>
                <w:rtl/>
              </w:rPr>
            </w:pPr>
            <w:r w:rsidRPr="00B80FA6">
              <w:rPr>
                <w:rFonts w:cs="Traditional Arabic" w:hint="cs"/>
                <w:sz w:val="16"/>
                <w:szCs w:val="24"/>
                <w:rtl/>
              </w:rPr>
              <w:t>الإدارة العامة للحماية الاجتماعية</w:t>
            </w:r>
          </w:p>
        </w:tc>
        <w:tc>
          <w:tcPr>
            <w:tcW w:w="1030" w:type="dxa"/>
            <w:tcBorders>
              <w:bottom w:val="single" w:sz="12" w:space="0" w:color="auto"/>
            </w:tcBorders>
            <w:shd w:val="clear" w:color="auto" w:fill="auto"/>
          </w:tcPr>
          <w:p w:rsidR="00C35CB1" w:rsidRPr="00B80FA6" w:rsidRDefault="00C35CB1" w:rsidP="00B80FA6">
            <w:pPr>
              <w:pStyle w:val="SingleTxt"/>
              <w:spacing w:before="40" w:after="80" w:line="240" w:lineRule="exact"/>
              <w:ind w:left="0" w:right="0"/>
              <w:rPr>
                <w:rFonts w:cs="Traditional Arabic" w:hint="cs"/>
                <w:sz w:val="16"/>
                <w:szCs w:val="24"/>
                <w:rtl/>
              </w:rPr>
            </w:pPr>
            <w:r w:rsidRPr="00B80FA6">
              <w:rPr>
                <w:rFonts w:cs="Traditional Arabic" w:hint="cs"/>
                <w:sz w:val="16"/>
                <w:szCs w:val="24"/>
                <w:rtl/>
              </w:rPr>
              <w:t>سنويا</w:t>
            </w:r>
          </w:p>
        </w:tc>
      </w:tr>
    </w:tbl>
    <w:p w:rsidR="007940BD" w:rsidRPr="007940BD" w:rsidRDefault="007940BD" w:rsidP="007940BD">
      <w:pPr>
        <w:pStyle w:val="SingleTxt"/>
        <w:spacing w:after="0" w:line="120" w:lineRule="exact"/>
        <w:rPr>
          <w:rFonts w:hint="cs"/>
          <w:sz w:val="10"/>
          <w:rtl/>
        </w:rPr>
      </w:pPr>
    </w:p>
    <w:p w:rsidR="007940BD" w:rsidRPr="007940BD" w:rsidRDefault="007940BD" w:rsidP="007940BD">
      <w:pPr>
        <w:pStyle w:val="SingleTxt"/>
        <w:spacing w:after="0" w:line="120" w:lineRule="exact"/>
        <w:rPr>
          <w:rFonts w:hint="cs"/>
          <w:sz w:val="10"/>
          <w:rtl/>
        </w:rPr>
      </w:pPr>
    </w:p>
    <w:p w:rsidR="007940BD" w:rsidRDefault="00C35CB1" w:rsidP="007940BD">
      <w:pPr>
        <w:tabs>
          <w:tab w:val="left" w:pos="662"/>
          <w:tab w:val="left" w:pos="1267"/>
          <w:tab w:val="left" w:pos="1987"/>
          <w:tab w:val="left" w:pos="2650"/>
        </w:tabs>
        <w:rPr>
          <w:rFonts w:hint="cs"/>
          <w:rtl/>
        </w:rPr>
      </w:pPr>
      <w:r w:rsidRPr="00C35CB1">
        <w:rPr>
          <w:rFonts w:hint="cs"/>
          <w:rtl/>
        </w:rPr>
        <w:t>الجدول 6</w:t>
      </w:r>
    </w:p>
    <w:p w:rsidR="00C35CB1" w:rsidRPr="00C35CB1" w:rsidRDefault="00C35CB1" w:rsidP="007940BD">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lowKashida"/>
        <w:rPr>
          <w:rFonts w:hint="cs"/>
          <w:rtl/>
        </w:rPr>
      </w:pPr>
      <w:r w:rsidRPr="00C35CB1">
        <w:rPr>
          <w:rFonts w:hint="cs"/>
          <w:rtl/>
        </w:rPr>
        <w:t xml:space="preserve">تحسين مشاركة المرأة في الشؤون الاجتماعية </w:t>
      </w:r>
      <w:r w:rsidR="00D666E0">
        <w:rPr>
          <w:rFonts w:hint="cs"/>
          <w:rtl/>
        </w:rPr>
        <w:t>و</w:t>
      </w:r>
      <w:r w:rsidRPr="00C35CB1">
        <w:rPr>
          <w:rFonts w:hint="cs"/>
          <w:rtl/>
        </w:rPr>
        <w:t xml:space="preserve">الاقتصادية </w:t>
      </w:r>
      <w:r w:rsidR="00D666E0">
        <w:rPr>
          <w:rFonts w:hint="cs"/>
          <w:rtl/>
        </w:rPr>
        <w:t>و</w:t>
      </w:r>
      <w:r w:rsidRPr="00C35CB1">
        <w:rPr>
          <w:rFonts w:hint="cs"/>
          <w:rtl/>
        </w:rPr>
        <w:t>المدنية</w:t>
      </w:r>
    </w:p>
    <w:p w:rsidR="007940BD" w:rsidRPr="00C35CB1" w:rsidRDefault="007940BD" w:rsidP="007940B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C35CB1">
        <w:rPr>
          <w:rFonts w:hint="cs"/>
          <w:rtl/>
        </w:rPr>
        <w:t xml:space="preserve">التحدي 5 </w:t>
      </w:r>
      <w:r>
        <w:rPr>
          <w:rFonts w:hint="cs"/>
          <w:rtl/>
        </w:rPr>
        <w:t>-</w:t>
      </w:r>
      <w:r w:rsidRPr="00C35CB1">
        <w:rPr>
          <w:rFonts w:hint="cs"/>
          <w:rtl/>
        </w:rPr>
        <w:t xml:space="preserve"> النهوض بالمساواة الجنسانية </w:t>
      </w:r>
      <w:r>
        <w:rPr>
          <w:rFonts w:hint="cs"/>
          <w:rtl/>
        </w:rPr>
        <w:t>و</w:t>
      </w:r>
      <w:r w:rsidRPr="00C35CB1">
        <w:rPr>
          <w:rFonts w:hint="cs"/>
          <w:rtl/>
        </w:rPr>
        <w:t>تحقيق الاستقلال الذاتي للنساء</w:t>
      </w:r>
    </w:p>
    <w:p w:rsidR="007940BD" w:rsidRPr="007940BD" w:rsidRDefault="007940BD" w:rsidP="007940BD">
      <w:pPr>
        <w:pStyle w:val="SingleTxt"/>
        <w:spacing w:after="0" w:line="120" w:lineRule="exact"/>
        <w:rPr>
          <w:rFonts w:hint="cs"/>
          <w:b/>
          <w:bCs/>
          <w:sz w:val="10"/>
          <w:rtl/>
        </w:rPr>
      </w:pPr>
    </w:p>
    <w:tbl>
      <w:tblPr>
        <w:tblStyle w:val="TableGrid"/>
        <w:bidiVisual/>
        <w:tblW w:w="98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6" w:type="dxa"/>
          <w:right w:w="86" w:type="dxa"/>
        </w:tblCellMar>
        <w:tblLook w:val="01E0" w:firstRow="1" w:lastRow="1" w:firstColumn="1" w:lastColumn="1" w:noHBand="0" w:noVBand="0"/>
      </w:tblPr>
      <w:tblGrid>
        <w:gridCol w:w="1660"/>
        <w:gridCol w:w="2319"/>
        <w:gridCol w:w="1030"/>
        <w:gridCol w:w="1146"/>
        <w:gridCol w:w="1417"/>
        <w:gridCol w:w="1171"/>
        <w:gridCol w:w="1107"/>
      </w:tblGrid>
      <w:tr w:rsidR="00572C57" w:rsidRPr="00572C57">
        <w:trPr>
          <w:cantSplit/>
          <w:tblHeader/>
          <w:jc w:val="center"/>
        </w:trPr>
        <w:tc>
          <w:tcPr>
            <w:tcW w:w="1660" w:type="dxa"/>
            <w:tcBorders>
              <w:top w:val="single" w:sz="4" w:space="0" w:color="auto"/>
              <w:bottom w:val="single" w:sz="12" w:space="0" w:color="auto"/>
            </w:tcBorders>
            <w:shd w:val="clear" w:color="auto" w:fill="auto"/>
            <w:vAlign w:val="bottom"/>
          </w:tcPr>
          <w:p w:rsidR="00C35CB1" w:rsidRPr="00572C57" w:rsidRDefault="00C35CB1" w:rsidP="00572C57">
            <w:pPr>
              <w:pStyle w:val="SingleTxt"/>
              <w:spacing w:before="80" w:after="80" w:line="240" w:lineRule="exact"/>
              <w:ind w:left="0" w:right="0"/>
              <w:rPr>
                <w:rFonts w:cs="Traditional Arabic" w:hint="cs"/>
                <w:i/>
                <w:iCs/>
                <w:sz w:val="16"/>
                <w:szCs w:val="24"/>
                <w:rtl/>
              </w:rPr>
            </w:pPr>
            <w:r w:rsidRPr="00572C57">
              <w:rPr>
                <w:rFonts w:cs="Traditional Arabic" w:hint="cs"/>
                <w:i/>
                <w:iCs/>
                <w:sz w:val="16"/>
                <w:szCs w:val="24"/>
                <w:rtl/>
              </w:rPr>
              <w:t>النتائج</w:t>
            </w:r>
          </w:p>
          <w:p w:rsidR="00C35CB1" w:rsidRPr="00572C57" w:rsidRDefault="00C35CB1" w:rsidP="00572C57">
            <w:pPr>
              <w:pStyle w:val="SingleTxt"/>
              <w:spacing w:before="80" w:after="80" w:line="240" w:lineRule="exact"/>
              <w:ind w:left="0" w:right="0"/>
              <w:rPr>
                <w:rFonts w:cs="Traditional Arabic" w:hint="cs"/>
                <w:i/>
                <w:iCs/>
                <w:sz w:val="16"/>
                <w:szCs w:val="24"/>
                <w:rtl/>
              </w:rPr>
            </w:pPr>
            <w:r w:rsidRPr="00572C57">
              <w:rPr>
                <w:rFonts w:cs="Traditional Arabic" w:hint="cs"/>
                <w:i/>
                <w:iCs/>
                <w:sz w:val="16"/>
                <w:szCs w:val="24"/>
                <w:rtl/>
              </w:rPr>
              <w:t>الآثار</w:t>
            </w:r>
            <w:r w:rsidR="00BB6B48" w:rsidRPr="00572C57">
              <w:rPr>
                <w:rFonts w:cs="Traditional Arabic" w:hint="cs"/>
                <w:i/>
                <w:iCs/>
                <w:sz w:val="16"/>
                <w:szCs w:val="24"/>
                <w:rtl/>
              </w:rPr>
              <w:t>/</w:t>
            </w:r>
            <w:r w:rsidRPr="00572C57">
              <w:rPr>
                <w:rFonts w:cs="Traditional Arabic" w:hint="cs"/>
                <w:i/>
                <w:iCs/>
                <w:sz w:val="16"/>
                <w:szCs w:val="24"/>
                <w:rtl/>
              </w:rPr>
              <w:t>النواتج</w:t>
            </w:r>
          </w:p>
        </w:tc>
        <w:tc>
          <w:tcPr>
            <w:tcW w:w="2319" w:type="dxa"/>
            <w:tcBorders>
              <w:top w:val="single" w:sz="4" w:space="0" w:color="auto"/>
              <w:bottom w:val="single" w:sz="12" w:space="0" w:color="auto"/>
            </w:tcBorders>
            <w:shd w:val="clear" w:color="auto" w:fill="auto"/>
            <w:vAlign w:val="bottom"/>
          </w:tcPr>
          <w:p w:rsidR="00C35CB1" w:rsidRPr="00572C57" w:rsidRDefault="00C35CB1" w:rsidP="00572C57">
            <w:pPr>
              <w:pStyle w:val="SingleTxt"/>
              <w:spacing w:before="80" w:after="80" w:line="240" w:lineRule="exact"/>
              <w:ind w:left="0" w:right="0"/>
              <w:rPr>
                <w:rFonts w:cs="Traditional Arabic" w:hint="cs"/>
                <w:i/>
                <w:iCs/>
                <w:sz w:val="16"/>
                <w:szCs w:val="24"/>
                <w:rtl/>
              </w:rPr>
            </w:pPr>
            <w:r w:rsidRPr="00572C57">
              <w:rPr>
                <w:rFonts w:cs="Traditional Arabic" w:hint="cs"/>
                <w:i/>
                <w:iCs/>
                <w:sz w:val="16"/>
                <w:szCs w:val="24"/>
                <w:rtl/>
              </w:rPr>
              <w:t>المؤشرات</w:t>
            </w:r>
          </w:p>
        </w:tc>
        <w:tc>
          <w:tcPr>
            <w:tcW w:w="1030" w:type="dxa"/>
            <w:tcBorders>
              <w:top w:val="single" w:sz="4" w:space="0" w:color="auto"/>
              <w:bottom w:val="single" w:sz="12" w:space="0" w:color="auto"/>
            </w:tcBorders>
            <w:shd w:val="clear" w:color="auto" w:fill="auto"/>
            <w:vAlign w:val="bottom"/>
          </w:tcPr>
          <w:p w:rsidR="00C35CB1" w:rsidRPr="00572C57" w:rsidRDefault="00C35CB1" w:rsidP="00572C57">
            <w:pPr>
              <w:pStyle w:val="SingleTxt"/>
              <w:spacing w:before="80" w:after="80" w:line="240" w:lineRule="exact"/>
              <w:ind w:left="0" w:right="0"/>
              <w:rPr>
                <w:rFonts w:cs="Traditional Arabic" w:hint="cs"/>
                <w:i/>
                <w:iCs/>
                <w:sz w:val="16"/>
                <w:szCs w:val="24"/>
                <w:rtl/>
              </w:rPr>
            </w:pPr>
            <w:r w:rsidRPr="00572C57">
              <w:rPr>
                <w:rFonts w:cs="Traditional Arabic" w:hint="cs"/>
                <w:i/>
                <w:iCs/>
                <w:sz w:val="16"/>
                <w:szCs w:val="24"/>
                <w:rtl/>
              </w:rPr>
              <w:t>الأساس</w:t>
            </w:r>
          </w:p>
        </w:tc>
        <w:tc>
          <w:tcPr>
            <w:tcW w:w="1146" w:type="dxa"/>
            <w:tcBorders>
              <w:top w:val="single" w:sz="4" w:space="0" w:color="auto"/>
              <w:bottom w:val="single" w:sz="12" w:space="0" w:color="auto"/>
            </w:tcBorders>
            <w:shd w:val="clear" w:color="auto" w:fill="auto"/>
            <w:vAlign w:val="bottom"/>
          </w:tcPr>
          <w:p w:rsidR="00C35CB1" w:rsidRPr="00572C57" w:rsidRDefault="00C35CB1" w:rsidP="00572C57">
            <w:pPr>
              <w:pStyle w:val="SingleTxt"/>
              <w:spacing w:before="80" w:after="80" w:line="240" w:lineRule="exact"/>
              <w:ind w:left="0" w:right="0"/>
              <w:rPr>
                <w:rFonts w:cs="Traditional Arabic" w:hint="cs"/>
                <w:i/>
                <w:iCs/>
                <w:sz w:val="16"/>
                <w:szCs w:val="24"/>
                <w:rtl/>
              </w:rPr>
            </w:pPr>
            <w:r w:rsidRPr="00572C57">
              <w:rPr>
                <w:rFonts w:cs="Traditional Arabic" w:hint="cs"/>
                <w:i/>
                <w:iCs/>
                <w:sz w:val="16"/>
                <w:szCs w:val="24"/>
                <w:rtl/>
              </w:rPr>
              <w:t>هدف 2012</w:t>
            </w:r>
          </w:p>
        </w:tc>
        <w:tc>
          <w:tcPr>
            <w:tcW w:w="1417" w:type="dxa"/>
            <w:tcBorders>
              <w:top w:val="single" w:sz="4" w:space="0" w:color="auto"/>
              <w:bottom w:val="single" w:sz="12" w:space="0" w:color="auto"/>
            </w:tcBorders>
            <w:shd w:val="clear" w:color="auto" w:fill="auto"/>
            <w:vAlign w:val="bottom"/>
          </w:tcPr>
          <w:p w:rsidR="00C35CB1" w:rsidRPr="00572C57" w:rsidRDefault="00C35CB1" w:rsidP="00572C57">
            <w:pPr>
              <w:pStyle w:val="SingleTxt"/>
              <w:spacing w:before="80" w:after="80" w:line="240" w:lineRule="exact"/>
              <w:ind w:left="0" w:right="0"/>
              <w:rPr>
                <w:rFonts w:cs="Traditional Arabic" w:hint="cs"/>
                <w:i/>
                <w:iCs/>
                <w:sz w:val="16"/>
                <w:szCs w:val="24"/>
                <w:rtl/>
              </w:rPr>
            </w:pPr>
            <w:r w:rsidRPr="00572C57">
              <w:rPr>
                <w:rFonts w:cs="Traditional Arabic" w:hint="cs"/>
                <w:i/>
                <w:iCs/>
                <w:sz w:val="16"/>
                <w:szCs w:val="24"/>
                <w:rtl/>
              </w:rPr>
              <w:t>المصادر</w:t>
            </w:r>
          </w:p>
        </w:tc>
        <w:tc>
          <w:tcPr>
            <w:tcW w:w="1171" w:type="dxa"/>
            <w:tcBorders>
              <w:top w:val="single" w:sz="4" w:space="0" w:color="auto"/>
              <w:bottom w:val="single" w:sz="12" w:space="0" w:color="auto"/>
            </w:tcBorders>
            <w:shd w:val="clear" w:color="auto" w:fill="auto"/>
            <w:vAlign w:val="bottom"/>
          </w:tcPr>
          <w:p w:rsidR="00C35CB1" w:rsidRPr="00572C57" w:rsidRDefault="00C35CB1" w:rsidP="00572C57">
            <w:pPr>
              <w:pStyle w:val="SingleTxt"/>
              <w:spacing w:before="80" w:after="80" w:line="240" w:lineRule="exact"/>
              <w:ind w:left="0" w:right="0"/>
              <w:rPr>
                <w:rFonts w:cs="Traditional Arabic" w:hint="cs"/>
                <w:i/>
                <w:iCs/>
                <w:sz w:val="16"/>
                <w:szCs w:val="24"/>
                <w:rtl/>
              </w:rPr>
            </w:pPr>
            <w:r w:rsidRPr="00572C57">
              <w:rPr>
                <w:rFonts w:cs="Traditional Arabic" w:hint="cs"/>
                <w:i/>
                <w:iCs/>
                <w:sz w:val="16"/>
                <w:szCs w:val="24"/>
                <w:rtl/>
              </w:rPr>
              <w:t>المسؤولون</w:t>
            </w:r>
          </w:p>
        </w:tc>
        <w:tc>
          <w:tcPr>
            <w:tcW w:w="1107" w:type="dxa"/>
            <w:tcBorders>
              <w:top w:val="single" w:sz="4" w:space="0" w:color="auto"/>
              <w:bottom w:val="single" w:sz="12" w:space="0" w:color="auto"/>
            </w:tcBorders>
            <w:shd w:val="clear" w:color="auto" w:fill="auto"/>
            <w:vAlign w:val="bottom"/>
          </w:tcPr>
          <w:p w:rsidR="00C35CB1" w:rsidRPr="00572C57" w:rsidRDefault="00C35CB1" w:rsidP="00572C57">
            <w:pPr>
              <w:pStyle w:val="SingleTxt"/>
              <w:spacing w:before="80" w:after="80" w:line="240" w:lineRule="exact"/>
              <w:ind w:left="0" w:right="0"/>
              <w:rPr>
                <w:rFonts w:cs="Traditional Arabic" w:hint="cs"/>
                <w:i/>
                <w:iCs/>
                <w:sz w:val="16"/>
                <w:szCs w:val="24"/>
                <w:rtl/>
              </w:rPr>
            </w:pPr>
            <w:r w:rsidRPr="00572C57">
              <w:rPr>
                <w:rFonts w:cs="Traditional Arabic" w:hint="cs"/>
                <w:i/>
                <w:iCs/>
                <w:sz w:val="16"/>
                <w:szCs w:val="24"/>
                <w:rtl/>
              </w:rPr>
              <w:t>تواتر عمليات الجمع</w:t>
            </w:r>
          </w:p>
        </w:tc>
      </w:tr>
      <w:tr w:rsidR="00572C57" w:rsidRPr="00572C57">
        <w:trPr>
          <w:cantSplit/>
          <w:trHeight w:hRule="exact" w:val="115"/>
          <w:tblHeader/>
          <w:jc w:val="center"/>
        </w:trPr>
        <w:tc>
          <w:tcPr>
            <w:tcW w:w="1660" w:type="dxa"/>
            <w:tcBorders>
              <w:top w:val="single" w:sz="12" w:space="0" w:color="auto"/>
            </w:tcBorders>
            <w:shd w:val="clear" w:color="auto" w:fill="auto"/>
            <w:vAlign w:val="bottom"/>
          </w:tcPr>
          <w:p w:rsidR="00572C57" w:rsidRPr="00572C57" w:rsidRDefault="00572C57" w:rsidP="00572C57">
            <w:pPr>
              <w:pStyle w:val="SingleTxt"/>
              <w:spacing w:before="40" w:after="80" w:line="240" w:lineRule="exact"/>
              <w:ind w:left="0" w:right="0"/>
              <w:rPr>
                <w:rFonts w:hint="cs"/>
                <w:b/>
                <w:bCs/>
                <w:sz w:val="16"/>
                <w:szCs w:val="24"/>
                <w:rtl/>
              </w:rPr>
            </w:pPr>
          </w:p>
        </w:tc>
        <w:tc>
          <w:tcPr>
            <w:tcW w:w="2319" w:type="dxa"/>
            <w:tcBorders>
              <w:top w:val="single" w:sz="12" w:space="0" w:color="auto"/>
            </w:tcBorders>
            <w:shd w:val="clear" w:color="auto" w:fill="auto"/>
            <w:vAlign w:val="bottom"/>
          </w:tcPr>
          <w:p w:rsidR="00572C57" w:rsidRPr="00572C57" w:rsidRDefault="00572C57" w:rsidP="00572C57">
            <w:pPr>
              <w:pStyle w:val="SingleTxt"/>
              <w:spacing w:before="40" w:after="80" w:line="240" w:lineRule="exact"/>
              <w:ind w:left="0" w:right="144"/>
              <w:rPr>
                <w:rFonts w:hint="cs"/>
                <w:b/>
                <w:bCs/>
                <w:sz w:val="16"/>
                <w:szCs w:val="24"/>
                <w:rtl/>
              </w:rPr>
            </w:pPr>
          </w:p>
        </w:tc>
        <w:tc>
          <w:tcPr>
            <w:tcW w:w="1030" w:type="dxa"/>
            <w:tcBorders>
              <w:top w:val="single" w:sz="12" w:space="0" w:color="auto"/>
            </w:tcBorders>
            <w:shd w:val="clear" w:color="auto" w:fill="auto"/>
            <w:vAlign w:val="bottom"/>
          </w:tcPr>
          <w:p w:rsidR="00572C57" w:rsidRPr="00572C57" w:rsidRDefault="00572C57" w:rsidP="00572C57">
            <w:pPr>
              <w:pStyle w:val="SingleTxt"/>
              <w:spacing w:before="40" w:after="80" w:line="240" w:lineRule="exact"/>
              <w:ind w:left="0" w:right="144"/>
              <w:rPr>
                <w:rFonts w:hint="cs"/>
                <w:b/>
                <w:bCs/>
                <w:sz w:val="16"/>
                <w:szCs w:val="24"/>
                <w:rtl/>
              </w:rPr>
            </w:pPr>
          </w:p>
        </w:tc>
        <w:tc>
          <w:tcPr>
            <w:tcW w:w="1146" w:type="dxa"/>
            <w:tcBorders>
              <w:top w:val="single" w:sz="12" w:space="0" w:color="auto"/>
            </w:tcBorders>
            <w:shd w:val="clear" w:color="auto" w:fill="auto"/>
            <w:vAlign w:val="bottom"/>
          </w:tcPr>
          <w:p w:rsidR="00572C57" w:rsidRPr="00572C57" w:rsidRDefault="00572C57" w:rsidP="00572C57">
            <w:pPr>
              <w:pStyle w:val="SingleTxt"/>
              <w:spacing w:before="40" w:after="80" w:line="240" w:lineRule="exact"/>
              <w:ind w:left="0" w:right="144"/>
              <w:rPr>
                <w:rFonts w:hint="cs"/>
                <w:b/>
                <w:bCs/>
                <w:sz w:val="16"/>
                <w:szCs w:val="24"/>
                <w:rtl/>
              </w:rPr>
            </w:pPr>
          </w:p>
        </w:tc>
        <w:tc>
          <w:tcPr>
            <w:tcW w:w="1417" w:type="dxa"/>
            <w:tcBorders>
              <w:top w:val="single" w:sz="12" w:space="0" w:color="auto"/>
            </w:tcBorders>
            <w:shd w:val="clear" w:color="auto" w:fill="auto"/>
            <w:vAlign w:val="bottom"/>
          </w:tcPr>
          <w:p w:rsidR="00572C57" w:rsidRPr="00572C57" w:rsidRDefault="00572C57" w:rsidP="00572C57">
            <w:pPr>
              <w:pStyle w:val="SingleTxt"/>
              <w:spacing w:before="40" w:after="80" w:line="240" w:lineRule="exact"/>
              <w:ind w:left="0" w:right="144"/>
              <w:rPr>
                <w:rFonts w:hint="cs"/>
                <w:b/>
                <w:bCs/>
                <w:sz w:val="16"/>
                <w:szCs w:val="24"/>
                <w:rtl/>
              </w:rPr>
            </w:pPr>
          </w:p>
        </w:tc>
        <w:tc>
          <w:tcPr>
            <w:tcW w:w="1171" w:type="dxa"/>
            <w:tcBorders>
              <w:top w:val="single" w:sz="12" w:space="0" w:color="auto"/>
            </w:tcBorders>
            <w:shd w:val="clear" w:color="auto" w:fill="auto"/>
            <w:vAlign w:val="bottom"/>
          </w:tcPr>
          <w:p w:rsidR="00572C57" w:rsidRPr="00572C57" w:rsidRDefault="00572C57" w:rsidP="00572C57">
            <w:pPr>
              <w:pStyle w:val="SingleTxt"/>
              <w:spacing w:before="40" w:after="80" w:line="240" w:lineRule="exact"/>
              <w:ind w:left="0" w:right="144"/>
              <w:rPr>
                <w:rFonts w:hint="cs"/>
                <w:b/>
                <w:bCs/>
                <w:sz w:val="16"/>
                <w:szCs w:val="24"/>
                <w:rtl/>
              </w:rPr>
            </w:pPr>
          </w:p>
        </w:tc>
        <w:tc>
          <w:tcPr>
            <w:tcW w:w="1107" w:type="dxa"/>
            <w:tcBorders>
              <w:top w:val="single" w:sz="12" w:space="0" w:color="auto"/>
            </w:tcBorders>
            <w:shd w:val="clear" w:color="auto" w:fill="auto"/>
            <w:vAlign w:val="bottom"/>
          </w:tcPr>
          <w:p w:rsidR="00572C57" w:rsidRPr="00572C57" w:rsidRDefault="00572C57" w:rsidP="00572C57">
            <w:pPr>
              <w:pStyle w:val="SingleTxt"/>
              <w:spacing w:before="40" w:after="80" w:line="240" w:lineRule="exact"/>
              <w:ind w:left="0" w:right="144"/>
              <w:rPr>
                <w:b/>
                <w:bCs/>
                <w:sz w:val="16"/>
                <w:szCs w:val="24"/>
                <w:lang w:val="fr-CA"/>
              </w:rPr>
            </w:pPr>
          </w:p>
        </w:tc>
      </w:tr>
      <w:tr w:rsidR="00572C57" w:rsidRPr="00572C57">
        <w:trPr>
          <w:cantSplit/>
          <w:jc w:val="center"/>
        </w:trPr>
        <w:tc>
          <w:tcPr>
            <w:tcW w:w="1660" w:type="dxa"/>
            <w:shd w:val="clear" w:color="auto" w:fill="auto"/>
          </w:tcPr>
          <w:p w:rsidR="00C35CB1" w:rsidRPr="00572C57" w:rsidRDefault="00C35CB1" w:rsidP="00572C57">
            <w:pPr>
              <w:pStyle w:val="SingleTxt"/>
              <w:spacing w:before="40" w:after="80" w:line="240" w:lineRule="exact"/>
              <w:ind w:left="0" w:right="0"/>
              <w:rPr>
                <w:rFonts w:cs="Traditional Arabic" w:hint="cs"/>
                <w:sz w:val="16"/>
                <w:szCs w:val="24"/>
                <w:rtl/>
              </w:rPr>
            </w:pPr>
            <w:r w:rsidRPr="00572C57">
              <w:rPr>
                <w:rFonts w:cs="Traditional Arabic" w:hint="cs"/>
                <w:sz w:val="16"/>
                <w:szCs w:val="24"/>
                <w:rtl/>
              </w:rPr>
              <w:t xml:space="preserve">الأثر 1 </w:t>
            </w:r>
            <w:r w:rsidR="00572C57">
              <w:rPr>
                <w:rFonts w:cs="Traditional Arabic" w:hint="cs"/>
                <w:sz w:val="16"/>
                <w:szCs w:val="24"/>
                <w:rtl/>
              </w:rPr>
              <w:t xml:space="preserve">- </w:t>
            </w:r>
            <w:r w:rsidRPr="00572C57">
              <w:rPr>
                <w:rFonts w:cs="Traditional Arabic" w:hint="cs"/>
                <w:sz w:val="16"/>
                <w:szCs w:val="24"/>
                <w:rtl/>
              </w:rPr>
              <w:t xml:space="preserve">بالمساواة الجنسانية </w:t>
            </w:r>
            <w:r w:rsidR="00D666E0" w:rsidRPr="00572C57">
              <w:rPr>
                <w:rFonts w:cs="Traditional Arabic" w:hint="cs"/>
                <w:sz w:val="16"/>
                <w:szCs w:val="24"/>
                <w:rtl/>
              </w:rPr>
              <w:t>و</w:t>
            </w:r>
            <w:r w:rsidRPr="00572C57">
              <w:rPr>
                <w:rFonts w:cs="Traditional Arabic" w:hint="cs"/>
                <w:sz w:val="16"/>
                <w:szCs w:val="24"/>
                <w:rtl/>
              </w:rPr>
              <w:t>بتحقيق الاستقلال الذاتي للنساء</w:t>
            </w:r>
          </w:p>
        </w:tc>
        <w:tc>
          <w:tcPr>
            <w:tcW w:w="2319" w:type="dxa"/>
            <w:shd w:val="clear" w:color="auto" w:fill="auto"/>
          </w:tcPr>
          <w:p w:rsidR="00C35CB1" w:rsidRPr="00572C57" w:rsidRDefault="00C35CB1" w:rsidP="00572C57">
            <w:pPr>
              <w:pStyle w:val="SingleTxt"/>
              <w:spacing w:before="40" w:after="80" w:line="240" w:lineRule="exact"/>
              <w:ind w:left="0" w:right="0"/>
              <w:rPr>
                <w:rFonts w:cs="Traditional Arabic" w:hint="cs"/>
                <w:sz w:val="16"/>
                <w:szCs w:val="24"/>
                <w:rtl/>
              </w:rPr>
            </w:pPr>
            <w:r w:rsidRPr="00572C57">
              <w:rPr>
                <w:rFonts w:cs="Traditional Arabic" w:hint="cs"/>
                <w:sz w:val="16"/>
                <w:szCs w:val="24"/>
                <w:rtl/>
              </w:rPr>
              <w:t xml:space="preserve">الفارق في المرتبات بين الرجل </w:t>
            </w:r>
            <w:r w:rsidR="00D666E0" w:rsidRPr="00572C57">
              <w:rPr>
                <w:rFonts w:cs="Traditional Arabic" w:hint="cs"/>
                <w:sz w:val="16"/>
                <w:szCs w:val="24"/>
                <w:rtl/>
              </w:rPr>
              <w:t>و</w:t>
            </w:r>
            <w:r w:rsidRPr="00572C57">
              <w:rPr>
                <w:rFonts w:cs="Traditional Arabic" w:hint="cs"/>
                <w:sz w:val="16"/>
                <w:szCs w:val="24"/>
                <w:rtl/>
              </w:rPr>
              <w:t>المرأة في القطاع الخاص</w:t>
            </w:r>
            <w:r w:rsidR="00416A5F">
              <w:rPr>
                <w:rFonts w:cs="Traditional Arabic" w:hint="cs"/>
                <w:sz w:val="16"/>
                <w:szCs w:val="24"/>
                <w:rtl/>
              </w:rPr>
              <w:t xml:space="preserve"> </w:t>
            </w:r>
            <w:r w:rsidRPr="00572C57">
              <w:rPr>
                <w:rFonts w:cs="Traditional Arabic" w:hint="cs"/>
                <w:sz w:val="16"/>
                <w:szCs w:val="24"/>
                <w:rtl/>
              </w:rPr>
              <w:t xml:space="preserve">(خطة عمل مدغشقر) </w:t>
            </w:r>
          </w:p>
        </w:tc>
        <w:tc>
          <w:tcPr>
            <w:tcW w:w="1030" w:type="dxa"/>
            <w:shd w:val="clear" w:color="auto" w:fill="auto"/>
          </w:tcPr>
          <w:p w:rsidR="00C35CB1" w:rsidRPr="00572C57" w:rsidRDefault="00C35CB1" w:rsidP="00572C57">
            <w:pPr>
              <w:pStyle w:val="SingleTxt"/>
              <w:spacing w:before="40" w:after="80" w:line="240" w:lineRule="exact"/>
              <w:ind w:left="0" w:right="0"/>
              <w:rPr>
                <w:rFonts w:cs="Traditional Arabic"/>
                <w:sz w:val="16"/>
                <w:szCs w:val="24"/>
                <w:lang w:val="fr-CA"/>
              </w:rPr>
            </w:pPr>
            <w:r w:rsidRPr="00572C57">
              <w:rPr>
                <w:rFonts w:cs="Traditional Arabic" w:hint="cs"/>
                <w:sz w:val="16"/>
                <w:szCs w:val="24"/>
                <w:rtl/>
              </w:rPr>
              <w:t>36</w:t>
            </w:r>
            <w:r w:rsidR="00572C57">
              <w:rPr>
                <w:rFonts w:cs="Traditional Arabic" w:hint="cs"/>
                <w:sz w:val="16"/>
                <w:szCs w:val="24"/>
                <w:rtl/>
                <w:lang w:val="fr-FR"/>
              </w:rPr>
              <w:t xml:space="preserve"> في المائة</w:t>
            </w:r>
          </w:p>
        </w:tc>
        <w:tc>
          <w:tcPr>
            <w:tcW w:w="1146" w:type="dxa"/>
            <w:shd w:val="clear" w:color="auto" w:fill="auto"/>
          </w:tcPr>
          <w:p w:rsidR="00C35CB1" w:rsidRPr="00572C57" w:rsidRDefault="00C35CB1" w:rsidP="00572C57">
            <w:pPr>
              <w:pStyle w:val="SingleTxt"/>
              <w:spacing w:before="40" w:after="80" w:line="240" w:lineRule="exact"/>
              <w:ind w:left="0" w:right="0"/>
              <w:rPr>
                <w:rFonts w:cs="Traditional Arabic" w:hint="cs"/>
                <w:sz w:val="16"/>
                <w:szCs w:val="24"/>
                <w:lang w:val="fr-FR"/>
              </w:rPr>
            </w:pPr>
            <w:r w:rsidRPr="00572C57">
              <w:rPr>
                <w:rFonts w:cs="Traditional Arabic" w:hint="cs"/>
                <w:sz w:val="16"/>
                <w:szCs w:val="24"/>
                <w:rtl/>
              </w:rPr>
              <w:t>18</w:t>
            </w:r>
            <w:r w:rsidR="00572C57">
              <w:rPr>
                <w:rFonts w:cs="Traditional Arabic" w:hint="cs"/>
                <w:sz w:val="16"/>
                <w:szCs w:val="24"/>
                <w:rtl/>
                <w:lang w:val="fr-FR"/>
              </w:rPr>
              <w:t xml:space="preserve"> في المائة</w:t>
            </w:r>
          </w:p>
        </w:tc>
        <w:tc>
          <w:tcPr>
            <w:tcW w:w="1417" w:type="dxa"/>
            <w:shd w:val="clear" w:color="auto" w:fill="auto"/>
          </w:tcPr>
          <w:p w:rsidR="00C35CB1" w:rsidRPr="00572C57" w:rsidRDefault="00C35CB1" w:rsidP="00572C57">
            <w:pPr>
              <w:pStyle w:val="SingleTxt"/>
              <w:spacing w:before="40" w:after="80" w:line="240" w:lineRule="exact"/>
              <w:ind w:left="0" w:right="0"/>
              <w:rPr>
                <w:rFonts w:cs="Traditional Arabic" w:hint="cs"/>
                <w:sz w:val="16"/>
                <w:szCs w:val="24"/>
                <w:rtl/>
              </w:rPr>
            </w:pPr>
            <w:r w:rsidRPr="00572C57">
              <w:rPr>
                <w:rFonts w:cs="Traditional Arabic" w:hint="cs"/>
                <w:sz w:val="16"/>
                <w:szCs w:val="24"/>
                <w:rtl/>
              </w:rPr>
              <w:t>تحقيق في القطاع الخاص</w:t>
            </w:r>
          </w:p>
        </w:tc>
        <w:tc>
          <w:tcPr>
            <w:tcW w:w="1171" w:type="dxa"/>
            <w:shd w:val="clear" w:color="auto" w:fill="auto"/>
          </w:tcPr>
          <w:p w:rsidR="00C35CB1" w:rsidRPr="00572C57" w:rsidRDefault="00C35CB1" w:rsidP="00572C57">
            <w:pPr>
              <w:pStyle w:val="SingleTxt"/>
              <w:spacing w:before="40" w:after="80" w:line="240" w:lineRule="exact"/>
              <w:ind w:left="0" w:right="0"/>
              <w:rPr>
                <w:rFonts w:cs="Traditional Arabic" w:hint="cs"/>
                <w:sz w:val="16"/>
                <w:szCs w:val="24"/>
                <w:rtl/>
              </w:rPr>
            </w:pPr>
            <w:r w:rsidRPr="00572C57">
              <w:rPr>
                <w:rFonts w:cs="Traditional Arabic" w:hint="cs"/>
                <w:sz w:val="16"/>
                <w:szCs w:val="24"/>
                <w:rtl/>
              </w:rPr>
              <w:t xml:space="preserve">الوزارة المكلفة بالعمل والقوانين الاجتماعية </w:t>
            </w:r>
          </w:p>
        </w:tc>
        <w:tc>
          <w:tcPr>
            <w:tcW w:w="1107" w:type="dxa"/>
            <w:shd w:val="clear" w:color="auto" w:fill="auto"/>
          </w:tcPr>
          <w:p w:rsidR="00C35CB1" w:rsidRPr="00572C57" w:rsidRDefault="00C35CB1" w:rsidP="00572C57">
            <w:pPr>
              <w:pStyle w:val="SingleTxt"/>
              <w:spacing w:before="40" w:after="80" w:line="240" w:lineRule="exact"/>
              <w:ind w:left="0" w:right="0"/>
              <w:rPr>
                <w:rFonts w:cs="Traditional Arabic" w:hint="cs"/>
                <w:sz w:val="16"/>
                <w:szCs w:val="24"/>
                <w:rtl/>
              </w:rPr>
            </w:pPr>
            <w:r w:rsidRPr="00572C57">
              <w:rPr>
                <w:rFonts w:cs="Traditional Arabic" w:hint="cs"/>
                <w:sz w:val="16"/>
                <w:szCs w:val="24"/>
                <w:rtl/>
              </w:rPr>
              <w:t>سنويا</w:t>
            </w:r>
          </w:p>
        </w:tc>
      </w:tr>
      <w:tr w:rsidR="00572C57" w:rsidRPr="00572C57">
        <w:trPr>
          <w:cantSplit/>
          <w:jc w:val="center"/>
        </w:trPr>
        <w:tc>
          <w:tcPr>
            <w:tcW w:w="1660" w:type="dxa"/>
            <w:shd w:val="clear" w:color="auto" w:fill="auto"/>
          </w:tcPr>
          <w:p w:rsidR="00C35CB1" w:rsidRPr="00572C57" w:rsidRDefault="00C35CB1" w:rsidP="00572C57">
            <w:pPr>
              <w:pStyle w:val="SingleTxt"/>
              <w:spacing w:before="40" w:after="80" w:line="240" w:lineRule="exact"/>
              <w:ind w:left="0" w:right="0"/>
              <w:rPr>
                <w:rFonts w:cs="Traditional Arabic" w:hint="cs"/>
                <w:sz w:val="16"/>
                <w:szCs w:val="24"/>
                <w:rtl/>
              </w:rPr>
            </w:pPr>
            <w:r w:rsidRPr="00572C57">
              <w:rPr>
                <w:rFonts w:cs="Traditional Arabic" w:hint="cs"/>
                <w:sz w:val="16"/>
                <w:szCs w:val="24"/>
                <w:rtl/>
              </w:rPr>
              <w:t xml:space="preserve">الناتج 1 </w:t>
            </w:r>
            <w:r w:rsidR="00572C57">
              <w:rPr>
                <w:rFonts w:cs="Traditional Arabic" w:hint="cs"/>
                <w:sz w:val="16"/>
                <w:szCs w:val="24"/>
                <w:rtl/>
              </w:rPr>
              <w:t xml:space="preserve">- </w:t>
            </w:r>
            <w:r w:rsidRPr="00572C57">
              <w:rPr>
                <w:rFonts w:cs="Traditional Arabic" w:hint="cs"/>
                <w:sz w:val="16"/>
                <w:szCs w:val="24"/>
                <w:rtl/>
              </w:rPr>
              <w:t>النساء الناشطات في الحياة السياسية</w:t>
            </w:r>
          </w:p>
        </w:tc>
        <w:tc>
          <w:tcPr>
            <w:tcW w:w="2319" w:type="dxa"/>
            <w:shd w:val="clear" w:color="auto" w:fill="auto"/>
          </w:tcPr>
          <w:p w:rsidR="00C35CB1" w:rsidRPr="00572C57" w:rsidRDefault="00C35CB1" w:rsidP="00572C57">
            <w:pPr>
              <w:pStyle w:val="SingleTxt"/>
              <w:spacing w:before="40" w:after="80" w:line="240" w:lineRule="exact"/>
              <w:ind w:left="0" w:right="0"/>
              <w:rPr>
                <w:rFonts w:cs="Traditional Arabic" w:hint="cs"/>
                <w:sz w:val="16"/>
                <w:szCs w:val="24"/>
                <w:rtl/>
              </w:rPr>
            </w:pPr>
            <w:r w:rsidRPr="00572C57">
              <w:rPr>
                <w:rFonts w:cs="Traditional Arabic" w:hint="cs"/>
                <w:sz w:val="16"/>
                <w:szCs w:val="24"/>
                <w:rtl/>
              </w:rPr>
              <w:t>النسبة المئوية للمرأة في عضوية البرلمان (خطة عمل مدغشقر)</w:t>
            </w:r>
          </w:p>
        </w:tc>
        <w:tc>
          <w:tcPr>
            <w:tcW w:w="1030" w:type="dxa"/>
            <w:shd w:val="clear" w:color="auto" w:fill="auto"/>
          </w:tcPr>
          <w:p w:rsidR="00C35CB1" w:rsidRPr="00572C57" w:rsidRDefault="00C35CB1" w:rsidP="00572C57">
            <w:pPr>
              <w:pStyle w:val="SingleTxt"/>
              <w:spacing w:before="40" w:after="80" w:line="240" w:lineRule="exact"/>
              <w:ind w:left="0" w:right="0"/>
              <w:rPr>
                <w:rFonts w:cs="Traditional Arabic" w:hint="cs"/>
                <w:sz w:val="16"/>
                <w:szCs w:val="24"/>
                <w:lang w:val="fr-FR"/>
              </w:rPr>
            </w:pPr>
            <w:r w:rsidRPr="00572C57">
              <w:rPr>
                <w:rFonts w:cs="Traditional Arabic" w:hint="cs"/>
                <w:sz w:val="16"/>
                <w:szCs w:val="24"/>
                <w:rtl/>
              </w:rPr>
              <w:t>12</w:t>
            </w:r>
            <w:r w:rsidR="00416A5F">
              <w:rPr>
                <w:rFonts w:cs="Traditional Arabic" w:hint="cs"/>
                <w:sz w:val="16"/>
                <w:szCs w:val="24"/>
                <w:rtl/>
                <w:lang w:val="fr-FR"/>
              </w:rPr>
              <w:t xml:space="preserve"> </w:t>
            </w:r>
            <w:r w:rsidR="00572C57">
              <w:rPr>
                <w:rFonts w:cs="Traditional Arabic" w:hint="cs"/>
                <w:sz w:val="16"/>
                <w:szCs w:val="24"/>
                <w:rtl/>
                <w:lang w:val="fr-FR"/>
              </w:rPr>
              <w:t>في المائة</w:t>
            </w:r>
          </w:p>
        </w:tc>
        <w:tc>
          <w:tcPr>
            <w:tcW w:w="1146" w:type="dxa"/>
            <w:shd w:val="clear" w:color="auto" w:fill="auto"/>
          </w:tcPr>
          <w:p w:rsidR="00C35CB1" w:rsidRPr="00572C57" w:rsidRDefault="00C35CB1" w:rsidP="00572C57">
            <w:pPr>
              <w:pStyle w:val="SingleTxt"/>
              <w:spacing w:before="40" w:after="80" w:line="240" w:lineRule="exact"/>
              <w:ind w:left="0" w:right="0"/>
              <w:rPr>
                <w:rFonts w:cs="Traditional Arabic"/>
                <w:sz w:val="16"/>
                <w:szCs w:val="24"/>
                <w:lang w:val="fr-FR"/>
              </w:rPr>
            </w:pPr>
            <w:r w:rsidRPr="00572C57">
              <w:rPr>
                <w:rFonts w:cs="Traditional Arabic" w:hint="cs"/>
                <w:sz w:val="16"/>
                <w:szCs w:val="24"/>
                <w:rtl/>
              </w:rPr>
              <w:t>30</w:t>
            </w:r>
            <w:r w:rsidR="00572C57">
              <w:rPr>
                <w:rFonts w:cs="Traditional Arabic" w:hint="cs"/>
                <w:sz w:val="16"/>
                <w:szCs w:val="24"/>
                <w:rtl/>
                <w:lang w:val="fr-FR"/>
              </w:rPr>
              <w:t xml:space="preserve"> في المائة</w:t>
            </w:r>
          </w:p>
        </w:tc>
        <w:tc>
          <w:tcPr>
            <w:tcW w:w="1417" w:type="dxa"/>
            <w:shd w:val="clear" w:color="auto" w:fill="auto"/>
          </w:tcPr>
          <w:p w:rsidR="00C35CB1" w:rsidRPr="00572C57" w:rsidRDefault="00C35CB1" w:rsidP="00572C57">
            <w:pPr>
              <w:pStyle w:val="SingleTxt"/>
              <w:spacing w:before="40" w:after="80" w:line="240" w:lineRule="exact"/>
              <w:ind w:left="0" w:right="0"/>
              <w:rPr>
                <w:rFonts w:cs="Traditional Arabic" w:hint="cs"/>
                <w:sz w:val="16"/>
                <w:szCs w:val="24"/>
                <w:rtl/>
              </w:rPr>
            </w:pPr>
            <w:r w:rsidRPr="00572C57">
              <w:rPr>
                <w:rFonts w:cs="Traditional Arabic" w:hint="cs"/>
                <w:sz w:val="16"/>
                <w:szCs w:val="24"/>
                <w:rtl/>
              </w:rPr>
              <w:t>دراسة استقصائية بشأن أعضاء البرلمان</w:t>
            </w:r>
          </w:p>
        </w:tc>
        <w:tc>
          <w:tcPr>
            <w:tcW w:w="1171" w:type="dxa"/>
            <w:shd w:val="clear" w:color="auto" w:fill="auto"/>
          </w:tcPr>
          <w:p w:rsidR="00C35CB1" w:rsidRPr="00572C57" w:rsidRDefault="00C35CB1" w:rsidP="00572C57">
            <w:pPr>
              <w:pStyle w:val="SingleTxt"/>
              <w:spacing w:before="40" w:after="80" w:line="240" w:lineRule="exact"/>
              <w:ind w:left="0" w:right="0"/>
              <w:rPr>
                <w:rFonts w:cs="Traditional Arabic"/>
                <w:sz w:val="16"/>
                <w:szCs w:val="24"/>
                <w:lang w:val="fr-FR"/>
              </w:rPr>
            </w:pPr>
            <w:r w:rsidRPr="00572C57">
              <w:rPr>
                <w:rFonts w:cs="Traditional Arabic" w:hint="cs"/>
                <w:sz w:val="16"/>
                <w:szCs w:val="24"/>
                <w:rtl/>
              </w:rPr>
              <w:t>الجمعية الوطنية</w:t>
            </w:r>
          </w:p>
        </w:tc>
        <w:tc>
          <w:tcPr>
            <w:tcW w:w="1107" w:type="dxa"/>
            <w:shd w:val="clear" w:color="auto" w:fill="auto"/>
          </w:tcPr>
          <w:p w:rsidR="00C35CB1" w:rsidRPr="00572C57" w:rsidRDefault="00C35CB1" w:rsidP="00572C57">
            <w:pPr>
              <w:pStyle w:val="SingleTxt"/>
              <w:spacing w:before="40" w:after="80" w:line="240" w:lineRule="exact"/>
              <w:ind w:left="0" w:right="0"/>
              <w:rPr>
                <w:rFonts w:cs="Traditional Arabic" w:hint="cs"/>
                <w:sz w:val="16"/>
                <w:szCs w:val="24"/>
                <w:rtl/>
              </w:rPr>
            </w:pPr>
            <w:r w:rsidRPr="00572C57">
              <w:rPr>
                <w:rFonts w:cs="Traditional Arabic" w:hint="cs"/>
                <w:sz w:val="16"/>
                <w:szCs w:val="24"/>
                <w:rtl/>
              </w:rPr>
              <w:t>كل خمس سنوات</w:t>
            </w:r>
          </w:p>
        </w:tc>
      </w:tr>
      <w:tr w:rsidR="00572C57" w:rsidRPr="00572C57">
        <w:trPr>
          <w:cantSplit/>
          <w:jc w:val="center"/>
        </w:trPr>
        <w:tc>
          <w:tcPr>
            <w:tcW w:w="1660" w:type="dxa"/>
            <w:shd w:val="clear" w:color="auto" w:fill="auto"/>
          </w:tcPr>
          <w:p w:rsidR="00C35CB1" w:rsidRPr="00572C57" w:rsidRDefault="00C35CB1" w:rsidP="00572C57">
            <w:pPr>
              <w:pStyle w:val="SingleTxt"/>
              <w:spacing w:before="40" w:after="80" w:line="240" w:lineRule="exact"/>
              <w:ind w:left="0" w:right="0"/>
              <w:rPr>
                <w:rFonts w:cs="Traditional Arabic" w:hint="cs"/>
                <w:sz w:val="16"/>
                <w:szCs w:val="24"/>
                <w:rtl/>
              </w:rPr>
            </w:pPr>
            <w:r w:rsidRPr="00572C57">
              <w:rPr>
                <w:rFonts w:cs="Traditional Arabic" w:hint="cs"/>
                <w:sz w:val="16"/>
                <w:szCs w:val="24"/>
                <w:rtl/>
              </w:rPr>
              <w:t xml:space="preserve">الناتج 2 </w:t>
            </w:r>
            <w:r w:rsidR="00572C57">
              <w:rPr>
                <w:rFonts w:cs="Traditional Arabic" w:hint="cs"/>
                <w:sz w:val="16"/>
                <w:szCs w:val="24"/>
                <w:rtl/>
              </w:rPr>
              <w:t>-</w:t>
            </w:r>
            <w:r w:rsidRPr="00572C57">
              <w:rPr>
                <w:rFonts w:cs="Traditional Arabic" w:hint="cs"/>
                <w:sz w:val="16"/>
                <w:szCs w:val="24"/>
                <w:rtl/>
              </w:rPr>
              <w:t xml:space="preserve"> تحسّن إمكانية استفادة المرأة من الفرص الاقتصادية </w:t>
            </w:r>
            <w:r w:rsidR="00D666E0" w:rsidRPr="00572C57">
              <w:rPr>
                <w:rFonts w:cs="Traditional Arabic" w:hint="cs"/>
                <w:sz w:val="16"/>
                <w:szCs w:val="24"/>
                <w:rtl/>
              </w:rPr>
              <w:t>و</w:t>
            </w:r>
            <w:r w:rsidRPr="00572C57">
              <w:rPr>
                <w:rFonts w:cs="Traditional Arabic" w:hint="cs"/>
                <w:sz w:val="16"/>
                <w:szCs w:val="24"/>
                <w:rtl/>
              </w:rPr>
              <w:t>الاجتماعية</w:t>
            </w:r>
          </w:p>
        </w:tc>
        <w:tc>
          <w:tcPr>
            <w:tcW w:w="2319" w:type="dxa"/>
            <w:shd w:val="clear" w:color="auto" w:fill="auto"/>
          </w:tcPr>
          <w:p w:rsidR="00C35CB1" w:rsidRPr="00572C57" w:rsidRDefault="00C35CB1" w:rsidP="00572C57">
            <w:pPr>
              <w:pStyle w:val="SingleTxt"/>
              <w:spacing w:before="40" w:after="80" w:line="240" w:lineRule="exact"/>
              <w:ind w:left="0" w:right="0"/>
              <w:rPr>
                <w:rFonts w:cs="Traditional Arabic" w:hint="cs"/>
                <w:sz w:val="16"/>
                <w:szCs w:val="24"/>
                <w:rtl/>
              </w:rPr>
            </w:pPr>
            <w:r w:rsidRPr="00572C57">
              <w:rPr>
                <w:rFonts w:cs="Traditional Arabic" w:hint="cs"/>
                <w:sz w:val="16"/>
                <w:szCs w:val="24"/>
                <w:rtl/>
              </w:rPr>
              <w:t xml:space="preserve">النسبة المئوية من وظائف المديرين </w:t>
            </w:r>
            <w:r w:rsidR="00D666E0" w:rsidRPr="00572C57">
              <w:rPr>
                <w:rFonts w:cs="Traditional Arabic" w:hint="cs"/>
                <w:sz w:val="16"/>
                <w:szCs w:val="24"/>
                <w:rtl/>
              </w:rPr>
              <w:t>و</w:t>
            </w:r>
            <w:r w:rsidRPr="00572C57">
              <w:rPr>
                <w:rFonts w:cs="Traditional Arabic" w:hint="cs"/>
                <w:sz w:val="16"/>
                <w:szCs w:val="24"/>
                <w:rtl/>
              </w:rPr>
              <w:t>الإطارات العليا التي تشغلها نساء</w:t>
            </w:r>
          </w:p>
        </w:tc>
        <w:tc>
          <w:tcPr>
            <w:tcW w:w="1030" w:type="dxa"/>
            <w:shd w:val="clear" w:color="auto" w:fill="auto"/>
          </w:tcPr>
          <w:p w:rsidR="00C35CB1" w:rsidRPr="00572C57" w:rsidRDefault="00C35CB1" w:rsidP="00572C57">
            <w:pPr>
              <w:pStyle w:val="SingleTxt"/>
              <w:spacing w:before="40" w:after="80" w:line="240" w:lineRule="exact"/>
              <w:ind w:left="0" w:right="0"/>
              <w:rPr>
                <w:rFonts w:cs="Traditional Arabic" w:hint="cs"/>
                <w:sz w:val="16"/>
                <w:szCs w:val="24"/>
                <w:lang w:val="fr-FR"/>
              </w:rPr>
            </w:pPr>
            <w:r w:rsidRPr="00572C57">
              <w:rPr>
                <w:rFonts w:cs="Traditional Arabic" w:hint="cs"/>
                <w:sz w:val="16"/>
                <w:szCs w:val="24"/>
                <w:rtl/>
              </w:rPr>
              <w:t>29</w:t>
            </w:r>
            <w:r w:rsidR="00416A5F">
              <w:rPr>
                <w:rFonts w:cs="Traditional Arabic" w:hint="cs"/>
                <w:sz w:val="16"/>
                <w:szCs w:val="24"/>
                <w:rtl/>
                <w:lang w:val="fr-FR"/>
              </w:rPr>
              <w:t xml:space="preserve"> </w:t>
            </w:r>
            <w:r w:rsidR="00572C57">
              <w:rPr>
                <w:rFonts w:cs="Traditional Arabic" w:hint="cs"/>
                <w:sz w:val="16"/>
                <w:szCs w:val="24"/>
                <w:rtl/>
                <w:lang w:val="fr-FR"/>
              </w:rPr>
              <w:t>في المائة</w:t>
            </w:r>
          </w:p>
        </w:tc>
        <w:tc>
          <w:tcPr>
            <w:tcW w:w="1146" w:type="dxa"/>
            <w:shd w:val="clear" w:color="auto" w:fill="auto"/>
          </w:tcPr>
          <w:p w:rsidR="00C35CB1" w:rsidRPr="00572C57" w:rsidRDefault="00C35CB1" w:rsidP="00572C57">
            <w:pPr>
              <w:pStyle w:val="SingleTxt"/>
              <w:spacing w:before="40" w:after="80" w:line="240" w:lineRule="exact"/>
              <w:ind w:left="0" w:right="0"/>
              <w:rPr>
                <w:rFonts w:cs="Traditional Arabic" w:hint="cs"/>
                <w:sz w:val="16"/>
                <w:szCs w:val="24"/>
                <w:lang w:val="fr-FR"/>
              </w:rPr>
            </w:pPr>
            <w:r w:rsidRPr="00572C57">
              <w:rPr>
                <w:rFonts w:cs="Traditional Arabic" w:hint="cs"/>
                <w:sz w:val="16"/>
                <w:szCs w:val="24"/>
                <w:rtl/>
              </w:rPr>
              <w:t>40</w:t>
            </w:r>
            <w:r w:rsidR="00572C57">
              <w:rPr>
                <w:rFonts w:cs="Traditional Arabic" w:hint="cs"/>
                <w:sz w:val="16"/>
                <w:szCs w:val="24"/>
                <w:rtl/>
              </w:rPr>
              <w:t xml:space="preserve"> </w:t>
            </w:r>
            <w:r w:rsidR="00572C57">
              <w:rPr>
                <w:rFonts w:cs="Traditional Arabic" w:hint="cs"/>
                <w:sz w:val="16"/>
                <w:szCs w:val="24"/>
                <w:rtl/>
                <w:lang w:val="fr-FR"/>
              </w:rPr>
              <w:t>في المائة</w:t>
            </w:r>
          </w:p>
        </w:tc>
        <w:tc>
          <w:tcPr>
            <w:tcW w:w="1417" w:type="dxa"/>
            <w:shd w:val="clear" w:color="auto" w:fill="auto"/>
          </w:tcPr>
          <w:p w:rsidR="00C35CB1" w:rsidRPr="00572C57" w:rsidRDefault="00C35CB1" w:rsidP="00572C57">
            <w:pPr>
              <w:pStyle w:val="SingleTxt"/>
              <w:spacing w:before="40" w:after="80" w:line="240" w:lineRule="exact"/>
              <w:ind w:left="0" w:right="0"/>
              <w:rPr>
                <w:rFonts w:cs="Traditional Arabic" w:hint="cs"/>
                <w:sz w:val="16"/>
                <w:szCs w:val="24"/>
                <w:rtl/>
              </w:rPr>
            </w:pPr>
            <w:r w:rsidRPr="00572C57">
              <w:rPr>
                <w:rFonts w:cs="Traditional Arabic" w:hint="cs"/>
                <w:sz w:val="16"/>
                <w:szCs w:val="24"/>
                <w:rtl/>
              </w:rPr>
              <w:t>التركيبة الاجتماعية</w:t>
            </w:r>
          </w:p>
        </w:tc>
        <w:tc>
          <w:tcPr>
            <w:tcW w:w="1171" w:type="dxa"/>
            <w:shd w:val="clear" w:color="auto" w:fill="auto"/>
          </w:tcPr>
          <w:p w:rsidR="00C35CB1" w:rsidRPr="00572C57" w:rsidRDefault="00C35CB1" w:rsidP="00572C57">
            <w:pPr>
              <w:pStyle w:val="SingleTxt"/>
              <w:spacing w:before="40" w:after="80" w:line="240" w:lineRule="exact"/>
              <w:ind w:left="0" w:right="0"/>
              <w:rPr>
                <w:rFonts w:cs="Traditional Arabic" w:hint="cs"/>
                <w:sz w:val="16"/>
                <w:szCs w:val="24"/>
                <w:rtl/>
              </w:rPr>
            </w:pPr>
            <w:r w:rsidRPr="00572C57">
              <w:rPr>
                <w:rFonts w:cs="Traditional Arabic" w:hint="cs"/>
                <w:sz w:val="16"/>
                <w:szCs w:val="24"/>
                <w:rtl/>
              </w:rPr>
              <w:t>المعهد الوطني للإحصاءات</w:t>
            </w:r>
          </w:p>
        </w:tc>
        <w:tc>
          <w:tcPr>
            <w:tcW w:w="1107" w:type="dxa"/>
            <w:shd w:val="clear" w:color="auto" w:fill="auto"/>
          </w:tcPr>
          <w:p w:rsidR="00C35CB1" w:rsidRPr="00572C57" w:rsidRDefault="00C35CB1" w:rsidP="00572C57">
            <w:pPr>
              <w:pStyle w:val="SingleTxt"/>
              <w:spacing w:before="40" w:after="80" w:line="240" w:lineRule="exact"/>
              <w:ind w:left="0" w:right="0"/>
              <w:rPr>
                <w:rFonts w:cs="Traditional Arabic" w:hint="cs"/>
                <w:sz w:val="16"/>
                <w:szCs w:val="24"/>
                <w:rtl/>
              </w:rPr>
            </w:pPr>
            <w:r w:rsidRPr="00572C57">
              <w:rPr>
                <w:rFonts w:cs="Traditional Arabic" w:hint="cs"/>
                <w:sz w:val="16"/>
                <w:szCs w:val="24"/>
                <w:rtl/>
              </w:rPr>
              <w:t>سنويا</w:t>
            </w:r>
          </w:p>
        </w:tc>
      </w:tr>
      <w:tr w:rsidR="00572C57" w:rsidRPr="00572C57">
        <w:trPr>
          <w:cantSplit/>
          <w:jc w:val="center"/>
        </w:trPr>
        <w:tc>
          <w:tcPr>
            <w:tcW w:w="1660" w:type="dxa"/>
            <w:tcBorders>
              <w:bottom w:val="single" w:sz="12" w:space="0" w:color="auto"/>
            </w:tcBorders>
            <w:shd w:val="clear" w:color="auto" w:fill="auto"/>
          </w:tcPr>
          <w:p w:rsidR="00C35CB1" w:rsidRPr="00572C57" w:rsidRDefault="00572C57" w:rsidP="00572C57">
            <w:pPr>
              <w:pStyle w:val="SingleTxt"/>
              <w:spacing w:before="40" w:after="80" w:line="240" w:lineRule="exact"/>
              <w:ind w:left="0" w:right="0"/>
              <w:rPr>
                <w:rFonts w:cs="Traditional Arabic" w:hint="cs"/>
                <w:sz w:val="16"/>
                <w:szCs w:val="24"/>
                <w:rtl/>
              </w:rPr>
            </w:pPr>
            <w:r>
              <w:rPr>
                <w:rFonts w:cs="Traditional Arabic" w:hint="cs"/>
                <w:sz w:val="16"/>
                <w:szCs w:val="24"/>
                <w:rtl/>
              </w:rPr>
              <w:t xml:space="preserve">الناتج 3 - </w:t>
            </w:r>
            <w:r w:rsidR="00C35CB1" w:rsidRPr="00572C57">
              <w:rPr>
                <w:rFonts w:cs="Traditional Arabic" w:hint="cs"/>
                <w:sz w:val="16"/>
                <w:szCs w:val="24"/>
                <w:rtl/>
              </w:rPr>
              <w:t>تحسّن وضع المرأة</w:t>
            </w:r>
          </w:p>
        </w:tc>
        <w:tc>
          <w:tcPr>
            <w:tcW w:w="2319" w:type="dxa"/>
            <w:tcBorders>
              <w:bottom w:val="single" w:sz="12" w:space="0" w:color="auto"/>
            </w:tcBorders>
            <w:shd w:val="clear" w:color="auto" w:fill="auto"/>
          </w:tcPr>
          <w:p w:rsidR="00C35CB1" w:rsidRPr="00572C57" w:rsidRDefault="00C35CB1" w:rsidP="00572C57">
            <w:pPr>
              <w:pStyle w:val="SingleTxt"/>
              <w:spacing w:before="40" w:after="80" w:line="240" w:lineRule="exact"/>
              <w:ind w:left="0" w:right="0"/>
              <w:rPr>
                <w:rFonts w:cs="Traditional Arabic" w:hint="cs"/>
                <w:sz w:val="16"/>
                <w:szCs w:val="24"/>
                <w:rtl/>
              </w:rPr>
            </w:pPr>
            <w:r w:rsidRPr="00572C57">
              <w:rPr>
                <w:rFonts w:cs="Traditional Arabic" w:hint="cs"/>
                <w:sz w:val="16"/>
                <w:szCs w:val="24"/>
                <w:rtl/>
              </w:rPr>
              <w:t>النسبة المئوية من النساء التي تتوفر لها سلطة اتخاذ القرار بشأن استعمال دخلها</w:t>
            </w:r>
          </w:p>
        </w:tc>
        <w:tc>
          <w:tcPr>
            <w:tcW w:w="1030" w:type="dxa"/>
            <w:tcBorders>
              <w:bottom w:val="single" w:sz="12" w:space="0" w:color="auto"/>
            </w:tcBorders>
            <w:shd w:val="clear" w:color="auto" w:fill="auto"/>
          </w:tcPr>
          <w:p w:rsidR="00C35CB1" w:rsidRPr="00572C57" w:rsidRDefault="00765A56" w:rsidP="00572C57">
            <w:pPr>
              <w:pStyle w:val="SingleTxt"/>
              <w:spacing w:before="40" w:after="80" w:line="240" w:lineRule="exact"/>
              <w:ind w:left="0" w:right="0"/>
              <w:rPr>
                <w:rFonts w:cs="Traditional Arabic" w:hint="cs"/>
                <w:sz w:val="16"/>
                <w:szCs w:val="24"/>
                <w:rtl/>
              </w:rPr>
            </w:pPr>
            <w:r w:rsidRPr="00572C57">
              <w:rPr>
                <w:rFonts w:cs="Traditional Arabic" w:hint="cs"/>
                <w:sz w:val="16"/>
                <w:szCs w:val="24"/>
                <w:rtl/>
              </w:rPr>
              <w:t>47 في المائة</w:t>
            </w:r>
          </w:p>
        </w:tc>
        <w:tc>
          <w:tcPr>
            <w:tcW w:w="1146" w:type="dxa"/>
            <w:tcBorders>
              <w:bottom w:val="single" w:sz="12" w:space="0" w:color="auto"/>
            </w:tcBorders>
            <w:shd w:val="clear" w:color="auto" w:fill="auto"/>
          </w:tcPr>
          <w:p w:rsidR="00C35CB1" w:rsidRPr="00572C57" w:rsidRDefault="00572C57" w:rsidP="00572C57">
            <w:pPr>
              <w:pStyle w:val="SingleTxt"/>
              <w:spacing w:before="40" w:after="80" w:line="240" w:lineRule="exact"/>
              <w:ind w:left="0" w:right="0"/>
              <w:rPr>
                <w:rFonts w:cs="Traditional Arabic" w:hint="cs"/>
                <w:sz w:val="16"/>
                <w:szCs w:val="24"/>
                <w:rtl/>
              </w:rPr>
            </w:pPr>
            <w:r>
              <w:rPr>
                <w:rFonts w:cs="Traditional Arabic" w:hint="cs"/>
                <w:sz w:val="16"/>
                <w:szCs w:val="24"/>
                <w:rtl/>
                <w:lang w:val="fr-CA"/>
              </w:rPr>
              <w:t>57 في المائة</w:t>
            </w:r>
          </w:p>
        </w:tc>
        <w:tc>
          <w:tcPr>
            <w:tcW w:w="1417" w:type="dxa"/>
            <w:tcBorders>
              <w:bottom w:val="single" w:sz="12" w:space="0" w:color="auto"/>
            </w:tcBorders>
            <w:shd w:val="clear" w:color="auto" w:fill="auto"/>
          </w:tcPr>
          <w:p w:rsidR="00C35CB1" w:rsidRPr="00572C57" w:rsidRDefault="00C35CB1" w:rsidP="00572C57">
            <w:pPr>
              <w:pStyle w:val="SingleTxt"/>
              <w:spacing w:before="40" w:after="80" w:line="240" w:lineRule="exact"/>
              <w:ind w:left="0" w:right="0"/>
              <w:rPr>
                <w:rFonts w:cs="Traditional Arabic" w:hint="cs"/>
                <w:sz w:val="16"/>
                <w:szCs w:val="24"/>
                <w:lang w:val="fr-FR"/>
              </w:rPr>
            </w:pPr>
            <w:r w:rsidRPr="00572C57">
              <w:rPr>
                <w:rFonts w:cs="Traditional Arabic" w:hint="cs"/>
                <w:sz w:val="16"/>
                <w:szCs w:val="24"/>
                <w:rtl/>
              </w:rPr>
              <w:t>التحقيق الديمغرافي والصحي</w:t>
            </w:r>
            <w:r w:rsidR="00572C57">
              <w:rPr>
                <w:rFonts w:cs="Traditional Arabic" w:hint="cs"/>
                <w:sz w:val="16"/>
                <w:szCs w:val="24"/>
                <w:rtl/>
              </w:rPr>
              <w:t xml:space="preserve"> </w:t>
            </w:r>
            <w:r w:rsidRPr="00572C57">
              <w:rPr>
                <w:rFonts w:cs="Traditional Arabic" w:hint="cs"/>
                <w:sz w:val="16"/>
                <w:szCs w:val="24"/>
                <w:rtl/>
              </w:rPr>
              <w:t>- ثالثا</w:t>
            </w:r>
          </w:p>
        </w:tc>
        <w:tc>
          <w:tcPr>
            <w:tcW w:w="1171" w:type="dxa"/>
            <w:tcBorders>
              <w:bottom w:val="single" w:sz="12" w:space="0" w:color="auto"/>
            </w:tcBorders>
            <w:shd w:val="clear" w:color="auto" w:fill="auto"/>
          </w:tcPr>
          <w:p w:rsidR="00C35CB1" w:rsidRPr="00572C57" w:rsidRDefault="00C35CB1" w:rsidP="00572C57">
            <w:pPr>
              <w:pStyle w:val="SingleTxt"/>
              <w:spacing w:before="40" w:after="80" w:line="240" w:lineRule="exact"/>
              <w:ind w:left="0" w:right="0"/>
              <w:rPr>
                <w:rFonts w:cs="Traditional Arabic" w:hint="cs"/>
                <w:sz w:val="16"/>
                <w:szCs w:val="24"/>
                <w:rtl/>
              </w:rPr>
            </w:pPr>
            <w:r w:rsidRPr="00572C57">
              <w:rPr>
                <w:rFonts w:cs="Traditional Arabic" w:hint="cs"/>
                <w:sz w:val="16"/>
                <w:szCs w:val="24"/>
                <w:rtl/>
              </w:rPr>
              <w:t xml:space="preserve"> المعهد الوطني للإحصاءات</w:t>
            </w:r>
          </w:p>
        </w:tc>
        <w:tc>
          <w:tcPr>
            <w:tcW w:w="1107" w:type="dxa"/>
            <w:tcBorders>
              <w:bottom w:val="single" w:sz="12" w:space="0" w:color="auto"/>
            </w:tcBorders>
            <w:shd w:val="clear" w:color="auto" w:fill="auto"/>
          </w:tcPr>
          <w:p w:rsidR="00C35CB1" w:rsidRPr="00572C57" w:rsidRDefault="00C35CB1" w:rsidP="00572C57">
            <w:pPr>
              <w:pStyle w:val="SingleTxt"/>
              <w:spacing w:before="40" w:after="80" w:line="240" w:lineRule="exact"/>
              <w:ind w:left="0" w:right="0"/>
              <w:rPr>
                <w:rFonts w:cs="Traditional Arabic" w:hint="cs"/>
                <w:sz w:val="16"/>
                <w:szCs w:val="24"/>
                <w:rtl/>
              </w:rPr>
            </w:pPr>
            <w:r w:rsidRPr="00572C57">
              <w:rPr>
                <w:rFonts w:cs="Traditional Arabic" w:hint="cs"/>
                <w:sz w:val="16"/>
                <w:szCs w:val="24"/>
                <w:rtl/>
              </w:rPr>
              <w:t>كل خمس سنوات</w:t>
            </w:r>
          </w:p>
        </w:tc>
      </w:tr>
    </w:tbl>
    <w:p w:rsidR="00BA462B" w:rsidRDefault="00C35CB1" w:rsidP="00C35CB1">
      <w:pPr>
        <w:pStyle w:val="SingleTxt"/>
        <w:rPr>
          <w:rFonts w:hint="cs"/>
          <w:rtl/>
        </w:rPr>
      </w:pPr>
      <w:r w:rsidRPr="00C35CB1">
        <w:rPr>
          <w:rFonts w:hint="cs"/>
          <w:rtl/>
        </w:rPr>
        <w:t>23</w:t>
      </w:r>
      <w:r w:rsidR="00D666E0">
        <w:rPr>
          <w:rFonts w:hint="cs"/>
          <w:rtl/>
        </w:rPr>
        <w:t xml:space="preserve"> -</w:t>
      </w:r>
      <w:r w:rsidR="00D666E0">
        <w:rPr>
          <w:rFonts w:hint="cs"/>
          <w:rtl/>
        </w:rPr>
        <w:tab/>
        <w:t>و</w:t>
      </w:r>
      <w:r w:rsidRPr="00C35CB1">
        <w:rPr>
          <w:rFonts w:hint="cs"/>
          <w:rtl/>
        </w:rPr>
        <w:t xml:space="preserve">يسجل حاليا معدل انتشار مرتفع للأمراض المنتقلة جنسيا. </w:t>
      </w:r>
      <w:r w:rsidR="00D666E0">
        <w:rPr>
          <w:rFonts w:hint="cs"/>
          <w:rtl/>
        </w:rPr>
        <w:t>و</w:t>
      </w:r>
      <w:r w:rsidRPr="00C35CB1">
        <w:rPr>
          <w:rFonts w:hint="cs"/>
          <w:rtl/>
        </w:rPr>
        <w:t>يبلغ معدل إصابة الحوامل بمرض السل 8 في المائة رغم قلة الإصابات بفيروس نقص المناعة البشرية</w:t>
      </w:r>
      <w:r w:rsidR="00BB6B48">
        <w:rPr>
          <w:rFonts w:hint="cs"/>
          <w:rtl/>
        </w:rPr>
        <w:t>/</w:t>
      </w:r>
      <w:r w:rsidRPr="00C35CB1">
        <w:rPr>
          <w:rFonts w:hint="cs"/>
          <w:rtl/>
        </w:rPr>
        <w:t>متلازمة نقص المناعة المكتسب</w:t>
      </w:r>
      <w:r w:rsidR="00002AFD">
        <w:rPr>
          <w:rFonts w:hint="cs"/>
          <w:rtl/>
        </w:rPr>
        <w:t xml:space="preserve"> </w:t>
      </w:r>
      <w:r w:rsidRPr="00C35CB1">
        <w:rPr>
          <w:rFonts w:hint="cs"/>
          <w:rtl/>
        </w:rPr>
        <w:t>(الإيدز).</w:t>
      </w:r>
    </w:p>
    <w:p w:rsidR="00C35CB1" w:rsidRPr="00C35CB1" w:rsidRDefault="00572C57" w:rsidP="00C35CB1">
      <w:pPr>
        <w:pStyle w:val="SingleTxt"/>
        <w:rPr>
          <w:rFonts w:hint="cs"/>
          <w:rtl/>
        </w:rPr>
      </w:pPr>
      <w:r>
        <w:rPr>
          <w:rFonts w:hint="cs"/>
          <w:rtl/>
        </w:rPr>
        <w:tab/>
      </w:r>
      <w:r w:rsidR="00D666E0">
        <w:rPr>
          <w:rFonts w:hint="cs"/>
          <w:rtl/>
        </w:rPr>
        <w:t>و</w:t>
      </w:r>
      <w:r w:rsidR="00C35CB1" w:rsidRPr="00C35CB1">
        <w:rPr>
          <w:rFonts w:hint="cs"/>
          <w:rtl/>
        </w:rPr>
        <w:t xml:space="preserve">لمواجهة هذه الحالة، نظّمت السلطات العامة رد فعل على ثلاث مراحل كما يلي: </w:t>
      </w:r>
    </w:p>
    <w:p w:rsidR="00C35CB1" w:rsidRPr="00C35CB1" w:rsidRDefault="00572C57" w:rsidP="00572C57">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val="fr-CA"/>
        </w:rPr>
      </w:pPr>
      <w:r>
        <w:rPr>
          <w:rFonts w:hint="cs"/>
          <w:rtl/>
        </w:rPr>
        <w:tab/>
        <w:t>•</w:t>
      </w:r>
      <w:r>
        <w:rPr>
          <w:rFonts w:hint="cs"/>
          <w:rtl/>
        </w:rPr>
        <w:tab/>
      </w:r>
      <w:r w:rsidR="00C35CB1" w:rsidRPr="00C35CB1">
        <w:rPr>
          <w:rFonts w:hint="cs"/>
          <w:rtl/>
        </w:rPr>
        <w:t xml:space="preserve">المرحلة الأولى، المسماة مرحلة طبية </w:t>
      </w:r>
      <w:r w:rsidR="00D666E0">
        <w:rPr>
          <w:rFonts w:hint="cs"/>
          <w:rtl/>
        </w:rPr>
        <w:t>و</w:t>
      </w:r>
      <w:r w:rsidR="00C35CB1" w:rsidRPr="00C35CB1">
        <w:rPr>
          <w:rFonts w:hint="cs"/>
          <w:rtl/>
        </w:rPr>
        <w:t xml:space="preserve">هي متمحورة بصورة رئيسية حول الوقاية من فيروس نقص المناعة البشرية/الإيدز </w:t>
      </w:r>
      <w:r w:rsidR="00D666E0">
        <w:rPr>
          <w:rFonts w:hint="cs"/>
          <w:rtl/>
        </w:rPr>
        <w:t>و</w:t>
      </w:r>
      <w:r w:rsidR="00C35CB1" w:rsidRPr="00C35CB1">
        <w:rPr>
          <w:rFonts w:hint="cs"/>
          <w:rtl/>
        </w:rPr>
        <w:t>الأمراض المنتقلة جنسيا داخل المجموعات المهددة في الفترة من 1988 إلى 1995</w:t>
      </w:r>
      <w:r w:rsidR="0015762F">
        <w:rPr>
          <w:rFonts w:hint="cs"/>
          <w:rtl/>
        </w:rPr>
        <w:t>؛</w:t>
      </w:r>
    </w:p>
    <w:p w:rsidR="00C35CB1" w:rsidRPr="00572C57" w:rsidRDefault="00572C57" w:rsidP="00572C57">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Pr>
      </w:pPr>
      <w:r>
        <w:rPr>
          <w:rFonts w:hint="cs"/>
          <w:rtl/>
        </w:rPr>
        <w:tab/>
        <w:t>•</w:t>
      </w:r>
      <w:r>
        <w:rPr>
          <w:rFonts w:hint="cs"/>
          <w:rtl/>
        </w:rPr>
        <w:tab/>
      </w:r>
      <w:r w:rsidR="00C35CB1" w:rsidRPr="00C35CB1">
        <w:rPr>
          <w:rFonts w:hint="cs"/>
          <w:rtl/>
        </w:rPr>
        <w:t xml:space="preserve">المرحلة الثانية المتميّزة باستراتيجيات موجهة أساسا نحو تكثيف الوقاية من تلك الأمراض </w:t>
      </w:r>
      <w:r w:rsidR="00D666E0">
        <w:rPr>
          <w:rFonts w:hint="cs"/>
          <w:rtl/>
        </w:rPr>
        <w:t>و</w:t>
      </w:r>
      <w:r w:rsidR="00C35CB1" w:rsidRPr="00C35CB1">
        <w:rPr>
          <w:rFonts w:hint="cs"/>
          <w:rtl/>
        </w:rPr>
        <w:t xml:space="preserve">نحو التعبئة الاجتماعية </w:t>
      </w:r>
      <w:r w:rsidR="00D666E0">
        <w:rPr>
          <w:rFonts w:hint="cs"/>
          <w:rtl/>
        </w:rPr>
        <w:t>و</w:t>
      </w:r>
      <w:r w:rsidR="00C35CB1" w:rsidRPr="00C35CB1">
        <w:rPr>
          <w:rFonts w:hint="cs"/>
          <w:rtl/>
        </w:rPr>
        <w:t>إدماج مكافحة فيروس نقص المناعة البشرية</w:t>
      </w:r>
      <w:r w:rsidR="00BB6B48">
        <w:rPr>
          <w:rFonts w:hint="cs"/>
          <w:rtl/>
        </w:rPr>
        <w:t>/</w:t>
      </w:r>
      <w:r w:rsidR="00C35CB1" w:rsidRPr="00C35CB1">
        <w:rPr>
          <w:rFonts w:hint="cs"/>
          <w:rtl/>
        </w:rPr>
        <w:t xml:space="preserve">الإيدز في عمل مراكز الرعاية الصحية الأساسية </w:t>
      </w:r>
      <w:r w:rsidR="00D666E0">
        <w:rPr>
          <w:rFonts w:hint="cs"/>
          <w:rtl/>
        </w:rPr>
        <w:t>و</w:t>
      </w:r>
      <w:r w:rsidR="00C35CB1" w:rsidRPr="00C35CB1">
        <w:rPr>
          <w:rFonts w:hint="cs"/>
          <w:rtl/>
        </w:rPr>
        <w:t>الاضطلاع بالتنسيق على نحو نشط؛</w:t>
      </w:r>
    </w:p>
    <w:p w:rsidR="00BA462B" w:rsidRDefault="00572C57" w:rsidP="00572C57">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val="fr-CA"/>
        </w:rPr>
      </w:pPr>
      <w:r>
        <w:rPr>
          <w:rFonts w:hint="cs"/>
          <w:rtl/>
        </w:rPr>
        <w:tab/>
        <w:t>•</w:t>
      </w:r>
      <w:r>
        <w:rPr>
          <w:rFonts w:hint="cs"/>
          <w:rtl/>
        </w:rPr>
        <w:tab/>
      </w:r>
      <w:r w:rsidR="00C35CB1" w:rsidRPr="00C35CB1">
        <w:rPr>
          <w:rFonts w:hint="cs"/>
          <w:rtl/>
        </w:rPr>
        <w:t>المرحلة الثالثة، اعتبارا من شهر آب</w:t>
      </w:r>
      <w:r w:rsidR="00BB6B48">
        <w:rPr>
          <w:rFonts w:hint="cs"/>
          <w:rtl/>
        </w:rPr>
        <w:t>/</w:t>
      </w:r>
      <w:r w:rsidR="00C35CB1" w:rsidRPr="00C35CB1">
        <w:rPr>
          <w:rFonts w:hint="cs"/>
          <w:rtl/>
        </w:rPr>
        <w:t xml:space="preserve">أغسطس 2000 بإشراك المجتمع المحلي في أنشطة المكافحة. </w:t>
      </w:r>
      <w:r w:rsidR="00D666E0">
        <w:rPr>
          <w:rFonts w:hint="cs"/>
          <w:rtl/>
        </w:rPr>
        <w:t>و</w:t>
      </w:r>
      <w:r w:rsidR="00C35CB1" w:rsidRPr="00C35CB1">
        <w:rPr>
          <w:rFonts w:hint="cs"/>
          <w:rtl/>
        </w:rPr>
        <w:t xml:space="preserve">هكذا فقد شاركت في تنفيذ الخطة الوطنية المنظمات غير الحكومية </w:t>
      </w:r>
      <w:r w:rsidR="00D666E0">
        <w:rPr>
          <w:rFonts w:hint="cs"/>
          <w:rtl/>
        </w:rPr>
        <w:t>و</w:t>
      </w:r>
      <w:r w:rsidR="00C35CB1" w:rsidRPr="00C35CB1">
        <w:rPr>
          <w:rFonts w:hint="cs"/>
          <w:rtl/>
        </w:rPr>
        <w:t xml:space="preserve">المجموعات المحلية </w:t>
      </w:r>
      <w:r w:rsidR="00D666E0">
        <w:rPr>
          <w:rFonts w:hint="cs"/>
          <w:rtl/>
        </w:rPr>
        <w:t>و</w:t>
      </w:r>
      <w:r w:rsidR="00C35CB1" w:rsidRPr="00C35CB1">
        <w:rPr>
          <w:rFonts w:hint="cs"/>
          <w:rtl/>
        </w:rPr>
        <w:t xml:space="preserve">الرابطات </w:t>
      </w:r>
      <w:r w:rsidR="00D666E0">
        <w:rPr>
          <w:rFonts w:hint="cs"/>
          <w:rtl/>
        </w:rPr>
        <w:t>و</w:t>
      </w:r>
      <w:r w:rsidR="00C35CB1" w:rsidRPr="00C35CB1">
        <w:rPr>
          <w:rFonts w:hint="cs"/>
          <w:rtl/>
        </w:rPr>
        <w:t>ما إلى ذلك.</w:t>
      </w:r>
    </w:p>
    <w:p w:rsidR="00BA462B" w:rsidRDefault="00572C57" w:rsidP="00C35CB1">
      <w:pPr>
        <w:pStyle w:val="SingleTxt"/>
        <w:rPr>
          <w:rFonts w:hint="cs"/>
          <w:rtl/>
        </w:rPr>
      </w:pPr>
      <w:r>
        <w:rPr>
          <w:rFonts w:hint="cs"/>
          <w:rtl/>
        </w:rPr>
        <w:tab/>
      </w:r>
      <w:r w:rsidR="00D666E0">
        <w:rPr>
          <w:rFonts w:hint="cs"/>
          <w:rtl/>
        </w:rPr>
        <w:t>و</w:t>
      </w:r>
      <w:r w:rsidR="00C35CB1" w:rsidRPr="00C35CB1">
        <w:rPr>
          <w:rFonts w:hint="cs"/>
          <w:rtl/>
        </w:rPr>
        <w:t xml:space="preserve">من جهة أخرى، تولت وزارة الصحة في الفترة من 1988 إلى 2000 وضع البرنامج الوطني لمكافحة متلازمة نقص المناعة المكتسب، </w:t>
      </w:r>
      <w:r w:rsidR="00D666E0">
        <w:rPr>
          <w:rFonts w:hint="cs"/>
          <w:rtl/>
        </w:rPr>
        <w:t>و</w:t>
      </w:r>
      <w:r w:rsidR="00C35CB1" w:rsidRPr="00C35CB1">
        <w:rPr>
          <w:rFonts w:hint="cs"/>
          <w:rtl/>
        </w:rPr>
        <w:t>تنفيذه</w:t>
      </w:r>
      <w:r w:rsidR="0015762F">
        <w:rPr>
          <w:rFonts w:hint="cs"/>
          <w:rtl/>
        </w:rPr>
        <w:t>،</w:t>
      </w:r>
      <w:r w:rsidR="00C35CB1" w:rsidRPr="00C35CB1">
        <w:rPr>
          <w:rFonts w:hint="cs"/>
          <w:rtl/>
        </w:rPr>
        <w:t xml:space="preserve"> </w:t>
      </w:r>
      <w:r w:rsidR="00D666E0">
        <w:rPr>
          <w:rFonts w:hint="cs"/>
          <w:rtl/>
        </w:rPr>
        <w:t>و</w:t>
      </w:r>
      <w:r w:rsidR="00C35CB1" w:rsidRPr="00C35CB1">
        <w:rPr>
          <w:rFonts w:hint="cs"/>
          <w:rtl/>
        </w:rPr>
        <w:t xml:space="preserve">تعبئة الموارد. </w:t>
      </w:r>
    </w:p>
    <w:p w:rsidR="00C35CB1" w:rsidRPr="00C35CB1" w:rsidRDefault="00572C57" w:rsidP="00C35CB1">
      <w:pPr>
        <w:pStyle w:val="SingleTxt"/>
        <w:rPr>
          <w:rFonts w:hint="cs"/>
          <w:rtl/>
        </w:rPr>
      </w:pPr>
      <w:r>
        <w:rPr>
          <w:rFonts w:hint="cs"/>
          <w:rtl/>
        </w:rPr>
        <w:tab/>
      </w:r>
      <w:r w:rsidR="00D666E0">
        <w:rPr>
          <w:rFonts w:hint="cs"/>
          <w:rtl/>
        </w:rPr>
        <w:t>و</w:t>
      </w:r>
      <w:r w:rsidR="00C35CB1" w:rsidRPr="00C35CB1">
        <w:rPr>
          <w:rFonts w:hint="cs"/>
          <w:rtl/>
        </w:rPr>
        <w:t>قد أقام هذا البرنامج الوطني،</w:t>
      </w:r>
      <w:r w:rsidR="000F5CDE">
        <w:rPr>
          <w:rFonts w:hint="cs"/>
          <w:rtl/>
        </w:rPr>
        <w:t xml:space="preserve"> </w:t>
      </w:r>
      <w:r w:rsidR="00C35CB1" w:rsidRPr="00C35CB1">
        <w:rPr>
          <w:rFonts w:hint="cs"/>
          <w:rtl/>
        </w:rPr>
        <w:t>الذي بدأ تنفيذه في 1988</w:t>
      </w:r>
      <w:r w:rsidR="0015762F">
        <w:rPr>
          <w:rFonts w:hint="cs"/>
          <w:rtl/>
        </w:rPr>
        <w:t>،</w:t>
      </w:r>
      <w:r w:rsidR="00C35CB1" w:rsidRPr="00C35CB1">
        <w:rPr>
          <w:rFonts w:hint="cs"/>
          <w:rtl/>
        </w:rPr>
        <w:t xml:space="preserve"> أربعة هياكل:</w:t>
      </w:r>
    </w:p>
    <w:p w:rsidR="00C35CB1" w:rsidRPr="006769A6" w:rsidRDefault="006769A6" w:rsidP="006769A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Pr>
      </w:pPr>
      <w:r>
        <w:rPr>
          <w:rFonts w:hint="cs"/>
          <w:rtl/>
        </w:rPr>
        <w:tab/>
        <w:t>•</w:t>
      </w:r>
      <w:r>
        <w:rPr>
          <w:rFonts w:hint="cs"/>
          <w:rtl/>
        </w:rPr>
        <w:tab/>
      </w:r>
      <w:r w:rsidR="00C35CB1" w:rsidRPr="00C35CB1">
        <w:rPr>
          <w:rFonts w:hint="cs"/>
          <w:rtl/>
        </w:rPr>
        <w:t>المجلس الوطني لمكافحة الأمراض المنتقلة جنسيا</w:t>
      </w:r>
      <w:r w:rsidR="00BB6B48">
        <w:rPr>
          <w:rFonts w:hint="cs"/>
          <w:rtl/>
        </w:rPr>
        <w:t>/</w:t>
      </w:r>
      <w:r w:rsidR="00C35CB1" w:rsidRPr="00C35CB1">
        <w:rPr>
          <w:rFonts w:hint="cs"/>
          <w:rtl/>
        </w:rPr>
        <w:t xml:space="preserve">متلازمة نقص المناعة المكتسب الذي يجمع مختلف الوزارات </w:t>
      </w:r>
      <w:r w:rsidR="00D666E0">
        <w:rPr>
          <w:rFonts w:hint="cs"/>
          <w:rtl/>
        </w:rPr>
        <w:t>و</w:t>
      </w:r>
      <w:r w:rsidR="00C35CB1" w:rsidRPr="00C35CB1">
        <w:rPr>
          <w:rFonts w:hint="cs"/>
          <w:rtl/>
        </w:rPr>
        <w:t xml:space="preserve">هو مكلف بإعداد القرارات السياسية. </w:t>
      </w:r>
      <w:r w:rsidR="00D666E0">
        <w:rPr>
          <w:rFonts w:hint="cs"/>
          <w:rtl/>
        </w:rPr>
        <w:t>و</w:t>
      </w:r>
      <w:r w:rsidR="00C35CB1" w:rsidRPr="00C35CB1">
        <w:rPr>
          <w:rFonts w:hint="cs"/>
          <w:rtl/>
        </w:rPr>
        <w:t xml:space="preserve">تساعد المجلس لجنة تنسيق مشتركة تجمع المؤسسات الحكومية وشركاءها التقنيين </w:t>
      </w:r>
      <w:r w:rsidR="00D666E0">
        <w:rPr>
          <w:rFonts w:hint="cs"/>
          <w:rtl/>
        </w:rPr>
        <w:t>و</w:t>
      </w:r>
      <w:r w:rsidR="00C35CB1" w:rsidRPr="00C35CB1">
        <w:rPr>
          <w:rFonts w:hint="cs"/>
          <w:rtl/>
        </w:rPr>
        <w:t>الماليين،</w:t>
      </w:r>
    </w:p>
    <w:p w:rsidR="00C35CB1" w:rsidRPr="006769A6" w:rsidRDefault="006769A6" w:rsidP="006769A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Pr>
      </w:pPr>
      <w:r>
        <w:rPr>
          <w:rFonts w:hint="cs"/>
          <w:rtl/>
        </w:rPr>
        <w:tab/>
        <w:t>•</w:t>
      </w:r>
      <w:r>
        <w:rPr>
          <w:rFonts w:hint="cs"/>
          <w:rtl/>
        </w:rPr>
        <w:tab/>
      </w:r>
      <w:r w:rsidR="00C35CB1" w:rsidRPr="00C35CB1">
        <w:rPr>
          <w:rFonts w:hint="cs"/>
          <w:rtl/>
        </w:rPr>
        <w:t>هيئة تنسيق تقنية تتألف من ثلاث لجان:</w:t>
      </w:r>
      <w:r w:rsidR="000F5CDE">
        <w:rPr>
          <w:rFonts w:hint="cs"/>
          <w:rtl/>
        </w:rPr>
        <w:t xml:space="preserve"> </w:t>
      </w:r>
      <w:r w:rsidR="00C35CB1" w:rsidRPr="00C35CB1">
        <w:rPr>
          <w:rFonts w:hint="cs"/>
          <w:rtl/>
        </w:rPr>
        <w:t>لجنة</w:t>
      </w:r>
      <w:r w:rsidR="00BB6B48">
        <w:rPr>
          <w:rFonts w:hint="cs"/>
          <w:rtl/>
        </w:rPr>
        <w:t xml:space="preserve"> ”</w:t>
      </w:r>
      <w:r w:rsidR="00C35CB1" w:rsidRPr="00C35CB1">
        <w:rPr>
          <w:rFonts w:hint="cs"/>
          <w:rtl/>
        </w:rPr>
        <w:t xml:space="preserve">المسائل العلاجية </w:t>
      </w:r>
      <w:r w:rsidR="00D666E0">
        <w:rPr>
          <w:rFonts w:hint="cs"/>
          <w:rtl/>
        </w:rPr>
        <w:t>و</w:t>
      </w:r>
      <w:r w:rsidR="00C35CB1" w:rsidRPr="00C35CB1">
        <w:rPr>
          <w:rFonts w:hint="cs"/>
          <w:rtl/>
        </w:rPr>
        <w:t>البيولوجية</w:t>
      </w:r>
      <w:r w:rsidR="00BB6B48">
        <w:rPr>
          <w:rFonts w:hint="eastAsia"/>
          <w:rtl/>
        </w:rPr>
        <w:t>“</w:t>
      </w:r>
      <w:r w:rsidR="00C35CB1" w:rsidRPr="00C35CB1">
        <w:rPr>
          <w:rFonts w:hint="cs"/>
          <w:rtl/>
        </w:rPr>
        <w:t>،</w:t>
      </w:r>
      <w:r w:rsidR="00765A56">
        <w:rPr>
          <w:rFonts w:hint="cs"/>
          <w:rtl/>
        </w:rPr>
        <w:t xml:space="preserve"> </w:t>
      </w:r>
      <w:r w:rsidR="00D666E0">
        <w:rPr>
          <w:rFonts w:hint="cs"/>
          <w:rtl/>
        </w:rPr>
        <w:t>و</w:t>
      </w:r>
      <w:r w:rsidR="00C35CB1" w:rsidRPr="00C35CB1">
        <w:rPr>
          <w:rFonts w:hint="cs"/>
          <w:rtl/>
        </w:rPr>
        <w:t>لجنة</w:t>
      </w:r>
      <w:r w:rsidR="00BB6B48">
        <w:rPr>
          <w:rFonts w:hint="cs"/>
          <w:rtl/>
        </w:rPr>
        <w:t xml:space="preserve"> ”</w:t>
      </w:r>
      <w:r w:rsidR="00C35CB1" w:rsidRPr="00C35CB1">
        <w:rPr>
          <w:rFonts w:hint="cs"/>
          <w:rtl/>
        </w:rPr>
        <w:t xml:space="preserve">الأخلاقيات </w:t>
      </w:r>
      <w:r w:rsidR="00D666E0">
        <w:rPr>
          <w:rFonts w:hint="cs"/>
          <w:rtl/>
        </w:rPr>
        <w:t>و</w:t>
      </w:r>
      <w:r w:rsidR="00C35CB1" w:rsidRPr="00C35CB1">
        <w:rPr>
          <w:rFonts w:hint="cs"/>
          <w:rtl/>
        </w:rPr>
        <w:t>ح</w:t>
      </w:r>
      <w:r w:rsidR="00DA6060">
        <w:rPr>
          <w:rFonts w:hint="cs"/>
          <w:rtl/>
        </w:rPr>
        <w:t>قوق الإ</w:t>
      </w:r>
      <w:r w:rsidR="00C35CB1" w:rsidRPr="00C35CB1">
        <w:rPr>
          <w:rFonts w:hint="cs"/>
          <w:rtl/>
        </w:rPr>
        <w:t>نسان</w:t>
      </w:r>
      <w:r w:rsidR="00BB6B48">
        <w:rPr>
          <w:rFonts w:hint="eastAsia"/>
          <w:rtl/>
        </w:rPr>
        <w:t>“</w:t>
      </w:r>
      <w:r w:rsidR="00C35CB1" w:rsidRPr="00C35CB1">
        <w:rPr>
          <w:rFonts w:hint="cs"/>
          <w:rtl/>
        </w:rPr>
        <w:t>؛</w:t>
      </w:r>
    </w:p>
    <w:p w:rsidR="00C35CB1" w:rsidRPr="006769A6" w:rsidRDefault="006769A6" w:rsidP="006769A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Pr>
      </w:pPr>
      <w:r>
        <w:rPr>
          <w:rFonts w:hint="cs"/>
          <w:rtl/>
        </w:rPr>
        <w:tab/>
        <w:t>•</w:t>
      </w:r>
      <w:r>
        <w:rPr>
          <w:rFonts w:hint="cs"/>
          <w:rtl/>
        </w:rPr>
        <w:tab/>
      </w:r>
      <w:r w:rsidR="00C35CB1" w:rsidRPr="00C35CB1">
        <w:rPr>
          <w:rFonts w:hint="cs"/>
          <w:rtl/>
        </w:rPr>
        <w:t xml:space="preserve">هيئة مشتركة للمتابعة </w:t>
      </w:r>
      <w:r w:rsidR="00D666E0">
        <w:rPr>
          <w:rFonts w:hint="cs"/>
          <w:rtl/>
        </w:rPr>
        <w:t>و</w:t>
      </w:r>
      <w:r w:rsidR="00C35CB1" w:rsidRPr="00C35CB1">
        <w:rPr>
          <w:rFonts w:hint="cs"/>
          <w:rtl/>
        </w:rPr>
        <w:t>التنسيق؛</w:t>
      </w:r>
    </w:p>
    <w:p w:rsidR="00BA462B" w:rsidRDefault="006769A6" w:rsidP="006769A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val="fr-CA"/>
        </w:rPr>
      </w:pPr>
      <w:r>
        <w:rPr>
          <w:rFonts w:hint="cs"/>
          <w:rtl/>
        </w:rPr>
        <w:tab/>
        <w:t>•</w:t>
      </w:r>
      <w:r>
        <w:rPr>
          <w:rFonts w:hint="cs"/>
          <w:rtl/>
        </w:rPr>
        <w:tab/>
      </w:r>
      <w:r w:rsidR="00C35CB1" w:rsidRPr="00C35CB1">
        <w:rPr>
          <w:rFonts w:hint="cs"/>
          <w:rtl/>
        </w:rPr>
        <w:t>وتقدم خدمات الأمانة للبرنامج الوطني لمكافحة نقص المناعة المكتسب</w:t>
      </w:r>
      <w:r w:rsidR="00BB6B48">
        <w:rPr>
          <w:rFonts w:hint="cs"/>
          <w:rtl/>
        </w:rPr>
        <w:t>/</w:t>
      </w:r>
      <w:r w:rsidR="00C35CB1" w:rsidRPr="00C35CB1">
        <w:rPr>
          <w:rFonts w:hint="cs"/>
          <w:rtl/>
        </w:rPr>
        <w:t>الدائرة المعنية بالأمراض المنتقلة جنسيا التابعة لوزارة الصحة</w:t>
      </w:r>
      <w:r w:rsidR="0015762F">
        <w:rPr>
          <w:rFonts w:hint="cs"/>
          <w:rtl/>
        </w:rPr>
        <w:t>.</w:t>
      </w:r>
      <w:r w:rsidR="00C35CB1" w:rsidRPr="00C35CB1">
        <w:rPr>
          <w:rFonts w:hint="cs"/>
          <w:rtl/>
        </w:rPr>
        <w:t xml:space="preserve"> </w:t>
      </w:r>
    </w:p>
    <w:p w:rsidR="00C35CB1" w:rsidRPr="00C35CB1" w:rsidRDefault="006769A6" w:rsidP="000A5EC7">
      <w:pPr>
        <w:pStyle w:val="SingleTxt"/>
        <w:rPr>
          <w:rFonts w:hint="cs"/>
          <w:rtl/>
        </w:rPr>
      </w:pPr>
      <w:r>
        <w:rPr>
          <w:rFonts w:hint="cs"/>
          <w:rtl/>
        </w:rPr>
        <w:tab/>
      </w:r>
      <w:r w:rsidR="00C35CB1" w:rsidRPr="007B5624">
        <w:rPr>
          <w:rFonts w:hint="cs"/>
          <w:w w:val="100"/>
          <w:rtl/>
        </w:rPr>
        <w:t xml:space="preserve">ويهدف تنفيذ الخطة الوطنية إلى تحقيق معدل </w:t>
      </w:r>
      <w:r w:rsidR="000A5EC7">
        <w:rPr>
          <w:rFonts w:hint="cs"/>
          <w:w w:val="100"/>
          <w:rtl/>
          <w:lang w:val="fr-FR"/>
        </w:rPr>
        <w:t>0.95</w:t>
      </w:r>
      <w:r w:rsidR="00C35CB1" w:rsidRPr="007B5624">
        <w:rPr>
          <w:rFonts w:hint="cs"/>
          <w:w w:val="100"/>
          <w:rtl/>
        </w:rPr>
        <w:t xml:space="preserve"> في المائة بالنسبة للحوامل بحلول عام 2012</w:t>
      </w:r>
      <w:r w:rsidR="0015762F" w:rsidRPr="007B5624">
        <w:rPr>
          <w:rFonts w:hint="cs"/>
          <w:w w:val="100"/>
          <w:rtl/>
        </w:rPr>
        <w:t>،</w:t>
      </w:r>
      <w:r w:rsidR="00C35CB1" w:rsidRPr="007B5624">
        <w:rPr>
          <w:rFonts w:hint="cs"/>
          <w:w w:val="100"/>
          <w:rtl/>
        </w:rPr>
        <w:t xml:space="preserve"> </w:t>
      </w:r>
      <w:r w:rsidR="00D666E0" w:rsidRPr="007B5624">
        <w:rPr>
          <w:rFonts w:hint="cs"/>
          <w:w w:val="100"/>
          <w:rtl/>
        </w:rPr>
        <w:t>و</w:t>
      </w:r>
      <w:r w:rsidR="00C35CB1" w:rsidRPr="007B5624">
        <w:rPr>
          <w:rFonts w:hint="cs"/>
          <w:w w:val="100"/>
          <w:rtl/>
        </w:rPr>
        <w:t>الإبقاء على هذا المعدل في الفترة السابقة لذلك العام لكي لا يتجاوز 1 في المائة</w:t>
      </w:r>
      <w:r w:rsidR="00C35CB1" w:rsidRPr="00C35CB1">
        <w:rPr>
          <w:rFonts w:hint="cs"/>
          <w:rtl/>
        </w:rPr>
        <w:t>.</w:t>
      </w:r>
    </w:p>
    <w:p w:rsidR="00BA462B" w:rsidRDefault="006769A6" w:rsidP="00C35CB1">
      <w:pPr>
        <w:pStyle w:val="SingleTxt"/>
        <w:rPr>
          <w:rFonts w:hint="cs"/>
          <w:rtl/>
        </w:rPr>
      </w:pPr>
      <w:r>
        <w:rPr>
          <w:rFonts w:hint="cs"/>
          <w:rtl/>
        </w:rPr>
        <w:tab/>
      </w:r>
      <w:r w:rsidR="00D666E0">
        <w:rPr>
          <w:rFonts w:hint="cs"/>
          <w:rtl/>
        </w:rPr>
        <w:t>و</w:t>
      </w:r>
      <w:r w:rsidR="00C35CB1" w:rsidRPr="00C35CB1">
        <w:rPr>
          <w:rFonts w:hint="cs"/>
          <w:rtl/>
        </w:rPr>
        <w:t>يظهر الجدول التالي الحالة في مدغشقر فيما يتعلق بفيروس نقص المناعة البشرية</w:t>
      </w:r>
      <w:r w:rsidR="00BB6B48">
        <w:rPr>
          <w:rFonts w:hint="cs"/>
          <w:rtl/>
        </w:rPr>
        <w:t>/</w:t>
      </w:r>
      <w:r w:rsidR="00C35CB1" w:rsidRPr="00C35CB1">
        <w:rPr>
          <w:rFonts w:hint="cs"/>
          <w:rtl/>
        </w:rPr>
        <w:t>متلازمة نقص المناعة المكتسب</w:t>
      </w:r>
      <w:r w:rsidR="000F5CDE">
        <w:rPr>
          <w:rFonts w:hint="cs"/>
          <w:rtl/>
        </w:rPr>
        <w:t xml:space="preserve"> </w:t>
      </w:r>
      <w:r w:rsidR="00C35CB1" w:rsidRPr="00C35CB1">
        <w:rPr>
          <w:rFonts w:hint="cs"/>
          <w:rtl/>
        </w:rPr>
        <w:t>(الإيدز):</w:t>
      </w:r>
    </w:p>
    <w:p w:rsidR="006769A6" w:rsidRDefault="006769A6" w:rsidP="006769A6">
      <w:pPr>
        <w:tabs>
          <w:tab w:val="left" w:pos="662"/>
          <w:tab w:val="left" w:pos="1267"/>
          <w:tab w:val="left" w:pos="1987"/>
          <w:tab w:val="left" w:pos="2650"/>
        </w:tabs>
        <w:rPr>
          <w:rFonts w:hint="cs"/>
          <w:rtl/>
        </w:rPr>
      </w:pPr>
      <w:r>
        <w:rPr>
          <w:rFonts w:hint="cs"/>
          <w:rtl/>
        </w:rPr>
        <w:t>الجدول 7</w:t>
      </w:r>
    </w:p>
    <w:p w:rsidR="00C35CB1" w:rsidRDefault="00C35CB1" w:rsidP="006769A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C35CB1">
        <w:rPr>
          <w:rFonts w:hint="cs"/>
          <w:rtl/>
        </w:rPr>
        <w:t>نتائج تحليل مدى تفشي الإصابات بفيروس نقص المناعة البشرية في مدغشقر</w:t>
      </w:r>
    </w:p>
    <w:p w:rsidR="006769A6" w:rsidRPr="006769A6" w:rsidRDefault="006769A6" w:rsidP="007B5624">
      <w:pPr>
        <w:pStyle w:val="SingleTxt"/>
        <w:spacing w:after="0" w:line="60" w:lineRule="exact"/>
        <w:rPr>
          <w:rFonts w:hint="cs"/>
          <w:sz w:val="10"/>
          <w:rtl/>
        </w:rPr>
      </w:pPr>
    </w:p>
    <w:tbl>
      <w:tblPr>
        <w:tblStyle w:val="TableGrid"/>
        <w:bidiVisual/>
        <w:tblW w:w="98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6" w:type="dxa"/>
          <w:right w:w="86" w:type="dxa"/>
        </w:tblCellMar>
        <w:tblLook w:val="01E0" w:firstRow="1" w:lastRow="1" w:firstColumn="1" w:lastColumn="1" w:noHBand="0" w:noVBand="0"/>
      </w:tblPr>
      <w:tblGrid>
        <w:gridCol w:w="1198"/>
        <w:gridCol w:w="2060"/>
        <w:gridCol w:w="2884"/>
        <w:gridCol w:w="1133"/>
        <w:gridCol w:w="1545"/>
        <w:gridCol w:w="1030"/>
      </w:tblGrid>
      <w:tr w:rsidR="006769A6" w:rsidRPr="006769A6">
        <w:trPr>
          <w:cantSplit/>
          <w:tblHeader/>
          <w:jc w:val="center"/>
        </w:trPr>
        <w:tc>
          <w:tcPr>
            <w:tcW w:w="1198" w:type="dxa"/>
            <w:tcBorders>
              <w:top w:val="single" w:sz="4" w:space="0" w:color="auto"/>
              <w:bottom w:val="single" w:sz="12" w:space="0" w:color="auto"/>
            </w:tcBorders>
            <w:shd w:val="clear" w:color="auto" w:fill="auto"/>
            <w:vAlign w:val="bottom"/>
          </w:tcPr>
          <w:p w:rsidR="00C35CB1" w:rsidRPr="006769A6" w:rsidRDefault="00C35CB1" w:rsidP="007B5624">
            <w:pPr>
              <w:pStyle w:val="SingleTxt"/>
              <w:spacing w:before="40" w:after="60" w:line="240" w:lineRule="exact"/>
              <w:ind w:left="0" w:right="0"/>
              <w:rPr>
                <w:rFonts w:cs="Traditional Arabic" w:hint="cs"/>
                <w:i/>
                <w:iCs/>
                <w:sz w:val="16"/>
                <w:szCs w:val="24"/>
                <w:rtl/>
              </w:rPr>
            </w:pPr>
            <w:r w:rsidRPr="006769A6">
              <w:rPr>
                <w:rFonts w:cs="Traditional Arabic" w:hint="cs"/>
                <w:i/>
                <w:iCs/>
                <w:sz w:val="16"/>
                <w:szCs w:val="24"/>
                <w:rtl/>
              </w:rPr>
              <w:t>المقاطعات</w:t>
            </w:r>
          </w:p>
        </w:tc>
        <w:tc>
          <w:tcPr>
            <w:tcW w:w="2060" w:type="dxa"/>
            <w:tcBorders>
              <w:top w:val="single" w:sz="4" w:space="0" w:color="auto"/>
              <w:bottom w:val="single" w:sz="12" w:space="0" w:color="auto"/>
            </w:tcBorders>
            <w:shd w:val="clear" w:color="auto" w:fill="auto"/>
            <w:vAlign w:val="bottom"/>
          </w:tcPr>
          <w:p w:rsidR="00C35CB1" w:rsidRPr="006769A6" w:rsidRDefault="00C35CB1" w:rsidP="007B5624">
            <w:pPr>
              <w:pStyle w:val="SingleTxt"/>
              <w:spacing w:before="40" w:after="60" w:line="240" w:lineRule="exact"/>
              <w:ind w:left="0" w:right="144"/>
              <w:rPr>
                <w:rFonts w:cs="Traditional Arabic" w:hint="cs"/>
                <w:i/>
                <w:iCs/>
                <w:sz w:val="16"/>
                <w:szCs w:val="24"/>
                <w:rtl/>
              </w:rPr>
            </w:pPr>
            <w:r w:rsidRPr="006769A6">
              <w:rPr>
                <w:rFonts w:cs="Traditional Arabic" w:hint="cs"/>
                <w:i/>
                <w:iCs/>
                <w:sz w:val="16"/>
                <w:szCs w:val="24"/>
                <w:rtl/>
              </w:rPr>
              <w:t>عدد الأشخاص المشمولين</w:t>
            </w:r>
          </w:p>
        </w:tc>
        <w:tc>
          <w:tcPr>
            <w:tcW w:w="2884" w:type="dxa"/>
            <w:tcBorders>
              <w:top w:val="single" w:sz="4" w:space="0" w:color="auto"/>
              <w:bottom w:val="single" w:sz="12" w:space="0" w:color="auto"/>
            </w:tcBorders>
            <w:shd w:val="clear" w:color="auto" w:fill="auto"/>
            <w:vAlign w:val="bottom"/>
          </w:tcPr>
          <w:p w:rsidR="00C35CB1" w:rsidRPr="006769A6" w:rsidRDefault="00C35CB1" w:rsidP="007B5624">
            <w:pPr>
              <w:pStyle w:val="SingleTxt"/>
              <w:spacing w:before="40" w:after="60" w:line="240" w:lineRule="exact"/>
              <w:ind w:left="0" w:right="144"/>
              <w:rPr>
                <w:rFonts w:cs="Traditional Arabic" w:hint="cs"/>
                <w:i/>
                <w:iCs/>
                <w:sz w:val="16"/>
                <w:szCs w:val="24"/>
                <w:rtl/>
              </w:rPr>
            </w:pPr>
            <w:r w:rsidRPr="006769A6">
              <w:rPr>
                <w:rFonts w:cs="Traditional Arabic" w:hint="cs"/>
                <w:i/>
                <w:iCs/>
                <w:sz w:val="16"/>
                <w:szCs w:val="24"/>
                <w:rtl/>
              </w:rPr>
              <w:t>الحاملون لفيروس نقص المناعة البشرية</w:t>
            </w:r>
          </w:p>
        </w:tc>
        <w:tc>
          <w:tcPr>
            <w:tcW w:w="1133" w:type="dxa"/>
            <w:tcBorders>
              <w:top w:val="single" w:sz="4" w:space="0" w:color="auto"/>
              <w:bottom w:val="single" w:sz="12" w:space="0" w:color="auto"/>
            </w:tcBorders>
            <w:shd w:val="clear" w:color="auto" w:fill="auto"/>
            <w:vAlign w:val="bottom"/>
          </w:tcPr>
          <w:p w:rsidR="00C35CB1" w:rsidRPr="006769A6" w:rsidRDefault="006769A6" w:rsidP="007B5624">
            <w:pPr>
              <w:pStyle w:val="SingleTxt"/>
              <w:spacing w:before="40" w:after="60" w:line="240" w:lineRule="exact"/>
              <w:ind w:left="0" w:right="144"/>
              <w:rPr>
                <w:rFonts w:cs="Traditional Arabic" w:hint="cs"/>
                <w:i/>
                <w:iCs/>
                <w:sz w:val="16"/>
                <w:szCs w:val="24"/>
                <w:lang w:val="fr-FR"/>
              </w:rPr>
            </w:pPr>
            <w:r w:rsidRPr="006769A6">
              <w:rPr>
                <w:rFonts w:cs="Traditional Arabic" w:hint="cs"/>
                <w:i/>
                <w:iCs/>
                <w:sz w:val="16"/>
                <w:szCs w:val="24"/>
                <w:rtl/>
              </w:rPr>
              <w:t>النسبة المئوي</w:t>
            </w:r>
            <w:r w:rsidRPr="006769A6">
              <w:rPr>
                <w:rFonts w:cs="Traditional Arabic" w:hint="cs"/>
                <w:i/>
                <w:iCs/>
                <w:sz w:val="16"/>
                <w:szCs w:val="24"/>
                <w:rtl/>
                <w:lang w:val="fr-FR"/>
              </w:rPr>
              <w:t>ة</w:t>
            </w:r>
          </w:p>
        </w:tc>
        <w:tc>
          <w:tcPr>
            <w:tcW w:w="1545" w:type="dxa"/>
            <w:tcBorders>
              <w:top w:val="single" w:sz="4" w:space="0" w:color="auto"/>
              <w:bottom w:val="single" w:sz="12" w:space="0" w:color="auto"/>
            </w:tcBorders>
            <w:shd w:val="clear" w:color="auto" w:fill="auto"/>
            <w:vAlign w:val="bottom"/>
          </w:tcPr>
          <w:p w:rsidR="00C35CB1" w:rsidRPr="006769A6" w:rsidRDefault="00C35CB1" w:rsidP="007B5624">
            <w:pPr>
              <w:pStyle w:val="SingleTxt"/>
              <w:spacing w:before="40" w:after="60" w:line="240" w:lineRule="exact"/>
              <w:ind w:left="0" w:right="144"/>
              <w:rPr>
                <w:rFonts w:cs="Traditional Arabic" w:hint="cs"/>
                <w:i/>
                <w:iCs/>
                <w:sz w:val="16"/>
                <w:szCs w:val="24"/>
                <w:rtl/>
              </w:rPr>
            </w:pPr>
            <w:r w:rsidRPr="006769A6">
              <w:rPr>
                <w:rFonts w:cs="Traditional Arabic" w:hint="cs"/>
                <w:i/>
                <w:iCs/>
                <w:sz w:val="16"/>
                <w:szCs w:val="24"/>
                <w:rtl/>
              </w:rPr>
              <w:t>95</w:t>
            </w:r>
            <w:r w:rsidR="006769A6">
              <w:rPr>
                <w:rFonts w:cs="Traditional Arabic" w:hint="cs"/>
                <w:i/>
                <w:iCs/>
                <w:sz w:val="16"/>
                <w:szCs w:val="24"/>
                <w:rtl/>
                <w:lang w:val="fr-FR"/>
              </w:rPr>
              <w:t xml:space="preserve"> في المائة</w:t>
            </w:r>
          </w:p>
        </w:tc>
        <w:tc>
          <w:tcPr>
            <w:tcW w:w="1030" w:type="dxa"/>
            <w:tcBorders>
              <w:top w:val="single" w:sz="4" w:space="0" w:color="auto"/>
              <w:bottom w:val="single" w:sz="12" w:space="0" w:color="auto"/>
            </w:tcBorders>
            <w:shd w:val="clear" w:color="auto" w:fill="auto"/>
            <w:vAlign w:val="bottom"/>
          </w:tcPr>
          <w:p w:rsidR="00C35CB1" w:rsidRPr="006769A6" w:rsidRDefault="00C35CB1" w:rsidP="007B5624">
            <w:pPr>
              <w:pStyle w:val="SingleTxt"/>
              <w:spacing w:before="40" w:after="60" w:line="240" w:lineRule="exact"/>
              <w:ind w:left="0" w:right="144"/>
              <w:rPr>
                <w:rFonts w:cs="Traditional Arabic" w:hint="cs"/>
                <w:i/>
                <w:iCs/>
                <w:sz w:val="16"/>
                <w:szCs w:val="24"/>
                <w:rtl/>
              </w:rPr>
            </w:pPr>
            <w:r w:rsidRPr="006769A6">
              <w:rPr>
                <w:rFonts w:cs="Traditional Arabic" w:hint="cs"/>
                <w:i/>
                <w:iCs/>
                <w:sz w:val="16"/>
                <w:szCs w:val="24"/>
                <w:rtl/>
              </w:rPr>
              <w:t>قيمة</w:t>
            </w:r>
          </w:p>
        </w:tc>
      </w:tr>
      <w:tr w:rsidR="006769A6" w:rsidRPr="006769A6">
        <w:trPr>
          <w:cantSplit/>
          <w:trHeight w:hRule="exact" w:val="115"/>
          <w:tblHeader/>
          <w:jc w:val="center"/>
        </w:trPr>
        <w:tc>
          <w:tcPr>
            <w:tcW w:w="1198" w:type="dxa"/>
            <w:tcBorders>
              <w:top w:val="single" w:sz="12" w:space="0" w:color="auto"/>
            </w:tcBorders>
            <w:shd w:val="clear" w:color="auto" w:fill="auto"/>
            <w:vAlign w:val="bottom"/>
          </w:tcPr>
          <w:p w:rsidR="006769A6" w:rsidRPr="006769A6" w:rsidRDefault="006769A6" w:rsidP="006769A6">
            <w:pPr>
              <w:pStyle w:val="SingleTxt"/>
              <w:spacing w:before="40" w:after="80" w:line="240" w:lineRule="exact"/>
              <w:ind w:left="0" w:right="0"/>
              <w:rPr>
                <w:rFonts w:hint="cs"/>
                <w:b/>
                <w:bCs/>
                <w:sz w:val="16"/>
                <w:szCs w:val="24"/>
                <w:rtl/>
              </w:rPr>
            </w:pPr>
          </w:p>
        </w:tc>
        <w:tc>
          <w:tcPr>
            <w:tcW w:w="2060" w:type="dxa"/>
            <w:tcBorders>
              <w:top w:val="single" w:sz="12" w:space="0" w:color="auto"/>
            </w:tcBorders>
            <w:shd w:val="clear" w:color="auto" w:fill="auto"/>
            <w:vAlign w:val="bottom"/>
          </w:tcPr>
          <w:p w:rsidR="006769A6" w:rsidRPr="006769A6" w:rsidRDefault="006769A6" w:rsidP="006769A6">
            <w:pPr>
              <w:pStyle w:val="SingleTxt"/>
              <w:spacing w:before="40" w:after="80" w:line="240" w:lineRule="exact"/>
              <w:ind w:left="0" w:right="144"/>
              <w:rPr>
                <w:rFonts w:hint="cs"/>
                <w:sz w:val="16"/>
                <w:szCs w:val="24"/>
                <w:rtl/>
              </w:rPr>
            </w:pPr>
          </w:p>
        </w:tc>
        <w:tc>
          <w:tcPr>
            <w:tcW w:w="2884" w:type="dxa"/>
            <w:tcBorders>
              <w:top w:val="single" w:sz="12" w:space="0" w:color="auto"/>
            </w:tcBorders>
            <w:shd w:val="clear" w:color="auto" w:fill="auto"/>
            <w:vAlign w:val="bottom"/>
          </w:tcPr>
          <w:p w:rsidR="006769A6" w:rsidRPr="006769A6" w:rsidRDefault="006769A6" w:rsidP="006769A6">
            <w:pPr>
              <w:pStyle w:val="SingleTxt"/>
              <w:spacing w:before="40" w:after="80" w:line="240" w:lineRule="exact"/>
              <w:ind w:left="0" w:right="144"/>
              <w:rPr>
                <w:rFonts w:hint="cs"/>
                <w:sz w:val="16"/>
                <w:szCs w:val="24"/>
                <w:rtl/>
              </w:rPr>
            </w:pPr>
          </w:p>
        </w:tc>
        <w:tc>
          <w:tcPr>
            <w:tcW w:w="1133" w:type="dxa"/>
            <w:tcBorders>
              <w:top w:val="single" w:sz="12" w:space="0" w:color="auto"/>
            </w:tcBorders>
            <w:shd w:val="clear" w:color="auto" w:fill="auto"/>
            <w:vAlign w:val="bottom"/>
          </w:tcPr>
          <w:p w:rsidR="006769A6" w:rsidRPr="006769A6" w:rsidRDefault="006769A6" w:rsidP="006769A6">
            <w:pPr>
              <w:pStyle w:val="SingleTxt"/>
              <w:spacing w:before="40" w:after="80" w:line="240" w:lineRule="exact"/>
              <w:ind w:left="0" w:right="144"/>
              <w:rPr>
                <w:sz w:val="16"/>
                <w:szCs w:val="24"/>
                <w:lang w:val="fr-CA"/>
              </w:rPr>
            </w:pPr>
          </w:p>
        </w:tc>
        <w:tc>
          <w:tcPr>
            <w:tcW w:w="1545" w:type="dxa"/>
            <w:tcBorders>
              <w:top w:val="single" w:sz="12" w:space="0" w:color="auto"/>
            </w:tcBorders>
            <w:shd w:val="clear" w:color="auto" w:fill="auto"/>
            <w:vAlign w:val="bottom"/>
          </w:tcPr>
          <w:p w:rsidR="006769A6" w:rsidRPr="006769A6" w:rsidRDefault="006769A6" w:rsidP="006769A6">
            <w:pPr>
              <w:pStyle w:val="SingleTxt"/>
              <w:spacing w:before="40" w:after="80" w:line="240" w:lineRule="exact"/>
              <w:ind w:left="0" w:right="144"/>
              <w:rPr>
                <w:rFonts w:hint="cs"/>
                <w:sz w:val="16"/>
                <w:szCs w:val="24"/>
                <w:rtl/>
              </w:rPr>
            </w:pPr>
          </w:p>
        </w:tc>
        <w:tc>
          <w:tcPr>
            <w:tcW w:w="1030" w:type="dxa"/>
            <w:tcBorders>
              <w:top w:val="single" w:sz="12" w:space="0" w:color="auto"/>
            </w:tcBorders>
            <w:shd w:val="clear" w:color="auto" w:fill="auto"/>
            <w:vAlign w:val="bottom"/>
          </w:tcPr>
          <w:p w:rsidR="006769A6" w:rsidRPr="006769A6" w:rsidRDefault="006769A6" w:rsidP="006769A6">
            <w:pPr>
              <w:pStyle w:val="SingleTxt"/>
              <w:spacing w:before="40" w:after="80" w:line="240" w:lineRule="exact"/>
              <w:ind w:left="0" w:right="144"/>
              <w:rPr>
                <w:rFonts w:hint="cs"/>
                <w:sz w:val="16"/>
                <w:szCs w:val="24"/>
                <w:rtl/>
              </w:rPr>
            </w:pPr>
          </w:p>
        </w:tc>
      </w:tr>
      <w:tr w:rsidR="006769A6" w:rsidRPr="006769A6">
        <w:trPr>
          <w:cantSplit/>
          <w:jc w:val="center"/>
        </w:trPr>
        <w:tc>
          <w:tcPr>
            <w:tcW w:w="1198" w:type="dxa"/>
            <w:shd w:val="clear" w:color="auto" w:fill="auto"/>
            <w:vAlign w:val="bottom"/>
          </w:tcPr>
          <w:p w:rsidR="00C35CB1" w:rsidRPr="006769A6" w:rsidRDefault="00C35CB1" w:rsidP="006769A6">
            <w:pPr>
              <w:pStyle w:val="SingleTxt"/>
              <w:spacing w:before="40" w:after="80" w:line="240" w:lineRule="exact"/>
              <w:ind w:left="0" w:right="0"/>
              <w:rPr>
                <w:rFonts w:cs="Traditional Arabic" w:hint="cs"/>
                <w:sz w:val="16"/>
                <w:szCs w:val="24"/>
                <w:rtl/>
              </w:rPr>
            </w:pPr>
            <w:r w:rsidRPr="006769A6">
              <w:rPr>
                <w:rFonts w:cs="Traditional Arabic" w:hint="cs"/>
                <w:sz w:val="16"/>
                <w:szCs w:val="24"/>
                <w:rtl/>
              </w:rPr>
              <w:t>انتاناناريفو</w:t>
            </w:r>
          </w:p>
        </w:tc>
        <w:tc>
          <w:tcPr>
            <w:tcW w:w="2060" w:type="dxa"/>
            <w:shd w:val="clear" w:color="auto" w:fill="auto"/>
            <w:vAlign w:val="bottom"/>
          </w:tcPr>
          <w:p w:rsidR="00C35CB1" w:rsidRPr="006769A6" w:rsidRDefault="00C35CB1" w:rsidP="006769A6">
            <w:pPr>
              <w:pStyle w:val="SingleTxt"/>
              <w:spacing w:before="40" w:after="80" w:line="240" w:lineRule="exact"/>
              <w:ind w:left="532" w:right="144"/>
              <w:rPr>
                <w:rFonts w:cs="Traditional Arabic" w:hint="cs"/>
                <w:sz w:val="16"/>
                <w:szCs w:val="24"/>
                <w:rtl/>
              </w:rPr>
            </w:pPr>
            <w:r w:rsidRPr="006769A6">
              <w:rPr>
                <w:rFonts w:cs="Traditional Arabic" w:hint="cs"/>
                <w:sz w:val="16"/>
                <w:szCs w:val="24"/>
                <w:rtl/>
              </w:rPr>
              <w:t>1660</w:t>
            </w:r>
          </w:p>
        </w:tc>
        <w:tc>
          <w:tcPr>
            <w:tcW w:w="2884" w:type="dxa"/>
            <w:shd w:val="clear" w:color="auto" w:fill="auto"/>
            <w:vAlign w:val="bottom"/>
          </w:tcPr>
          <w:p w:rsidR="00C35CB1" w:rsidRPr="006769A6" w:rsidRDefault="00C35CB1" w:rsidP="006769A6">
            <w:pPr>
              <w:pStyle w:val="SingleTxt"/>
              <w:spacing w:before="40" w:after="80" w:line="240" w:lineRule="exact"/>
              <w:ind w:left="841" w:right="144"/>
              <w:rPr>
                <w:rFonts w:cs="Traditional Arabic" w:hint="cs"/>
                <w:sz w:val="16"/>
                <w:szCs w:val="24"/>
                <w:rtl/>
              </w:rPr>
            </w:pPr>
            <w:r w:rsidRPr="006769A6">
              <w:rPr>
                <w:rFonts w:cs="Traditional Arabic" w:hint="cs"/>
                <w:sz w:val="16"/>
                <w:szCs w:val="24"/>
                <w:rtl/>
              </w:rPr>
              <w:t>5</w:t>
            </w:r>
          </w:p>
        </w:tc>
        <w:tc>
          <w:tcPr>
            <w:tcW w:w="1133" w:type="dxa"/>
            <w:shd w:val="clear" w:color="auto" w:fill="auto"/>
            <w:vAlign w:val="bottom"/>
          </w:tcPr>
          <w:p w:rsidR="00C35CB1" w:rsidRPr="006769A6" w:rsidRDefault="006769A6" w:rsidP="006769A6">
            <w:pPr>
              <w:pStyle w:val="SingleTxt"/>
              <w:spacing w:before="40" w:after="80" w:line="240" w:lineRule="exact"/>
              <w:ind w:left="0" w:right="144"/>
              <w:rPr>
                <w:rFonts w:cs="Traditional Arabic" w:hint="cs"/>
                <w:sz w:val="16"/>
                <w:szCs w:val="24"/>
                <w:rtl/>
              </w:rPr>
            </w:pPr>
            <w:r>
              <w:rPr>
                <w:rFonts w:cs="Traditional Arabic" w:hint="cs"/>
                <w:sz w:val="16"/>
                <w:szCs w:val="24"/>
                <w:rtl/>
                <w:lang w:val="fr-CA"/>
              </w:rPr>
              <w:t>0.30</w:t>
            </w:r>
          </w:p>
        </w:tc>
        <w:tc>
          <w:tcPr>
            <w:tcW w:w="1545" w:type="dxa"/>
            <w:shd w:val="clear" w:color="auto" w:fill="auto"/>
            <w:vAlign w:val="bottom"/>
          </w:tcPr>
          <w:p w:rsidR="00C35CB1" w:rsidRPr="006769A6" w:rsidRDefault="00C35CB1" w:rsidP="006769A6">
            <w:pPr>
              <w:pStyle w:val="SingleTxt"/>
              <w:spacing w:before="40" w:after="80" w:line="240" w:lineRule="exact"/>
              <w:ind w:left="0" w:right="144"/>
              <w:rPr>
                <w:rFonts w:cs="Traditional Arabic" w:hint="cs"/>
                <w:sz w:val="16"/>
                <w:szCs w:val="24"/>
                <w:rtl/>
              </w:rPr>
            </w:pPr>
            <w:r w:rsidRPr="006769A6">
              <w:rPr>
                <w:rFonts w:cs="Traditional Arabic" w:hint="cs"/>
                <w:sz w:val="16"/>
                <w:szCs w:val="24"/>
                <w:rtl/>
              </w:rPr>
              <w:t>(0.74-0.11)</w:t>
            </w:r>
          </w:p>
        </w:tc>
        <w:tc>
          <w:tcPr>
            <w:tcW w:w="1030" w:type="dxa"/>
            <w:shd w:val="clear" w:color="auto" w:fill="auto"/>
            <w:vAlign w:val="bottom"/>
          </w:tcPr>
          <w:p w:rsidR="00C35CB1" w:rsidRPr="006769A6" w:rsidRDefault="00C35CB1" w:rsidP="006769A6">
            <w:pPr>
              <w:pStyle w:val="SingleTxt"/>
              <w:spacing w:before="40" w:after="80" w:line="240" w:lineRule="exact"/>
              <w:ind w:left="0" w:right="144"/>
              <w:rPr>
                <w:rFonts w:cs="Traditional Arabic" w:hint="cs"/>
                <w:sz w:val="16"/>
                <w:szCs w:val="24"/>
                <w:rtl/>
              </w:rPr>
            </w:pPr>
            <w:r w:rsidRPr="006769A6">
              <w:rPr>
                <w:rFonts w:cs="Traditional Arabic" w:hint="cs"/>
                <w:sz w:val="16"/>
                <w:szCs w:val="24"/>
                <w:rtl/>
              </w:rPr>
              <w:t>0.007</w:t>
            </w:r>
          </w:p>
        </w:tc>
      </w:tr>
      <w:tr w:rsidR="006769A6" w:rsidRPr="006769A6">
        <w:trPr>
          <w:cantSplit/>
          <w:jc w:val="center"/>
        </w:trPr>
        <w:tc>
          <w:tcPr>
            <w:tcW w:w="1198" w:type="dxa"/>
            <w:shd w:val="clear" w:color="auto" w:fill="auto"/>
            <w:vAlign w:val="bottom"/>
          </w:tcPr>
          <w:p w:rsidR="00C35CB1" w:rsidRPr="006769A6" w:rsidRDefault="00C35CB1" w:rsidP="006769A6">
            <w:pPr>
              <w:pStyle w:val="SingleTxt"/>
              <w:spacing w:before="40" w:after="80" w:line="240" w:lineRule="exact"/>
              <w:ind w:left="0" w:right="0"/>
              <w:rPr>
                <w:rFonts w:cs="Traditional Arabic" w:hint="cs"/>
                <w:sz w:val="16"/>
                <w:szCs w:val="24"/>
                <w:rtl/>
              </w:rPr>
            </w:pPr>
            <w:r w:rsidRPr="006769A6">
              <w:rPr>
                <w:rFonts w:cs="Traditional Arabic" w:hint="cs"/>
                <w:sz w:val="16"/>
                <w:szCs w:val="24"/>
                <w:rtl/>
              </w:rPr>
              <w:t>انتسيرانانا</w:t>
            </w:r>
          </w:p>
        </w:tc>
        <w:tc>
          <w:tcPr>
            <w:tcW w:w="2060" w:type="dxa"/>
            <w:shd w:val="clear" w:color="auto" w:fill="auto"/>
            <w:vAlign w:val="bottom"/>
          </w:tcPr>
          <w:p w:rsidR="00C35CB1" w:rsidRPr="006769A6" w:rsidRDefault="00C35CB1" w:rsidP="006769A6">
            <w:pPr>
              <w:pStyle w:val="SingleTxt"/>
              <w:spacing w:before="40" w:after="80" w:line="240" w:lineRule="exact"/>
              <w:ind w:left="532" w:right="144"/>
              <w:rPr>
                <w:rFonts w:cs="Traditional Arabic" w:hint="cs"/>
                <w:sz w:val="16"/>
                <w:szCs w:val="24"/>
                <w:rtl/>
              </w:rPr>
            </w:pPr>
            <w:r w:rsidRPr="006769A6">
              <w:rPr>
                <w:rFonts w:cs="Traditional Arabic" w:hint="cs"/>
                <w:sz w:val="16"/>
                <w:szCs w:val="24"/>
                <w:rtl/>
              </w:rPr>
              <w:t>1723</w:t>
            </w:r>
          </w:p>
        </w:tc>
        <w:tc>
          <w:tcPr>
            <w:tcW w:w="2884" w:type="dxa"/>
            <w:shd w:val="clear" w:color="auto" w:fill="auto"/>
            <w:vAlign w:val="bottom"/>
          </w:tcPr>
          <w:p w:rsidR="00C35CB1" w:rsidRPr="006769A6" w:rsidRDefault="00C35CB1" w:rsidP="006769A6">
            <w:pPr>
              <w:pStyle w:val="SingleTxt"/>
              <w:spacing w:before="40" w:after="80" w:line="240" w:lineRule="exact"/>
              <w:ind w:left="841" w:right="144"/>
              <w:rPr>
                <w:rFonts w:cs="Traditional Arabic" w:hint="cs"/>
                <w:sz w:val="16"/>
                <w:szCs w:val="24"/>
                <w:rtl/>
              </w:rPr>
            </w:pPr>
            <w:r w:rsidRPr="006769A6">
              <w:rPr>
                <w:rFonts w:cs="Traditional Arabic" w:hint="cs"/>
                <w:sz w:val="16"/>
                <w:szCs w:val="24"/>
                <w:rtl/>
              </w:rPr>
              <w:t>26</w:t>
            </w:r>
          </w:p>
        </w:tc>
        <w:tc>
          <w:tcPr>
            <w:tcW w:w="1133" w:type="dxa"/>
            <w:shd w:val="clear" w:color="auto" w:fill="auto"/>
            <w:vAlign w:val="bottom"/>
          </w:tcPr>
          <w:p w:rsidR="00C35CB1" w:rsidRPr="006769A6" w:rsidRDefault="006769A6" w:rsidP="006769A6">
            <w:pPr>
              <w:pStyle w:val="SingleTxt"/>
              <w:spacing w:before="40" w:after="80" w:line="240" w:lineRule="exact"/>
              <w:ind w:left="0" w:right="144"/>
              <w:rPr>
                <w:rFonts w:cs="Traditional Arabic" w:hint="cs"/>
                <w:sz w:val="16"/>
                <w:szCs w:val="24"/>
                <w:rtl/>
              </w:rPr>
            </w:pPr>
            <w:r>
              <w:rPr>
                <w:rFonts w:cs="Traditional Arabic" w:hint="cs"/>
                <w:sz w:val="16"/>
                <w:szCs w:val="24"/>
                <w:rtl/>
                <w:lang w:val="fr-CA"/>
              </w:rPr>
              <w:t>1.51</w:t>
            </w:r>
          </w:p>
        </w:tc>
        <w:tc>
          <w:tcPr>
            <w:tcW w:w="1545" w:type="dxa"/>
            <w:shd w:val="clear" w:color="auto" w:fill="auto"/>
            <w:vAlign w:val="bottom"/>
          </w:tcPr>
          <w:p w:rsidR="00C35CB1" w:rsidRPr="006769A6" w:rsidRDefault="00C35CB1" w:rsidP="006769A6">
            <w:pPr>
              <w:pStyle w:val="SingleTxt"/>
              <w:spacing w:before="40" w:after="80" w:line="240" w:lineRule="exact"/>
              <w:ind w:left="0" w:right="144"/>
              <w:rPr>
                <w:rFonts w:cs="Traditional Arabic" w:hint="cs"/>
                <w:sz w:val="16"/>
                <w:szCs w:val="24"/>
                <w:rtl/>
              </w:rPr>
            </w:pPr>
            <w:r w:rsidRPr="006769A6">
              <w:rPr>
                <w:rFonts w:cs="Traditional Arabic" w:hint="cs"/>
                <w:sz w:val="16"/>
                <w:szCs w:val="24"/>
                <w:rtl/>
              </w:rPr>
              <w:t>2.24-1.01)</w:t>
            </w:r>
          </w:p>
        </w:tc>
        <w:tc>
          <w:tcPr>
            <w:tcW w:w="1030" w:type="dxa"/>
            <w:shd w:val="clear" w:color="auto" w:fill="auto"/>
            <w:vAlign w:val="bottom"/>
          </w:tcPr>
          <w:p w:rsidR="00C35CB1" w:rsidRPr="006769A6" w:rsidRDefault="00C35CB1" w:rsidP="006769A6">
            <w:pPr>
              <w:pStyle w:val="SingleTxt"/>
              <w:spacing w:before="40" w:after="80" w:line="240" w:lineRule="exact"/>
              <w:ind w:left="0" w:right="144"/>
              <w:rPr>
                <w:rFonts w:cs="Traditional Arabic" w:hint="cs"/>
                <w:sz w:val="16"/>
                <w:szCs w:val="24"/>
                <w:rtl/>
              </w:rPr>
            </w:pPr>
            <w:r w:rsidRPr="006769A6">
              <w:rPr>
                <w:rFonts w:cs="Traditional Arabic" w:hint="cs"/>
                <w:sz w:val="16"/>
                <w:szCs w:val="24"/>
                <w:rtl/>
              </w:rPr>
              <w:t>0.007</w:t>
            </w:r>
          </w:p>
        </w:tc>
      </w:tr>
      <w:tr w:rsidR="006769A6" w:rsidRPr="006769A6">
        <w:trPr>
          <w:cantSplit/>
          <w:jc w:val="center"/>
        </w:trPr>
        <w:tc>
          <w:tcPr>
            <w:tcW w:w="1198" w:type="dxa"/>
            <w:shd w:val="clear" w:color="auto" w:fill="auto"/>
            <w:vAlign w:val="bottom"/>
          </w:tcPr>
          <w:p w:rsidR="00C35CB1" w:rsidRPr="006769A6" w:rsidRDefault="00C35CB1" w:rsidP="006769A6">
            <w:pPr>
              <w:pStyle w:val="SingleTxt"/>
              <w:spacing w:before="40" w:after="80" w:line="240" w:lineRule="exact"/>
              <w:ind w:left="0" w:right="0"/>
              <w:rPr>
                <w:rFonts w:cs="Traditional Arabic" w:hint="cs"/>
                <w:sz w:val="16"/>
                <w:szCs w:val="24"/>
                <w:rtl/>
              </w:rPr>
            </w:pPr>
            <w:r w:rsidRPr="006769A6">
              <w:rPr>
                <w:rFonts w:cs="Traditional Arabic" w:hint="cs"/>
                <w:sz w:val="16"/>
                <w:szCs w:val="24"/>
                <w:rtl/>
              </w:rPr>
              <w:t>فيانارانتسوا</w:t>
            </w:r>
          </w:p>
        </w:tc>
        <w:tc>
          <w:tcPr>
            <w:tcW w:w="2060" w:type="dxa"/>
            <w:shd w:val="clear" w:color="auto" w:fill="auto"/>
            <w:vAlign w:val="bottom"/>
          </w:tcPr>
          <w:p w:rsidR="00C35CB1" w:rsidRPr="006769A6" w:rsidRDefault="00C35CB1" w:rsidP="006769A6">
            <w:pPr>
              <w:pStyle w:val="SingleTxt"/>
              <w:spacing w:before="40" w:after="80" w:line="240" w:lineRule="exact"/>
              <w:ind w:left="532" w:right="144"/>
              <w:rPr>
                <w:rFonts w:cs="Traditional Arabic" w:hint="cs"/>
                <w:sz w:val="16"/>
                <w:szCs w:val="24"/>
                <w:rtl/>
              </w:rPr>
            </w:pPr>
            <w:r w:rsidRPr="006769A6">
              <w:rPr>
                <w:rFonts w:cs="Traditional Arabic" w:hint="cs"/>
                <w:sz w:val="16"/>
                <w:szCs w:val="24"/>
                <w:rtl/>
              </w:rPr>
              <w:t>1510</w:t>
            </w:r>
          </w:p>
        </w:tc>
        <w:tc>
          <w:tcPr>
            <w:tcW w:w="2884" w:type="dxa"/>
            <w:shd w:val="clear" w:color="auto" w:fill="auto"/>
            <w:vAlign w:val="bottom"/>
          </w:tcPr>
          <w:p w:rsidR="00C35CB1" w:rsidRPr="006769A6" w:rsidRDefault="00C35CB1" w:rsidP="006769A6">
            <w:pPr>
              <w:pStyle w:val="SingleTxt"/>
              <w:spacing w:before="40" w:after="80" w:line="240" w:lineRule="exact"/>
              <w:ind w:left="841" w:right="144"/>
              <w:rPr>
                <w:rFonts w:cs="Traditional Arabic" w:hint="cs"/>
                <w:sz w:val="16"/>
                <w:szCs w:val="24"/>
                <w:rtl/>
              </w:rPr>
            </w:pPr>
            <w:r w:rsidRPr="006769A6">
              <w:rPr>
                <w:rFonts w:cs="Traditional Arabic" w:hint="cs"/>
                <w:sz w:val="16"/>
                <w:szCs w:val="24"/>
                <w:rtl/>
              </w:rPr>
              <w:t>20</w:t>
            </w:r>
          </w:p>
        </w:tc>
        <w:tc>
          <w:tcPr>
            <w:tcW w:w="1133" w:type="dxa"/>
            <w:shd w:val="clear" w:color="auto" w:fill="auto"/>
            <w:vAlign w:val="bottom"/>
          </w:tcPr>
          <w:p w:rsidR="00C35CB1" w:rsidRPr="006769A6" w:rsidRDefault="006769A6" w:rsidP="006769A6">
            <w:pPr>
              <w:pStyle w:val="SingleTxt"/>
              <w:spacing w:before="40" w:after="80" w:line="240" w:lineRule="exact"/>
              <w:ind w:left="0" w:right="144"/>
              <w:rPr>
                <w:rFonts w:cs="Traditional Arabic" w:hint="cs"/>
                <w:sz w:val="16"/>
                <w:szCs w:val="24"/>
                <w:rtl/>
              </w:rPr>
            </w:pPr>
            <w:r>
              <w:rPr>
                <w:rFonts w:cs="Traditional Arabic" w:hint="cs"/>
                <w:sz w:val="16"/>
                <w:szCs w:val="24"/>
                <w:rtl/>
                <w:lang w:val="fr-CA"/>
              </w:rPr>
              <w:t>1.32</w:t>
            </w:r>
          </w:p>
        </w:tc>
        <w:tc>
          <w:tcPr>
            <w:tcW w:w="1545" w:type="dxa"/>
            <w:shd w:val="clear" w:color="auto" w:fill="auto"/>
            <w:vAlign w:val="bottom"/>
          </w:tcPr>
          <w:p w:rsidR="00C35CB1" w:rsidRPr="006769A6" w:rsidRDefault="00C35CB1" w:rsidP="006769A6">
            <w:pPr>
              <w:pStyle w:val="SingleTxt"/>
              <w:spacing w:before="40" w:after="80" w:line="240" w:lineRule="exact"/>
              <w:ind w:left="0" w:right="144"/>
              <w:rPr>
                <w:rFonts w:cs="Traditional Arabic" w:hint="cs"/>
                <w:sz w:val="16"/>
                <w:szCs w:val="24"/>
                <w:rtl/>
              </w:rPr>
            </w:pPr>
            <w:r w:rsidRPr="006769A6">
              <w:rPr>
                <w:rFonts w:cs="Traditional Arabic" w:hint="cs"/>
                <w:sz w:val="16"/>
                <w:szCs w:val="24"/>
                <w:rtl/>
              </w:rPr>
              <w:t>(2.08-0.83)</w:t>
            </w:r>
          </w:p>
        </w:tc>
        <w:tc>
          <w:tcPr>
            <w:tcW w:w="1030" w:type="dxa"/>
            <w:shd w:val="clear" w:color="auto" w:fill="auto"/>
            <w:vAlign w:val="bottom"/>
          </w:tcPr>
          <w:p w:rsidR="00C35CB1" w:rsidRPr="006769A6" w:rsidRDefault="00C35CB1" w:rsidP="006769A6">
            <w:pPr>
              <w:pStyle w:val="SingleTxt"/>
              <w:spacing w:before="40" w:after="80" w:line="240" w:lineRule="exact"/>
              <w:ind w:left="0" w:right="144"/>
              <w:rPr>
                <w:rFonts w:cs="Traditional Arabic" w:hint="cs"/>
                <w:sz w:val="16"/>
                <w:szCs w:val="24"/>
                <w:rtl/>
              </w:rPr>
            </w:pPr>
            <w:r w:rsidRPr="006769A6">
              <w:rPr>
                <w:rFonts w:cs="Traditional Arabic" w:hint="cs"/>
                <w:sz w:val="16"/>
                <w:szCs w:val="24"/>
                <w:rtl/>
              </w:rPr>
              <w:t>0.007</w:t>
            </w:r>
          </w:p>
        </w:tc>
      </w:tr>
      <w:tr w:rsidR="006769A6" w:rsidRPr="006769A6">
        <w:trPr>
          <w:cantSplit/>
          <w:jc w:val="center"/>
        </w:trPr>
        <w:tc>
          <w:tcPr>
            <w:tcW w:w="1198" w:type="dxa"/>
            <w:shd w:val="clear" w:color="auto" w:fill="auto"/>
            <w:vAlign w:val="bottom"/>
          </w:tcPr>
          <w:p w:rsidR="00C35CB1" w:rsidRPr="006769A6" w:rsidRDefault="00C35CB1" w:rsidP="006769A6">
            <w:pPr>
              <w:pStyle w:val="SingleTxt"/>
              <w:spacing w:before="40" w:after="80" w:line="240" w:lineRule="exact"/>
              <w:ind w:left="0" w:right="0"/>
              <w:rPr>
                <w:rFonts w:cs="Traditional Arabic" w:hint="cs"/>
                <w:sz w:val="16"/>
                <w:szCs w:val="24"/>
                <w:rtl/>
              </w:rPr>
            </w:pPr>
            <w:r w:rsidRPr="006769A6">
              <w:rPr>
                <w:rFonts w:cs="Traditional Arabic" w:hint="cs"/>
                <w:sz w:val="16"/>
                <w:szCs w:val="24"/>
                <w:rtl/>
              </w:rPr>
              <w:t>ماهاجنغا</w:t>
            </w:r>
          </w:p>
        </w:tc>
        <w:tc>
          <w:tcPr>
            <w:tcW w:w="2060" w:type="dxa"/>
            <w:shd w:val="clear" w:color="auto" w:fill="auto"/>
            <w:vAlign w:val="bottom"/>
          </w:tcPr>
          <w:p w:rsidR="00C35CB1" w:rsidRPr="006769A6" w:rsidRDefault="00C35CB1" w:rsidP="006769A6">
            <w:pPr>
              <w:pStyle w:val="SingleTxt"/>
              <w:spacing w:before="40" w:after="80" w:line="240" w:lineRule="exact"/>
              <w:ind w:left="532" w:right="144"/>
              <w:rPr>
                <w:rFonts w:cs="Traditional Arabic" w:hint="cs"/>
                <w:sz w:val="16"/>
                <w:szCs w:val="24"/>
                <w:rtl/>
              </w:rPr>
            </w:pPr>
            <w:r w:rsidRPr="006769A6">
              <w:rPr>
                <w:rFonts w:cs="Traditional Arabic" w:hint="cs"/>
                <w:sz w:val="16"/>
                <w:szCs w:val="24"/>
                <w:rtl/>
              </w:rPr>
              <w:t>1680</w:t>
            </w:r>
          </w:p>
        </w:tc>
        <w:tc>
          <w:tcPr>
            <w:tcW w:w="2884" w:type="dxa"/>
            <w:shd w:val="clear" w:color="auto" w:fill="auto"/>
            <w:vAlign w:val="bottom"/>
          </w:tcPr>
          <w:p w:rsidR="00C35CB1" w:rsidRPr="006769A6" w:rsidRDefault="00C35CB1" w:rsidP="006769A6">
            <w:pPr>
              <w:pStyle w:val="SingleTxt"/>
              <w:spacing w:before="40" w:after="80" w:line="240" w:lineRule="exact"/>
              <w:ind w:left="841" w:right="144"/>
              <w:rPr>
                <w:rFonts w:cs="Traditional Arabic" w:hint="cs"/>
                <w:sz w:val="16"/>
                <w:szCs w:val="24"/>
                <w:rtl/>
              </w:rPr>
            </w:pPr>
            <w:r w:rsidRPr="006769A6">
              <w:rPr>
                <w:rFonts w:cs="Traditional Arabic" w:hint="cs"/>
                <w:sz w:val="16"/>
                <w:szCs w:val="24"/>
                <w:rtl/>
              </w:rPr>
              <w:t>25</w:t>
            </w:r>
          </w:p>
        </w:tc>
        <w:tc>
          <w:tcPr>
            <w:tcW w:w="1133" w:type="dxa"/>
            <w:shd w:val="clear" w:color="auto" w:fill="auto"/>
            <w:vAlign w:val="bottom"/>
          </w:tcPr>
          <w:p w:rsidR="00C35CB1" w:rsidRPr="006769A6" w:rsidRDefault="006769A6" w:rsidP="006769A6">
            <w:pPr>
              <w:pStyle w:val="SingleTxt"/>
              <w:spacing w:before="40" w:after="80" w:line="240" w:lineRule="exact"/>
              <w:ind w:left="0" w:right="144"/>
              <w:rPr>
                <w:rFonts w:cs="Traditional Arabic" w:hint="cs"/>
                <w:sz w:val="16"/>
                <w:szCs w:val="24"/>
                <w:rtl/>
              </w:rPr>
            </w:pPr>
            <w:r>
              <w:rPr>
                <w:rFonts w:cs="Traditional Arabic" w:hint="cs"/>
                <w:sz w:val="16"/>
                <w:szCs w:val="24"/>
                <w:rtl/>
                <w:lang w:val="fr-CA"/>
              </w:rPr>
              <w:t>1.49</w:t>
            </w:r>
          </w:p>
        </w:tc>
        <w:tc>
          <w:tcPr>
            <w:tcW w:w="1545" w:type="dxa"/>
            <w:shd w:val="clear" w:color="auto" w:fill="auto"/>
            <w:vAlign w:val="bottom"/>
          </w:tcPr>
          <w:p w:rsidR="00C35CB1" w:rsidRPr="006769A6" w:rsidRDefault="00C35CB1" w:rsidP="006769A6">
            <w:pPr>
              <w:pStyle w:val="SingleTxt"/>
              <w:spacing w:before="40" w:after="80" w:line="240" w:lineRule="exact"/>
              <w:ind w:left="0" w:right="144"/>
              <w:rPr>
                <w:rFonts w:cs="Traditional Arabic" w:hint="cs"/>
                <w:sz w:val="16"/>
                <w:szCs w:val="24"/>
                <w:rtl/>
              </w:rPr>
            </w:pPr>
            <w:r w:rsidRPr="006769A6">
              <w:rPr>
                <w:rFonts w:cs="Traditional Arabic" w:hint="cs"/>
                <w:sz w:val="16"/>
                <w:szCs w:val="24"/>
                <w:rtl/>
              </w:rPr>
              <w:t>(2.22-0.98)</w:t>
            </w:r>
          </w:p>
        </w:tc>
        <w:tc>
          <w:tcPr>
            <w:tcW w:w="1030" w:type="dxa"/>
            <w:shd w:val="clear" w:color="auto" w:fill="auto"/>
            <w:vAlign w:val="bottom"/>
          </w:tcPr>
          <w:p w:rsidR="00C35CB1" w:rsidRPr="006769A6" w:rsidRDefault="00C35CB1" w:rsidP="006769A6">
            <w:pPr>
              <w:pStyle w:val="SingleTxt"/>
              <w:spacing w:before="40" w:after="80" w:line="240" w:lineRule="exact"/>
              <w:ind w:left="0" w:right="144"/>
              <w:rPr>
                <w:rFonts w:cs="Traditional Arabic" w:hint="cs"/>
                <w:sz w:val="16"/>
                <w:szCs w:val="24"/>
                <w:rtl/>
              </w:rPr>
            </w:pPr>
            <w:r w:rsidRPr="006769A6">
              <w:rPr>
                <w:rFonts w:cs="Traditional Arabic" w:hint="cs"/>
                <w:sz w:val="16"/>
                <w:szCs w:val="24"/>
                <w:rtl/>
              </w:rPr>
              <w:t>0.007</w:t>
            </w:r>
          </w:p>
        </w:tc>
      </w:tr>
      <w:tr w:rsidR="006769A6" w:rsidRPr="006769A6">
        <w:trPr>
          <w:cantSplit/>
          <w:jc w:val="center"/>
        </w:trPr>
        <w:tc>
          <w:tcPr>
            <w:tcW w:w="1198" w:type="dxa"/>
            <w:shd w:val="clear" w:color="auto" w:fill="auto"/>
            <w:vAlign w:val="bottom"/>
          </w:tcPr>
          <w:p w:rsidR="00C35CB1" w:rsidRPr="006769A6" w:rsidRDefault="00C35CB1" w:rsidP="006769A6">
            <w:pPr>
              <w:pStyle w:val="SingleTxt"/>
              <w:spacing w:before="40" w:after="80" w:line="240" w:lineRule="exact"/>
              <w:ind w:left="0" w:right="0"/>
              <w:rPr>
                <w:rFonts w:cs="Traditional Arabic" w:hint="cs"/>
                <w:sz w:val="16"/>
                <w:szCs w:val="24"/>
                <w:rtl/>
              </w:rPr>
            </w:pPr>
            <w:r w:rsidRPr="006769A6">
              <w:rPr>
                <w:rFonts w:cs="Traditional Arabic" w:hint="cs"/>
                <w:sz w:val="16"/>
                <w:szCs w:val="24"/>
                <w:rtl/>
              </w:rPr>
              <w:t>تواماسينا</w:t>
            </w:r>
          </w:p>
        </w:tc>
        <w:tc>
          <w:tcPr>
            <w:tcW w:w="2060" w:type="dxa"/>
            <w:shd w:val="clear" w:color="auto" w:fill="auto"/>
            <w:vAlign w:val="bottom"/>
          </w:tcPr>
          <w:p w:rsidR="00C35CB1" w:rsidRPr="006769A6" w:rsidRDefault="00C35CB1" w:rsidP="006769A6">
            <w:pPr>
              <w:pStyle w:val="SingleTxt"/>
              <w:spacing w:before="40" w:after="80" w:line="240" w:lineRule="exact"/>
              <w:ind w:left="532" w:right="144"/>
              <w:rPr>
                <w:rFonts w:cs="Traditional Arabic" w:hint="cs"/>
                <w:sz w:val="16"/>
                <w:szCs w:val="24"/>
                <w:rtl/>
              </w:rPr>
            </w:pPr>
            <w:r w:rsidRPr="006769A6">
              <w:rPr>
                <w:rFonts w:cs="Traditional Arabic" w:hint="cs"/>
                <w:sz w:val="16"/>
                <w:szCs w:val="24"/>
                <w:rtl/>
              </w:rPr>
              <w:t>1516</w:t>
            </w:r>
          </w:p>
        </w:tc>
        <w:tc>
          <w:tcPr>
            <w:tcW w:w="2884" w:type="dxa"/>
            <w:shd w:val="clear" w:color="auto" w:fill="auto"/>
            <w:vAlign w:val="bottom"/>
          </w:tcPr>
          <w:p w:rsidR="00C35CB1" w:rsidRPr="006769A6" w:rsidRDefault="00C35CB1" w:rsidP="006769A6">
            <w:pPr>
              <w:pStyle w:val="SingleTxt"/>
              <w:spacing w:before="40" w:after="80" w:line="240" w:lineRule="exact"/>
              <w:ind w:left="841" w:right="144"/>
              <w:rPr>
                <w:rFonts w:cs="Traditional Arabic" w:hint="cs"/>
                <w:sz w:val="16"/>
                <w:szCs w:val="24"/>
                <w:rtl/>
              </w:rPr>
            </w:pPr>
            <w:r w:rsidRPr="006769A6">
              <w:rPr>
                <w:rFonts w:cs="Traditional Arabic" w:hint="cs"/>
                <w:sz w:val="16"/>
                <w:szCs w:val="24"/>
                <w:rtl/>
              </w:rPr>
              <w:t>12</w:t>
            </w:r>
          </w:p>
        </w:tc>
        <w:tc>
          <w:tcPr>
            <w:tcW w:w="1133" w:type="dxa"/>
            <w:shd w:val="clear" w:color="auto" w:fill="auto"/>
            <w:vAlign w:val="bottom"/>
          </w:tcPr>
          <w:p w:rsidR="00C35CB1" w:rsidRPr="006769A6" w:rsidRDefault="006769A6" w:rsidP="006769A6">
            <w:pPr>
              <w:pStyle w:val="SingleTxt"/>
              <w:spacing w:before="40" w:after="80" w:line="240" w:lineRule="exact"/>
              <w:ind w:left="0" w:right="144"/>
              <w:rPr>
                <w:rFonts w:cs="Traditional Arabic" w:hint="cs"/>
                <w:sz w:val="16"/>
                <w:szCs w:val="24"/>
                <w:rtl/>
              </w:rPr>
            </w:pPr>
            <w:r>
              <w:rPr>
                <w:rFonts w:cs="Traditional Arabic" w:hint="cs"/>
                <w:sz w:val="16"/>
                <w:szCs w:val="24"/>
                <w:rtl/>
              </w:rPr>
              <w:t>0.79</w:t>
            </w:r>
          </w:p>
        </w:tc>
        <w:tc>
          <w:tcPr>
            <w:tcW w:w="1545" w:type="dxa"/>
            <w:shd w:val="clear" w:color="auto" w:fill="auto"/>
            <w:vAlign w:val="bottom"/>
          </w:tcPr>
          <w:p w:rsidR="00C35CB1" w:rsidRPr="006769A6" w:rsidRDefault="00C35CB1" w:rsidP="006769A6">
            <w:pPr>
              <w:pStyle w:val="SingleTxt"/>
              <w:spacing w:before="40" w:after="80" w:line="240" w:lineRule="exact"/>
              <w:ind w:left="0" w:right="144"/>
              <w:rPr>
                <w:rFonts w:cs="Traditional Arabic" w:hint="cs"/>
                <w:sz w:val="16"/>
                <w:szCs w:val="24"/>
                <w:rtl/>
              </w:rPr>
            </w:pPr>
            <w:r w:rsidRPr="006769A6">
              <w:rPr>
                <w:rFonts w:cs="Traditional Arabic" w:hint="cs"/>
                <w:sz w:val="16"/>
                <w:szCs w:val="24"/>
                <w:rtl/>
              </w:rPr>
              <w:t>(1.42-0.43)</w:t>
            </w:r>
          </w:p>
        </w:tc>
        <w:tc>
          <w:tcPr>
            <w:tcW w:w="1030" w:type="dxa"/>
            <w:shd w:val="clear" w:color="auto" w:fill="auto"/>
            <w:vAlign w:val="bottom"/>
          </w:tcPr>
          <w:p w:rsidR="00C35CB1" w:rsidRPr="006769A6" w:rsidRDefault="00C35CB1" w:rsidP="006769A6">
            <w:pPr>
              <w:pStyle w:val="SingleTxt"/>
              <w:spacing w:before="40" w:after="80" w:line="240" w:lineRule="exact"/>
              <w:ind w:left="0" w:right="144"/>
              <w:rPr>
                <w:rFonts w:cs="Traditional Arabic" w:hint="cs"/>
                <w:sz w:val="16"/>
                <w:szCs w:val="24"/>
                <w:rtl/>
              </w:rPr>
            </w:pPr>
            <w:r w:rsidRPr="006769A6">
              <w:rPr>
                <w:rFonts w:cs="Traditional Arabic" w:hint="cs"/>
                <w:sz w:val="16"/>
                <w:szCs w:val="24"/>
                <w:rtl/>
              </w:rPr>
              <w:t>0.007</w:t>
            </w:r>
          </w:p>
        </w:tc>
      </w:tr>
      <w:tr w:rsidR="006769A6" w:rsidRPr="006769A6">
        <w:trPr>
          <w:cantSplit/>
          <w:jc w:val="center"/>
        </w:trPr>
        <w:tc>
          <w:tcPr>
            <w:tcW w:w="1198" w:type="dxa"/>
            <w:shd w:val="clear" w:color="auto" w:fill="auto"/>
            <w:vAlign w:val="bottom"/>
          </w:tcPr>
          <w:p w:rsidR="00C35CB1" w:rsidRPr="006769A6" w:rsidRDefault="00C35CB1" w:rsidP="006769A6">
            <w:pPr>
              <w:pStyle w:val="SingleTxt"/>
              <w:spacing w:before="40" w:after="80" w:line="240" w:lineRule="exact"/>
              <w:ind w:left="0" w:right="0"/>
              <w:rPr>
                <w:rFonts w:cs="Traditional Arabic" w:hint="cs"/>
                <w:sz w:val="16"/>
                <w:szCs w:val="24"/>
                <w:rtl/>
              </w:rPr>
            </w:pPr>
            <w:r w:rsidRPr="006769A6">
              <w:rPr>
                <w:rFonts w:cs="Traditional Arabic" w:hint="cs"/>
                <w:sz w:val="16"/>
                <w:szCs w:val="24"/>
                <w:rtl/>
              </w:rPr>
              <w:t>تولياري</w:t>
            </w:r>
          </w:p>
        </w:tc>
        <w:tc>
          <w:tcPr>
            <w:tcW w:w="2060" w:type="dxa"/>
            <w:shd w:val="clear" w:color="auto" w:fill="auto"/>
            <w:vAlign w:val="bottom"/>
          </w:tcPr>
          <w:p w:rsidR="00C35CB1" w:rsidRPr="006769A6" w:rsidRDefault="00C35CB1" w:rsidP="006769A6">
            <w:pPr>
              <w:pStyle w:val="SingleTxt"/>
              <w:spacing w:before="40" w:after="80" w:line="240" w:lineRule="exact"/>
              <w:ind w:left="532" w:right="144"/>
              <w:rPr>
                <w:rFonts w:cs="Traditional Arabic" w:hint="cs"/>
                <w:sz w:val="16"/>
                <w:szCs w:val="24"/>
                <w:rtl/>
              </w:rPr>
            </w:pPr>
            <w:r w:rsidRPr="006769A6">
              <w:rPr>
                <w:rFonts w:cs="Traditional Arabic" w:hint="cs"/>
                <w:sz w:val="16"/>
                <w:szCs w:val="24"/>
                <w:rtl/>
              </w:rPr>
              <w:t>1534</w:t>
            </w:r>
          </w:p>
        </w:tc>
        <w:tc>
          <w:tcPr>
            <w:tcW w:w="2884" w:type="dxa"/>
            <w:shd w:val="clear" w:color="auto" w:fill="auto"/>
            <w:vAlign w:val="bottom"/>
          </w:tcPr>
          <w:p w:rsidR="00C35CB1" w:rsidRPr="006769A6" w:rsidRDefault="00C35CB1" w:rsidP="006769A6">
            <w:pPr>
              <w:pStyle w:val="SingleTxt"/>
              <w:spacing w:before="40" w:after="80" w:line="240" w:lineRule="exact"/>
              <w:ind w:left="841" w:right="144"/>
              <w:rPr>
                <w:rFonts w:cs="Traditional Arabic" w:hint="cs"/>
                <w:sz w:val="16"/>
                <w:szCs w:val="24"/>
                <w:rtl/>
              </w:rPr>
            </w:pPr>
            <w:r w:rsidRPr="006769A6">
              <w:rPr>
                <w:rFonts w:cs="Traditional Arabic" w:hint="cs"/>
                <w:sz w:val="16"/>
                <w:szCs w:val="24"/>
                <w:rtl/>
              </w:rPr>
              <w:t>18</w:t>
            </w:r>
          </w:p>
        </w:tc>
        <w:tc>
          <w:tcPr>
            <w:tcW w:w="1133" w:type="dxa"/>
            <w:shd w:val="clear" w:color="auto" w:fill="auto"/>
            <w:vAlign w:val="bottom"/>
          </w:tcPr>
          <w:p w:rsidR="00C35CB1" w:rsidRPr="006769A6" w:rsidRDefault="006769A6" w:rsidP="006769A6">
            <w:pPr>
              <w:pStyle w:val="SingleTxt"/>
              <w:spacing w:before="40" w:after="80" w:line="240" w:lineRule="exact"/>
              <w:ind w:left="0" w:right="144"/>
              <w:rPr>
                <w:rFonts w:cs="Traditional Arabic" w:hint="cs"/>
                <w:sz w:val="16"/>
                <w:szCs w:val="24"/>
                <w:rtl/>
              </w:rPr>
            </w:pPr>
            <w:r>
              <w:rPr>
                <w:rFonts w:cs="Traditional Arabic" w:hint="cs"/>
                <w:sz w:val="16"/>
                <w:szCs w:val="24"/>
                <w:rtl/>
                <w:lang w:val="fr-CA"/>
              </w:rPr>
              <w:t>1.17</w:t>
            </w:r>
          </w:p>
        </w:tc>
        <w:tc>
          <w:tcPr>
            <w:tcW w:w="1545" w:type="dxa"/>
            <w:shd w:val="clear" w:color="auto" w:fill="auto"/>
            <w:vAlign w:val="bottom"/>
          </w:tcPr>
          <w:p w:rsidR="00C35CB1" w:rsidRPr="006769A6" w:rsidRDefault="00C35CB1" w:rsidP="006769A6">
            <w:pPr>
              <w:pStyle w:val="SingleTxt"/>
              <w:spacing w:before="40" w:after="80" w:line="240" w:lineRule="exact"/>
              <w:ind w:left="0" w:right="144"/>
              <w:rPr>
                <w:rFonts w:cs="Traditional Arabic" w:hint="cs"/>
                <w:sz w:val="16"/>
                <w:szCs w:val="24"/>
                <w:rtl/>
              </w:rPr>
            </w:pPr>
            <w:r w:rsidRPr="006769A6">
              <w:rPr>
                <w:rFonts w:cs="Traditional Arabic" w:hint="cs"/>
                <w:sz w:val="16"/>
                <w:szCs w:val="24"/>
                <w:rtl/>
              </w:rPr>
              <w:t>(1.89-0.72)</w:t>
            </w:r>
          </w:p>
        </w:tc>
        <w:tc>
          <w:tcPr>
            <w:tcW w:w="1030" w:type="dxa"/>
            <w:shd w:val="clear" w:color="auto" w:fill="auto"/>
            <w:vAlign w:val="bottom"/>
          </w:tcPr>
          <w:p w:rsidR="00C35CB1" w:rsidRPr="006769A6" w:rsidRDefault="00C35CB1" w:rsidP="006769A6">
            <w:pPr>
              <w:pStyle w:val="SingleTxt"/>
              <w:spacing w:before="40" w:after="80" w:line="240" w:lineRule="exact"/>
              <w:ind w:left="0" w:right="144"/>
              <w:rPr>
                <w:rFonts w:cs="Traditional Arabic" w:hint="cs"/>
                <w:sz w:val="16"/>
                <w:szCs w:val="24"/>
                <w:rtl/>
              </w:rPr>
            </w:pPr>
            <w:r w:rsidRPr="006769A6">
              <w:rPr>
                <w:rFonts w:cs="Traditional Arabic" w:hint="cs"/>
                <w:sz w:val="16"/>
                <w:szCs w:val="24"/>
                <w:rtl/>
              </w:rPr>
              <w:t>0.007</w:t>
            </w:r>
          </w:p>
        </w:tc>
      </w:tr>
      <w:tr w:rsidR="006769A6" w:rsidRPr="006769A6">
        <w:trPr>
          <w:cantSplit/>
          <w:jc w:val="center"/>
        </w:trPr>
        <w:tc>
          <w:tcPr>
            <w:tcW w:w="1198" w:type="dxa"/>
            <w:tcBorders>
              <w:bottom w:val="single" w:sz="12" w:space="0" w:color="auto"/>
            </w:tcBorders>
            <w:shd w:val="clear" w:color="auto" w:fill="auto"/>
            <w:vAlign w:val="bottom"/>
          </w:tcPr>
          <w:p w:rsidR="00C35CB1" w:rsidRPr="006769A6" w:rsidRDefault="00C35CB1" w:rsidP="006769A6">
            <w:pPr>
              <w:pStyle w:val="SingleTxt"/>
              <w:spacing w:before="40" w:after="80" w:line="240" w:lineRule="exact"/>
              <w:ind w:left="0" w:right="0"/>
              <w:rPr>
                <w:rFonts w:cs="Traditional Arabic" w:hint="cs"/>
                <w:sz w:val="16"/>
                <w:szCs w:val="24"/>
                <w:rtl/>
              </w:rPr>
            </w:pPr>
            <w:r w:rsidRPr="006769A6">
              <w:rPr>
                <w:rFonts w:cs="Traditional Arabic" w:hint="cs"/>
                <w:sz w:val="16"/>
                <w:szCs w:val="24"/>
                <w:rtl/>
              </w:rPr>
              <w:t>مدغشقر</w:t>
            </w:r>
          </w:p>
        </w:tc>
        <w:tc>
          <w:tcPr>
            <w:tcW w:w="2060" w:type="dxa"/>
            <w:tcBorders>
              <w:bottom w:val="single" w:sz="12" w:space="0" w:color="auto"/>
            </w:tcBorders>
            <w:shd w:val="clear" w:color="auto" w:fill="auto"/>
            <w:vAlign w:val="bottom"/>
          </w:tcPr>
          <w:p w:rsidR="00C35CB1" w:rsidRPr="006769A6" w:rsidRDefault="00C35CB1" w:rsidP="006769A6">
            <w:pPr>
              <w:pStyle w:val="SingleTxt"/>
              <w:spacing w:before="40" w:after="80" w:line="240" w:lineRule="exact"/>
              <w:ind w:left="532" w:right="144"/>
              <w:rPr>
                <w:rFonts w:cs="Traditional Arabic" w:hint="cs"/>
                <w:sz w:val="16"/>
                <w:szCs w:val="24"/>
                <w:rtl/>
              </w:rPr>
            </w:pPr>
            <w:r w:rsidRPr="006769A6">
              <w:rPr>
                <w:rFonts w:cs="Traditional Arabic" w:hint="cs"/>
                <w:sz w:val="16"/>
                <w:szCs w:val="24"/>
                <w:rtl/>
              </w:rPr>
              <w:t>9623</w:t>
            </w:r>
          </w:p>
        </w:tc>
        <w:tc>
          <w:tcPr>
            <w:tcW w:w="2884" w:type="dxa"/>
            <w:tcBorders>
              <w:bottom w:val="single" w:sz="12" w:space="0" w:color="auto"/>
            </w:tcBorders>
            <w:shd w:val="clear" w:color="auto" w:fill="auto"/>
            <w:vAlign w:val="bottom"/>
          </w:tcPr>
          <w:p w:rsidR="00C35CB1" w:rsidRPr="006769A6" w:rsidRDefault="00C35CB1" w:rsidP="006769A6">
            <w:pPr>
              <w:pStyle w:val="SingleTxt"/>
              <w:spacing w:before="40" w:after="80" w:line="240" w:lineRule="exact"/>
              <w:ind w:left="841" w:right="144"/>
              <w:rPr>
                <w:rFonts w:cs="Traditional Arabic" w:hint="cs"/>
                <w:sz w:val="16"/>
                <w:szCs w:val="24"/>
                <w:rtl/>
              </w:rPr>
            </w:pPr>
            <w:r w:rsidRPr="006769A6">
              <w:rPr>
                <w:rFonts w:cs="Traditional Arabic" w:hint="cs"/>
                <w:sz w:val="16"/>
                <w:szCs w:val="24"/>
                <w:rtl/>
              </w:rPr>
              <w:t>106</w:t>
            </w:r>
          </w:p>
        </w:tc>
        <w:tc>
          <w:tcPr>
            <w:tcW w:w="1133" w:type="dxa"/>
            <w:tcBorders>
              <w:bottom w:val="single" w:sz="12" w:space="0" w:color="auto"/>
            </w:tcBorders>
            <w:shd w:val="clear" w:color="auto" w:fill="auto"/>
            <w:vAlign w:val="bottom"/>
          </w:tcPr>
          <w:p w:rsidR="00C35CB1" w:rsidRPr="006769A6" w:rsidRDefault="006769A6" w:rsidP="006769A6">
            <w:pPr>
              <w:pStyle w:val="SingleTxt"/>
              <w:spacing w:before="40" w:after="80" w:line="240" w:lineRule="exact"/>
              <w:ind w:left="0" w:right="144"/>
              <w:rPr>
                <w:rFonts w:cs="Traditional Arabic" w:hint="cs"/>
                <w:sz w:val="16"/>
                <w:szCs w:val="24"/>
                <w:rtl/>
              </w:rPr>
            </w:pPr>
            <w:r>
              <w:rPr>
                <w:rFonts w:cs="Traditional Arabic" w:hint="cs"/>
                <w:sz w:val="16"/>
                <w:szCs w:val="24"/>
                <w:rtl/>
                <w:lang w:val="fr-CA"/>
              </w:rPr>
              <w:t>1.10</w:t>
            </w:r>
          </w:p>
        </w:tc>
        <w:tc>
          <w:tcPr>
            <w:tcW w:w="1545" w:type="dxa"/>
            <w:tcBorders>
              <w:bottom w:val="single" w:sz="12" w:space="0" w:color="auto"/>
            </w:tcBorders>
            <w:shd w:val="clear" w:color="auto" w:fill="auto"/>
            <w:vAlign w:val="bottom"/>
          </w:tcPr>
          <w:p w:rsidR="00C35CB1" w:rsidRPr="006769A6" w:rsidRDefault="00C35CB1" w:rsidP="006769A6">
            <w:pPr>
              <w:pStyle w:val="SingleTxt"/>
              <w:spacing w:before="40" w:after="80" w:line="240" w:lineRule="exact"/>
              <w:ind w:left="0" w:right="144"/>
              <w:rPr>
                <w:rFonts w:cs="Traditional Arabic" w:hint="cs"/>
                <w:sz w:val="16"/>
                <w:szCs w:val="24"/>
                <w:rtl/>
              </w:rPr>
            </w:pPr>
            <w:r w:rsidRPr="006769A6">
              <w:rPr>
                <w:rFonts w:cs="Traditional Arabic" w:hint="cs"/>
                <w:sz w:val="16"/>
                <w:szCs w:val="24"/>
                <w:rtl/>
              </w:rPr>
              <w:t>(1.34-0.91)</w:t>
            </w:r>
          </w:p>
        </w:tc>
        <w:tc>
          <w:tcPr>
            <w:tcW w:w="1030" w:type="dxa"/>
            <w:tcBorders>
              <w:bottom w:val="single" w:sz="12" w:space="0" w:color="auto"/>
            </w:tcBorders>
            <w:shd w:val="clear" w:color="auto" w:fill="auto"/>
            <w:vAlign w:val="bottom"/>
          </w:tcPr>
          <w:p w:rsidR="00C35CB1" w:rsidRPr="006769A6" w:rsidRDefault="00C35CB1" w:rsidP="006769A6">
            <w:pPr>
              <w:pStyle w:val="SingleTxt"/>
              <w:spacing w:before="40" w:after="80" w:line="240" w:lineRule="exact"/>
              <w:ind w:left="0" w:right="144"/>
              <w:rPr>
                <w:rFonts w:cs="Traditional Arabic" w:hint="cs"/>
                <w:sz w:val="16"/>
                <w:szCs w:val="24"/>
                <w:rtl/>
              </w:rPr>
            </w:pPr>
            <w:r w:rsidRPr="006769A6">
              <w:rPr>
                <w:rFonts w:cs="Traditional Arabic" w:hint="cs"/>
                <w:sz w:val="16"/>
                <w:szCs w:val="24"/>
                <w:rtl/>
              </w:rPr>
              <w:t>0.007</w:t>
            </w:r>
          </w:p>
        </w:tc>
      </w:tr>
    </w:tbl>
    <w:p w:rsidR="006769A6" w:rsidRPr="006769A6" w:rsidRDefault="006769A6" w:rsidP="006769A6">
      <w:pPr>
        <w:pStyle w:val="SingleTxt"/>
        <w:spacing w:after="0" w:line="120" w:lineRule="exact"/>
        <w:rPr>
          <w:rFonts w:hint="cs"/>
          <w:sz w:val="10"/>
          <w:rtl/>
        </w:rPr>
      </w:pPr>
    </w:p>
    <w:p w:rsidR="00557198" w:rsidRPr="00557198" w:rsidRDefault="00557198" w:rsidP="00382E75">
      <w:pPr>
        <w:pStyle w:val="FootnoteText"/>
        <w:tabs>
          <w:tab w:val="clear" w:pos="418"/>
          <w:tab w:val="right" w:pos="662"/>
          <w:tab w:val="left" w:pos="763"/>
          <w:tab w:val="left" w:pos="1210"/>
          <w:tab w:val="left" w:pos="1685"/>
          <w:tab w:val="left" w:pos="2174"/>
          <w:tab w:val="left" w:pos="2650"/>
        </w:tabs>
        <w:spacing w:after="80"/>
        <w:ind w:left="763" w:right="0" w:hanging="763"/>
        <w:rPr>
          <w:rFonts w:hint="cs"/>
          <w:rtl/>
        </w:rPr>
      </w:pPr>
      <w:r>
        <w:rPr>
          <w:rFonts w:hint="cs"/>
          <w:rtl/>
        </w:rPr>
        <w:tab/>
      </w:r>
      <w:r w:rsidRPr="00382E75">
        <w:rPr>
          <w:rFonts w:hint="cs"/>
          <w:i/>
          <w:iCs/>
          <w:rtl/>
        </w:rPr>
        <w:t>المصدر</w:t>
      </w:r>
      <w:r>
        <w:rPr>
          <w:rFonts w:hint="cs"/>
          <w:rtl/>
        </w:rPr>
        <w:t>:</w:t>
      </w:r>
      <w:r>
        <w:rPr>
          <w:rFonts w:hint="cs"/>
          <w:rtl/>
        </w:rPr>
        <w:tab/>
      </w:r>
      <w:r w:rsidRPr="00557198">
        <w:rPr>
          <w:rFonts w:hint="cs"/>
          <w:rtl/>
        </w:rPr>
        <w:t>وزارة الصحة</w:t>
      </w:r>
      <w:r>
        <w:rPr>
          <w:rFonts w:hint="cs"/>
          <w:rtl/>
        </w:rPr>
        <w:t xml:space="preserve">، </w:t>
      </w:r>
      <w:r w:rsidR="00382E75">
        <w:rPr>
          <w:rFonts w:hint="cs"/>
          <w:rtl/>
        </w:rPr>
        <w:t>تخطيط الأسرة والحماية الاجتماعية.</w:t>
      </w:r>
    </w:p>
    <w:p w:rsidR="00382E75" w:rsidRPr="00382E75" w:rsidRDefault="00382E75" w:rsidP="00382E75">
      <w:pPr>
        <w:pStyle w:val="SingleTxt"/>
        <w:spacing w:after="0" w:line="120" w:lineRule="exact"/>
        <w:rPr>
          <w:rFonts w:hint="cs"/>
          <w:sz w:val="10"/>
          <w:rtl/>
        </w:rPr>
      </w:pPr>
    </w:p>
    <w:p w:rsidR="00382E75" w:rsidRPr="00382E75" w:rsidRDefault="00382E75" w:rsidP="00382E75">
      <w:pPr>
        <w:pStyle w:val="SingleTxt"/>
        <w:spacing w:after="0" w:line="120" w:lineRule="exact"/>
        <w:rPr>
          <w:rFonts w:hint="cs"/>
          <w:sz w:val="10"/>
          <w:rtl/>
        </w:rPr>
      </w:pPr>
    </w:p>
    <w:p w:rsidR="00BA462B" w:rsidRDefault="006769A6" w:rsidP="000F5CDE">
      <w:pPr>
        <w:pStyle w:val="SingleTxt"/>
        <w:rPr>
          <w:rFonts w:hint="cs"/>
          <w:rtl/>
        </w:rPr>
      </w:pPr>
      <w:r>
        <w:rPr>
          <w:rFonts w:hint="cs"/>
          <w:rtl/>
        </w:rPr>
        <w:tab/>
      </w:r>
      <w:r w:rsidR="00D666E0">
        <w:rPr>
          <w:rFonts w:hint="cs"/>
          <w:rtl/>
        </w:rPr>
        <w:t>و</w:t>
      </w:r>
      <w:r w:rsidR="00C35CB1" w:rsidRPr="00C35CB1">
        <w:rPr>
          <w:rFonts w:hint="cs"/>
          <w:rtl/>
        </w:rPr>
        <w:t xml:space="preserve">فيما يتعلق بالتدابير المتخذة لإعلام السكان، </w:t>
      </w:r>
      <w:r w:rsidR="00D666E0">
        <w:rPr>
          <w:rFonts w:hint="cs"/>
          <w:rtl/>
        </w:rPr>
        <w:t>و</w:t>
      </w:r>
      <w:r w:rsidR="00C35CB1" w:rsidRPr="00C35CB1">
        <w:rPr>
          <w:rFonts w:hint="cs"/>
          <w:rtl/>
        </w:rPr>
        <w:t xml:space="preserve">لا سيما النساء </w:t>
      </w:r>
      <w:r w:rsidR="00D666E0">
        <w:rPr>
          <w:rFonts w:hint="cs"/>
          <w:rtl/>
        </w:rPr>
        <w:t>و</w:t>
      </w:r>
      <w:r w:rsidR="00C35CB1" w:rsidRPr="00C35CB1">
        <w:rPr>
          <w:rFonts w:hint="cs"/>
          <w:rtl/>
        </w:rPr>
        <w:t xml:space="preserve">الفتيات بشأن مخاطر الإصابة بالأمراض المنتقلة جنسيا </w:t>
      </w:r>
      <w:r w:rsidR="00D666E0">
        <w:rPr>
          <w:rFonts w:hint="cs"/>
          <w:rtl/>
        </w:rPr>
        <w:t>و</w:t>
      </w:r>
      <w:r w:rsidR="00C35CB1" w:rsidRPr="00C35CB1">
        <w:rPr>
          <w:rFonts w:hint="cs"/>
          <w:rtl/>
        </w:rPr>
        <w:t>لا سيما فيروس نقص المناعة البشرية</w:t>
      </w:r>
      <w:r w:rsidR="00BB6B48">
        <w:rPr>
          <w:rFonts w:hint="cs"/>
          <w:rtl/>
        </w:rPr>
        <w:t>/</w:t>
      </w:r>
      <w:r w:rsidR="00C35CB1" w:rsidRPr="00C35CB1">
        <w:rPr>
          <w:rFonts w:hint="cs"/>
          <w:rtl/>
        </w:rPr>
        <w:t xml:space="preserve">متلازمة نقص المناعة المكتسب (الإيدز) </w:t>
      </w:r>
      <w:r w:rsidR="00D666E0">
        <w:rPr>
          <w:rFonts w:hint="cs"/>
          <w:rtl/>
        </w:rPr>
        <w:t>و</w:t>
      </w:r>
      <w:r w:rsidR="00C35CB1" w:rsidRPr="00C35CB1">
        <w:rPr>
          <w:rFonts w:hint="cs"/>
          <w:rtl/>
        </w:rPr>
        <w:t xml:space="preserve">الآثار المترتبة عليها، تظهر الجداول الواردة أدناه النتائج المحصّل عليها من عملية سبر أراء </w:t>
      </w:r>
      <w:r w:rsidR="00D666E0">
        <w:rPr>
          <w:rFonts w:hint="cs"/>
          <w:rtl/>
        </w:rPr>
        <w:t>و</w:t>
      </w:r>
      <w:r w:rsidR="000F5CDE">
        <w:rPr>
          <w:rFonts w:hint="cs"/>
          <w:rtl/>
        </w:rPr>
        <w:t>حملة توعية.</w:t>
      </w:r>
    </w:p>
    <w:p w:rsidR="00D35951" w:rsidRDefault="00C35CB1" w:rsidP="00D35951">
      <w:pPr>
        <w:tabs>
          <w:tab w:val="left" w:pos="662"/>
          <w:tab w:val="left" w:pos="1267"/>
          <w:tab w:val="left" w:pos="1987"/>
          <w:tab w:val="left" w:pos="2650"/>
        </w:tabs>
        <w:rPr>
          <w:rFonts w:hint="cs"/>
          <w:rtl/>
        </w:rPr>
      </w:pPr>
      <w:r w:rsidRPr="00C35CB1">
        <w:rPr>
          <w:rFonts w:hint="cs"/>
          <w:rtl/>
        </w:rPr>
        <w:t>الجدول 8</w:t>
      </w:r>
    </w:p>
    <w:p w:rsidR="00C35CB1" w:rsidRPr="00C35CB1" w:rsidRDefault="00C35CB1" w:rsidP="00D3595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C35CB1">
        <w:rPr>
          <w:rFonts w:hint="cs"/>
          <w:rtl/>
        </w:rPr>
        <w:t>أرقام بيانية بشأن مدى إدراك خطر فيروس نقص المناعة البشرية</w:t>
      </w:r>
      <w:r w:rsidR="00BB6B48">
        <w:rPr>
          <w:rFonts w:hint="cs"/>
          <w:rtl/>
        </w:rPr>
        <w:t>/</w:t>
      </w:r>
      <w:r w:rsidRPr="00C35CB1">
        <w:rPr>
          <w:rFonts w:hint="cs"/>
          <w:rtl/>
        </w:rPr>
        <w:t>متلازمة نقص المناعة المكتسب</w:t>
      </w:r>
    </w:p>
    <w:p w:rsidR="00D35951" w:rsidRPr="00D35951" w:rsidRDefault="00D35951" w:rsidP="007B5624">
      <w:pPr>
        <w:pStyle w:val="SingleTxt"/>
        <w:spacing w:after="0" w:line="60" w:lineRule="exact"/>
        <w:rPr>
          <w:rFonts w:hint="cs"/>
          <w:b/>
          <w:bCs/>
          <w:sz w:val="10"/>
          <w:rtl/>
        </w:rPr>
      </w:pPr>
    </w:p>
    <w:tbl>
      <w:tblPr>
        <w:tblStyle w:val="TableGrid"/>
        <w:bidiVisual/>
        <w:tblW w:w="98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507"/>
        <w:gridCol w:w="1545"/>
        <w:gridCol w:w="1854"/>
        <w:gridCol w:w="721"/>
        <w:gridCol w:w="103"/>
        <w:gridCol w:w="1545"/>
        <w:gridCol w:w="1854"/>
        <w:gridCol w:w="721"/>
      </w:tblGrid>
      <w:tr w:rsidR="003B4DAE" w:rsidRPr="00D35951">
        <w:trPr>
          <w:cantSplit/>
          <w:tblHeader/>
          <w:jc w:val="center"/>
        </w:trPr>
        <w:tc>
          <w:tcPr>
            <w:tcW w:w="1507" w:type="dxa"/>
            <w:tcBorders>
              <w:top w:val="single" w:sz="4" w:space="0" w:color="auto"/>
            </w:tcBorders>
            <w:shd w:val="clear" w:color="auto" w:fill="auto"/>
            <w:vAlign w:val="bottom"/>
          </w:tcPr>
          <w:p w:rsidR="003B4DAE" w:rsidRPr="00D35951" w:rsidRDefault="003B4DAE" w:rsidP="007B5624">
            <w:pPr>
              <w:pStyle w:val="SingleTxt"/>
              <w:spacing w:before="40" w:after="60" w:line="240" w:lineRule="exact"/>
              <w:ind w:left="0" w:right="144"/>
              <w:rPr>
                <w:rFonts w:cs="Traditional Arabic" w:hint="cs"/>
                <w:i/>
                <w:iCs/>
                <w:sz w:val="16"/>
                <w:szCs w:val="24"/>
                <w:rtl/>
              </w:rPr>
            </w:pPr>
          </w:p>
        </w:tc>
        <w:tc>
          <w:tcPr>
            <w:tcW w:w="4120" w:type="dxa"/>
            <w:gridSpan w:val="3"/>
            <w:tcBorders>
              <w:top w:val="single" w:sz="4" w:space="0" w:color="auto"/>
              <w:bottom w:val="single" w:sz="4" w:space="0" w:color="auto"/>
            </w:tcBorders>
            <w:shd w:val="clear" w:color="auto" w:fill="auto"/>
            <w:vAlign w:val="bottom"/>
          </w:tcPr>
          <w:p w:rsidR="003B4DAE" w:rsidRPr="00D35951" w:rsidRDefault="003B4DAE" w:rsidP="007B5624">
            <w:pPr>
              <w:pStyle w:val="SingleTxt"/>
              <w:spacing w:before="40" w:after="60" w:line="240" w:lineRule="exact"/>
              <w:ind w:left="0" w:right="144"/>
              <w:jc w:val="center"/>
              <w:rPr>
                <w:rFonts w:cs="Traditional Arabic" w:hint="cs"/>
                <w:i/>
                <w:iCs/>
                <w:sz w:val="16"/>
                <w:szCs w:val="24"/>
                <w:rtl/>
              </w:rPr>
            </w:pPr>
            <w:r w:rsidRPr="00D35951">
              <w:rPr>
                <w:rFonts w:cs="Traditional Arabic" w:hint="cs"/>
                <w:i/>
                <w:iCs/>
                <w:sz w:val="16"/>
                <w:szCs w:val="24"/>
                <w:rtl/>
              </w:rPr>
              <w:t>النساء</w:t>
            </w:r>
          </w:p>
        </w:tc>
        <w:tc>
          <w:tcPr>
            <w:tcW w:w="103" w:type="dxa"/>
            <w:tcBorders>
              <w:top w:val="single" w:sz="4" w:space="0" w:color="auto"/>
            </w:tcBorders>
            <w:shd w:val="clear" w:color="auto" w:fill="auto"/>
            <w:vAlign w:val="bottom"/>
          </w:tcPr>
          <w:p w:rsidR="003B4DAE" w:rsidRPr="00D35951" w:rsidRDefault="003B4DAE" w:rsidP="007B5624">
            <w:pPr>
              <w:pStyle w:val="SingleTxt"/>
              <w:spacing w:before="40" w:after="60" w:line="240" w:lineRule="exact"/>
              <w:ind w:left="0" w:right="144"/>
              <w:rPr>
                <w:rFonts w:cs="Traditional Arabic" w:hint="cs"/>
                <w:i/>
                <w:iCs/>
                <w:sz w:val="16"/>
                <w:szCs w:val="24"/>
                <w:rtl/>
              </w:rPr>
            </w:pPr>
          </w:p>
        </w:tc>
        <w:tc>
          <w:tcPr>
            <w:tcW w:w="4120" w:type="dxa"/>
            <w:gridSpan w:val="3"/>
            <w:tcBorders>
              <w:top w:val="single" w:sz="4" w:space="0" w:color="auto"/>
              <w:bottom w:val="single" w:sz="4" w:space="0" w:color="auto"/>
            </w:tcBorders>
            <w:shd w:val="clear" w:color="auto" w:fill="auto"/>
            <w:vAlign w:val="bottom"/>
          </w:tcPr>
          <w:p w:rsidR="003B4DAE" w:rsidRPr="00D35951" w:rsidRDefault="003B4DAE" w:rsidP="007B5624">
            <w:pPr>
              <w:pStyle w:val="SingleTxt"/>
              <w:spacing w:before="40" w:after="60" w:line="240" w:lineRule="exact"/>
              <w:ind w:left="0" w:right="144"/>
              <w:jc w:val="center"/>
              <w:rPr>
                <w:rFonts w:cs="Traditional Arabic" w:hint="cs"/>
                <w:i/>
                <w:iCs/>
                <w:sz w:val="16"/>
                <w:szCs w:val="24"/>
                <w:rtl/>
              </w:rPr>
            </w:pPr>
            <w:r w:rsidRPr="00D35951">
              <w:rPr>
                <w:rFonts w:cs="Traditional Arabic" w:hint="cs"/>
                <w:i/>
                <w:iCs/>
                <w:sz w:val="16"/>
                <w:szCs w:val="24"/>
                <w:rtl/>
              </w:rPr>
              <w:t>الرجال</w:t>
            </w:r>
          </w:p>
        </w:tc>
      </w:tr>
      <w:tr w:rsidR="003B4DAE" w:rsidRPr="00D35951">
        <w:trPr>
          <w:cantSplit/>
          <w:tblHeader/>
          <w:jc w:val="center"/>
        </w:trPr>
        <w:tc>
          <w:tcPr>
            <w:tcW w:w="1507" w:type="dxa"/>
            <w:tcBorders>
              <w:bottom w:val="single" w:sz="12" w:space="0" w:color="auto"/>
            </w:tcBorders>
            <w:shd w:val="clear" w:color="auto" w:fill="auto"/>
            <w:vAlign w:val="bottom"/>
          </w:tcPr>
          <w:p w:rsidR="003B4DAE" w:rsidRPr="00D35951" w:rsidRDefault="003B4DAE" w:rsidP="00414312">
            <w:pPr>
              <w:pStyle w:val="SingleTxt"/>
              <w:spacing w:before="80" w:after="80" w:line="240" w:lineRule="exact"/>
              <w:ind w:left="0" w:right="144"/>
              <w:rPr>
                <w:rFonts w:cs="Traditional Arabic" w:hint="cs"/>
                <w:i/>
                <w:iCs/>
                <w:sz w:val="16"/>
                <w:szCs w:val="24"/>
                <w:rtl/>
              </w:rPr>
            </w:pPr>
            <w:r w:rsidRPr="00D35951">
              <w:rPr>
                <w:rFonts w:cs="Traditional Arabic" w:hint="cs"/>
                <w:i/>
                <w:iCs/>
                <w:sz w:val="16"/>
                <w:szCs w:val="24"/>
                <w:rtl/>
              </w:rPr>
              <w:t>الخصائص</w:t>
            </w:r>
          </w:p>
        </w:tc>
        <w:tc>
          <w:tcPr>
            <w:tcW w:w="1545" w:type="dxa"/>
            <w:tcBorders>
              <w:bottom w:val="single" w:sz="12" w:space="0" w:color="auto"/>
            </w:tcBorders>
            <w:shd w:val="clear" w:color="auto" w:fill="auto"/>
            <w:vAlign w:val="bottom"/>
          </w:tcPr>
          <w:p w:rsidR="003B4DAE" w:rsidRPr="00D35951" w:rsidRDefault="003B4DAE" w:rsidP="003B4DAE">
            <w:pPr>
              <w:pStyle w:val="SingleTxt"/>
              <w:spacing w:after="80" w:line="240" w:lineRule="exact"/>
              <w:ind w:left="0" w:right="144"/>
              <w:rPr>
                <w:rFonts w:cs="Traditional Arabic" w:hint="cs"/>
                <w:i/>
                <w:iCs/>
                <w:sz w:val="16"/>
                <w:szCs w:val="24"/>
                <w:rtl/>
              </w:rPr>
            </w:pPr>
            <w:r w:rsidRPr="00D35951">
              <w:rPr>
                <w:rFonts w:cs="Traditional Arabic" w:hint="cs"/>
                <w:i/>
                <w:iCs/>
                <w:sz w:val="16"/>
                <w:szCs w:val="24"/>
                <w:rtl/>
              </w:rPr>
              <w:t>النسبة المئوية للأشخاص الذين بلغهم الحديث عن متلازمة نقص المناعة المكتسب/الإيدز</w:t>
            </w:r>
          </w:p>
        </w:tc>
        <w:tc>
          <w:tcPr>
            <w:tcW w:w="1854" w:type="dxa"/>
            <w:tcBorders>
              <w:bottom w:val="single" w:sz="12" w:space="0" w:color="auto"/>
            </w:tcBorders>
            <w:shd w:val="clear" w:color="auto" w:fill="auto"/>
            <w:vAlign w:val="bottom"/>
          </w:tcPr>
          <w:p w:rsidR="003B4DAE" w:rsidRPr="00D35951" w:rsidRDefault="003B4DAE" w:rsidP="003B4DAE">
            <w:pPr>
              <w:pStyle w:val="SingleTxt"/>
              <w:spacing w:after="80" w:line="240" w:lineRule="exact"/>
              <w:ind w:left="0" w:right="144"/>
              <w:rPr>
                <w:rFonts w:cs="Traditional Arabic" w:hint="cs"/>
                <w:i/>
                <w:iCs/>
                <w:sz w:val="16"/>
                <w:szCs w:val="24"/>
                <w:rtl/>
              </w:rPr>
            </w:pPr>
            <w:r w:rsidRPr="00D35951">
              <w:rPr>
                <w:rFonts w:cs="Traditional Arabic" w:hint="cs"/>
                <w:i/>
                <w:iCs/>
                <w:sz w:val="16"/>
                <w:szCs w:val="24"/>
                <w:rtl/>
              </w:rPr>
              <w:t>النسبة المئوية للأشخاص الذين يعتقدون أن بالإمكان تجنب الإصابة بفيروس نقص المناعة البشرية/الايدز</w:t>
            </w:r>
          </w:p>
        </w:tc>
        <w:tc>
          <w:tcPr>
            <w:tcW w:w="824" w:type="dxa"/>
            <w:gridSpan w:val="2"/>
            <w:tcBorders>
              <w:bottom w:val="single" w:sz="12" w:space="0" w:color="auto"/>
            </w:tcBorders>
            <w:shd w:val="clear" w:color="auto" w:fill="auto"/>
            <w:vAlign w:val="bottom"/>
          </w:tcPr>
          <w:p w:rsidR="003B4DAE" w:rsidRPr="00D35951" w:rsidRDefault="003B4DAE" w:rsidP="003B4DAE">
            <w:pPr>
              <w:pStyle w:val="SingleTxt"/>
              <w:spacing w:after="80" w:line="240" w:lineRule="exact"/>
              <w:ind w:left="0" w:right="144"/>
              <w:rPr>
                <w:rFonts w:cs="Traditional Arabic" w:hint="cs"/>
                <w:i/>
                <w:iCs/>
                <w:sz w:val="16"/>
                <w:szCs w:val="24"/>
                <w:rtl/>
              </w:rPr>
            </w:pPr>
            <w:r w:rsidRPr="00D35951">
              <w:rPr>
                <w:rFonts w:cs="Traditional Arabic" w:hint="cs"/>
                <w:i/>
                <w:iCs/>
                <w:sz w:val="16"/>
                <w:szCs w:val="24"/>
                <w:rtl/>
              </w:rPr>
              <w:t>عدد الأشخاص المشمولين</w:t>
            </w:r>
          </w:p>
        </w:tc>
        <w:tc>
          <w:tcPr>
            <w:tcW w:w="1545" w:type="dxa"/>
            <w:tcBorders>
              <w:top w:val="single" w:sz="4" w:space="0" w:color="auto"/>
              <w:bottom w:val="single" w:sz="12" w:space="0" w:color="auto"/>
            </w:tcBorders>
            <w:shd w:val="clear" w:color="auto" w:fill="auto"/>
            <w:vAlign w:val="bottom"/>
          </w:tcPr>
          <w:p w:rsidR="003B4DAE" w:rsidRPr="00D35951" w:rsidRDefault="003B4DAE" w:rsidP="003B4DAE">
            <w:pPr>
              <w:pStyle w:val="SingleTxt"/>
              <w:spacing w:after="80" w:line="240" w:lineRule="exact"/>
              <w:ind w:left="0" w:right="144"/>
              <w:rPr>
                <w:rFonts w:cs="Traditional Arabic" w:hint="cs"/>
                <w:i/>
                <w:iCs/>
                <w:sz w:val="16"/>
                <w:szCs w:val="24"/>
                <w:rtl/>
              </w:rPr>
            </w:pPr>
            <w:r w:rsidRPr="00D35951">
              <w:rPr>
                <w:rFonts w:cs="Traditional Arabic" w:hint="cs"/>
                <w:i/>
                <w:iCs/>
                <w:sz w:val="16"/>
                <w:szCs w:val="24"/>
                <w:rtl/>
              </w:rPr>
              <w:t>النسبة المئوية للأشخاص الذين بلغهم الحديث عن متلازمة نقص المناعة المكتسب/الإيدز</w:t>
            </w:r>
          </w:p>
        </w:tc>
        <w:tc>
          <w:tcPr>
            <w:tcW w:w="1854" w:type="dxa"/>
            <w:tcBorders>
              <w:top w:val="single" w:sz="4" w:space="0" w:color="auto"/>
              <w:bottom w:val="single" w:sz="12" w:space="0" w:color="auto"/>
            </w:tcBorders>
            <w:shd w:val="clear" w:color="auto" w:fill="auto"/>
            <w:vAlign w:val="bottom"/>
          </w:tcPr>
          <w:p w:rsidR="003B4DAE" w:rsidRPr="00D35951" w:rsidRDefault="003B4DAE" w:rsidP="003B4DAE">
            <w:pPr>
              <w:pStyle w:val="SingleTxt"/>
              <w:spacing w:after="80" w:line="240" w:lineRule="exact"/>
              <w:ind w:left="0" w:right="144"/>
              <w:rPr>
                <w:rFonts w:cs="Traditional Arabic" w:hint="cs"/>
                <w:i/>
                <w:iCs/>
                <w:sz w:val="16"/>
                <w:szCs w:val="24"/>
                <w:rtl/>
              </w:rPr>
            </w:pPr>
            <w:r w:rsidRPr="00D35951">
              <w:rPr>
                <w:rFonts w:cs="Traditional Arabic" w:hint="cs"/>
                <w:i/>
                <w:iCs/>
                <w:sz w:val="16"/>
                <w:szCs w:val="24"/>
                <w:rtl/>
              </w:rPr>
              <w:t>النسبة المئوية للأشخاص الذين يعتقدون أن بالإمكان تجنب الإصابة بفيروس نقص المناعة البشرية/الايدز</w:t>
            </w:r>
          </w:p>
        </w:tc>
        <w:tc>
          <w:tcPr>
            <w:tcW w:w="721" w:type="dxa"/>
            <w:tcBorders>
              <w:top w:val="single" w:sz="4" w:space="0" w:color="auto"/>
              <w:bottom w:val="single" w:sz="12" w:space="0" w:color="auto"/>
            </w:tcBorders>
            <w:shd w:val="clear" w:color="auto" w:fill="auto"/>
            <w:vAlign w:val="bottom"/>
          </w:tcPr>
          <w:p w:rsidR="003B4DAE" w:rsidRPr="00D35951" w:rsidRDefault="003B4DAE" w:rsidP="00D35951">
            <w:pPr>
              <w:pStyle w:val="SingleTxt"/>
              <w:spacing w:after="80" w:line="240" w:lineRule="exact"/>
              <w:ind w:left="0" w:right="0"/>
              <w:rPr>
                <w:rFonts w:cs="Traditional Arabic" w:hint="cs"/>
                <w:i/>
                <w:iCs/>
                <w:sz w:val="16"/>
                <w:szCs w:val="24"/>
                <w:rtl/>
              </w:rPr>
            </w:pPr>
            <w:r w:rsidRPr="00D35951">
              <w:rPr>
                <w:rFonts w:cs="Traditional Arabic" w:hint="cs"/>
                <w:i/>
                <w:iCs/>
                <w:sz w:val="16"/>
                <w:szCs w:val="24"/>
                <w:rtl/>
              </w:rPr>
              <w:t>عدد الأشخاص المشمولين</w:t>
            </w:r>
          </w:p>
        </w:tc>
      </w:tr>
      <w:tr w:rsidR="003B4DAE" w:rsidRPr="00D35951">
        <w:trPr>
          <w:cantSplit/>
          <w:trHeight w:hRule="exact" w:val="115"/>
          <w:tblHeader/>
          <w:jc w:val="center"/>
        </w:trPr>
        <w:tc>
          <w:tcPr>
            <w:tcW w:w="1507" w:type="dxa"/>
            <w:tcBorders>
              <w:top w:val="single" w:sz="12" w:space="0" w:color="auto"/>
            </w:tcBorders>
            <w:shd w:val="clear" w:color="auto" w:fill="auto"/>
            <w:vAlign w:val="bottom"/>
          </w:tcPr>
          <w:p w:rsidR="003B4DAE" w:rsidRPr="00D35951" w:rsidRDefault="003B4DAE" w:rsidP="00414312">
            <w:pPr>
              <w:pStyle w:val="SingleTxt"/>
              <w:spacing w:before="40" w:after="80" w:line="240" w:lineRule="exact"/>
              <w:ind w:left="0" w:right="144"/>
              <w:rPr>
                <w:rFonts w:hint="cs"/>
                <w:sz w:val="16"/>
                <w:szCs w:val="24"/>
                <w:rtl/>
              </w:rPr>
            </w:pPr>
          </w:p>
        </w:tc>
        <w:tc>
          <w:tcPr>
            <w:tcW w:w="1545" w:type="dxa"/>
            <w:tcBorders>
              <w:top w:val="single" w:sz="12" w:space="0" w:color="auto"/>
            </w:tcBorders>
            <w:shd w:val="clear" w:color="auto" w:fill="auto"/>
            <w:vAlign w:val="bottom"/>
          </w:tcPr>
          <w:p w:rsidR="003B4DAE" w:rsidRPr="00D35951" w:rsidRDefault="003B4DAE" w:rsidP="00D35951">
            <w:pPr>
              <w:pStyle w:val="SingleTxt"/>
              <w:spacing w:before="40" w:after="80" w:line="240" w:lineRule="exact"/>
              <w:ind w:left="0" w:right="0"/>
              <w:rPr>
                <w:rFonts w:hint="cs"/>
                <w:sz w:val="16"/>
                <w:szCs w:val="24"/>
                <w:rtl/>
              </w:rPr>
            </w:pPr>
          </w:p>
        </w:tc>
        <w:tc>
          <w:tcPr>
            <w:tcW w:w="1854" w:type="dxa"/>
            <w:tcBorders>
              <w:top w:val="single" w:sz="12" w:space="0" w:color="auto"/>
            </w:tcBorders>
            <w:shd w:val="clear" w:color="auto" w:fill="auto"/>
            <w:vAlign w:val="bottom"/>
          </w:tcPr>
          <w:p w:rsidR="003B4DAE" w:rsidRPr="00D35951" w:rsidRDefault="003B4DAE" w:rsidP="00D35951">
            <w:pPr>
              <w:pStyle w:val="SingleTxt"/>
              <w:spacing w:before="40" w:after="80" w:line="240" w:lineRule="exact"/>
              <w:ind w:left="0" w:right="0"/>
              <w:rPr>
                <w:rFonts w:hint="cs"/>
                <w:sz w:val="16"/>
                <w:szCs w:val="24"/>
                <w:rtl/>
              </w:rPr>
            </w:pPr>
          </w:p>
        </w:tc>
        <w:tc>
          <w:tcPr>
            <w:tcW w:w="824" w:type="dxa"/>
            <w:gridSpan w:val="2"/>
            <w:tcBorders>
              <w:top w:val="single" w:sz="12" w:space="0" w:color="auto"/>
            </w:tcBorders>
            <w:shd w:val="clear" w:color="auto" w:fill="auto"/>
            <w:vAlign w:val="bottom"/>
          </w:tcPr>
          <w:p w:rsidR="003B4DAE" w:rsidRPr="00D35951" w:rsidRDefault="003B4DAE" w:rsidP="00D35951">
            <w:pPr>
              <w:pStyle w:val="SingleTxt"/>
              <w:spacing w:before="40" w:after="80" w:line="240" w:lineRule="exact"/>
              <w:ind w:left="0" w:right="0"/>
              <w:rPr>
                <w:rFonts w:hint="cs"/>
                <w:sz w:val="16"/>
                <w:szCs w:val="24"/>
                <w:rtl/>
              </w:rPr>
            </w:pPr>
          </w:p>
        </w:tc>
        <w:tc>
          <w:tcPr>
            <w:tcW w:w="1545" w:type="dxa"/>
            <w:tcBorders>
              <w:top w:val="single" w:sz="12" w:space="0" w:color="auto"/>
            </w:tcBorders>
            <w:shd w:val="clear" w:color="auto" w:fill="auto"/>
            <w:vAlign w:val="bottom"/>
          </w:tcPr>
          <w:p w:rsidR="003B4DAE" w:rsidRPr="00D35951" w:rsidRDefault="003B4DAE" w:rsidP="00D35951">
            <w:pPr>
              <w:pStyle w:val="SingleTxt"/>
              <w:spacing w:before="40" w:after="80" w:line="240" w:lineRule="exact"/>
              <w:ind w:left="0" w:right="0"/>
              <w:rPr>
                <w:rFonts w:hint="cs"/>
                <w:sz w:val="16"/>
                <w:szCs w:val="24"/>
                <w:rtl/>
              </w:rPr>
            </w:pPr>
          </w:p>
        </w:tc>
        <w:tc>
          <w:tcPr>
            <w:tcW w:w="1854" w:type="dxa"/>
            <w:tcBorders>
              <w:top w:val="single" w:sz="12" w:space="0" w:color="auto"/>
            </w:tcBorders>
            <w:shd w:val="clear" w:color="auto" w:fill="auto"/>
            <w:vAlign w:val="bottom"/>
          </w:tcPr>
          <w:p w:rsidR="003B4DAE" w:rsidRPr="00D35951" w:rsidRDefault="003B4DAE" w:rsidP="00D35951">
            <w:pPr>
              <w:pStyle w:val="SingleTxt"/>
              <w:spacing w:before="40" w:after="80" w:line="240" w:lineRule="exact"/>
              <w:ind w:left="0" w:right="0"/>
              <w:rPr>
                <w:rFonts w:hint="cs"/>
                <w:sz w:val="16"/>
                <w:szCs w:val="24"/>
                <w:rtl/>
              </w:rPr>
            </w:pPr>
          </w:p>
        </w:tc>
        <w:tc>
          <w:tcPr>
            <w:tcW w:w="721" w:type="dxa"/>
            <w:tcBorders>
              <w:top w:val="single" w:sz="12" w:space="0" w:color="auto"/>
            </w:tcBorders>
            <w:shd w:val="clear" w:color="auto" w:fill="auto"/>
            <w:vAlign w:val="bottom"/>
          </w:tcPr>
          <w:p w:rsidR="003B4DAE" w:rsidRPr="00D35951" w:rsidRDefault="003B4DAE" w:rsidP="00D35951">
            <w:pPr>
              <w:pStyle w:val="SingleTxt"/>
              <w:spacing w:before="40" w:after="80" w:line="240" w:lineRule="exact"/>
              <w:ind w:left="0" w:right="0"/>
              <w:rPr>
                <w:rFonts w:hint="cs"/>
                <w:sz w:val="16"/>
                <w:szCs w:val="24"/>
                <w:rtl/>
              </w:rPr>
            </w:pPr>
          </w:p>
        </w:tc>
      </w:tr>
      <w:tr w:rsidR="003B4DAE" w:rsidRPr="003B4DAE">
        <w:trPr>
          <w:cantSplit/>
          <w:jc w:val="center"/>
        </w:trPr>
        <w:tc>
          <w:tcPr>
            <w:tcW w:w="1507" w:type="dxa"/>
            <w:shd w:val="clear" w:color="auto" w:fill="auto"/>
            <w:vAlign w:val="bottom"/>
          </w:tcPr>
          <w:p w:rsidR="003B4DAE" w:rsidRPr="003B4DAE" w:rsidRDefault="003B4DAE" w:rsidP="00414312">
            <w:pPr>
              <w:pStyle w:val="SingleTxt"/>
              <w:spacing w:before="40" w:after="80" w:line="240" w:lineRule="exact"/>
              <w:ind w:left="0" w:right="144"/>
              <w:rPr>
                <w:rFonts w:cs="Traditional Arabic" w:hint="cs"/>
                <w:sz w:val="16"/>
                <w:szCs w:val="24"/>
                <w:rtl/>
              </w:rPr>
            </w:pPr>
            <w:r w:rsidRPr="003B4DAE">
              <w:rPr>
                <w:rFonts w:cs="Traditional Arabic" w:hint="cs"/>
                <w:b/>
                <w:bCs/>
                <w:sz w:val="16"/>
                <w:szCs w:val="24"/>
                <w:rtl/>
              </w:rPr>
              <w:t>السن</w:t>
            </w:r>
          </w:p>
        </w:tc>
        <w:tc>
          <w:tcPr>
            <w:tcW w:w="1545" w:type="dxa"/>
            <w:shd w:val="clear" w:color="auto" w:fill="auto"/>
            <w:vAlign w:val="bottom"/>
          </w:tcPr>
          <w:p w:rsidR="003B4DAE" w:rsidRPr="003B4DAE" w:rsidRDefault="003B4DAE" w:rsidP="00414312">
            <w:pPr>
              <w:pStyle w:val="SingleTxt"/>
              <w:spacing w:before="40" w:after="80" w:line="240" w:lineRule="exact"/>
              <w:ind w:left="412" w:right="0"/>
              <w:rPr>
                <w:rFonts w:cs="Traditional Arabic" w:hint="cs"/>
                <w:sz w:val="16"/>
                <w:szCs w:val="24"/>
                <w:rtl/>
              </w:rPr>
            </w:pPr>
          </w:p>
        </w:tc>
        <w:tc>
          <w:tcPr>
            <w:tcW w:w="1854" w:type="dxa"/>
            <w:shd w:val="clear" w:color="auto" w:fill="auto"/>
            <w:vAlign w:val="bottom"/>
          </w:tcPr>
          <w:p w:rsidR="003B4DAE" w:rsidRPr="003B4DAE" w:rsidRDefault="003B4DAE" w:rsidP="00414312">
            <w:pPr>
              <w:pStyle w:val="SingleTxt"/>
              <w:spacing w:before="40" w:after="80" w:line="240" w:lineRule="exact"/>
              <w:ind w:left="412" w:right="0"/>
              <w:rPr>
                <w:rFonts w:cs="Traditional Arabic" w:hint="cs"/>
                <w:sz w:val="16"/>
                <w:szCs w:val="24"/>
                <w:rtl/>
              </w:rPr>
            </w:pPr>
          </w:p>
        </w:tc>
        <w:tc>
          <w:tcPr>
            <w:tcW w:w="824" w:type="dxa"/>
            <w:gridSpan w:val="2"/>
            <w:shd w:val="clear" w:color="auto" w:fill="auto"/>
            <w:vAlign w:val="bottom"/>
          </w:tcPr>
          <w:p w:rsidR="003B4DAE" w:rsidRPr="003B4DAE" w:rsidRDefault="003B4DAE" w:rsidP="00D35951">
            <w:pPr>
              <w:pStyle w:val="SingleTxt"/>
              <w:spacing w:before="40" w:after="80" w:line="240" w:lineRule="exact"/>
              <w:ind w:left="0" w:right="0"/>
              <w:rPr>
                <w:rFonts w:cs="Traditional Arabic" w:hint="cs"/>
                <w:sz w:val="16"/>
                <w:szCs w:val="24"/>
                <w:rtl/>
              </w:rPr>
            </w:pPr>
          </w:p>
        </w:tc>
        <w:tc>
          <w:tcPr>
            <w:tcW w:w="1545" w:type="dxa"/>
            <w:shd w:val="clear" w:color="auto" w:fill="auto"/>
            <w:vAlign w:val="bottom"/>
          </w:tcPr>
          <w:p w:rsidR="003B4DAE" w:rsidRPr="003B4DAE" w:rsidRDefault="003B4DAE" w:rsidP="00414312">
            <w:pPr>
              <w:pStyle w:val="SingleTxt"/>
              <w:spacing w:before="40" w:after="80" w:line="240" w:lineRule="exact"/>
              <w:ind w:left="412" w:right="0"/>
              <w:rPr>
                <w:rFonts w:cs="Traditional Arabic" w:hint="cs"/>
                <w:sz w:val="16"/>
                <w:szCs w:val="24"/>
                <w:rtl/>
              </w:rPr>
            </w:pPr>
          </w:p>
        </w:tc>
        <w:tc>
          <w:tcPr>
            <w:tcW w:w="1854" w:type="dxa"/>
            <w:shd w:val="clear" w:color="auto" w:fill="auto"/>
            <w:vAlign w:val="bottom"/>
          </w:tcPr>
          <w:p w:rsidR="003B4DAE" w:rsidRPr="003B4DAE" w:rsidRDefault="003B4DAE" w:rsidP="00414312">
            <w:pPr>
              <w:pStyle w:val="SingleTxt"/>
              <w:spacing w:before="40" w:after="80" w:line="240" w:lineRule="exact"/>
              <w:ind w:left="412" w:right="0"/>
              <w:rPr>
                <w:rFonts w:cs="Traditional Arabic" w:hint="cs"/>
                <w:sz w:val="16"/>
                <w:szCs w:val="24"/>
                <w:rtl/>
              </w:rPr>
            </w:pPr>
          </w:p>
        </w:tc>
        <w:tc>
          <w:tcPr>
            <w:tcW w:w="721" w:type="dxa"/>
            <w:shd w:val="clear" w:color="auto" w:fill="auto"/>
            <w:vAlign w:val="bottom"/>
          </w:tcPr>
          <w:p w:rsidR="003B4DAE" w:rsidRPr="003B4DAE" w:rsidRDefault="003B4DAE" w:rsidP="00D35951">
            <w:pPr>
              <w:pStyle w:val="SingleTxt"/>
              <w:spacing w:before="40" w:after="80" w:line="240" w:lineRule="exact"/>
              <w:ind w:left="0" w:right="0"/>
              <w:rPr>
                <w:rFonts w:cs="Traditional Arabic" w:hint="cs"/>
                <w:sz w:val="16"/>
                <w:szCs w:val="24"/>
                <w:rtl/>
              </w:rPr>
            </w:pPr>
          </w:p>
        </w:tc>
      </w:tr>
      <w:tr w:rsidR="003B4DAE" w:rsidRPr="00D35951">
        <w:trPr>
          <w:cantSplit/>
          <w:jc w:val="center"/>
        </w:trPr>
        <w:tc>
          <w:tcPr>
            <w:tcW w:w="1507" w:type="dxa"/>
            <w:shd w:val="clear" w:color="auto" w:fill="auto"/>
            <w:vAlign w:val="bottom"/>
          </w:tcPr>
          <w:p w:rsidR="003B4DAE" w:rsidRPr="003B4DAE" w:rsidRDefault="003B4DAE" w:rsidP="00414312">
            <w:pPr>
              <w:pStyle w:val="SingleTxt"/>
              <w:spacing w:before="40" w:after="80" w:line="240" w:lineRule="exact"/>
              <w:ind w:left="185" w:right="144"/>
              <w:rPr>
                <w:rFonts w:cs="Traditional Arabic" w:hint="cs"/>
                <w:sz w:val="16"/>
                <w:szCs w:val="24"/>
                <w:rtl/>
              </w:rPr>
            </w:pPr>
            <w:r w:rsidRPr="003B4DAE">
              <w:rPr>
                <w:rFonts w:cs="Traditional Arabic" w:hint="cs"/>
                <w:sz w:val="16"/>
                <w:szCs w:val="24"/>
                <w:rtl/>
              </w:rPr>
              <w:t>15-19</w:t>
            </w:r>
          </w:p>
        </w:tc>
        <w:tc>
          <w:tcPr>
            <w:tcW w:w="1545" w:type="dxa"/>
            <w:shd w:val="clear" w:color="auto" w:fill="auto"/>
            <w:vAlign w:val="bottom"/>
          </w:tcPr>
          <w:p w:rsidR="003B4DAE" w:rsidRPr="003B4DAE" w:rsidRDefault="003B4DAE" w:rsidP="00414312">
            <w:pPr>
              <w:pStyle w:val="SingleTxt"/>
              <w:spacing w:before="40" w:after="80" w:line="240" w:lineRule="exact"/>
              <w:ind w:left="412" w:right="0"/>
              <w:rPr>
                <w:rFonts w:cs="Traditional Arabic" w:hint="cs"/>
                <w:sz w:val="16"/>
                <w:szCs w:val="24"/>
                <w:rtl/>
              </w:rPr>
            </w:pPr>
            <w:r w:rsidRPr="003B4DAE">
              <w:rPr>
                <w:rFonts w:cs="Traditional Arabic" w:hint="cs"/>
                <w:sz w:val="16"/>
                <w:szCs w:val="24"/>
                <w:rtl/>
              </w:rPr>
              <w:t>69.7</w:t>
            </w:r>
          </w:p>
        </w:tc>
        <w:tc>
          <w:tcPr>
            <w:tcW w:w="1854" w:type="dxa"/>
            <w:shd w:val="clear" w:color="auto" w:fill="auto"/>
            <w:vAlign w:val="bottom"/>
          </w:tcPr>
          <w:p w:rsidR="003B4DAE" w:rsidRPr="003B4DAE" w:rsidRDefault="003B4DAE" w:rsidP="00414312">
            <w:pPr>
              <w:pStyle w:val="SingleTxt"/>
              <w:spacing w:before="40" w:after="80" w:line="240" w:lineRule="exact"/>
              <w:ind w:left="412" w:right="0"/>
              <w:rPr>
                <w:rFonts w:cs="Traditional Arabic" w:hint="cs"/>
                <w:sz w:val="16"/>
                <w:szCs w:val="24"/>
                <w:rtl/>
              </w:rPr>
            </w:pPr>
            <w:r w:rsidRPr="003B4DAE">
              <w:rPr>
                <w:rFonts w:cs="Traditional Arabic" w:hint="cs"/>
                <w:sz w:val="16"/>
                <w:szCs w:val="24"/>
                <w:rtl/>
              </w:rPr>
              <w:t>55.2</w:t>
            </w:r>
          </w:p>
        </w:tc>
        <w:tc>
          <w:tcPr>
            <w:tcW w:w="824" w:type="dxa"/>
            <w:gridSpan w:val="2"/>
            <w:shd w:val="clear" w:color="auto" w:fill="auto"/>
            <w:vAlign w:val="bottom"/>
          </w:tcPr>
          <w:p w:rsidR="003B4DAE" w:rsidRPr="003B4DAE" w:rsidRDefault="003B4DAE" w:rsidP="00D35951">
            <w:pPr>
              <w:pStyle w:val="SingleTxt"/>
              <w:spacing w:before="40" w:after="80" w:line="240" w:lineRule="exact"/>
              <w:ind w:left="0" w:right="0"/>
              <w:rPr>
                <w:rFonts w:cs="Traditional Arabic" w:hint="cs"/>
                <w:sz w:val="16"/>
                <w:szCs w:val="24"/>
                <w:rtl/>
              </w:rPr>
            </w:pPr>
            <w:r w:rsidRPr="003B4DAE">
              <w:rPr>
                <w:rFonts w:cs="Traditional Arabic" w:hint="cs"/>
                <w:sz w:val="16"/>
                <w:szCs w:val="24"/>
                <w:rtl/>
              </w:rPr>
              <w:t>1.528</w:t>
            </w:r>
          </w:p>
        </w:tc>
        <w:tc>
          <w:tcPr>
            <w:tcW w:w="1545" w:type="dxa"/>
            <w:shd w:val="clear" w:color="auto" w:fill="auto"/>
            <w:vAlign w:val="bottom"/>
          </w:tcPr>
          <w:p w:rsidR="003B4DAE" w:rsidRPr="003B4DAE" w:rsidRDefault="003B4DAE" w:rsidP="00414312">
            <w:pPr>
              <w:pStyle w:val="SingleTxt"/>
              <w:spacing w:before="40" w:after="80" w:line="240" w:lineRule="exact"/>
              <w:ind w:left="412" w:right="0"/>
              <w:rPr>
                <w:rFonts w:cs="Traditional Arabic" w:hint="cs"/>
                <w:sz w:val="16"/>
                <w:szCs w:val="24"/>
                <w:rtl/>
              </w:rPr>
            </w:pPr>
            <w:r w:rsidRPr="003B4DAE">
              <w:rPr>
                <w:rFonts w:cs="Traditional Arabic" w:hint="cs"/>
                <w:sz w:val="16"/>
                <w:szCs w:val="24"/>
                <w:rtl/>
              </w:rPr>
              <w:t>76.0</w:t>
            </w:r>
          </w:p>
        </w:tc>
        <w:tc>
          <w:tcPr>
            <w:tcW w:w="1854" w:type="dxa"/>
            <w:shd w:val="clear" w:color="auto" w:fill="auto"/>
            <w:vAlign w:val="bottom"/>
          </w:tcPr>
          <w:p w:rsidR="003B4DAE" w:rsidRPr="003B4DAE" w:rsidRDefault="003B4DAE" w:rsidP="00414312">
            <w:pPr>
              <w:pStyle w:val="SingleTxt"/>
              <w:spacing w:before="40" w:after="80" w:line="240" w:lineRule="exact"/>
              <w:ind w:left="412" w:right="0"/>
              <w:rPr>
                <w:rFonts w:cs="Traditional Arabic" w:hint="cs"/>
                <w:sz w:val="16"/>
                <w:szCs w:val="24"/>
                <w:rtl/>
              </w:rPr>
            </w:pPr>
            <w:r w:rsidRPr="003B4DAE">
              <w:rPr>
                <w:rFonts w:cs="Traditional Arabic" w:hint="cs"/>
                <w:sz w:val="16"/>
                <w:szCs w:val="24"/>
                <w:rtl/>
              </w:rPr>
              <w:t>64.5</w:t>
            </w:r>
          </w:p>
        </w:tc>
        <w:tc>
          <w:tcPr>
            <w:tcW w:w="721" w:type="dxa"/>
            <w:shd w:val="clear" w:color="auto" w:fill="auto"/>
            <w:vAlign w:val="bottom"/>
          </w:tcPr>
          <w:p w:rsidR="003B4DAE" w:rsidRPr="003B4DAE" w:rsidRDefault="003B4DAE" w:rsidP="00D35951">
            <w:pPr>
              <w:pStyle w:val="SingleTxt"/>
              <w:spacing w:before="40" w:after="80" w:line="240" w:lineRule="exact"/>
              <w:ind w:left="0" w:right="0"/>
              <w:rPr>
                <w:rFonts w:cs="Traditional Arabic" w:hint="cs"/>
                <w:sz w:val="16"/>
                <w:szCs w:val="24"/>
                <w:rtl/>
              </w:rPr>
            </w:pPr>
            <w:r w:rsidRPr="003B4DAE">
              <w:rPr>
                <w:rFonts w:cs="Traditional Arabic" w:hint="cs"/>
                <w:sz w:val="16"/>
                <w:szCs w:val="24"/>
                <w:rtl/>
              </w:rPr>
              <w:t>416</w:t>
            </w:r>
          </w:p>
        </w:tc>
      </w:tr>
      <w:tr w:rsidR="003B4DAE" w:rsidRPr="00D35951">
        <w:trPr>
          <w:cantSplit/>
          <w:jc w:val="center"/>
        </w:trPr>
        <w:tc>
          <w:tcPr>
            <w:tcW w:w="1507" w:type="dxa"/>
            <w:shd w:val="clear" w:color="auto" w:fill="auto"/>
            <w:vAlign w:val="bottom"/>
          </w:tcPr>
          <w:p w:rsidR="003B4DAE" w:rsidRPr="003B4DAE" w:rsidRDefault="003B4DAE" w:rsidP="00414312">
            <w:pPr>
              <w:pStyle w:val="SingleTxt"/>
              <w:spacing w:before="40" w:after="80" w:line="240" w:lineRule="exact"/>
              <w:ind w:left="185" w:right="144"/>
              <w:rPr>
                <w:rFonts w:cs="Traditional Arabic" w:hint="cs"/>
                <w:sz w:val="16"/>
                <w:szCs w:val="24"/>
                <w:rtl/>
              </w:rPr>
            </w:pPr>
            <w:r w:rsidRPr="003B4DAE">
              <w:rPr>
                <w:rFonts w:cs="Traditional Arabic" w:hint="cs"/>
                <w:sz w:val="16"/>
                <w:szCs w:val="24"/>
                <w:rtl/>
              </w:rPr>
              <w:t>20-24</w:t>
            </w:r>
          </w:p>
        </w:tc>
        <w:tc>
          <w:tcPr>
            <w:tcW w:w="1545" w:type="dxa"/>
            <w:shd w:val="clear" w:color="auto" w:fill="auto"/>
            <w:vAlign w:val="bottom"/>
          </w:tcPr>
          <w:p w:rsidR="003B4DAE" w:rsidRPr="003B4DAE" w:rsidRDefault="003B4DAE" w:rsidP="00414312">
            <w:pPr>
              <w:pStyle w:val="SingleTxt"/>
              <w:spacing w:before="40" w:after="80" w:line="240" w:lineRule="exact"/>
              <w:ind w:left="412" w:right="0"/>
              <w:rPr>
                <w:rFonts w:cs="Traditional Arabic" w:hint="cs"/>
                <w:sz w:val="16"/>
                <w:szCs w:val="24"/>
                <w:rtl/>
              </w:rPr>
            </w:pPr>
            <w:r w:rsidRPr="003B4DAE">
              <w:rPr>
                <w:rFonts w:cs="Traditional Arabic" w:hint="cs"/>
                <w:sz w:val="16"/>
                <w:szCs w:val="24"/>
                <w:rtl/>
              </w:rPr>
              <w:t>80.9</w:t>
            </w:r>
          </w:p>
        </w:tc>
        <w:tc>
          <w:tcPr>
            <w:tcW w:w="1854" w:type="dxa"/>
            <w:shd w:val="clear" w:color="auto" w:fill="auto"/>
            <w:vAlign w:val="bottom"/>
          </w:tcPr>
          <w:p w:rsidR="003B4DAE" w:rsidRPr="003B4DAE" w:rsidRDefault="003B4DAE" w:rsidP="00414312">
            <w:pPr>
              <w:pStyle w:val="SingleTxt"/>
              <w:spacing w:before="40" w:after="80" w:line="240" w:lineRule="exact"/>
              <w:ind w:left="412" w:right="0"/>
              <w:rPr>
                <w:rFonts w:cs="Traditional Arabic" w:hint="cs"/>
                <w:sz w:val="16"/>
                <w:szCs w:val="24"/>
                <w:rtl/>
              </w:rPr>
            </w:pPr>
            <w:r w:rsidRPr="003B4DAE">
              <w:rPr>
                <w:rFonts w:cs="Traditional Arabic" w:hint="cs"/>
                <w:sz w:val="16"/>
                <w:szCs w:val="24"/>
                <w:rtl/>
              </w:rPr>
              <w:t>65.4</w:t>
            </w:r>
          </w:p>
        </w:tc>
        <w:tc>
          <w:tcPr>
            <w:tcW w:w="824" w:type="dxa"/>
            <w:gridSpan w:val="2"/>
            <w:shd w:val="clear" w:color="auto" w:fill="auto"/>
            <w:vAlign w:val="bottom"/>
          </w:tcPr>
          <w:p w:rsidR="003B4DAE" w:rsidRPr="003B4DAE" w:rsidRDefault="003B4DAE" w:rsidP="00D35951">
            <w:pPr>
              <w:pStyle w:val="SingleTxt"/>
              <w:spacing w:before="40" w:after="80" w:line="240" w:lineRule="exact"/>
              <w:ind w:left="0" w:right="0"/>
              <w:rPr>
                <w:rFonts w:cs="Traditional Arabic" w:hint="cs"/>
                <w:sz w:val="16"/>
                <w:szCs w:val="24"/>
                <w:rtl/>
              </w:rPr>
            </w:pPr>
            <w:r w:rsidRPr="003B4DAE">
              <w:rPr>
                <w:rFonts w:cs="Traditional Arabic" w:hint="cs"/>
                <w:sz w:val="16"/>
                <w:szCs w:val="24"/>
                <w:rtl/>
              </w:rPr>
              <w:t>1391</w:t>
            </w:r>
          </w:p>
        </w:tc>
        <w:tc>
          <w:tcPr>
            <w:tcW w:w="1545" w:type="dxa"/>
            <w:shd w:val="clear" w:color="auto" w:fill="auto"/>
            <w:vAlign w:val="bottom"/>
          </w:tcPr>
          <w:p w:rsidR="003B4DAE" w:rsidRPr="003B4DAE" w:rsidRDefault="003B4DAE" w:rsidP="00414312">
            <w:pPr>
              <w:pStyle w:val="SingleTxt"/>
              <w:spacing w:before="40" w:after="80" w:line="240" w:lineRule="exact"/>
              <w:ind w:left="412" w:right="0"/>
              <w:rPr>
                <w:rFonts w:cs="Traditional Arabic" w:hint="cs"/>
                <w:sz w:val="16"/>
                <w:szCs w:val="24"/>
                <w:rtl/>
              </w:rPr>
            </w:pPr>
            <w:r w:rsidRPr="003B4DAE">
              <w:rPr>
                <w:rFonts w:cs="Traditional Arabic" w:hint="cs"/>
                <w:sz w:val="16"/>
                <w:szCs w:val="24"/>
                <w:rtl/>
              </w:rPr>
              <w:t>89.4</w:t>
            </w:r>
          </w:p>
        </w:tc>
        <w:tc>
          <w:tcPr>
            <w:tcW w:w="1854" w:type="dxa"/>
            <w:shd w:val="clear" w:color="auto" w:fill="auto"/>
            <w:vAlign w:val="bottom"/>
          </w:tcPr>
          <w:p w:rsidR="003B4DAE" w:rsidRPr="003B4DAE" w:rsidRDefault="003B4DAE" w:rsidP="00414312">
            <w:pPr>
              <w:pStyle w:val="SingleTxt"/>
              <w:spacing w:before="40" w:after="80" w:line="240" w:lineRule="exact"/>
              <w:ind w:left="412" w:right="0"/>
              <w:rPr>
                <w:rFonts w:cs="Traditional Arabic" w:hint="cs"/>
                <w:sz w:val="16"/>
                <w:szCs w:val="24"/>
                <w:rtl/>
              </w:rPr>
            </w:pPr>
            <w:r w:rsidRPr="003B4DAE">
              <w:rPr>
                <w:rFonts w:cs="Traditional Arabic" w:hint="cs"/>
                <w:sz w:val="16"/>
                <w:szCs w:val="24"/>
                <w:rtl/>
              </w:rPr>
              <w:t>76.1</w:t>
            </w:r>
          </w:p>
        </w:tc>
        <w:tc>
          <w:tcPr>
            <w:tcW w:w="721" w:type="dxa"/>
            <w:shd w:val="clear" w:color="auto" w:fill="auto"/>
            <w:vAlign w:val="bottom"/>
          </w:tcPr>
          <w:p w:rsidR="003B4DAE" w:rsidRPr="003B4DAE" w:rsidRDefault="003B4DAE" w:rsidP="00D35951">
            <w:pPr>
              <w:pStyle w:val="SingleTxt"/>
              <w:spacing w:before="40" w:after="80" w:line="240" w:lineRule="exact"/>
              <w:ind w:left="0" w:right="0"/>
              <w:rPr>
                <w:rFonts w:cs="Traditional Arabic" w:hint="cs"/>
                <w:sz w:val="16"/>
                <w:szCs w:val="24"/>
                <w:rtl/>
              </w:rPr>
            </w:pPr>
            <w:r w:rsidRPr="003B4DAE">
              <w:rPr>
                <w:rFonts w:cs="Traditional Arabic" w:hint="cs"/>
                <w:sz w:val="16"/>
                <w:szCs w:val="24"/>
                <w:rtl/>
              </w:rPr>
              <w:t>416</w:t>
            </w:r>
          </w:p>
        </w:tc>
      </w:tr>
      <w:tr w:rsidR="003B4DAE" w:rsidRPr="00D35951">
        <w:trPr>
          <w:cantSplit/>
          <w:jc w:val="center"/>
        </w:trPr>
        <w:tc>
          <w:tcPr>
            <w:tcW w:w="1507" w:type="dxa"/>
            <w:shd w:val="clear" w:color="auto" w:fill="auto"/>
            <w:vAlign w:val="bottom"/>
          </w:tcPr>
          <w:p w:rsidR="003B4DAE" w:rsidRPr="003B4DAE" w:rsidRDefault="003B4DAE" w:rsidP="00414312">
            <w:pPr>
              <w:pStyle w:val="SingleTxt"/>
              <w:spacing w:before="40" w:after="80" w:line="240" w:lineRule="exact"/>
              <w:ind w:left="185" w:right="144"/>
              <w:rPr>
                <w:rFonts w:cs="Traditional Arabic" w:hint="cs"/>
                <w:sz w:val="16"/>
                <w:szCs w:val="24"/>
                <w:rtl/>
              </w:rPr>
            </w:pPr>
            <w:r w:rsidRPr="003B4DAE">
              <w:rPr>
                <w:rFonts w:cs="Traditional Arabic" w:hint="cs"/>
                <w:sz w:val="16"/>
                <w:szCs w:val="24"/>
                <w:rtl/>
              </w:rPr>
              <w:t>25-29</w:t>
            </w:r>
          </w:p>
        </w:tc>
        <w:tc>
          <w:tcPr>
            <w:tcW w:w="1545" w:type="dxa"/>
            <w:shd w:val="clear" w:color="auto" w:fill="auto"/>
            <w:vAlign w:val="bottom"/>
          </w:tcPr>
          <w:p w:rsidR="003B4DAE" w:rsidRPr="003B4DAE" w:rsidRDefault="003B4DAE" w:rsidP="00414312">
            <w:pPr>
              <w:pStyle w:val="SingleTxt"/>
              <w:spacing w:before="40" w:after="80" w:line="240" w:lineRule="exact"/>
              <w:ind w:left="412" w:right="0"/>
              <w:rPr>
                <w:rFonts w:cs="Traditional Arabic" w:hint="cs"/>
                <w:sz w:val="16"/>
                <w:szCs w:val="24"/>
                <w:rtl/>
              </w:rPr>
            </w:pPr>
            <w:r w:rsidRPr="003B4DAE">
              <w:rPr>
                <w:rFonts w:cs="Traditional Arabic" w:hint="cs"/>
                <w:sz w:val="16"/>
                <w:szCs w:val="24"/>
                <w:rtl/>
              </w:rPr>
              <w:t>80.7</w:t>
            </w:r>
          </w:p>
        </w:tc>
        <w:tc>
          <w:tcPr>
            <w:tcW w:w="1854" w:type="dxa"/>
            <w:shd w:val="clear" w:color="auto" w:fill="auto"/>
            <w:vAlign w:val="bottom"/>
          </w:tcPr>
          <w:p w:rsidR="003B4DAE" w:rsidRPr="003B4DAE" w:rsidRDefault="003B4DAE" w:rsidP="00414312">
            <w:pPr>
              <w:pStyle w:val="SingleTxt"/>
              <w:spacing w:before="40" w:after="80" w:line="240" w:lineRule="exact"/>
              <w:ind w:left="412" w:right="0"/>
              <w:rPr>
                <w:rFonts w:cs="Traditional Arabic" w:hint="cs"/>
                <w:sz w:val="16"/>
                <w:szCs w:val="24"/>
                <w:rtl/>
              </w:rPr>
            </w:pPr>
            <w:r w:rsidRPr="003B4DAE">
              <w:rPr>
                <w:rFonts w:cs="Traditional Arabic" w:hint="cs"/>
                <w:sz w:val="16"/>
                <w:szCs w:val="24"/>
                <w:rtl/>
              </w:rPr>
              <w:t>64.8</w:t>
            </w:r>
          </w:p>
        </w:tc>
        <w:tc>
          <w:tcPr>
            <w:tcW w:w="824" w:type="dxa"/>
            <w:gridSpan w:val="2"/>
            <w:shd w:val="clear" w:color="auto" w:fill="auto"/>
            <w:vAlign w:val="bottom"/>
          </w:tcPr>
          <w:p w:rsidR="003B4DAE" w:rsidRPr="003B4DAE" w:rsidRDefault="003B4DAE" w:rsidP="00D35951">
            <w:pPr>
              <w:pStyle w:val="SingleTxt"/>
              <w:spacing w:before="40" w:after="80" w:line="240" w:lineRule="exact"/>
              <w:ind w:left="0" w:right="0"/>
              <w:rPr>
                <w:rFonts w:cs="Traditional Arabic" w:hint="cs"/>
                <w:sz w:val="16"/>
                <w:szCs w:val="24"/>
                <w:rtl/>
              </w:rPr>
            </w:pPr>
            <w:r w:rsidRPr="003B4DAE">
              <w:rPr>
                <w:rFonts w:cs="Traditional Arabic" w:hint="cs"/>
                <w:sz w:val="16"/>
                <w:szCs w:val="24"/>
                <w:rtl/>
              </w:rPr>
              <w:t>1347</w:t>
            </w:r>
          </w:p>
        </w:tc>
        <w:tc>
          <w:tcPr>
            <w:tcW w:w="1545" w:type="dxa"/>
            <w:shd w:val="clear" w:color="auto" w:fill="auto"/>
            <w:vAlign w:val="bottom"/>
          </w:tcPr>
          <w:p w:rsidR="003B4DAE" w:rsidRPr="003B4DAE" w:rsidRDefault="003B4DAE" w:rsidP="00414312">
            <w:pPr>
              <w:pStyle w:val="SingleTxt"/>
              <w:spacing w:before="40" w:after="80" w:line="240" w:lineRule="exact"/>
              <w:ind w:left="412" w:right="0"/>
              <w:rPr>
                <w:rFonts w:cs="Traditional Arabic" w:hint="cs"/>
                <w:sz w:val="16"/>
                <w:szCs w:val="24"/>
                <w:rtl/>
              </w:rPr>
            </w:pPr>
            <w:r w:rsidRPr="003B4DAE">
              <w:rPr>
                <w:rFonts w:cs="Traditional Arabic" w:hint="cs"/>
                <w:sz w:val="16"/>
                <w:szCs w:val="24"/>
                <w:rtl/>
              </w:rPr>
              <w:t>88.9</w:t>
            </w:r>
          </w:p>
        </w:tc>
        <w:tc>
          <w:tcPr>
            <w:tcW w:w="1854" w:type="dxa"/>
            <w:shd w:val="clear" w:color="auto" w:fill="auto"/>
            <w:vAlign w:val="bottom"/>
          </w:tcPr>
          <w:p w:rsidR="003B4DAE" w:rsidRPr="003B4DAE" w:rsidRDefault="003B4DAE" w:rsidP="00414312">
            <w:pPr>
              <w:pStyle w:val="SingleTxt"/>
              <w:spacing w:before="40" w:after="80" w:line="240" w:lineRule="exact"/>
              <w:ind w:left="412" w:right="0"/>
              <w:rPr>
                <w:rFonts w:cs="Traditional Arabic" w:hint="cs"/>
                <w:sz w:val="16"/>
                <w:szCs w:val="24"/>
                <w:rtl/>
              </w:rPr>
            </w:pPr>
            <w:r w:rsidRPr="003B4DAE">
              <w:rPr>
                <w:rFonts w:cs="Traditional Arabic" w:hint="cs"/>
                <w:sz w:val="16"/>
                <w:szCs w:val="24"/>
                <w:rtl/>
              </w:rPr>
              <w:t>78.2</w:t>
            </w:r>
          </w:p>
        </w:tc>
        <w:tc>
          <w:tcPr>
            <w:tcW w:w="721" w:type="dxa"/>
            <w:shd w:val="clear" w:color="auto" w:fill="auto"/>
            <w:vAlign w:val="bottom"/>
          </w:tcPr>
          <w:p w:rsidR="003B4DAE" w:rsidRPr="003B4DAE" w:rsidRDefault="003B4DAE" w:rsidP="00D35951">
            <w:pPr>
              <w:pStyle w:val="SingleTxt"/>
              <w:spacing w:before="40" w:after="80" w:line="240" w:lineRule="exact"/>
              <w:ind w:left="0" w:right="0"/>
              <w:rPr>
                <w:rFonts w:cs="Traditional Arabic" w:hint="cs"/>
                <w:sz w:val="16"/>
                <w:szCs w:val="24"/>
                <w:rtl/>
              </w:rPr>
            </w:pPr>
            <w:r w:rsidRPr="003B4DAE">
              <w:rPr>
                <w:rFonts w:cs="Traditional Arabic" w:hint="cs"/>
                <w:sz w:val="16"/>
                <w:szCs w:val="24"/>
                <w:rtl/>
              </w:rPr>
              <w:t>400</w:t>
            </w:r>
          </w:p>
        </w:tc>
      </w:tr>
      <w:tr w:rsidR="003B4DAE" w:rsidRPr="00D35951">
        <w:trPr>
          <w:cantSplit/>
          <w:jc w:val="center"/>
        </w:trPr>
        <w:tc>
          <w:tcPr>
            <w:tcW w:w="1507" w:type="dxa"/>
            <w:shd w:val="clear" w:color="auto" w:fill="auto"/>
            <w:vAlign w:val="bottom"/>
          </w:tcPr>
          <w:p w:rsidR="003B4DAE" w:rsidRPr="003B4DAE" w:rsidRDefault="003B4DAE" w:rsidP="00414312">
            <w:pPr>
              <w:pStyle w:val="SingleTxt"/>
              <w:spacing w:before="40" w:after="80" w:line="240" w:lineRule="exact"/>
              <w:ind w:left="185" w:right="144"/>
              <w:rPr>
                <w:rFonts w:cs="Traditional Arabic" w:hint="cs"/>
                <w:sz w:val="16"/>
                <w:szCs w:val="24"/>
                <w:rtl/>
              </w:rPr>
            </w:pPr>
            <w:r w:rsidRPr="003B4DAE">
              <w:rPr>
                <w:rFonts w:cs="Traditional Arabic" w:hint="cs"/>
                <w:sz w:val="16"/>
                <w:szCs w:val="24"/>
                <w:rtl/>
              </w:rPr>
              <w:t>30-39</w:t>
            </w:r>
          </w:p>
        </w:tc>
        <w:tc>
          <w:tcPr>
            <w:tcW w:w="1545" w:type="dxa"/>
            <w:shd w:val="clear" w:color="auto" w:fill="auto"/>
            <w:vAlign w:val="bottom"/>
          </w:tcPr>
          <w:p w:rsidR="003B4DAE" w:rsidRPr="003B4DAE" w:rsidRDefault="003B4DAE" w:rsidP="00414312">
            <w:pPr>
              <w:pStyle w:val="SingleTxt"/>
              <w:spacing w:before="40" w:after="80" w:line="240" w:lineRule="exact"/>
              <w:ind w:left="412" w:right="0"/>
              <w:rPr>
                <w:rFonts w:cs="Traditional Arabic" w:hint="cs"/>
                <w:sz w:val="16"/>
                <w:szCs w:val="24"/>
                <w:rtl/>
              </w:rPr>
            </w:pPr>
            <w:r w:rsidRPr="003B4DAE">
              <w:rPr>
                <w:rFonts w:cs="Traditional Arabic" w:hint="cs"/>
                <w:sz w:val="16"/>
                <w:szCs w:val="24"/>
                <w:rtl/>
              </w:rPr>
              <w:t>82.1</w:t>
            </w:r>
          </w:p>
        </w:tc>
        <w:tc>
          <w:tcPr>
            <w:tcW w:w="1854" w:type="dxa"/>
            <w:shd w:val="clear" w:color="auto" w:fill="auto"/>
            <w:vAlign w:val="bottom"/>
          </w:tcPr>
          <w:p w:rsidR="003B4DAE" w:rsidRPr="003B4DAE" w:rsidRDefault="003B4DAE" w:rsidP="00414312">
            <w:pPr>
              <w:pStyle w:val="SingleTxt"/>
              <w:spacing w:before="40" w:after="80" w:line="240" w:lineRule="exact"/>
              <w:ind w:left="412" w:right="0"/>
              <w:rPr>
                <w:rFonts w:cs="Traditional Arabic" w:hint="cs"/>
                <w:sz w:val="16"/>
                <w:szCs w:val="24"/>
                <w:rtl/>
              </w:rPr>
            </w:pPr>
            <w:r w:rsidRPr="003B4DAE">
              <w:rPr>
                <w:rFonts w:cs="Traditional Arabic" w:hint="cs"/>
                <w:sz w:val="16"/>
                <w:szCs w:val="24"/>
                <w:rtl/>
              </w:rPr>
              <w:t>69.1</w:t>
            </w:r>
          </w:p>
        </w:tc>
        <w:tc>
          <w:tcPr>
            <w:tcW w:w="824" w:type="dxa"/>
            <w:gridSpan w:val="2"/>
            <w:shd w:val="clear" w:color="auto" w:fill="auto"/>
            <w:vAlign w:val="bottom"/>
          </w:tcPr>
          <w:p w:rsidR="003B4DAE" w:rsidRPr="003B4DAE" w:rsidRDefault="003B4DAE" w:rsidP="00D35951">
            <w:pPr>
              <w:pStyle w:val="SingleTxt"/>
              <w:spacing w:before="40" w:after="80" w:line="240" w:lineRule="exact"/>
              <w:ind w:left="0" w:right="0"/>
              <w:rPr>
                <w:rFonts w:cs="Traditional Arabic" w:hint="cs"/>
                <w:sz w:val="16"/>
                <w:szCs w:val="24"/>
                <w:rtl/>
              </w:rPr>
            </w:pPr>
            <w:r w:rsidRPr="003B4DAE">
              <w:rPr>
                <w:rFonts w:cs="Traditional Arabic" w:hint="cs"/>
                <w:sz w:val="16"/>
                <w:szCs w:val="24"/>
                <w:rtl/>
              </w:rPr>
              <w:t>2095</w:t>
            </w:r>
          </w:p>
        </w:tc>
        <w:tc>
          <w:tcPr>
            <w:tcW w:w="1545" w:type="dxa"/>
            <w:shd w:val="clear" w:color="auto" w:fill="auto"/>
            <w:vAlign w:val="bottom"/>
          </w:tcPr>
          <w:p w:rsidR="003B4DAE" w:rsidRPr="003B4DAE" w:rsidRDefault="003B4DAE" w:rsidP="00414312">
            <w:pPr>
              <w:pStyle w:val="SingleTxt"/>
              <w:spacing w:before="40" w:after="80" w:line="240" w:lineRule="exact"/>
              <w:ind w:left="412" w:right="0"/>
              <w:rPr>
                <w:rFonts w:cs="Traditional Arabic" w:hint="cs"/>
                <w:sz w:val="16"/>
                <w:szCs w:val="24"/>
                <w:rtl/>
              </w:rPr>
            </w:pPr>
            <w:r w:rsidRPr="003B4DAE">
              <w:rPr>
                <w:rFonts w:cs="Traditional Arabic" w:hint="cs"/>
                <w:sz w:val="16"/>
                <w:szCs w:val="24"/>
                <w:rtl/>
              </w:rPr>
              <w:t>92.7</w:t>
            </w:r>
          </w:p>
        </w:tc>
        <w:tc>
          <w:tcPr>
            <w:tcW w:w="1854" w:type="dxa"/>
            <w:shd w:val="clear" w:color="auto" w:fill="auto"/>
            <w:vAlign w:val="bottom"/>
          </w:tcPr>
          <w:p w:rsidR="003B4DAE" w:rsidRPr="003B4DAE" w:rsidRDefault="003B4DAE" w:rsidP="00414312">
            <w:pPr>
              <w:pStyle w:val="SingleTxt"/>
              <w:spacing w:before="40" w:after="80" w:line="240" w:lineRule="exact"/>
              <w:ind w:left="412" w:right="0"/>
              <w:rPr>
                <w:rFonts w:cs="Traditional Arabic" w:hint="cs"/>
                <w:sz w:val="16"/>
                <w:szCs w:val="24"/>
                <w:rtl/>
              </w:rPr>
            </w:pPr>
            <w:r w:rsidRPr="003B4DAE">
              <w:rPr>
                <w:rFonts w:cs="Traditional Arabic" w:hint="cs"/>
                <w:sz w:val="16"/>
                <w:szCs w:val="24"/>
                <w:rtl/>
              </w:rPr>
              <w:t>81.9</w:t>
            </w:r>
          </w:p>
        </w:tc>
        <w:tc>
          <w:tcPr>
            <w:tcW w:w="721" w:type="dxa"/>
            <w:shd w:val="clear" w:color="auto" w:fill="auto"/>
            <w:vAlign w:val="bottom"/>
          </w:tcPr>
          <w:p w:rsidR="003B4DAE" w:rsidRPr="003B4DAE" w:rsidRDefault="003B4DAE" w:rsidP="00D35951">
            <w:pPr>
              <w:pStyle w:val="SingleTxt"/>
              <w:spacing w:before="40" w:after="80" w:line="240" w:lineRule="exact"/>
              <w:ind w:left="0" w:right="0"/>
              <w:rPr>
                <w:rFonts w:cs="Traditional Arabic" w:hint="cs"/>
                <w:sz w:val="16"/>
                <w:szCs w:val="24"/>
                <w:rtl/>
              </w:rPr>
            </w:pPr>
            <w:r w:rsidRPr="003B4DAE">
              <w:rPr>
                <w:rFonts w:cs="Traditional Arabic" w:hint="cs"/>
                <w:sz w:val="16"/>
                <w:szCs w:val="24"/>
                <w:rtl/>
              </w:rPr>
              <w:t>543</w:t>
            </w:r>
          </w:p>
        </w:tc>
      </w:tr>
      <w:tr w:rsidR="003B4DAE" w:rsidRPr="00D35951">
        <w:trPr>
          <w:cantSplit/>
          <w:jc w:val="center"/>
        </w:trPr>
        <w:tc>
          <w:tcPr>
            <w:tcW w:w="1507" w:type="dxa"/>
            <w:shd w:val="clear" w:color="auto" w:fill="auto"/>
            <w:vAlign w:val="bottom"/>
          </w:tcPr>
          <w:p w:rsidR="003B4DAE" w:rsidRPr="003B4DAE" w:rsidRDefault="003B4DAE" w:rsidP="00414312">
            <w:pPr>
              <w:pStyle w:val="SingleTxt"/>
              <w:spacing w:before="40" w:after="80" w:line="240" w:lineRule="exact"/>
              <w:ind w:left="185" w:right="144"/>
              <w:rPr>
                <w:rFonts w:cs="Traditional Arabic" w:hint="cs"/>
                <w:sz w:val="16"/>
                <w:szCs w:val="24"/>
                <w:rtl/>
              </w:rPr>
            </w:pPr>
            <w:r w:rsidRPr="003B4DAE">
              <w:rPr>
                <w:rFonts w:cs="Traditional Arabic" w:hint="cs"/>
                <w:sz w:val="16"/>
                <w:szCs w:val="24"/>
                <w:rtl/>
              </w:rPr>
              <w:t>40-49</w:t>
            </w:r>
          </w:p>
        </w:tc>
        <w:tc>
          <w:tcPr>
            <w:tcW w:w="1545" w:type="dxa"/>
            <w:shd w:val="clear" w:color="auto" w:fill="auto"/>
            <w:vAlign w:val="bottom"/>
          </w:tcPr>
          <w:p w:rsidR="003B4DAE" w:rsidRPr="003B4DAE" w:rsidRDefault="003B4DAE" w:rsidP="00414312">
            <w:pPr>
              <w:pStyle w:val="SingleTxt"/>
              <w:spacing w:before="40" w:after="80" w:line="240" w:lineRule="exact"/>
              <w:ind w:left="412" w:right="0"/>
              <w:rPr>
                <w:rFonts w:cs="Traditional Arabic" w:hint="cs"/>
                <w:sz w:val="16"/>
                <w:szCs w:val="24"/>
                <w:rtl/>
              </w:rPr>
            </w:pPr>
            <w:r w:rsidRPr="003B4DAE">
              <w:rPr>
                <w:rFonts w:cs="Traditional Arabic" w:hint="cs"/>
                <w:sz w:val="16"/>
                <w:szCs w:val="24"/>
                <w:rtl/>
              </w:rPr>
              <w:t>80.9</w:t>
            </w:r>
          </w:p>
        </w:tc>
        <w:tc>
          <w:tcPr>
            <w:tcW w:w="1854" w:type="dxa"/>
            <w:shd w:val="clear" w:color="auto" w:fill="auto"/>
            <w:vAlign w:val="bottom"/>
          </w:tcPr>
          <w:p w:rsidR="003B4DAE" w:rsidRPr="003B4DAE" w:rsidRDefault="003B4DAE" w:rsidP="00414312">
            <w:pPr>
              <w:pStyle w:val="SingleTxt"/>
              <w:spacing w:before="40" w:after="80" w:line="240" w:lineRule="exact"/>
              <w:ind w:left="412" w:right="0"/>
              <w:rPr>
                <w:rFonts w:cs="Traditional Arabic" w:hint="cs"/>
                <w:sz w:val="16"/>
                <w:szCs w:val="24"/>
                <w:rtl/>
              </w:rPr>
            </w:pPr>
            <w:r w:rsidRPr="003B4DAE">
              <w:rPr>
                <w:rFonts w:cs="Traditional Arabic" w:hint="cs"/>
                <w:sz w:val="16"/>
                <w:szCs w:val="24"/>
                <w:rtl/>
              </w:rPr>
              <w:t>65.8</w:t>
            </w:r>
          </w:p>
        </w:tc>
        <w:tc>
          <w:tcPr>
            <w:tcW w:w="824" w:type="dxa"/>
            <w:gridSpan w:val="2"/>
            <w:shd w:val="clear" w:color="auto" w:fill="auto"/>
            <w:vAlign w:val="bottom"/>
          </w:tcPr>
          <w:p w:rsidR="003B4DAE" w:rsidRPr="003B4DAE" w:rsidRDefault="003B4DAE" w:rsidP="00D35951">
            <w:pPr>
              <w:pStyle w:val="SingleTxt"/>
              <w:spacing w:before="40" w:after="80" w:line="240" w:lineRule="exact"/>
              <w:ind w:left="0" w:right="0"/>
              <w:rPr>
                <w:rFonts w:cs="Traditional Arabic" w:hint="cs"/>
                <w:sz w:val="16"/>
                <w:szCs w:val="24"/>
                <w:rtl/>
              </w:rPr>
            </w:pPr>
            <w:r w:rsidRPr="003B4DAE">
              <w:rPr>
                <w:rFonts w:cs="Traditional Arabic" w:hint="cs"/>
                <w:sz w:val="16"/>
                <w:szCs w:val="24"/>
                <w:rtl/>
              </w:rPr>
              <w:t>1587</w:t>
            </w:r>
          </w:p>
        </w:tc>
        <w:tc>
          <w:tcPr>
            <w:tcW w:w="1545" w:type="dxa"/>
            <w:shd w:val="clear" w:color="auto" w:fill="auto"/>
            <w:vAlign w:val="bottom"/>
          </w:tcPr>
          <w:p w:rsidR="003B4DAE" w:rsidRPr="003B4DAE" w:rsidRDefault="003B4DAE" w:rsidP="00414312">
            <w:pPr>
              <w:pStyle w:val="SingleTxt"/>
              <w:spacing w:before="40" w:after="80" w:line="240" w:lineRule="exact"/>
              <w:ind w:left="412" w:right="0"/>
              <w:rPr>
                <w:rFonts w:cs="Traditional Arabic" w:hint="cs"/>
                <w:sz w:val="16"/>
                <w:szCs w:val="24"/>
                <w:rtl/>
              </w:rPr>
            </w:pPr>
            <w:r w:rsidRPr="003B4DAE">
              <w:rPr>
                <w:rFonts w:cs="Traditional Arabic" w:hint="cs"/>
                <w:sz w:val="16"/>
                <w:szCs w:val="24"/>
                <w:rtl/>
              </w:rPr>
              <w:t>90.0</w:t>
            </w:r>
          </w:p>
        </w:tc>
        <w:tc>
          <w:tcPr>
            <w:tcW w:w="1854" w:type="dxa"/>
            <w:shd w:val="clear" w:color="auto" w:fill="auto"/>
            <w:vAlign w:val="bottom"/>
          </w:tcPr>
          <w:p w:rsidR="003B4DAE" w:rsidRPr="003B4DAE" w:rsidRDefault="003B4DAE" w:rsidP="00414312">
            <w:pPr>
              <w:pStyle w:val="SingleTxt"/>
              <w:spacing w:before="40" w:after="80" w:line="240" w:lineRule="exact"/>
              <w:ind w:left="412" w:right="0"/>
              <w:rPr>
                <w:rFonts w:cs="Traditional Arabic" w:hint="cs"/>
                <w:sz w:val="16"/>
                <w:szCs w:val="24"/>
                <w:rtl/>
              </w:rPr>
            </w:pPr>
            <w:r w:rsidRPr="003B4DAE">
              <w:rPr>
                <w:rFonts w:cs="Traditional Arabic" w:hint="cs"/>
                <w:sz w:val="16"/>
                <w:szCs w:val="24"/>
                <w:rtl/>
              </w:rPr>
              <w:t>79.7</w:t>
            </w:r>
          </w:p>
        </w:tc>
        <w:tc>
          <w:tcPr>
            <w:tcW w:w="721" w:type="dxa"/>
            <w:shd w:val="clear" w:color="auto" w:fill="auto"/>
            <w:vAlign w:val="bottom"/>
          </w:tcPr>
          <w:p w:rsidR="003B4DAE" w:rsidRPr="003B4DAE" w:rsidRDefault="003B4DAE" w:rsidP="00D35951">
            <w:pPr>
              <w:pStyle w:val="SingleTxt"/>
              <w:spacing w:before="40" w:after="80" w:line="240" w:lineRule="exact"/>
              <w:ind w:left="0" w:right="0"/>
              <w:rPr>
                <w:rFonts w:cs="Traditional Arabic" w:hint="cs"/>
                <w:sz w:val="16"/>
                <w:szCs w:val="24"/>
                <w:rtl/>
              </w:rPr>
            </w:pPr>
            <w:r w:rsidRPr="003B4DAE">
              <w:rPr>
                <w:rFonts w:cs="Traditional Arabic" w:hint="cs"/>
                <w:sz w:val="16"/>
                <w:szCs w:val="24"/>
                <w:rtl/>
              </w:rPr>
              <w:t>832</w:t>
            </w:r>
          </w:p>
        </w:tc>
      </w:tr>
      <w:tr w:rsidR="003B4DAE" w:rsidRPr="003B4DAE">
        <w:trPr>
          <w:cantSplit/>
          <w:jc w:val="center"/>
        </w:trPr>
        <w:tc>
          <w:tcPr>
            <w:tcW w:w="1507" w:type="dxa"/>
            <w:shd w:val="clear" w:color="auto" w:fill="auto"/>
            <w:vAlign w:val="bottom"/>
          </w:tcPr>
          <w:p w:rsidR="003B4DAE" w:rsidRPr="003B4DAE" w:rsidRDefault="003B4DAE" w:rsidP="00414312">
            <w:pPr>
              <w:pStyle w:val="SingleTxt"/>
              <w:spacing w:before="40" w:after="80" w:line="240" w:lineRule="exact"/>
              <w:ind w:left="0" w:right="144"/>
              <w:rPr>
                <w:rFonts w:cs="Traditional Arabic" w:hint="cs"/>
                <w:sz w:val="16"/>
                <w:szCs w:val="24"/>
                <w:rtl/>
              </w:rPr>
            </w:pPr>
            <w:r>
              <w:rPr>
                <w:rFonts w:cs="Traditional Arabic" w:hint="cs"/>
                <w:b/>
                <w:bCs/>
                <w:sz w:val="16"/>
                <w:szCs w:val="24"/>
                <w:rtl/>
              </w:rPr>
              <w:t>الحالة المدنية</w:t>
            </w:r>
          </w:p>
        </w:tc>
        <w:tc>
          <w:tcPr>
            <w:tcW w:w="1545" w:type="dxa"/>
            <w:shd w:val="clear" w:color="auto" w:fill="auto"/>
            <w:vAlign w:val="bottom"/>
          </w:tcPr>
          <w:p w:rsidR="003B4DAE" w:rsidRPr="003B4DAE" w:rsidRDefault="003B4DAE" w:rsidP="00414312">
            <w:pPr>
              <w:pStyle w:val="SingleTxt"/>
              <w:spacing w:before="40" w:after="80" w:line="240" w:lineRule="exact"/>
              <w:ind w:left="412" w:right="0"/>
              <w:rPr>
                <w:rFonts w:cs="Traditional Arabic" w:hint="cs"/>
                <w:sz w:val="16"/>
                <w:szCs w:val="24"/>
                <w:rtl/>
              </w:rPr>
            </w:pPr>
          </w:p>
        </w:tc>
        <w:tc>
          <w:tcPr>
            <w:tcW w:w="1854" w:type="dxa"/>
            <w:shd w:val="clear" w:color="auto" w:fill="auto"/>
            <w:vAlign w:val="bottom"/>
          </w:tcPr>
          <w:p w:rsidR="003B4DAE" w:rsidRPr="003B4DAE" w:rsidRDefault="003B4DAE" w:rsidP="00414312">
            <w:pPr>
              <w:pStyle w:val="SingleTxt"/>
              <w:spacing w:before="40" w:after="80" w:line="240" w:lineRule="exact"/>
              <w:ind w:left="412" w:right="0"/>
              <w:rPr>
                <w:rFonts w:cs="Traditional Arabic" w:hint="cs"/>
                <w:sz w:val="16"/>
                <w:szCs w:val="24"/>
                <w:rtl/>
              </w:rPr>
            </w:pPr>
          </w:p>
        </w:tc>
        <w:tc>
          <w:tcPr>
            <w:tcW w:w="824" w:type="dxa"/>
            <w:gridSpan w:val="2"/>
            <w:shd w:val="clear" w:color="auto" w:fill="auto"/>
            <w:vAlign w:val="bottom"/>
          </w:tcPr>
          <w:p w:rsidR="003B4DAE" w:rsidRPr="003B4DAE" w:rsidRDefault="003B4DAE" w:rsidP="00414312">
            <w:pPr>
              <w:pStyle w:val="SingleTxt"/>
              <w:spacing w:before="40" w:after="80" w:line="240" w:lineRule="exact"/>
              <w:ind w:left="0" w:right="0"/>
              <w:rPr>
                <w:rFonts w:cs="Traditional Arabic" w:hint="cs"/>
                <w:sz w:val="16"/>
                <w:szCs w:val="24"/>
                <w:rtl/>
              </w:rPr>
            </w:pPr>
          </w:p>
        </w:tc>
        <w:tc>
          <w:tcPr>
            <w:tcW w:w="1545" w:type="dxa"/>
            <w:shd w:val="clear" w:color="auto" w:fill="auto"/>
            <w:vAlign w:val="bottom"/>
          </w:tcPr>
          <w:p w:rsidR="003B4DAE" w:rsidRPr="003B4DAE" w:rsidRDefault="003B4DAE" w:rsidP="00414312">
            <w:pPr>
              <w:pStyle w:val="SingleTxt"/>
              <w:spacing w:before="40" w:after="80" w:line="240" w:lineRule="exact"/>
              <w:ind w:left="412" w:right="0"/>
              <w:rPr>
                <w:rFonts w:cs="Traditional Arabic" w:hint="cs"/>
                <w:sz w:val="16"/>
                <w:szCs w:val="24"/>
                <w:rtl/>
              </w:rPr>
            </w:pPr>
          </w:p>
        </w:tc>
        <w:tc>
          <w:tcPr>
            <w:tcW w:w="1854" w:type="dxa"/>
            <w:shd w:val="clear" w:color="auto" w:fill="auto"/>
            <w:vAlign w:val="bottom"/>
          </w:tcPr>
          <w:p w:rsidR="003B4DAE" w:rsidRPr="003B4DAE" w:rsidRDefault="003B4DAE" w:rsidP="00414312">
            <w:pPr>
              <w:pStyle w:val="SingleTxt"/>
              <w:spacing w:before="40" w:after="80" w:line="240" w:lineRule="exact"/>
              <w:ind w:left="412" w:right="0"/>
              <w:rPr>
                <w:rFonts w:cs="Traditional Arabic" w:hint="cs"/>
                <w:sz w:val="16"/>
                <w:szCs w:val="24"/>
                <w:rtl/>
              </w:rPr>
            </w:pPr>
          </w:p>
        </w:tc>
        <w:tc>
          <w:tcPr>
            <w:tcW w:w="721" w:type="dxa"/>
            <w:shd w:val="clear" w:color="auto" w:fill="auto"/>
            <w:vAlign w:val="bottom"/>
          </w:tcPr>
          <w:p w:rsidR="003B4DAE" w:rsidRPr="003B4DAE" w:rsidRDefault="003B4DAE" w:rsidP="00414312">
            <w:pPr>
              <w:pStyle w:val="SingleTxt"/>
              <w:spacing w:before="40" w:after="80" w:line="240" w:lineRule="exact"/>
              <w:ind w:left="0" w:right="0"/>
              <w:rPr>
                <w:rFonts w:cs="Traditional Arabic" w:hint="cs"/>
                <w:sz w:val="16"/>
                <w:szCs w:val="24"/>
                <w:rtl/>
              </w:rPr>
            </w:pPr>
          </w:p>
        </w:tc>
      </w:tr>
      <w:tr w:rsidR="003B4DAE" w:rsidRPr="00D35951">
        <w:trPr>
          <w:cantSplit/>
          <w:jc w:val="center"/>
        </w:trPr>
        <w:tc>
          <w:tcPr>
            <w:tcW w:w="1507" w:type="dxa"/>
            <w:shd w:val="clear" w:color="auto" w:fill="auto"/>
            <w:vAlign w:val="bottom"/>
          </w:tcPr>
          <w:p w:rsidR="003B4DAE" w:rsidRPr="003B4DAE" w:rsidRDefault="003B4DAE" w:rsidP="00414312">
            <w:pPr>
              <w:pStyle w:val="SingleTxt"/>
              <w:spacing w:before="40" w:after="80" w:line="240" w:lineRule="exact"/>
              <w:ind w:left="185" w:right="144"/>
              <w:rPr>
                <w:rFonts w:cs="Traditional Arabic" w:hint="cs"/>
                <w:sz w:val="16"/>
                <w:szCs w:val="24"/>
                <w:rtl/>
              </w:rPr>
            </w:pPr>
            <w:r w:rsidRPr="003B4DAE">
              <w:rPr>
                <w:rFonts w:cs="Traditional Arabic" w:hint="cs"/>
                <w:sz w:val="16"/>
                <w:szCs w:val="24"/>
                <w:rtl/>
              </w:rPr>
              <w:t>أعزب</w:t>
            </w:r>
          </w:p>
        </w:tc>
        <w:tc>
          <w:tcPr>
            <w:tcW w:w="1545" w:type="dxa"/>
            <w:shd w:val="clear" w:color="auto" w:fill="auto"/>
            <w:vAlign w:val="bottom"/>
          </w:tcPr>
          <w:p w:rsidR="003B4DAE" w:rsidRPr="003B4DAE" w:rsidRDefault="003B4DAE" w:rsidP="00414312">
            <w:pPr>
              <w:pStyle w:val="SingleTxt"/>
              <w:spacing w:before="40" w:after="80" w:line="240" w:lineRule="exact"/>
              <w:ind w:left="412" w:right="0"/>
              <w:rPr>
                <w:rFonts w:cs="Traditional Arabic" w:hint="cs"/>
                <w:sz w:val="16"/>
                <w:szCs w:val="24"/>
                <w:rtl/>
              </w:rPr>
            </w:pPr>
            <w:r w:rsidRPr="003B4DAE">
              <w:rPr>
                <w:rFonts w:cs="Traditional Arabic" w:hint="cs"/>
                <w:sz w:val="16"/>
                <w:szCs w:val="24"/>
                <w:rtl/>
              </w:rPr>
              <w:t>77.5</w:t>
            </w:r>
          </w:p>
        </w:tc>
        <w:tc>
          <w:tcPr>
            <w:tcW w:w="1854" w:type="dxa"/>
            <w:shd w:val="clear" w:color="auto" w:fill="auto"/>
            <w:vAlign w:val="bottom"/>
          </w:tcPr>
          <w:p w:rsidR="003B4DAE" w:rsidRPr="003B4DAE" w:rsidRDefault="003B4DAE" w:rsidP="00414312">
            <w:pPr>
              <w:pStyle w:val="SingleTxt"/>
              <w:spacing w:before="40" w:after="80" w:line="240" w:lineRule="exact"/>
              <w:ind w:left="412" w:right="0"/>
              <w:rPr>
                <w:rFonts w:cs="Traditional Arabic" w:hint="cs"/>
                <w:sz w:val="16"/>
                <w:szCs w:val="24"/>
                <w:rtl/>
              </w:rPr>
            </w:pPr>
            <w:r w:rsidRPr="003B4DAE">
              <w:rPr>
                <w:rFonts w:cs="Traditional Arabic" w:hint="cs"/>
                <w:sz w:val="16"/>
                <w:szCs w:val="24"/>
                <w:rtl/>
              </w:rPr>
              <w:t>65.2</w:t>
            </w:r>
          </w:p>
        </w:tc>
        <w:tc>
          <w:tcPr>
            <w:tcW w:w="824" w:type="dxa"/>
            <w:gridSpan w:val="2"/>
            <w:shd w:val="clear" w:color="auto" w:fill="auto"/>
            <w:vAlign w:val="bottom"/>
          </w:tcPr>
          <w:p w:rsidR="003B4DAE" w:rsidRPr="003B4DAE" w:rsidRDefault="003B4DAE" w:rsidP="00D35951">
            <w:pPr>
              <w:pStyle w:val="SingleTxt"/>
              <w:spacing w:before="40" w:after="80" w:line="240" w:lineRule="exact"/>
              <w:ind w:left="0" w:right="0"/>
              <w:rPr>
                <w:rFonts w:cs="Traditional Arabic" w:hint="cs"/>
                <w:sz w:val="16"/>
                <w:szCs w:val="24"/>
                <w:rtl/>
              </w:rPr>
            </w:pPr>
            <w:r w:rsidRPr="003B4DAE">
              <w:rPr>
                <w:rFonts w:cs="Traditional Arabic" w:hint="cs"/>
                <w:sz w:val="16"/>
                <w:szCs w:val="24"/>
                <w:rtl/>
              </w:rPr>
              <w:t>1694</w:t>
            </w:r>
          </w:p>
        </w:tc>
        <w:tc>
          <w:tcPr>
            <w:tcW w:w="1545" w:type="dxa"/>
            <w:shd w:val="clear" w:color="auto" w:fill="auto"/>
            <w:vAlign w:val="bottom"/>
          </w:tcPr>
          <w:p w:rsidR="003B4DAE" w:rsidRPr="003B4DAE" w:rsidRDefault="003B4DAE" w:rsidP="00414312">
            <w:pPr>
              <w:pStyle w:val="SingleTxt"/>
              <w:spacing w:before="40" w:after="80" w:line="240" w:lineRule="exact"/>
              <w:ind w:left="412" w:right="0"/>
              <w:rPr>
                <w:rFonts w:cs="Traditional Arabic" w:hint="cs"/>
                <w:sz w:val="16"/>
                <w:szCs w:val="24"/>
                <w:rtl/>
              </w:rPr>
            </w:pPr>
            <w:r w:rsidRPr="003B4DAE">
              <w:rPr>
                <w:rFonts w:cs="Traditional Arabic" w:hint="cs"/>
                <w:sz w:val="16"/>
                <w:szCs w:val="24"/>
                <w:rtl/>
              </w:rPr>
              <w:t>82.9</w:t>
            </w:r>
          </w:p>
        </w:tc>
        <w:tc>
          <w:tcPr>
            <w:tcW w:w="1854" w:type="dxa"/>
            <w:shd w:val="clear" w:color="auto" w:fill="auto"/>
            <w:vAlign w:val="bottom"/>
          </w:tcPr>
          <w:p w:rsidR="003B4DAE" w:rsidRPr="003B4DAE" w:rsidRDefault="003B4DAE" w:rsidP="00414312">
            <w:pPr>
              <w:pStyle w:val="SingleTxt"/>
              <w:spacing w:before="40" w:after="80" w:line="240" w:lineRule="exact"/>
              <w:ind w:left="412" w:right="0"/>
              <w:rPr>
                <w:rFonts w:cs="Traditional Arabic" w:hint="cs"/>
                <w:sz w:val="16"/>
                <w:szCs w:val="24"/>
                <w:rtl/>
              </w:rPr>
            </w:pPr>
            <w:r w:rsidRPr="003B4DAE">
              <w:rPr>
                <w:rFonts w:cs="Traditional Arabic" w:hint="cs"/>
                <w:sz w:val="16"/>
                <w:szCs w:val="24"/>
                <w:rtl/>
              </w:rPr>
              <w:t>73.7</w:t>
            </w:r>
          </w:p>
        </w:tc>
        <w:tc>
          <w:tcPr>
            <w:tcW w:w="721" w:type="dxa"/>
            <w:shd w:val="clear" w:color="auto" w:fill="auto"/>
            <w:vAlign w:val="bottom"/>
          </w:tcPr>
          <w:p w:rsidR="003B4DAE" w:rsidRPr="003B4DAE" w:rsidRDefault="003B4DAE" w:rsidP="00D35951">
            <w:pPr>
              <w:pStyle w:val="SingleTxt"/>
              <w:spacing w:before="40" w:after="80" w:line="240" w:lineRule="exact"/>
              <w:ind w:left="0" w:right="0"/>
              <w:rPr>
                <w:rFonts w:cs="Traditional Arabic" w:hint="cs"/>
                <w:sz w:val="16"/>
                <w:szCs w:val="24"/>
                <w:rtl/>
              </w:rPr>
            </w:pPr>
            <w:r w:rsidRPr="003B4DAE">
              <w:rPr>
                <w:rFonts w:cs="Traditional Arabic" w:hint="cs"/>
                <w:sz w:val="16"/>
                <w:szCs w:val="24"/>
                <w:rtl/>
              </w:rPr>
              <w:t>757</w:t>
            </w:r>
          </w:p>
        </w:tc>
      </w:tr>
      <w:tr w:rsidR="003B4DAE" w:rsidRPr="00D35951">
        <w:trPr>
          <w:cantSplit/>
          <w:jc w:val="center"/>
        </w:trPr>
        <w:tc>
          <w:tcPr>
            <w:tcW w:w="1507" w:type="dxa"/>
            <w:shd w:val="clear" w:color="auto" w:fill="auto"/>
            <w:vAlign w:val="bottom"/>
          </w:tcPr>
          <w:p w:rsidR="003B4DAE" w:rsidRPr="003B4DAE" w:rsidRDefault="003B4DAE" w:rsidP="00414312">
            <w:pPr>
              <w:pStyle w:val="SingleTxt"/>
              <w:spacing w:before="40" w:after="80" w:line="240" w:lineRule="exact"/>
              <w:ind w:left="185" w:right="144"/>
              <w:rPr>
                <w:rFonts w:cs="Traditional Arabic" w:hint="cs"/>
                <w:sz w:val="16"/>
                <w:szCs w:val="24"/>
                <w:rtl/>
              </w:rPr>
            </w:pPr>
            <w:r w:rsidRPr="003B4DAE">
              <w:rPr>
                <w:rFonts w:cs="Traditional Arabic" w:hint="cs"/>
                <w:sz w:val="16"/>
                <w:szCs w:val="24"/>
                <w:rtl/>
              </w:rPr>
              <w:t>كانت له علاقات جنسية</w:t>
            </w:r>
          </w:p>
        </w:tc>
        <w:tc>
          <w:tcPr>
            <w:tcW w:w="1545" w:type="dxa"/>
            <w:shd w:val="clear" w:color="auto" w:fill="auto"/>
            <w:vAlign w:val="bottom"/>
          </w:tcPr>
          <w:p w:rsidR="003B4DAE" w:rsidRPr="003B4DAE" w:rsidRDefault="003B4DAE" w:rsidP="00414312">
            <w:pPr>
              <w:pStyle w:val="SingleTxt"/>
              <w:spacing w:before="40" w:after="80" w:line="240" w:lineRule="exact"/>
              <w:ind w:left="412" w:right="0"/>
              <w:rPr>
                <w:rFonts w:cs="Traditional Arabic" w:hint="cs"/>
                <w:sz w:val="16"/>
                <w:szCs w:val="24"/>
                <w:rtl/>
              </w:rPr>
            </w:pPr>
            <w:r w:rsidRPr="003B4DAE">
              <w:rPr>
                <w:rFonts w:cs="Traditional Arabic" w:hint="cs"/>
                <w:sz w:val="16"/>
                <w:szCs w:val="24"/>
                <w:rtl/>
              </w:rPr>
              <w:t>77.6</w:t>
            </w:r>
          </w:p>
        </w:tc>
        <w:tc>
          <w:tcPr>
            <w:tcW w:w="1854" w:type="dxa"/>
            <w:shd w:val="clear" w:color="auto" w:fill="auto"/>
            <w:vAlign w:val="bottom"/>
          </w:tcPr>
          <w:p w:rsidR="003B4DAE" w:rsidRPr="003B4DAE" w:rsidRDefault="003B4DAE" w:rsidP="00414312">
            <w:pPr>
              <w:pStyle w:val="SingleTxt"/>
              <w:spacing w:before="40" w:after="80" w:line="240" w:lineRule="exact"/>
              <w:ind w:left="412" w:right="0"/>
              <w:rPr>
                <w:rFonts w:cs="Traditional Arabic" w:hint="cs"/>
                <w:sz w:val="16"/>
                <w:szCs w:val="24"/>
                <w:rtl/>
              </w:rPr>
            </w:pPr>
            <w:r w:rsidRPr="003B4DAE">
              <w:rPr>
                <w:rFonts w:cs="Traditional Arabic" w:hint="cs"/>
                <w:sz w:val="16"/>
                <w:szCs w:val="24"/>
                <w:rtl/>
              </w:rPr>
              <w:t>64.9</w:t>
            </w:r>
          </w:p>
        </w:tc>
        <w:tc>
          <w:tcPr>
            <w:tcW w:w="824" w:type="dxa"/>
            <w:gridSpan w:val="2"/>
            <w:shd w:val="clear" w:color="auto" w:fill="auto"/>
            <w:vAlign w:val="bottom"/>
          </w:tcPr>
          <w:p w:rsidR="003B4DAE" w:rsidRPr="003B4DAE" w:rsidRDefault="003B4DAE" w:rsidP="00D35951">
            <w:pPr>
              <w:pStyle w:val="SingleTxt"/>
              <w:spacing w:before="40" w:after="80" w:line="240" w:lineRule="exact"/>
              <w:ind w:left="0" w:right="0"/>
              <w:rPr>
                <w:rFonts w:cs="Traditional Arabic" w:hint="cs"/>
                <w:sz w:val="16"/>
                <w:szCs w:val="24"/>
                <w:rtl/>
              </w:rPr>
            </w:pPr>
            <w:r w:rsidRPr="003B4DAE">
              <w:rPr>
                <w:rFonts w:cs="Traditional Arabic" w:hint="cs"/>
                <w:sz w:val="16"/>
                <w:szCs w:val="24"/>
                <w:rtl/>
              </w:rPr>
              <w:t>840</w:t>
            </w:r>
          </w:p>
        </w:tc>
        <w:tc>
          <w:tcPr>
            <w:tcW w:w="1545" w:type="dxa"/>
            <w:shd w:val="clear" w:color="auto" w:fill="auto"/>
            <w:vAlign w:val="bottom"/>
          </w:tcPr>
          <w:p w:rsidR="003B4DAE" w:rsidRPr="003B4DAE" w:rsidRDefault="003B4DAE" w:rsidP="00414312">
            <w:pPr>
              <w:pStyle w:val="SingleTxt"/>
              <w:spacing w:before="40" w:after="80" w:line="240" w:lineRule="exact"/>
              <w:ind w:left="412" w:right="0"/>
              <w:rPr>
                <w:rFonts w:cs="Traditional Arabic" w:hint="cs"/>
                <w:sz w:val="16"/>
                <w:szCs w:val="24"/>
                <w:rtl/>
              </w:rPr>
            </w:pPr>
            <w:r w:rsidRPr="003B4DAE">
              <w:rPr>
                <w:rFonts w:cs="Traditional Arabic" w:hint="cs"/>
                <w:sz w:val="16"/>
                <w:szCs w:val="24"/>
                <w:rtl/>
              </w:rPr>
              <w:t>86.1</w:t>
            </w:r>
          </w:p>
        </w:tc>
        <w:tc>
          <w:tcPr>
            <w:tcW w:w="1854" w:type="dxa"/>
            <w:shd w:val="clear" w:color="auto" w:fill="auto"/>
            <w:vAlign w:val="bottom"/>
          </w:tcPr>
          <w:p w:rsidR="003B4DAE" w:rsidRPr="003B4DAE" w:rsidRDefault="003B4DAE" w:rsidP="00414312">
            <w:pPr>
              <w:pStyle w:val="SingleTxt"/>
              <w:spacing w:before="40" w:after="80" w:line="240" w:lineRule="exact"/>
              <w:ind w:left="412" w:right="0"/>
              <w:rPr>
                <w:rFonts w:cs="Traditional Arabic" w:hint="cs"/>
                <w:sz w:val="16"/>
                <w:szCs w:val="24"/>
                <w:rtl/>
              </w:rPr>
            </w:pPr>
            <w:r w:rsidRPr="003B4DAE">
              <w:rPr>
                <w:rFonts w:cs="Traditional Arabic" w:hint="cs"/>
                <w:sz w:val="16"/>
                <w:szCs w:val="24"/>
                <w:rtl/>
              </w:rPr>
              <w:t>78.5</w:t>
            </w:r>
          </w:p>
        </w:tc>
        <w:tc>
          <w:tcPr>
            <w:tcW w:w="721" w:type="dxa"/>
            <w:shd w:val="clear" w:color="auto" w:fill="auto"/>
            <w:vAlign w:val="bottom"/>
          </w:tcPr>
          <w:p w:rsidR="003B4DAE" w:rsidRPr="003B4DAE" w:rsidRDefault="003B4DAE" w:rsidP="00D35951">
            <w:pPr>
              <w:pStyle w:val="SingleTxt"/>
              <w:spacing w:before="40" w:after="80" w:line="240" w:lineRule="exact"/>
              <w:ind w:left="0" w:right="0"/>
              <w:rPr>
                <w:rFonts w:cs="Traditional Arabic" w:hint="cs"/>
                <w:sz w:val="16"/>
                <w:szCs w:val="24"/>
                <w:rtl/>
              </w:rPr>
            </w:pPr>
            <w:r w:rsidRPr="003B4DAE">
              <w:rPr>
                <w:rFonts w:cs="Traditional Arabic" w:hint="cs"/>
                <w:sz w:val="16"/>
                <w:szCs w:val="24"/>
                <w:rtl/>
              </w:rPr>
              <w:t>456</w:t>
            </w:r>
          </w:p>
        </w:tc>
      </w:tr>
      <w:tr w:rsidR="003B4DAE" w:rsidRPr="00D35951">
        <w:trPr>
          <w:cantSplit/>
          <w:jc w:val="center"/>
        </w:trPr>
        <w:tc>
          <w:tcPr>
            <w:tcW w:w="1507" w:type="dxa"/>
            <w:shd w:val="clear" w:color="auto" w:fill="auto"/>
            <w:vAlign w:val="bottom"/>
          </w:tcPr>
          <w:p w:rsidR="003B4DAE" w:rsidRPr="003B4DAE" w:rsidRDefault="003B4DAE" w:rsidP="00414312">
            <w:pPr>
              <w:pStyle w:val="SingleTxt"/>
              <w:spacing w:before="40" w:after="80" w:line="240" w:lineRule="exact"/>
              <w:ind w:left="185" w:right="144"/>
              <w:rPr>
                <w:rFonts w:cs="Traditional Arabic" w:hint="cs"/>
                <w:sz w:val="16"/>
                <w:szCs w:val="24"/>
                <w:rtl/>
              </w:rPr>
            </w:pPr>
            <w:r w:rsidRPr="003B4DAE">
              <w:rPr>
                <w:rFonts w:cs="Traditional Arabic" w:hint="cs"/>
                <w:sz w:val="16"/>
                <w:szCs w:val="24"/>
                <w:rtl/>
              </w:rPr>
              <w:t>لم تكن</w:t>
            </w:r>
            <w:r w:rsidR="00414312">
              <w:rPr>
                <w:rFonts w:cs="Traditional Arabic" w:hint="cs"/>
                <w:sz w:val="16"/>
                <w:szCs w:val="24"/>
                <w:rtl/>
              </w:rPr>
              <w:t xml:space="preserve"> له</w:t>
            </w:r>
            <w:r w:rsidRPr="003B4DAE">
              <w:rPr>
                <w:rFonts w:cs="Traditional Arabic" w:hint="cs"/>
                <w:sz w:val="16"/>
                <w:szCs w:val="24"/>
                <w:rtl/>
              </w:rPr>
              <w:t xml:space="preserve"> علاقات جنسية أبدا</w:t>
            </w:r>
          </w:p>
        </w:tc>
        <w:tc>
          <w:tcPr>
            <w:tcW w:w="1545" w:type="dxa"/>
            <w:shd w:val="clear" w:color="auto" w:fill="auto"/>
            <w:vAlign w:val="bottom"/>
          </w:tcPr>
          <w:p w:rsidR="003B4DAE" w:rsidRPr="003B4DAE" w:rsidRDefault="003B4DAE" w:rsidP="00414312">
            <w:pPr>
              <w:pStyle w:val="SingleTxt"/>
              <w:spacing w:before="40" w:after="80" w:line="240" w:lineRule="exact"/>
              <w:ind w:left="412" w:right="0"/>
              <w:rPr>
                <w:rFonts w:cs="Traditional Arabic" w:hint="cs"/>
                <w:sz w:val="16"/>
                <w:szCs w:val="24"/>
                <w:rtl/>
              </w:rPr>
            </w:pPr>
            <w:r w:rsidRPr="003B4DAE">
              <w:rPr>
                <w:rFonts w:cs="Traditional Arabic" w:hint="cs"/>
                <w:sz w:val="16"/>
                <w:szCs w:val="24"/>
                <w:rtl/>
              </w:rPr>
              <w:t>77.4</w:t>
            </w:r>
          </w:p>
        </w:tc>
        <w:tc>
          <w:tcPr>
            <w:tcW w:w="1854" w:type="dxa"/>
            <w:shd w:val="clear" w:color="auto" w:fill="auto"/>
            <w:vAlign w:val="bottom"/>
          </w:tcPr>
          <w:p w:rsidR="003B4DAE" w:rsidRPr="003B4DAE" w:rsidRDefault="003B4DAE" w:rsidP="00414312">
            <w:pPr>
              <w:pStyle w:val="SingleTxt"/>
              <w:spacing w:before="40" w:after="80" w:line="240" w:lineRule="exact"/>
              <w:ind w:left="412" w:right="0"/>
              <w:rPr>
                <w:rFonts w:cs="Traditional Arabic" w:hint="cs"/>
                <w:sz w:val="16"/>
                <w:szCs w:val="24"/>
                <w:rtl/>
              </w:rPr>
            </w:pPr>
            <w:r w:rsidRPr="003B4DAE">
              <w:rPr>
                <w:rFonts w:cs="Traditional Arabic" w:hint="cs"/>
                <w:sz w:val="16"/>
                <w:szCs w:val="24"/>
                <w:rtl/>
              </w:rPr>
              <w:t>65.5</w:t>
            </w:r>
          </w:p>
        </w:tc>
        <w:tc>
          <w:tcPr>
            <w:tcW w:w="824" w:type="dxa"/>
            <w:gridSpan w:val="2"/>
            <w:shd w:val="clear" w:color="auto" w:fill="auto"/>
            <w:vAlign w:val="bottom"/>
          </w:tcPr>
          <w:p w:rsidR="003B4DAE" w:rsidRPr="003B4DAE" w:rsidRDefault="003B4DAE" w:rsidP="00D35951">
            <w:pPr>
              <w:pStyle w:val="SingleTxt"/>
              <w:spacing w:before="40" w:after="80" w:line="240" w:lineRule="exact"/>
              <w:ind w:left="0" w:right="0"/>
              <w:rPr>
                <w:rFonts w:cs="Traditional Arabic" w:hint="cs"/>
                <w:sz w:val="16"/>
                <w:szCs w:val="24"/>
                <w:rtl/>
              </w:rPr>
            </w:pPr>
            <w:r w:rsidRPr="003B4DAE">
              <w:rPr>
                <w:rFonts w:cs="Traditional Arabic" w:hint="cs"/>
                <w:sz w:val="16"/>
                <w:szCs w:val="24"/>
                <w:rtl/>
              </w:rPr>
              <w:t>854</w:t>
            </w:r>
          </w:p>
        </w:tc>
        <w:tc>
          <w:tcPr>
            <w:tcW w:w="1545" w:type="dxa"/>
            <w:shd w:val="clear" w:color="auto" w:fill="auto"/>
            <w:vAlign w:val="bottom"/>
          </w:tcPr>
          <w:p w:rsidR="003B4DAE" w:rsidRPr="003B4DAE" w:rsidRDefault="003B4DAE" w:rsidP="00414312">
            <w:pPr>
              <w:pStyle w:val="SingleTxt"/>
              <w:spacing w:before="40" w:after="80" w:line="240" w:lineRule="exact"/>
              <w:ind w:left="412" w:right="0"/>
              <w:rPr>
                <w:rFonts w:cs="Traditional Arabic" w:hint="cs"/>
                <w:sz w:val="16"/>
                <w:szCs w:val="24"/>
                <w:rtl/>
              </w:rPr>
            </w:pPr>
            <w:r w:rsidRPr="003B4DAE">
              <w:rPr>
                <w:rFonts w:cs="Traditional Arabic" w:hint="cs"/>
                <w:sz w:val="16"/>
                <w:szCs w:val="24"/>
                <w:rtl/>
              </w:rPr>
              <w:t>78.0</w:t>
            </w:r>
          </w:p>
        </w:tc>
        <w:tc>
          <w:tcPr>
            <w:tcW w:w="1854" w:type="dxa"/>
            <w:shd w:val="clear" w:color="auto" w:fill="auto"/>
            <w:vAlign w:val="bottom"/>
          </w:tcPr>
          <w:p w:rsidR="003B4DAE" w:rsidRPr="003B4DAE" w:rsidRDefault="003B4DAE" w:rsidP="00414312">
            <w:pPr>
              <w:pStyle w:val="SingleTxt"/>
              <w:spacing w:before="40" w:after="80" w:line="240" w:lineRule="exact"/>
              <w:ind w:left="412" w:right="0"/>
              <w:rPr>
                <w:rFonts w:cs="Traditional Arabic" w:hint="cs"/>
                <w:sz w:val="16"/>
                <w:szCs w:val="24"/>
                <w:rtl/>
              </w:rPr>
            </w:pPr>
            <w:r w:rsidRPr="003B4DAE">
              <w:rPr>
                <w:rFonts w:cs="Traditional Arabic" w:hint="cs"/>
                <w:sz w:val="16"/>
                <w:szCs w:val="24"/>
                <w:rtl/>
              </w:rPr>
              <w:t>66.6</w:t>
            </w:r>
          </w:p>
        </w:tc>
        <w:tc>
          <w:tcPr>
            <w:tcW w:w="721" w:type="dxa"/>
            <w:shd w:val="clear" w:color="auto" w:fill="auto"/>
            <w:vAlign w:val="bottom"/>
          </w:tcPr>
          <w:p w:rsidR="003B4DAE" w:rsidRPr="003B4DAE" w:rsidRDefault="003B4DAE" w:rsidP="00D35951">
            <w:pPr>
              <w:pStyle w:val="SingleTxt"/>
              <w:spacing w:before="40" w:after="80" w:line="240" w:lineRule="exact"/>
              <w:ind w:left="0" w:right="0"/>
              <w:rPr>
                <w:rFonts w:cs="Traditional Arabic" w:hint="cs"/>
                <w:sz w:val="16"/>
                <w:szCs w:val="24"/>
                <w:rtl/>
              </w:rPr>
            </w:pPr>
            <w:r w:rsidRPr="003B4DAE">
              <w:rPr>
                <w:rFonts w:cs="Traditional Arabic" w:hint="cs"/>
                <w:sz w:val="16"/>
                <w:szCs w:val="24"/>
                <w:rtl/>
              </w:rPr>
              <w:t>301</w:t>
            </w:r>
          </w:p>
        </w:tc>
      </w:tr>
      <w:tr w:rsidR="003B4DAE" w:rsidRPr="00D35951">
        <w:trPr>
          <w:cantSplit/>
          <w:jc w:val="center"/>
        </w:trPr>
        <w:tc>
          <w:tcPr>
            <w:tcW w:w="1507" w:type="dxa"/>
            <w:shd w:val="clear" w:color="auto" w:fill="auto"/>
            <w:vAlign w:val="bottom"/>
          </w:tcPr>
          <w:p w:rsidR="003B4DAE" w:rsidRPr="003B4DAE" w:rsidRDefault="003B4DAE" w:rsidP="00414312">
            <w:pPr>
              <w:pStyle w:val="SingleTxt"/>
              <w:spacing w:before="40" w:after="80" w:line="240" w:lineRule="exact"/>
              <w:ind w:left="185" w:right="144"/>
              <w:rPr>
                <w:rFonts w:cs="Traditional Arabic" w:hint="cs"/>
                <w:sz w:val="16"/>
                <w:szCs w:val="24"/>
                <w:rtl/>
              </w:rPr>
            </w:pPr>
            <w:r w:rsidRPr="003B4DAE">
              <w:rPr>
                <w:rFonts w:cs="Traditional Arabic" w:hint="cs"/>
                <w:sz w:val="16"/>
                <w:szCs w:val="24"/>
                <w:rtl/>
              </w:rPr>
              <w:t>له قرين</w:t>
            </w:r>
          </w:p>
        </w:tc>
        <w:tc>
          <w:tcPr>
            <w:tcW w:w="1545" w:type="dxa"/>
            <w:shd w:val="clear" w:color="auto" w:fill="auto"/>
            <w:vAlign w:val="bottom"/>
          </w:tcPr>
          <w:p w:rsidR="003B4DAE" w:rsidRPr="003B4DAE" w:rsidRDefault="003B4DAE" w:rsidP="00414312">
            <w:pPr>
              <w:pStyle w:val="SingleTxt"/>
              <w:spacing w:before="40" w:after="80" w:line="240" w:lineRule="exact"/>
              <w:ind w:left="412" w:right="0"/>
              <w:rPr>
                <w:rFonts w:cs="Traditional Arabic" w:hint="cs"/>
                <w:sz w:val="16"/>
                <w:szCs w:val="24"/>
                <w:rtl/>
              </w:rPr>
            </w:pPr>
            <w:r w:rsidRPr="003B4DAE">
              <w:rPr>
                <w:rFonts w:cs="Traditional Arabic" w:hint="cs"/>
                <w:sz w:val="16"/>
                <w:szCs w:val="24"/>
                <w:rtl/>
              </w:rPr>
              <w:t>80.3</w:t>
            </w:r>
          </w:p>
        </w:tc>
        <w:tc>
          <w:tcPr>
            <w:tcW w:w="1854" w:type="dxa"/>
            <w:shd w:val="clear" w:color="auto" w:fill="auto"/>
            <w:vAlign w:val="bottom"/>
          </w:tcPr>
          <w:p w:rsidR="003B4DAE" w:rsidRPr="003B4DAE" w:rsidRDefault="003B4DAE" w:rsidP="00414312">
            <w:pPr>
              <w:pStyle w:val="SingleTxt"/>
              <w:spacing w:before="40" w:after="80" w:line="240" w:lineRule="exact"/>
              <w:ind w:left="412" w:right="0"/>
              <w:rPr>
                <w:rFonts w:cs="Traditional Arabic" w:hint="cs"/>
                <w:sz w:val="16"/>
                <w:szCs w:val="24"/>
                <w:rtl/>
              </w:rPr>
            </w:pPr>
            <w:r w:rsidRPr="003B4DAE">
              <w:rPr>
                <w:rFonts w:cs="Traditional Arabic" w:hint="cs"/>
                <w:sz w:val="16"/>
                <w:szCs w:val="24"/>
                <w:rtl/>
              </w:rPr>
              <w:t>65.3</w:t>
            </w:r>
          </w:p>
        </w:tc>
        <w:tc>
          <w:tcPr>
            <w:tcW w:w="824" w:type="dxa"/>
            <w:gridSpan w:val="2"/>
            <w:shd w:val="clear" w:color="auto" w:fill="auto"/>
            <w:vAlign w:val="bottom"/>
          </w:tcPr>
          <w:p w:rsidR="003B4DAE" w:rsidRPr="003B4DAE" w:rsidRDefault="003B4DAE" w:rsidP="00D35951">
            <w:pPr>
              <w:pStyle w:val="SingleTxt"/>
              <w:spacing w:before="40" w:after="80" w:line="240" w:lineRule="exact"/>
              <w:ind w:left="0" w:right="0"/>
              <w:rPr>
                <w:rFonts w:cs="Traditional Arabic" w:hint="cs"/>
                <w:sz w:val="16"/>
                <w:szCs w:val="24"/>
                <w:rtl/>
              </w:rPr>
            </w:pPr>
            <w:r w:rsidRPr="003B4DAE">
              <w:rPr>
                <w:rFonts w:cs="Traditional Arabic" w:hint="cs"/>
                <w:sz w:val="16"/>
                <w:szCs w:val="24"/>
                <w:rtl/>
              </w:rPr>
              <w:t>5139</w:t>
            </w:r>
          </w:p>
        </w:tc>
        <w:tc>
          <w:tcPr>
            <w:tcW w:w="1545" w:type="dxa"/>
            <w:shd w:val="clear" w:color="auto" w:fill="auto"/>
            <w:vAlign w:val="bottom"/>
          </w:tcPr>
          <w:p w:rsidR="003B4DAE" w:rsidRPr="003B4DAE" w:rsidRDefault="003B4DAE" w:rsidP="00414312">
            <w:pPr>
              <w:pStyle w:val="SingleTxt"/>
              <w:spacing w:before="40" w:after="80" w:line="240" w:lineRule="exact"/>
              <w:ind w:left="412" w:right="0"/>
              <w:rPr>
                <w:rFonts w:cs="Traditional Arabic" w:hint="cs"/>
                <w:sz w:val="16"/>
                <w:szCs w:val="24"/>
                <w:rtl/>
              </w:rPr>
            </w:pPr>
            <w:r w:rsidRPr="003B4DAE">
              <w:rPr>
                <w:rFonts w:cs="Traditional Arabic" w:hint="cs"/>
                <w:sz w:val="16"/>
                <w:szCs w:val="24"/>
                <w:rtl/>
              </w:rPr>
              <w:t>90.9</w:t>
            </w:r>
          </w:p>
        </w:tc>
        <w:tc>
          <w:tcPr>
            <w:tcW w:w="1854" w:type="dxa"/>
            <w:shd w:val="clear" w:color="auto" w:fill="auto"/>
            <w:vAlign w:val="bottom"/>
          </w:tcPr>
          <w:p w:rsidR="003B4DAE" w:rsidRPr="003B4DAE" w:rsidRDefault="003B4DAE" w:rsidP="00414312">
            <w:pPr>
              <w:pStyle w:val="SingleTxt"/>
              <w:spacing w:before="40" w:after="80" w:line="240" w:lineRule="exact"/>
              <w:ind w:left="412" w:right="0"/>
              <w:rPr>
                <w:rFonts w:cs="Traditional Arabic" w:hint="cs"/>
                <w:sz w:val="16"/>
                <w:szCs w:val="24"/>
                <w:rtl/>
              </w:rPr>
            </w:pPr>
            <w:r w:rsidRPr="003B4DAE">
              <w:rPr>
                <w:rFonts w:cs="Traditional Arabic" w:hint="cs"/>
                <w:sz w:val="16"/>
                <w:szCs w:val="24"/>
                <w:rtl/>
              </w:rPr>
              <w:t>79.1</w:t>
            </w:r>
          </w:p>
        </w:tc>
        <w:tc>
          <w:tcPr>
            <w:tcW w:w="721" w:type="dxa"/>
            <w:shd w:val="clear" w:color="auto" w:fill="auto"/>
            <w:vAlign w:val="bottom"/>
          </w:tcPr>
          <w:p w:rsidR="003B4DAE" w:rsidRPr="003B4DAE" w:rsidRDefault="003B4DAE" w:rsidP="00D35951">
            <w:pPr>
              <w:pStyle w:val="SingleTxt"/>
              <w:spacing w:before="40" w:after="80" w:line="240" w:lineRule="exact"/>
              <w:ind w:left="0" w:right="0"/>
              <w:rPr>
                <w:rFonts w:cs="Traditional Arabic" w:hint="cs"/>
                <w:sz w:val="16"/>
                <w:szCs w:val="24"/>
                <w:rtl/>
              </w:rPr>
            </w:pPr>
            <w:r w:rsidRPr="003B4DAE">
              <w:rPr>
                <w:rFonts w:cs="Traditional Arabic" w:hint="cs"/>
                <w:sz w:val="16"/>
                <w:szCs w:val="24"/>
                <w:rtl/>
              </w:rPr>
              <w:t>1331</w:t>
            </w:r>
          </w:p>
        </w:tc>
      </w:tr>
      <w:tr w:rsidR="003B4DAE" w:rsidRPr="00D35951">
        <w:trPr>
          <w:cantSplit/>
          <w:jc w:val="center"/>
        </w:trPr>
        <w:tc>
          <w:tcPr>
            <w:tcW w:w="1507" w:type="dxa"/>
            <w:shd w:val="clear" w:color="auto" w:fill="auto"/>
            <w:vAlign w:val="bottom"/>
          </w:tcPr>
          <w:p w:rsidR="003B4DAE" w:rsidRPr="003B4DAE" w:rsidRDefault="003B4DAE" w:rsidP="00414312">
            <w:pPr>
              <w:pStyle w:val="SingleTxt"/>
              <w:spacing w:before="40" w:after="80" w:line="240" w:lineRule="exact"/>
              <w:ind w:left="185" w:right="144"/>
              <w:rPr>
                <w:rFonts w:cs="Traditional Arabic" w:hint="cs"/>
                <w:sz w:val="16"/>
                <w:szCs w:val="24"/>
                <w:rtl/>
              </w:rPr>
            </w:pPr>
            <w:r w:rsidRPr="003B4DAE">
              <w:rPr>
                <w:rFonts w:cs="Traditional Arabic" w:hint="cs"/>
                <w:sz w:val="16"/>
                <w:szCs w:val="24"/>
                <w:rtl/>
              </w:rPr>
              <w:t>انقطعت علاقته مع القرين</w:t>
            </w:r>
          </w:p>
        </w:tc>
        <w:tc>
          <w:tcPr>
            <w:tcW w:w="1545" w:type="dxa"/>
            <w:shd w:val="clear" w:color="auto" w:fill="auto"/>
            <w:vAlign w:val="bottom"/>
          </w:tcPr>
          <w:p w:rsidR="003B4DAE" w:rsidRPr="003B4DAE" w:rsidRDefault="003B4DAE" w:rsidP="00414312">
            <w:pPr>
              <w:pStyle w:val="SingleTxt"/>
              <w:spacing w:before="40" w:after="80" w:line="240" w:lineRule="exact"/>
              <w:ind w:left="412" w:right="0"/>
              <w:rPr>
                <w:rFonts w:cs="Traditional Arabic" w:hint="cs"/>
                <w:sz w:val="16"/>
                <w:szCs w:val="24"/>
                <w:rtl/>
              </w:rPr>
            </w:pPr>
            <w:r w:rsidRPr="003B4DAE">
              <w:rPr>
                <w:rFonts w:cs="Traditional Arabic" w:hint="cs"/>
                <w:sz w:val="16"/>
                <w:szCs w:val="24"/>
                <w:rtl/>
              </w:rPr>
              <w:t>75.7</w:t>
            </w:r>
          </w:p>
        </w:tc>
        <w:tc>
          <w:tcPr>
            <w:tcW w:w="1854" w:type="dxa"/>
            <w:shd w:val="clear" w:color="auto" w:fill="auto"/>
            <w:vAlign w:val="bottom"/>
          </w:tcPr>
          <w:p w:rsidR="003B4DAE" w:rsidRPr="003B4DAE" w:rsidRDefault="003B4DAE" w:rsidP="00414312">
            <w:pPr>
              <w:pStyle w:val="SingleTxt"/>
              <w:spacing w:before="40" w:after="80" w:line="240" w:lineRule="exact"/>
              <w:ind w:left="412" w:right="0"/>
              <w:rPr>
                <w:rFonts w:cs="Traditional Arabic" w:hint="cs"/>
                <w:sz w:val="16"/>
                <w:szCs w:val="24"/>
                <w:rtl/>
              </w:rPr>
            </w:pPr>
            <w:r w:rsidRPr="003B4DAE">
              <w:rPr>
                <w:rFonts w:cs="Traditional Arabic" w:hint="cs"/>
                <w:sz w:val="16"/>
                <w:szCs w:val="24"/>
                <w:rtl/>
              </w:rPr>
              <w:t>59.1</w:t>
            </w:r>
          </w:p>
        </w:tc>
        <w:tc>
          <w:tcPr>
            <w:tcW w:w="824" w:type="dxa"/>
            <w:gridSpan w:val="2"/>
            <w:shd w:val="clear" w:color="auto" w:fill="auto"/>
            <w:vAlign w:val="bottom"/>
          </w:tcPr>
          <w:p w:rsidR="003B4DAE" w:rsidRPr="003B4DAE" w:rsidRDefault="003B4DAE" w:rsidP="00D35951">
            <w:pPr>
              <w:pStyle w:val="SingleTxt"/>
              <w:spacing w:before="40" w:after="80" w:line="240" w:lineRule="exact"/>
              <w:ind w:left="0" w:right="0"/>
              <w:rPr>
                <w:rFonts w:cs="Traditional Arabic" w:hint="cs"/>
                <w:sz w:val="16"/>
                <w:szCs w:val="24"/>
                <w:rtl/>
              </w:rPr>
            </w:pPr>
            <w:r w:rsidRPr="003B4DAE">
              <w:rPr>
                <w:rFonts w:cs="Traditional Arabic" w:hint="cs"/>
                <w:sz w:val="16"/>
                <w:szCs w:val="24"/>
                <w:rtl/>
              </w:rPr>
              <w:t>1116</w:t>
            </w:r>
          </w:p>
        </w:tc>
        <w:tc>
          <w:tcPr>
            <w:tcW w:w="1545" w:type="dxa"/>
            <w:shd w:val="clear" w:color="auto" w:fill="auto"/>
            <w:vAlign w:val="bottom"/>
          </w:tcPr>
          <w:p w:rsidR="003B4DAE" w:rsidRPr="003B4DAE" w:rsidRDefault="003B4DAE" w:rsidP="00414312">
            <w:pPr>
              <w:pStyle w:val="SingleTxt"/>
              <w:spacing w:before="40" w:after="80" w:line="240" w:lineRule="exact"/>
              <w:ind w:left="412" w:right="0"/>
              <w:rPr>
                <w:rFonts w:cs="Traditional Arabic" w:hint="cs"/>
                <w:sz w:val="16"/>
                <w:szCs w:val="24"/>
                <w:rtl/>
              </w:rPr>
            </w:pPr>
            <w:r w:rsidRPr="003B4DAE">
              <w:rPr>
                <w:rFonts w:cs="Traditional Arabic" w:hint="cs"/>
                <w:sz w:val="16"/>
                <w:szCs w:val="24"/>
                <w:rtl/>
              </w:rPr>
              <w:t>83.5</w:t>
            </w:r>
          </w:p>
        </w:tc>
        <w:tc>
          <w:tcPr>
            <w:tcW w:w="1854" w:type="dxa"/>
            <w:shd w:val="clear" w:color="auto" w:fill="auto"/>
            <w:vAlign w:val="bottom"/>
          </w:tcPr>
          <w:p w:rsidR="003B4DAE" w:rsidRPr="003B4DAE" w:rsidRDefault="003B4DAE" w:rsidP="00414312">
            <w:pPr>
              <w:pStyle w:val="SingleTxt"/>
              <w:spacing w:before="40" w:after="80" w:line="240" w:lineRule="exact"/>
              <w:ind w:left="412" w:right="0"/>
              <w:rPr>
                <w:rFonts w:cs="Traditional Arabic" w:hint="cs"/>
                <w:sz w:val="16"/>
                <w:szCs w:val="24"/>
                <w:rtl/>
              </w:rPr>
            </w:pPr>
            <w:r w:rsidRPr="003B4DAE">
              <w:rPr>
                <w:rFonts w:cs="Traditional Arabic" w:hint="cs"/>
                <w:sz w:val="16"/>
                <w:szCs w:val="24"/>
                <w:rtl/>
              </w:rPr>
              <w:t>64.3</w:t>
            </w:r>
          </w:p>
        </w:tc>
        <w:tc>
          <w:tcPr>
            <w:tcW w:w="721" w:type="dxa"/>
            <w:shd w:val="clear" w:color="auto" w:fill="auto"/>
            <w:vAlign w:val="bottom"/>
          </w:tcPr>
          <w:p w:rsidR="003B4DAE" w:rsidRPr="003B4DAE" w:rsidRDefault="003B4DAE" w:rsidP="00D35951">
            <w:pPr>
              <w:pStyle w:val="SingleTxt"/>
              <w:spacing w:before="40" w:after="80" w:line="240" w:lineRule="exact"/>
              <w:ind w:left="0" w:right="0"/>
              <w:rPr>
                <w:rFonts w:cs="Traditional Arabic" w:hint="cs"/>
                <w:sz w:val="16"/>
                <w:szCs w:val="24"/>
                <w:rtl/>
              </w:rPr>
            </w:pPr>
            <w:r w:rsidRPr="003B4DAE">
              <w:rPr>
                <w:rFonts w:cs="Traditional Arabic" w:hint="cs"/>
                <w:sz w:val="16"/>
                <w:szCs w:val="24"/>
                <w:rtl/>
              </w:rPr>
              <w:t>127</w:t>
            </w:r>
          </w:p>
        </w:tc>
      </w:tr>
      <w:tr w:rsidR="00414312" w:rsidRPr="003B4DAE">
        <w:trPr>
          <w:cantSplit/>
          <w:jc w:val="center"/>
        </w:trPr>
        <w:tc>
          <w:tcPr>
            <w:tcW w:w="1507" w:type="dxa"/>
            <w:shd w:val="clear" w:color="auto" w:fill="auto"/>
            <w:vAlign w:val="bottom"/>
          </w:tcPr>
          <w:p w:rsidR="00414312" w:rsidRPr="003B4DAE" w:rsidRDefault="00414312" w:rsidP="00414312">
            <w:pPr>
              <w:pStyle w:val="SingleTxt"/>
              <w:spacing w:before="40" w:after="80" w:line="240" w:lineRule="exact"/>
              <w:ind w:left="0" w:right="144"/>
              <w:rPr>
                <w:rFonts w:cs="Traditional Arabic" w:hint="cs"/>
                <w:sz w:val="16"/>
                <w:szCs w:val="24"/>
                <w:rtl/>
              </w:rPr>
            </w:pPr>
            <w:r>
              <w:rPr>
                <w:rFonts w:cs="Traditional Arabic" w:hint="cs"/>
                <w:b/>
                <w:bCs/>
                <w:sz w:val="16"/>
                <w:szCs w:val="24"/>
                <w:rtl/>
              </w:rPr>
              <w:t>مكان الإقامة</w:t>
            </w:r>
          </w:p>
        </w:tc>
        <w:tc>
          <w:tcPr>
            <w:tcW w:w="1545" w:type="dxa"/>
            <w:shd w:val="clear" w:color="auto" w:fill="auto"/>
            <w:vAlign w:val="bottom"/>
          </w:tcPr>
          <w:p w:rsidR="00414312" w:rsidRPr="003B4DAE" w:rsidRDefault="00414312" w:rsidP="00414312">
            <w:pPr>
              <w:pStyle w:val="SingleTxt"/>
              <w:spacing w:before="40" w:after="80" w:line="240" w:lineRule="exact"/>
              <w:ind w:left="412" w:right="0"/>
              <w:rPr>
                <w:rFonts w:cs="Traditional Arabic" w:hint="cs"/>
                <w:sz w:val="16"/>
                <w:szCs w:val="24"/>
                <w:rtl/>
              </w:rPr>
            </w:pPr>
          </w:p>
        </w:tc>
        <w:tc>
          <w:tcPr>
            <w:tcW w:w="1854" w:type="dxa"/>
            <w:shd w:val="clear" w:color="auto" w:fill="auto"/>
            <w:vAlign w:val="bottom"/>
          </w:tcPr>
          <w:p w:rsidR="00414312" w:rsidRPr="003B4DAE" w:rsidRDefault="00414312" w:rsidP="00414312">
            <w:pPr>
              <w:pStyle w:val="SingleTxt"/>
              <w:spacing w:before="40" w:after="80" w:line="240" w:lineRule="exact"/>
              <w:ind w:left="412" w:right="0"/>
              <w:rPr>
                <w:rFonts w:cs="Traditional Arabic" w:hint="cs"/>
                <w:sz w:val="16"/>
                <w:szCs w:val="24"/>
                <w:rtl/>
              </w:rPr>
            </w:pPr>
          </w:p>
        </w:tc>
        <w:tc>
          <w:tcPr>
            <w:tcW w:w="824" w:type="dxa"/>
            <w:gridSpan w:val="2"/>
            <w:shd w:val="clear" w:color="auto" w:fill="auto"/>
            <w:vAlign w:val="bottom"/>
          </w:tcPr>
          <w:p w:rsidR="00414312" w:rsidRPr="003B4DAE" w:rsidRDefault="00414312" w:rsidP="00414312">
            <w:pPr>
              <w:pStyle w:val="SingleTxt"/>
              <w:spacing w:before="40" w:after="80" w:line="240" w:lineRule="exact"/>
              <w:ind w:left="0" w:right="0"/>
              <w:rPr>
                <w:rFonts w:cs="Traditional Arabic" w:hint="cs"/>
                <w:sz w:val="16"/>
                <w:szCs w:val="24"/>
                <w:rtl/>
              </w:rPr>
            </w:pPr>
          </w:p>
        </w:tc>
        <w:tc>
          <w:tcPr>
            <w:tcW w:w="1545" w:type="dxa"/>
            <w:shd w:val="clear" w:color="auto" w:fill="auto"/>
            <w:vAlign w:val="bottom"/>
          </w:tcPr>
          <w:p w:rsidR="00414312" w:rsidRPr="003B4DAE" w:rsidRDefault="00414312" w:rsidP="00414312">
            <w:pPr>
              <w:pStyle w:val="SingleTxt"/>
              <w:spacing w:before="40" w:after="80" w:line="240" w:lineRule="exact"/>
              <w:ind w:left="412" w:right="0"/>
              <w:rPr>
                <w:rFonts w:cs="Traditional Arabic" w:hint="cs"/>
                <w:sz w:val="16"/>
                <w:szCs w:val="24"/>
                <w:rtl/>
              </w:rPr>
            </w:pPr>
          </w:p>
        </w:tc>
        <w:tc>
          <w:tcPr>
            <w:tcW w:w="1854" w:type="dxa"/>
            <w:shd w:val="clear" w:color="auto" w:fill="auto"/>
            <w:vAlign w:val="bottom"/>
          </w:tcPr>
          <w:p w:rsidR="00414312" w:rsidRPr="003B4DAE" w:rsidRDefault="00414312" w:rsidP="00414312">
            <w:pPr>
              <w:pStyle w:val="SingleTxt"/>
              <w:spacing w:before="40" w:after="80" w:line="240" w:lineRule="exact"/>
              <w:ind w:left="412" w:right="0"/>
              <w:rPr>
                <w:rFonts w:cs="Traditional Arabic" w:hint="cs"/>
                <w:sz w:val="16"/>
                <w:szCs w:val="24"/>
                <w:rtl/>
              </w:rPr>
            </w:pPr>
          </w:p>
        </w:tc>
        <w:tc>
          <w:tcPr>
            <w:tcW w:w="721" w:type="dxa"/>
            <w:shd w:val="clear" w:color="auto" w:fill="auto"/>
            <w:vAlign w:val="bottom"/>
          </w:tcPr>
          <w:p w:rsidR="00414312" w:rsidRPr="003B4DAE" w:rsidRDefault="00414312" w:rsidP="00414312">
            <w:pPr>
              <w:pStyle w:val="SingleTxt"/>
              <w:spacing w:before="40" w:after="80" w:line="240" w:lineRule="exact"/>
              <w:ind w:left="0" w:right="0"/>
              <w:rPr>
                <w:rFonts w:cs="Traditional Arabic" w:hint="cs"/>
                <w:sz w:val="16"/>
                <w:szCs w:val="24"/>
                <w:rtl/>
              </w:rPr>
            </w:pPr>
          </w:p>
        </w:tc>
      </w:tr>
      <w:tr w:rsidR="003B4DAE" w:rsidRPr="00D35951">
        <w:trPr>
          <w:cantSplit/>
          <w:jc w:val="center"/>
        </w:trPr>
        <w:tc>
          <w:tcPr>
            <w:tcW w:w="1507" w:type="dxa"/>
            <w:shd w:val="clear" w:color="auto" w:fill="auto"/>
            <w:vAlign w:val="bottom"/>
          </w:tcPr>
          <w:p w:rsidR="003B4DAE" w:rsidRPr="003B4DAE" w:rsidRDefault="003B4DAE" w:rsidP="00414312">
            <w:pPr>
              <w:pStyle w:val="SingleTxt"/>
              <w:spacing w:before="40" w:after="80" w:line="240" w:lineRule="exact"/>
              <w:ind w:left="185" w:right="144"/>
              <w:rPr>
                <w:rFonts w:cs="Traditional Arabic" w:hint="cs"/>
                <w:sz w:val="16"/>
                <w:szCs w:val="24"/>
                <w:rtl/>
              </w:rPr>
            </w:pPr>
            <w:r w:rsidRPr="003B4DAE">
              <w:rPr>
                <w:rFonts w:cs="Traditional Arabic" w:hint="cs"/>
                <w:sz w:val="16"/>
                <w:szCs w:val="24"/>
                <w:rtl/>
              </w:rPr>
              <w:t>العاصمة</w:t>
            </w:r>
          </w:p>
        </w:tc>
        <w:tc>
          <w:tcPr>
            <w:tcW w:w="1545" w:type="dxa"/>
            <w:shd w:val="clear" w:color="auto" w:fill="auto"/>
            <w:vAlign w:val="bottom"/>
          </w:tcPr>
          <w:p w:rsidR="003B4DAE" w:rsidRPr="003B4DAE" w:rsidRDefault="003B4DAE" w:rsidP="00414312">
            <w:pPr>
              <w:pStyle w:val="SingleTxt"/>
              <w:spacing w:before="40" w:after="80" w:line="240" w:lineRule="exact"/>
              <w:ind w:left="412" w:right="0"/>
              <w:rPr>
                <w:rFonts w:cs="Traditional Arabic" w:hint="cs"/>
                <w:sz w:val="16"/>
                <w:szCs w:val="24"/>
                <w:rtl/>
              </w:rPr>
            </w:pPr>
            <w:r w:rsidRPr="003B4DAE">
              <w:rPr>
                <w:rFonts w:cs="Traditional Arabic" w:hint="cs"/>
                <w:sz w:val="16"/>
                <w:szCs w:val="24"/>
                <w:rtl/>
              </w:rPr>
              <w:t>99.2</w:t>
            </w:r>
          </w:p>
        </w:tc>
        <w:tc>
          <w:tcPr>
            <w:tcW w:w="1854" w:type="dxa"/>
            <w:shd w:val="clear" w:color="auto" w:fill="auto"/>
            <w:vAlign w:val="bottom"/>
          </w:tcPr>
          <w:p w:rsidR="003B4DAE" w:rsidRPr="003B4DAE" w:rsidRDefault="003B4DAE" w:rsidP="00414312">
            <w:pPr>
              <w:pStyle w:val="SingleTxt"/>
              <w:spacing w:before="40" w:after="80" w:line="240" w:lineRule="exact"/>
              <w:ind w:left="412" w:right="0"/>
              <w:rPr>
                <w:rFonts w:cs="Traditional Arabic" w:hint="cs"/>
                <w:sz w:val="16"/>
                <w:szCs w:val="24"/>
                <w:rtl/>
              </w:rPr>
            </w:pPr>
            <w:r w:rsidRPr="003B4DAE">
              <w:rPr>
                <w:rFonts w:cs="Traditional Arabic" w:hint="cs"/>
                <w:sz w:val="16"/>
                <w:szCs w:val="24"/>
                <w:rtl/>
              </w:rPr>
              <w:t>96.2</w:t>
            </w:r>
          </w:p>
        </w:tc>
        <w:tc>
          <w:tcPr>
            <w:tcW w:w="824" w:type="dxa"/>
            <w:gridSpan w:val="2"/>
            <w:shd w:val="clear" w:color="auto" w:fill="auto"/>
            <w:vAlign w:val="bottom"/>
          </w:tcPr>
          <w:p w:rsidR="003B4DAE" w:rsidRPr="003B4DAE" w:rsidRDefault="003B4DAE" w:rsidP="00D35951">
            <w:pPr>
              <w:pStyle w:val="SingleTxt"/>
              <w:spacing w:before="40" w:after="80" w:line="240" w:lineRule="exact"/>
              <w:ind w:left="0" w:right="0"/>
              <w:rPr>
                <w:rFonts w:cs="Traditional Arabic" w:hint="cs"/>
                <w:sz w:val="16"/>
                <w:szCs w:val="24"/>
                <w:rtl/>
              </w:rPr>
            </w:pPr>
            <w:r w:rsidRPr="003B4DAE">
              <w:rPr>
                <w:rFonts w:cs="Traditional Arabic" w:hint="cs"/>
                <w:sz w:val="16"/>
                <w:szCs w:val="24"/>
                <w:rtl/>
              </w:rPr>
              <w:t>466</w:t>
            </w:r>
          </w:p>
        </w:tc>
        <w:tc>
          <w:tcPr>
            <w:tcW w:w="1545" w:type="dxa"/>
            <w:shd w:val="clear" w:color="auto" w:fill="auto"/>
            <w:vAlign w:val="bottom"/>
          </w:tcPr>
          <w:p w:rsidR="003B4DAE" w:rsidRPr="003B4DAE" w:rsidRDefault="003B4DAE" w:rsidP="00414312">
            <w:pPr>
              <w:pStyle w:val="SingleTxt"/>
              <w:spacing w:before="40" w:after="80" w:line="240" w:lineRule="exact"/>
              <w:ind w:left="412" w:right="0"/>
              <w:rPr>
                <w:rFonts w:cs="Traditional Arabic" w:hint="cs"/>
                <w:sz w:val="16"/>
                <w:szCs w:val="24"/>
                <w:rtl/>
              </w:rPr>
            </w:pPr>
            <w:r w:rsidRPr="003B4DAE">
              <w:rPr>
                <w:rFonts w:cs="Traditional Arabic" w:hint="cs"/>
                <w:sz w:val="16"/>
                <w:szCs w:val="24"/>
                <w:rtl/>
              </w:rPr>
              <w:t>100.0</w:t>
            </w:r>
          </w:p>
        </w:tc>
        <w:tc>
          <w:tcPr>
            <w:tcW w:w="1854" w:type="dxa"/>
            <w:shd w:val="clear" w:color="auto" w:fill="auto"/>
            <w:vAlign w:val="bottom"/>
          </w:tcPr>
          <w:p w:rsidR="003B4DAE" w:rsidRPr="003B4DAE" w:rsidRDefault="003B4DAE" w:rsidP="00414312">
            <w:pPr>
              <w:pStyle w:val="SingleTxt"/>
              <w:spacing w:before="40" w:after="80" w:line="240" w:lineRule="exact"/>
              <w:ind w:left="412" w:right="0"/>
              <w:rPr>
                <w:rFonts w:cs="Traditional Arabic" w:hint="cs"/>
                <w:sz w:val="16"/>
                <w:szCs w:val="24"/>
                <w:rtl/>
              </w:rPr>
            </w:pPr>
            <w:r w:rsidRPr="003B4DAE">
              <w:rPr>
                <w:rFonts w:cs="Traditional Arabic" w:hint="cs"/>
                <w:sz w:val="16"/>
                <w:szCs w:val="24"/>
                <w:rtl/>
              </w:rPr>
              <w:t>99.1</w:t>
            </w:r>
          </w:p>
        </w:tc>
        <w:tc>
          <w:tcPr>
            <w:tcW w:w="721" w:type="dxa"/>
            <w:shd w:val="clear" w:color="auto" w:fill="auto"/>
            <w:vAlign w:val="bottom"/>
          </w:tcPr>
          <w:p w:rsidR="003B4DAE" w:rsidRPr="003B4DAE" w:rsidRDefault="003B4DAE" w:rsidP="00D35951">
            <w:pPr>
              <w:pStyle w:val="SingleTxt"/>
              <w:spacing w:before="40" w:after="80" w:line="240" w:lineRule="exact"/>
              <w:ind w:left="0" w:right="0"/>
              <w:rPr>
                <w:rFonts w:cs="Traditional Arabic" w:hint="cs"/>
                <w:sz w:val="16"/>
                <w:szCs w:val="24"/>
                <w:rtl/>
              </w:rPr>
            </w:pPr>
            <w:r w:rsidRPr="003B4DAE">
              <w:rPr>
                <w:rFonts w:cs="Traditional Arabic" w:hint="cs"/>
                <w:sz w:val="16"/>
                <w:szCs w:val="24"/>
                <w:rtl/>
              </w:rPr>
              <w:t>139</w:t>
            </w:r>
          </w:p>
        </w:tc>
      </w:tr>
      <w:tr w:rsidR="003B4DAE" w:rsidRPr="00D35951">
        <w:trPr>
          <w:cantSplit/>
          <w:jc w:val="center"/>
        </w:trPr>
        <w:tc>
          <w:tcPr>
            <w:tcW w:w="1507" w:type="dxa"/>
            <w:shd w:val="clear" w:color="auto" w:fill="auto"/>
            <w:vAlign w:val="bottom"/>
          </w:tcPr>
          <w:p w:rsidR="003B4DAE" w:rsidRPr="003B4DAE" w:rsidRDefault="003B4DAE" w:rsidP="00414312">
            <w:pPr>
              <w:pStyle w:val="SingleTxt"/>
              <w:spacing w:before="40" w:after="80" w:line="240" w:lineRule="exact"/>
              <w:ind w:left="185" w:right="144"/>
              <w:rPr>
                <w:rFonts w:cs="Traditional Arabic" w:hint="cs"/>
                <w:sz w:val="16"/>
                <w:szCs w:val="24"/>
                <w:rtl/>
              </w:rPr>
            </w:pPr>
            <w:r w:rsidRPr="003B4DAE">
              <w:rPr>
                <w:rFonts w:cs="Traditional Arabic" w:hint="cs"/>
                <w:sz w:val="16"/>
                <w:szCs w:val="24"/>
                <w:rtl/>
              </w:rPr>
              <w:t>مدن أخرى</w:t>
            </w:r>
          </w:p>
        </w:tc>
        <w:tc>
          <w:tcPr>
            <w:tcW w:w="1545" w:type="dxa"/>
            <w:shd w:val="clear" w:color="auto" w:fill="auto"/>
            <w:vAlign w:val="bottom"/>
          </w:tcPr>
          <w:p w:rsidR="003B4DAE" w:rsidRPr="003B4DAE" w:rsidRDefault="003B4DAE" w:rsidP="00414312">
            <w:pPr>
              <w:pStyle w:val="SingleTxt"/>
              <w:spacing w:before="40" w:after="80" w:line="240" w:lineRule="exact"/>
              <w:ind w:left="412" w:right="0"/>
              <w:rPr>
                <w:rFonts w:cs="Traditional Arabic" w:hint="cs"/>
                <w:sz w:val="16"/>
                <w:szCs w:val="24"/>
                <w:rtl/>
              </w:rPr>
            </w:pPr>
            <w:r w:rsidRPr="003B4DAE">
              <w:rPr>
                <w:rFonts w:cs="Traditional Arabic" w:hint="cs"/>
                <w:sz w:val="16"/>
                <w:szCs w:val="24"/>
                <w:rtl/>
              </w:rPr>
              <w:t>91.6</w:t>
            </w:r>
          </w:p>
        </w:tc>
        <w:tc>
          <w:tcPr>
            <w:tcW w:w="1854" w:type="dxa"/>
            <w:shd w:val="clear" w:color="auto" w:fill="auto"/>
            <w:vAlign w:val="bottom"/>
          </w:tcPr>
          <w:p w:rsidR="003B4DAE" w:rsidRPr="003B4DAE" w:rsidRDefault="003B4DAE" w:rsidP="00414312">
            <w:pPr>
              <w:pStyle w:val="SingleTxt"/>
              <w:spacing w:before="40" w:after="80" w:line="240" w:lineRule="exact"/>
              <w:ind w:left="412" w:right="0"/>
              <w:rPr>
                <w:rFonts w:cs="Traditional Arabic" w:hint="cs"/>
                <w:sz w:val="16"/>
                <w:szCs w:val="24"/>
                <w:rtl/>
              </w:rPr>
            </w:pPr>
            <w:r w:rsidRPr="003B4DAE">
              <w:rPr>
                <w:rFonts w:cs="Traditional Arabic" w:hint="cs"/>
                <w:sz w:val="16"/>
                <w:szCs w:val="24"/>
                <w:rtl/>
              </w:rPr>
              <w:t>82.3</w:t>
            </w:r>
          </w:p>
        </w:tc>
        <w:tc>
          <w:tcPr>
            <w:tcW w:w="824" w:type="dxa"/>
            <w:gridSpan w:val="2"/>
            <w:shd w:val="clear" w:color="auto" w:fill="auto"/>
            <w:vAlign w:val="bottom"/>
          </w:tcPr>
          <w:p w:rsidR="003B4DAE" w:rsidRPr="003B4DAE" w:rsidRDefault="003B4DAE" w:rsidP="00D35951">
            <w:pPr>
              <w:pStyle w:val="SingleTxt"/>
              <w:spacing w:before="40" w:after="80" w:line="240" w:lineRule="exact"/>
              <w:ind w:left="0" w:right="0"/>
              <w:rPr>
                <w:rFonts w:cs="Traditional Arabic" w:hint="cs"/>
                <w:sz w:val="16"/>
                <w:szCs w:val="24"/>
                <w:rtl/>
              </w:rPr>
            </w:pPr>
            <w:r w:rsidRPr="003B4DAE">
              <w:rPr>
                <w:rFonts w:cs="Traditional Arabic" w:hint="cs"/>
                <w:sz w:val="16"/>
                <w:szCs w:val="24"/>
                <w:rtl/>
              </w:rPr>
              <w:t>1509</w:t>
            </w:r>
          </w:p>
        </w:tc>
        <w:tc>
          <w:tcPr>
            <w:tcW w:w="1545" w:type="dxa"/>
            <w:shd w:val="clear" w:color="auto" w:fill="auto"/>
            <w:vAlign w:val="bottom"/>
          </w:tcPr>
          <w:p w:rsidR="003B4DAE" w:rsidRPr="003B4DAE" w:rsidRDefault="003B4DAE" w:rsidP="00414312">
            <w:pPr>
              <w:pStyle w:val="SingleTxt"/>
              <w:spacing w:before="40" w:after="80" w:line="240" w:lineRule="exact"/>
              <w:ind w:left="412" w:right="0"/>
              <w:rPr>
                <w:rFonts w:cs="Traditional Arabic" w:hint="cs"/>
                <w:sz w:val="16"/>
                <w:szCs w:val="24"/>
                <w:rtl/>
              </w:rPr>
            </w:pPr>
            <w:r w:rsidRPr="003B4DAE">
              <w:rPr>
                <w:rFonts w:cs="Traditional Arabic" w:hint="cs"/>
                <w:sz w:val="16"/>
                <w:szCs w:val="24"/>
                <w:rtl/>
              </w:rPr>
              <w:t>95.7</w:t>
            </w:r>
          </w:p>
        </w:tc>
        <w:tc>
          <w:tcPr>
            <w:tcW w:w="1854" w:type="dxa"/>
            <w:shd w:val="clear" w:color="auto" w:fill="auto"/>
            <w:vAlign w:val="bottom"/>
          </w:tcPr>
          <w:p w:rsidR="003B4DAE" w:rsidRPr="003B4DAE" w:rsidRDefault="003B4DAE" w:rsidP="00414312">
            <w:pPr>
              <w:pStyle w:val="SingleTxt"/>
              <w:spacing w:before="40" w:after="80" w:line="240" w:lineRule="exact"/>
              <w:ind w:left="412" w:right="0"/>
              <w:rPr>
                <w:rFonts w:cs="Traditional Arabic" w:hint="cs"/>
                <w:sz w:val="16"/>
                <w:szCs w:val="24"/>
                <w:rtl/>
              </w:rPr>
            </w:pPr>
            <w:r w:rsidRPr="003B4DAE">
              <w:rPr>
                <w:rFonts w:cs="Traditional Arabic" w:hint="cs"/>
                <w:sz w:val="16"/>
                <w:szCs w:val="24"/>
                <w:rtl/>
              </w:rPr>
              <w:t>91.0</w:t>
            </w:r>
          </w:p>
        </w:tc>
        <w:tc>
          <w:tcPr>
            <w:tcW w:w="721" w:type="dxa"/>
            <w:shd w:val="clear" w:color="auto" w:fill="auto"/>
            <w:vAlign w:val="bottom"/>
          </w:tcPr>
          <w:p w:rsidR="003B4DAE" w:rsidRPr="003B4DAE" w:rsidRDefault="003B4DAE" w:rsidP="00D35951">
            <w:pPr>
              <w:pStyle w:val="SingleTxt"/>
              <w:spacing w:before="40" w:after="80" w:line="240" w:lineRule="exact"/>
              <w:ind w:left="0" w:right="0"/>
              <w:rPr>
                <w:rFonts w:cs="Traditional Arabic" w:hint="cs"/>
                <w:sz w:val="16"/>
                <w:szCs w:val="24"/>
                <w:rtl/>
              </w:rPr>
            </w:pPr>
            <w:r w:rsidRPr="003B4DAE">
              <w:rPr>
                <w:rFonts w:cs="Traditional Arabic" w:hint="cs"/>
                <w:sz w:val="16"/>
                <w:szCs w:val="24"/>
                <w:rtl/>
              </w:rPr>
              <w:t>382</w:t>
            </w:r>
          </w:p>
        </w:tc>
      </w:tr>
      <w:tr w:rsidR="003B4DAE" w:rsidRPr="00D35951">
        <w:trPr>
          <w:cantSplit/>
          <w:jc w:val="center"/>
        </w:trPr>
        <w:tc>
          <w:tcPr>
            <w:tcW w:w="1507" w:type="dxa"/>
            <w:shd w:val="clear" w:color="auto" w:fill="auto"/>
            <w:vAlign w:val="bottom"/>
          </w:tcPr>
          <w:p w:rsidR="003B4DAE" w:rsidRPr="003B4DAE" w:rsidRDefault="003B4DAE" w:rsidP="00414312">
            <w:pPr>
              <w:pStyle w:val="SingleTxt"/>
              <w:spacing w:before="40" w:after="80" w:line="240" w:lineRule="exact"/>
              <w:ind w:left="185" w:right="144"/>
              <w:rPr>
                <w:rFonts w:cs="Traditional Arabic" w:hint="cs"/>
                <w:sz w:val="16"/>
                <w:szCs w:val="24"/>
                <w:rtl/>
              </w:rPr>
            </w:pPr>
            <w:r w:rsidRPr="003B4DAE">
              <w:rPr>
                <w:rFonts w:cs="Traditional Arabic" w:hint="cs"/>
                <w:sz w:val="16"/>
                <w:szCs w:val="24"/>
                <w:rtl/>
              </w:rPr>
              <w:t>تجمع حضري</w:t>
            </w:r>
          </w:p>
        </w:tc>
        <w:tc>
          <w:tcPr>
            <w:tcW w:w="1545" w:type="dxa"/>
            <w:shd w:val="clear" w:color="auto" w:fill="auto"/>
            <w:vAlign w:val="bottom"/>
          </w:tcPr>
          <w:p w:rsidR="003B4DAE" w:rsidRPr="003B4DAE" w:rsidRDefault="003B4DAE" w:rsidP="00414312">
            <w:pPr>
              <w:pStyle w:val="SingleTxt"/>
              <w:spacing w:before="40" w:after="80" w:line="240" w:lineRule="exact"/>
              <w:ind w:left="412" w:right="0"/>
              <w:rPr>
                <w:rFonts w:cs="Traditional Arabic" w:hint="cs"/>
                <w:sz w:val="16"/>
                <w:szCs w:val="24"/>
                <w:rtl/>
              </w:rPr>
            </w:pPr>
            <w:r w:rsidRPr="003B4DAE">
              <w:rPr>
                <w:rFonts w:cs="Traditional Arabic" w:hint="cs"/>
                <w:sz w:val="16"/>
                <w:szCs w:val="24"/>
                <w:rtl/>
              </w:rPr>
              <w:t>93.4</w:t>
            </w:r>
          </w:p>
        </w:tc>
        <w:tc>
          <w:tcPr>
            <w:tcW w:w="1854" w:type="dxa"/>
            <w:shd w:val="clear" w:color="auto" w:fill="auto"/>
            <w:vAlign w:val="bottom"/>
          </w:tcPr>
          <w:p w:rsidR="003B4DAE" w:rsidRPr="003B4DAE" w:rsidRDefault="003B4DAE" w:rsidP="00414312">
            <w:pPr>
              <w:pStyle w:val="SingleTxt"/>
              <w:spacing w:before="40" w:after="80" w:line="240" w:lineRule="exact"/>
              <w:ind w:left="412" w:right="0"/>
              <w:rPr>
                <w:rFonts w:cs="Traditional Arabic" w:hint="cs"/>
                <w:sz w:val="16"/>
                <w:szCs w:val="24"/>
                <w:rtl/>
              </w:rPr>
            </w:pPr>
            <w:r w:rsidRPr="003B4DAE">
              <w:rPr>
                <w:rFonts w:cs="Traditional Arabic" w:hint="cs"/>
                <w:sz w:val="16"/>
                <w:szCs w:val="24"/>
                <w:rtl/>
              </w:rPr>
              <w:t>85.6</w:t>
            </w:r>
          </w:p>
        </w:tc>
        <w:tc>
          <w:tcPr>
            <w:tcW w:w="824" w:type="dxa"/>
            <w:gridSpan w:val="2"/>
            <w:shd w:val="clear" w:color="auto" w:fill="auto"/>
            <w:vAlign w:val="bottom"/>
          </w:tcPr>
          <w:p w:rsidR="003B4DAE" w:rsidRPr="003B4DAE" w:rsidRDefault="003B4DAE" w:rsidP="00D35951">
            <w:pPr>
              <w:pStyle w:val="SingleTxt"/>
              <w:spacing w:before="40" w:after="80" w:line="240" w:lineRule="exact"/>
              <w:ind w:left="0" w:right="0"/>
              <w:rPr>
                <w:rFonts w:cs="Traditional Arabic" w:hint="cs"/>
                <w:sz w:val="16"/>
                <w:szCs w:val="24"/>
                <w:rtl/>
              </w:rPr>
            </w:pPr>
            <w:r w:rsidRPr="003B4DAE">
              <w:rPr>
                <w:rFonts w:cs="Traditional Arabic" w:hint="cs"/>
                <w:sz w:val="16"/>
                <w:szCs w:val="24"/>
                <w:rtl/>
              </w:rPr>
              <w:t>1975</w:t>
            </w:r>
          </w:p>
        </w:tc>
        <w:tc>
          <w:tcPr>
            <w:tcW w:w="1545" w:type="dxa"/>
            <w:shd w:val="clear" w:color="auto" w:fill="auto"/>
            <w:vAlign w:val="bottom"/>
          </w:tcPr>
          <w:p w:rsidR="003B4DAE" w:rsidRPr="003B4DAE" w:rsidRDefault="003B4DAE" w:rsidP="00414312">
            <w:pPr>
              <w:pStyle w:val="SingleTxt"/>
              <w:spacing w:before="40" w:after="80" w:line="240" w:lineRule="exact"/>
              <w:ind w:left="412" w:right="0"/>
              <w:rPr>
                <w:rFonts w:cs="Traditional Arabic" w:hint="cs"/>
                <w:sz w:val="16"/>
                <w:szCs w:val="24"/>
                <w:rtl/>
              </w:rPr>
            </w:pPr>
            <w:r w:rsidRPr="003B4DAE">
              <w:rPr>
                <w:rFonts w:cs="Traditional Arabic" w:hint="cs"/>
                <w:sz w:val="16"/>
                <w:szCs w:val="24"/>
                <w:rtl/>
              </w:rPr>
              <w:t>96.8</w:t>
            </w:r>
          </w:p>
        </w:tc>
        <w:tc>
          <w:tcPr>
            <w:tcW w:w="1854" w:type="dxa"/>
            <w:shd w:val="clear" w:color="auto" w:fill="auto"/>
            <w:vAlign w:val="bottom"/>
          </w:tcPr>
          <w:p w:rsidR="003B4DAE" w:rsidRPr="003B4DAE" w:rsidRDefault="003B4DAE" w:rsidP="00414312">
            <w:pPr>
              <w:pStyle w:val="SingleTxt"/>
              <w:spacing w:before="40" w:after="80" w:line="240" w:lineRule="exact"/>
              <w:ind w:left="412" w:right="0"/>
              <w:rPr>
                <w:rFonts w:cs="Traditional Arabic" w:hint="cs"/>
                <w:sz w:val="16"/>
                <w:szCs w:val="24"/>
                <w:rtl/>
              </w:rPr>
            </w:pPr>
            <w:r w:rsidRPr="003B4DAE">
              <w:rPr>
                <w:rFonts w:cs="Traditional Arabic" w:hint="cs"/>
                <w:sz w:val="16"/>
                <w:szCs w:val="24"/>
                <w:rtl/>
              </w:rPr>
              <w:t>93.2</w:t>
            </w:r>
          </w:p>
        </w:tc>
        <w:tc>
          <w:tcPr>
            <w:tcW w:w="721" w:type="dxa"/>
            <w:shd w:val="clear" w:color="auto" w:fill="auto"/>
            <w:vAlign w:val="bottom"/>
          </w:tcPr>
          <w:p w:rsidR="003B4DAE" w:rsidRPr="003B4DAE" w:rsidRDefault="003B4DAE" w:rsidP="00D35951">
            <w:pPr>
              <w:pStyle w:val="SingleTxt"/>
              <w:spacing w:before="40" w:after="80" w:line="240" w:lineRule="exact"/>
              <w:ind w:left="0" w:right="0"/>
              <w:rPr>
                <w:rFonts w:cs="Traditional Arabic" w:hint="cs"/>
                <w:sz w:val="16"/>
                <w:szCs w:val="24"/>
                <w:rtl/>
              </w:rPr>
            </w:pPr>
            <w:r w:rsidRPr="003B4DAE">
              <w:rPr>
                <w:rFonts w:cs="Traditional Arabic" w:hint="cs"/>
                <w:sz w:val="16"/>
                <w:szCs w:val="24"/>
                <w:rtl/>
              </w:rPr>
              <w:t>521</w:t>
            </w:r>
          </w:p>
        </w:tc>
      </w:tr>
      <w:tr w:rsidR="003B4DAE" w:rsidRPr="00D35951">
        <w:trPr>
          <w:cantSplit/>
          <w:jc w:val="center"/>
        </w:trPr>
        <w:tc>
          <w:tcPr>
            <w:tcW w:w="1507" w:type="dxa"/>
            <w:shd w:val="clear" w:color="auto" w:fill="auto"/>
            <w:vAlign w:val="bottom"/>
          </w:tcPr>
          <w:p w:rsidR="003B4DAE" w:rsidRPr="003B4DAE" w:rsidRDefault="003B4DAE" w:rsidP="00414312">
            <w:pPr>
              <w:pStyle w:val="SingleTxt"/>
              <w:spacing w:before="40" w:after="80" w:line="240" w:lineRule="exact"/>
              <w:ind w:left="185" w:right="144"/>
              <w:rPr>
                <w:rFonts w:cs="Traditional Arabic" w:hint="cs"/>
                <w:sz w:val="16"/>
                <w:szCs w:val="24"/>
                <w:rtl/>
              </w:rPr>
            </w:pPr>
            <w:r w:rsidRPr="003B4DAE">
              <w:rPr>
                <w:rFonts w:cs="Traditional Arabic" w:hint="cs"/>
                <w:sz w:val="16"/>
                <w:szCs w:val="24"/>
                <w:rtl/>
              </w:rPr>
              <w:t>ريف</w:t>
            </w:r>
          </w:p>
        </w:tc>
        <w:tc>
          <w:tcPr>
            <w:tcW w:w="1545" w:type="dxa"/>
            <w:shd w:val="clear" w:color="auto" w:fill="auto"/>
            <w:vAlign w:val="bottom"/>
          </w:tcPr>
          <w:p w:rsidR="003B4DAE" w:rsidRPr="003B4DAE" w:rsidRDefault="003B4DAE" w:rsidP="00414312">
            <w:pPr>
              <w:pStyle w:val="SingleTxt"/>
              <w:spacing w:before="40" w:after="80" w:line="240" w:lineRule="exact"/>
              <w:ind w:left="412" w:right="0"/>
              <w:rPr>
                <w:rFonts w:cs="Traditional Arabic" w:hint="cs"/>
                <w:sz w:val="16"/>
                <w:szCs w:val="24"/>
                <w:rtl/>
              </w:rPr>
            </w:pPr>
            <w:r w:rsidRPr="003B4DAE">
              <w:rPr>
                <w:rFonts w:cs="Traditional Arabic" w:hint="cs"/>
                <w:sz w:val="16"/>
                <w:szCs w:val="24"/>
                <w:rtl/>
              </w:rPr>
              <w:t>74.3</w:t>
            </w:r>
          </w:p>
        </w:tc>
        <w:tc>
          <w:tcPr>
            <w:tcW w:w="1854" w:type="dxa"/>
            <w:shd w:val="clear" w:color="auto" w:fill="auto"/>
            <w:vAlign w:val="bottom"/>
          </w:tcPr>
          <w:p w:rsidR="003B4DAE" w:rsidRPr="003B4DAE" w:rsidRDefault="003B4DAE" w:rsidP="00414312">
            <w:pPr>
              <w:pStyle w:val="SingleTxt"/>
              <w:spacing w:before="40" w:after="80" w:line="240" w:lineRule="exact"/>
              <w:ind w:left="412" w:right="0"/>
              <w:rPr>
                <w:rFonts w:cs="Traditional Arabic" w:hint="cs"/>
                <w:sz w:val="16"/>
                <w:szCs w:val="24"/>
                <w:rtl/>
              </w:rPr>
            </w:pPr>
            <w:r w:rsidRPr="003B4DAE">
              <w:rPr>
                <w:rFonts w:cs="Traditional Arabic" w:hint="cs"/>
                <w:sz w:val="16"/>
                <w:szCs w:val="24"/>
                <w:rtl/>
              </w:rPr>
              <w:t>57.4</w:t>
            </w:r>
          </w:p>
        </w:tc>
        <w:tc>
          <w:tcPr>
            <w:tcW w:w="824" w:type="dxa"/>
            <w:gridSpan w:val="2"/>
            <w:shd w:val="clear" w:color="auto" w:fill="auto"/>
            <w:vAlign w:val="bottom"/>
          </w:tcPr>
          <w:p w:rsidR="003B4DAE" w:rsidRPr="003B4DAE" w:rsidRDefault="003B4DAE" w:rsidP="00D35951">
            <w:pPr>
              <w:pStyle w:val="SingleTxt"/>
              <w:spacing w:before="40" w:after="80" w:line="240" w:lineRule="exact"/>
              <w:ind w:left="0" w:right="0"/>
              <w:rPr>
                <w:rFonts w:cs="Traditional Arabic" w:hint="cs"/>
                <w:sz w:val="16"/>
                <w:szCs w:val="24"/>
                <w:rtl/>
              </w:rPr>
            </w:pPr>
            <w:r w:rsidRPr="003B4DAE">
              <w:rPr>
                <w:rFonts w:cs="Traditional Arabic" w:hint="cs"/>
                <w:sz w:val="16"/>
                <w:szCs w:val="24"/>
                <w:rtl/>
              </w:rPr>
              <w:t>5974</w:t>
            </w:r>
          </w:p>
        </w:tc>
        <w:tc>
          <w:tcPr>
            <w:tcW w:w="1545" w:type="dxa"/>
            <w:shd w:val="clear" w:color="auto" w:fill="auto"/>
            <w:vAlign w:val="bottom"/>
          </w:tcPr>
          <w:p w:rsidR="003B4DAE" w:rsidRPr="003B4DAE" w:rsidRDefault="003B4DAE" w:rsidP="00414312">
            <w:pPr>
              <w:pStyle w:val="SingleTxt"/>
              <w:spacing w:before="40" w:after="80" w:line="240" w:lineRule="exact"/>
              <w:ind w:left="412" w:right="0"/>
              <w:rPr>
                <w:rFonts w:cs="Traditional Arabic" w:hint="cs"/>
                <w:sz w:val="16"/>
                <w:szCs w:val="24"/>
                <w:rtl/>
              </w:rPr>
            </w:pPr>
            <w:r w:rsidRPr="003B4DAE">
              <w:rPr>
                <w:rFonts w:cs="Traditional Arabic" w:hint="cs"/>
                <w:sz w:val="16"/>
                <w:szCs w:val="24"/>
                <w:rtl/>
              </w:rPr>
              <w:t>84.9</w:t>
            </w:r>
          </w:p>
        </w:tc>
        <w:tc>
          <w:tcPr>
            <w:tcW w:w="1854" w:type="dxa"/>
            <w:shd w:val="clear" w:color="auto" w:fill="auto"/>
            <w:vAlign w:val="bottom"/>
          </w:tcPr>
          <w:p w:rsidR="003B4DAE" w:rsidRPr="003B4DAE" w:rsidRDefault="003B4DAE" w:rsidP="00414312">
            <w:pPr>
              <w:pStyle w:val="SingleTxt"/>
              <w:spacing w:before="40" w:after="80" w:line="240" w:lineRule="exact"/>
              <w:ind w:left="412" w:right="0"/>
              <w:rPr>
                <w:rFonts w:cs="Traditional Arabic" w:hint="cs"/>
                <w:sz w:val="16"/>
                <w:szCs w:val="24"/>
                <w:rtl/>
              </w:rPr>
            </w:pPr>
            <w:r w:rsidRPr="003B4DAE">
              <w:rPr>
                <w:rFonts w:cs="Traditional Arabic" w:hint="cs"/>
                <w:sz w:val="16"/>
                <w:szCs w:val="24"/>
                <w:rtl/>
              </w:rPr>
              <w:t>71.3</w:t>
            </w:r>
          </w:p>
        </w:tc>
        <w:tc>
          <w:tcPr>
            <w:tcW w:w="721" w:type="dxa"/>
            <w:shd w:val="clear" w:color="auto" w:fill="auto"/>
            <w:vAlign w:val="bottom"/>
          </w:tcPr>
          <w:p w:rsidR="003B4DAE" w:rsidRPr="003B4DAE" w:rsidRDefault="003B4DAE" w:rsidP="00D35951">
            <w:pPr>
              <w:pStyle w:val="SingleTxt"/>
              <w:spacing w:before="40" w:after="80" w:line="240" w:lineRule="exact"/>
              <w:ind w:left="0" w:right="0"/>
              <w:rPr>
                <w:rFonts w:cs="Traditional Arabic" w:hint="cs"/>
                <w:sz w:val="16"/>
                <w:szCs w:val="24"/>
                <w:rtl/>
              </w:rPr>
            </w:pPr>
            <w:r w:rsidRPr="003B4DAE">
              <w:rPr>
                <w:rFonts w:cs="Traditional Arabic" w:hint="cs"/>
                <w:sz w:val="16"/>
                <w:szCs w:val="24"/>
                <w:rtl/>
              </w:rPr>
              <w:t>1695</w:t>
            </w:r>
          </w:p>
        </w:tc>
      </w:tr>
      <w:tr w:rsidR="00414312" w:rsidRPr="003B4DAE">
        <w:trPr>
          <w:cantSplit/>
          <w:jc w:val="center"/>
        </w:trPr>
        <w:tc>
          <w:tcPr>
            <w:tcW w:w="1507" w:type="dxa"/>
            <w:shd w:val="clear" w:color="auto" w:fill="auto"/>
            <w:vAlign w:val="bottom"/>
          </w:tcPr>
          <w:p w:rsidR="00414312" w:rsidRPr="003B4DAE" w:rsidRDefault="00414312" w:rsidP="00414312">
            <w:pPr>
              <w:pStyle w:val="SingleTxt"/>
              <w:spacing w:before="40" w:after="80" w:line="240" w:lineRule="exact"/>
              <w:ind w:left="0" w:right="144"/>
              <w:rPr>
                <w:rFonts w:cs="Traditional Arabic" w:hint="cs"/>
                <w:sz w:val="16"/>
                <w:szCs w:val="24"/>
                <w:rtl/>
              </w:rPr>
            </w:pPr>
            <w:r>
              <w:rPr>
                <w:rFonts w:cs="Traditional Arabic" w:hint="cs"/>
                <w:b/>
                <w:bCs/>
                <w:sz w:val="16"/>
                <w:szCs w:val="24"/>
                <w:rtl/>
              </w:rPr>
              <w:t>المقاطعات</w:t>
            </w:r>
          </w:p>
        </w:tc>
        <w:tc>
          <w:tcPr>
            <w:tcW w:w="1545" w:type="dxa"/>
            <w:shd w:val="clear" w:color="auto" w:fill="auto"/>
            <w:vAlign w:val="bottom"/>
          </w:tcPr>
          <w:p w:rsidR="00414312" w:rsidRPr="003B4DAE" w:rsidRDefault="00414312" w:rsidP="00414312">
            <w:pPr>
              <w:pStyle w:val="SingleTxt"/>
              <w:spacing w:before="40" w:after="80" w:line="240" w:lineRule="exact"/>
              <w:ind w:left="412" w:right="0"/>
              <w:rPr>
                <w:rFonts w:cs="Traditional Arabic" w:hint="cs"/>
                <w:sz w:val="16"/>
                <w:szCs w:val="24"/>
                <w:rtl/>
              </w:rPr>
            </w:pPr>
          </w:p>
        </w:tc>
        <w:tc>
          <w:tcPr>
            <w:tcW w:w="1854" w:type="dxa"/>
            <w:shd w:val="clear" w:color="auto" w:fill="auto"/>
            <w:vAlign w:val="bottom"/>
          </w:tcPr>
          <w:p w:rsidR="00414312" w:rsidRPr="003B4DAE" w:rsidRDefault="00414312" w:rsidP="00414312">
            <w:pPr>
              <w:pStyle w:val="SingleTxt"/>
              <w:spacing w:before="40" w:after="80" w:line="240" w:lineRule="exact"/>
              <w:ind w:left="412" w:right="0"/>
              <w:rPr>
                <w:rFonts w:cs="Traditional Arabic" w:hint="cs"/>
                <w:sz w:val="16"/>
                <w:szCs w:val="24"/>
                <w:rtl/>
              </w:rPr>
            </w:pPr>
          </w:p>
        </w:tc>
        <w:tc>
          <w:tcPr>
            <w:tcW w:w="824" w:type="dxa"/>
            <w:gridSpan w:val="2"/>
            <w:shd w:val="clear" w:color="auto" w:fill="auto"/>
            <w:vAlign w:val="bottom"/>
          </w:tcPr>
          <w:p w:rsidR="00414312" w:rsidRPr="003B4DAE" w:rsidRDefault="00414312" w:rsidP="00414312">
            <w:pPr>
              <w:pStyle w:val="SingleTxt"/>
              <w:spacing w:before="40" w:after="80" w:line="240" w:lineRule="exact"/>
              <w:ind w:left="0" w:right="0"/>
              <w:rPr>
                <w:rFonts w:cs="Traditional Arabic" w:hint="cs"/>
                <w:sz w:val="16"/>
                <w:szCs w:val="24"/>
                <w:rtl/>
              </w:rPr>
            </w:pPr>
          </w:p>
        </w:tc>
        <w:tc>
          <w:tcPr>
            <w:tcW w:w="1545" w:type="dxa"/>
            <w:shd w:val="clear" w:color="auto" w:fill="auto"/>
            <w:vAlign w:val="bottom"/>
          </w:tcPr>
          <w:p w:rsidR="00414312" w:rsidRPr="003B4DAE" w:rsidRDefault="00414312" w:rsidP="00414312">
            <w:pPr>
              <w:pStyle w:val="SingleTxt"/>
              <w:spacing w:before="40" w:after="80" w:line="240" w:lineRule="exact"/>
              <w:ind w:left="412" w:right="0"/>
              <w:rPr>
                <w:rFonts w:cs="Traditional Arabic" w:hint="cs"/>
                <w:sz w:val="16"/>
                <w:szCs w:val="24"/>
                <w:rtl/>
              </w:rPr>
            </w:pPr>
          </w:p>
        </w:tc>
        <w:tc>
          <w:tcPr>
            <w:tcW w:w="1854" w:type="dxa"/>
            <w:shd w:val="clear" w:color="auto" w:fill="auto"/>
            <w:vAlign w:val="bottom"/>
          </w:tcPr>
          <w:p w:rsidR="00414312" w:rsidRPr="003B4DAE" w:rsidRDefault="00414312" w:rsidP="00414312">
            <w:pPr>
              <w:pStyle w:val="SingleTxt"/>
              <w:spacing w:before="40" w:after="80" w:line="240" w:lineRule="exact"/>
              <w:ind w:left="412" w:right="0"/>
              <w:rPr>
                <w:rFonts w:cs="Traditional Arabic" w:hint="cs"/>
                <w:sz w:val="16"/>
                <w:szCs w:val="24"/>
                <w:rtl/>
              </w:rPr>
            </w:pPr>
          </w:p>
        </w:tc>
        <w:tc>
          <w:tcPr>
            <w:tcW w:w="721" w:type="dxa"/>
            <w:shd w:val="clear" w:color="auto" w:fill="auto"/>
            <w:vAlign w:val="bottom"/>
          </w:tcPr>
          <w:p w:rsidR="00414312" w:rsidRPr="003B4DAE" w:rsidRDefault="00414312" w:rsidP="00414312">
            <w:pPr>
              <w:pStyle w:val="SingleTxt"/>
              <w:spacing w:before="40" w:after="80" w:line="240" w:lineRule="exact"/>
              <w:ind w:left="0" w:right="0"/>
              <w:rPr>
                <w:rFonts w:cs="Traditional Arabic" w:hint="cs"/>
                <w:sz w:val="16"/>
                <w:szCs w:val="24"/>
                <w:rtl/>
              </w:rPr>
            </w:pPr>
          </w:p>
        </w:tc>
      </w:tr>
      <w:tr w:rsidR="003B4DAE" w:rsidRPr="00D35951">
        <w:trPr>
          <w:cantSplit/>
          <w:jc w:val="center"/>
        </w:trPr>
        <w:tc>
          <w:tcPr>
            <w:tcW w:w="1507" w:type="dxa"/>
            <w:shd w:val="clear" w:color="auto" w:fill="auto"/>
            <w:vAlign w:val="bottom"/>
          </w:tcPr>
          <w:p w:rsidR="003B4DAE" w:rsidRPr="003B4DAE" w:rsidRDefault="003B4DAE" w:rsidP="00414312">
            <w:pPr>
              <w:pStyle w:val="SingleTxt"/>
              <w:spacing w:before="40" w:after="80" w:line="240" w:lineRule="exact"/>
              <w:ind w:left="185" w:right="144"/>
              <w:rPr>
                <w:rFonts w:cs="Traditional Arabic" w:hint="cs"/>
                <w:sz w:val="16"/>
                <w:szCs w:val="24"/>
                <w:rtl/>
              </w:rPr>
            </w:pPr>
            <w:r w:rsidRPr="003B4DAE">
              <w:rPr>
                <w:rFonts w:cs="Traditional Arabic" w:hint="cs"/>
                <w:sz w:val="16"/>
                <w:szCs w:val="24"/>
                <w:rtl/>
              </w:rPr>
              <w:t xml:space="preserve">انتاناناريفو </w:t>
            </w:r>
          </w:p>
        </w:tc>
        <w:tc>
          <w:tcPr>
            <w:tcW w:w="1545" w:type="dxa"/>
            <w:shd w:val="clear" w:color="auto" w:fill="auto"/>
            <w:vAlign w:val="bottom"/>
          </w:tcPr>
          <w:p w:rsidR="003B4DAE" w:rsidRPr="003B4DAE" w:rsidRDefault="003B4DAE" w:rsidP="00414312">
            <w:pPr>
              <w:pStyle w:val="SingleTxt"/>
              <w:spacing w:before="40" w:after="80" w:line="240" w:lineRule="exact"/>
              <w:ind w:left="412" w:right="0"/>
              <w:rPr>
                <w:rFonts w:cs="Traditional Arabic" w:hint="cs"/>
                <w:sz w:val="16"/>
                <w:szCs w:val="24"/>
                <w:rtl/>
              </w:rPr>
            </w:pPr>
            <w:r w:rsidRPr="003B4DAE">
              <w:rPr>
                <w:rFonts w:cs="Traditional Arabic" w:hint="cs"/>
                <w:sz w:val="16"/>
                <w:szCs w:val="24"/>
                <w:rtl/>
              </w:rPr>
              <w:t>91.4</w:t>
            </w:r>
          </w:p>
        </w:tc>
        <w:tc>
          <w:tcPr>
            <w:tcW w:w="1854" w:type="dxa"/>
            <w:shd w:val="clear" w:color="auto" w:fill="auto"/>
            <w:vAlign w:val="bottom"/>
          </w:tcPr>
          <w:p w:rsidR="003B4DAE" w:rsidRPr="003B4DAE" w:rsidRDefault="003B4DAE" w:rsidP="00414312">
            <w:pPr>
              <w:pStyle w:val="SingleTxt"/>
              <w:spacing w:before="40" w:after="80" w:line="240" w:lineRule="exact"/>
              <w:ind w:left="412" w:right="0"/>
              <w:rPr>
                <w:rFonts w:cs="Traditional Arabic" w:hint="cs"/>
                <w:sz w:val="16"/>
                <w:szCs w:val="24"/>
                <w:rtl/>
              </w:rPr>
            </w:pPr>
            <w:r w:rsidRPr="003B4DAE">
              <w:rPr>
                <w:rFonts w:cs="Traditional Arabic" w:hint="cs"/>
                <w:sz w:val="16"/>
                <w:szCs w:val="24"/>
                <w:rtl/>
              </w:rPr>
              <w:t>82.6</w:t>
            </w:r>
          </w:p>
        </w:tc>
        <w:tc>
          <w:tcPr>
            <w:tcW w:w="824" w:type="dxa"/>
            <w:gridSpan w:val="2"/>
            <w:shd w:val="clear" w:color="auto" w:fill="auto"/>
            <w:vAlign w:val="bottom"/>
          </w:tcPr>
          <w:p w:rsidR="003B4DAE" w:rsidRPr="003B4DAE" w:rsidRDefault="003B4DAE" w:rsidP="00D35951">
            <w:pPr>
              <w:pStyle w:val="SingleTxt"/>
              <w:spacing w:before="40" w:after="80" w:line="240" w:lineRule="exact"/>
              <w:ind w:left="0" w:right="0"/>
              <w:rPr>
                <w:rFonts w:cs="Traditional Arabic" w:hint="cs"/>
                <w:sz w:val="16"/>
                <w:szCs w:val="24"/>
                <w:rtl/>
              </w:rPr>
            </w:pPr>
            <w:r w:rsidRPr="003B4DAE">
              <w:rPr>
                <w:rFonts w:cs="Traditional Arabic" w:hint="cs"/>
                <w:sz w:val="16"/>
                <w:szCs w:val="24"/>
                <w:rtl/>
              </w:rPr>
              <w:t>2671</w:t>
            </w:r>
          </w:p>
        </w:tc>
        <w:tc>
          <w:tcPr>
            <w:tcW w:w="1545" w:type="dxa"/>
            <w:shd w:val="clear" w:color="auto" w:fill="auto"/>
            <w:vAlign w:val="bottom"/>
          </w:tcPr>
          <w:p w:rsidR="003B4DAE" w:rsidRPr="003B4DAE" w:rsidRDefault="003B4DAE" w:rsidP="00414312">
            <w:pPr>
              <w:pStyle w:val="SingleTxt"/>
              <w:spacing w:before="40" w:after="80" w:line="240" w:lineRule="exact"/>
              <w:ind w:left="412" w:right="0"/>
              <w:rPr>
                <w:rFonts w:cs="Traditional Arabic" w:hint="cs"/>
                <w:sz w:val="16"/>
                <w:szCs w:val="24"/>
                <w:rtl/>
              </w:rPr>
            </w:pPr>
            <w:r w:rsidRPr="003B4DAE">
              <w:rPr>
                <w:rFonts w:cs="Traditional Arabic" w:hint="cs"/>
                <w:sz w:val="16"/>
                <w:szCs w:val="24"/>
                <w:rtl/>
              </w:rPr>
              <w:t>97.2</w:t>
            </w:r>
          </w:p>
        </w:tc>
        <w:tc>
          <w:tcPr>
            <w:tcW w:w="1854" w:type="dxa"/>
            <w:shd w:val="clear" w:color="auto" w:fill="auto"/>
            <w:vAlign w:val="bottom"/>
          </w:tcPr>
          <w:p w:rsidR="003B4DAE" w:rsidRPr="003B4DAE" w:rsidRDefault="003B4DAE" w:rsidP="00414312">
            <w:pPr>
              <w:pStyle w:val="SingleTxt"/>
              <w:spacing w:before="40" w:after="80" w:line="240" w:lineRule="exact"/>
              <w:ind w:left="412" w:right="0"/>
              <w:rPr>
                <w:rFonts w:cs="Traditional Arabic" w:hint="cs"/>
                <w:sz w:val="16"/>
                <w:szCs w:val="24"/>
                <w:rtl/>
              </w:rPr>
            </w:pPr>
            <w:r w:rsidRPr="003B4DAE">
              <w:rPr>
                <w:rFonts w:cs="Traditional Arabic" w:hint="cs"/>
                <w:sz w:val="16"/>
                <w:szCs w:val="24"/>
                <w:rtl/>
              </w:rPr>
              <w:t>93.2</w:t>
            </w:r>
          </w:p>
        </w:tc>
        <w:tc>
          <w:tcPr>
            <w:tcW w:w="721" w:type="dxa"/>
            <w:shd w:val="clear" w:color="auto" w:fill="auto"/>
            <w:vAlign w:val="bottom"/>
          </w:tcPr>
          <w:p w:rsidR="003B4DAE" w:rsidRPr="003B4DAE" w:rsidRDefault="003B4DAE" w:rsidP="00D35951">
            <w:pPr>
              <w:pStyle w:val="SingleTxt"/>
              <w:spacing w:before="40" w:after="80" w:line="240" w:lineRule="exact"/>
              <w:ind w:left="0" w:right="0"/>
              <w:rPr>
                <w:rFonts w:cs="Traditional Arabic" w:hint="cs"/>
                <w:sz w:val="16"/>
                <w:szCs w:val="24"/>
                <w:rtl/>
              </w:rPr>
            </w:pPr>
            <w:r w:rsidRPr="003B4DAE">
              <w:rPr>
                <w:rFonts w:cs="Traditional Arabic" w:hint="cs"/>
                <w:sz w:val="16"/>
                <w:szCs w:val="24"/>
                <w:rtl/>
              </w:rPr>
              <w:t>701</w:t>
            </w:r>
          </w:p>
        </w:tc>
      </w:tr>
      <w:tr w:rsidR="003B4DAE" w:rsidRPr="00D35951">
        <w:trPr>
          <w:cantSplit/>
          <w:jc w:val="center"/>
        </w:trPr>
        <w:tc>
          <w:tcPr>
            <w:tcW w:w="1507" w:type="dxa"/>
            <w:shd w:val="clear" w:color="auto" w:fill="auto"/>
            <w:vAlign w:val="bottom"/>
          </w:tcPr>
          <w:p w:rsidR="003B4DAE" w:rsidRPr="003B4DAE" w:rsidRDefault="003B4DAE" w:rsidP="00414312">
            <w:pPr>
              <w:pStyle w:val="SingleTxt"/>
              <w:spacing w:before="40" w:after="80" w:line="240" w:lineRule="exact"/>
              <w:ind w:left="185" w:right="144"/>
              <w:rPr>
                <w:rFonts w:cs="Traditional Arabic" w:hint="cs"/>
                <w:sz w:val="16"/>
                <w:szCs w:val="24"/>
                <w:rtl/>
              </w:rPr>
            </w:pPr>
            <w:r w:rsidRPr="003B4DAE">
              <w:rPr>
                <w:rFonts w:cs="Traditional Arabic" w:hint="cs"/>
                <w:sz w:val="16"/>
                <w:szCs w:val="24"/>
                <w:rtl/>
              </w:rPr>
              <w:t>فيامارانتسوا</w:t>
            </w:r>
          </w:p>
        </w:tc>
        <w:tc>
          <w:tcPr>
            <w:tcW w:w="1545" w:type="dxa"/>
            <w:shd w:val="clear" w:color="auto" w:fill="auto"/>
            <w:vAlign w:val="bottom"/>
          </w:tcPr>
          <w:p w:rsidR="003B4DAE" w:rsidRPr="003B4DAE" w:rsidRDefault="003B4DAE" w:rsidP="00414312">
            <w:pPr>
              <w:pStyle w:val="SingleTxt"/>
              <w:spacing w:before="40" w:after="80" w:line="240" w:lineRule="exact"/>
              <w:ind w:left="412" w:right="0"/>
              <w:rPr>
                <w:rFonts w:cs="Traditional Arabic" w:hint="cs"/>
                <w:sz w:val="16"/>
                <w:szCs w:val="24"/>
                <w:rtl/>
              </w:rPr>
            </w:pPr>
            <w:r w:rsidRPr="003B4DAE">
              <w:rPr>
                <w:rFonts w:cs="Traditional Arabic" w:hint="cs"/>
                <w:sz w:val="16"/>
                <w:szCs w:val="24"/>
                <w:rtl/>
              </w:rPr>
              <w:t>67.5</w:t>
            </w:r>
          </w:p>
        </w:tc>
        <w:tc>
          <w:tcPr>
            <w:tcW w:w="1854" w:type="dxa"/>
            <w:shd w:val="clear" w:color="auto" w:fill="auto"/>
            <w:vAlign w:val="bottom"/>
          </w:tcPr>
          <w:p w:rsidR="003B4DAE" w:rsidRPr="003B4DAE" w:rsidRDefault="003B4DAE" w:rsidP="00414312">
            <w:pPr>
              <w:pStyle w:val="SingleTxt"/>
              <w:spacing w:before="40" w:after="80" w:line="240" w:lineRule="exact"/>
              <w:ind w:left="412" w:right="0"/>
              <w:rPr>
                <w:rFonts w:cs="Traditional Arabic" w:hint="cs"/>
                <w:sz w:val="16"/>
                <w:szCs w:val="24"/>
                <w:rtl/>
              </w:rPr>
            </w:pPr>
            <w:r w:rsidRPr="003B4DAE">
              <w:rPr>
                <w:rFonts w:cs="Traditional Arabic" w:hint="cs"/>
                <w:sz w:val="16"/>
                <w:szCs w:val="24"/>
                <w:rtl/>
              </w:rPr>
              <w:t>47.5</w:t>
            </w:r>
          </w:p>
        </w:tc>
        <w:tc>
          <w:tcPr>
            <w:tcW w:w="824" w:type="dxa"/>
            <w:gridSpan w:val="2"/>
            <w:shd w:val="clear" w:color="auto" w:fill="auto"/>
            <w:vAlign w:val="bottom"/>
          </w:tcPr>
          <w:p w:rsidR="003B4DAE" w:rsidRPr="003B4DAE" w:rsidRDefault="003B4DAE" w:rsidP="00D35951">
            <w:pPr>
              <w:pStyle w:val="SingleTxt"/>
              <w:spacing w:before="40" w:after="80" w:line="240" w:lineRule="exact"/>
              <w:ind w:left="0" w:right="0"/>
              <w:rPr>
                <w:rFonts w:cs="Traditional Arabic" w:hint="cs"/>
                <w:sz w:val="16"/>
                <w:szCs w:val="24"/>
                <w:rtl/>
              </w:rPr>
            </w:pPr>
            <w:r w:rsidRPr="003B4DAE">
              <w:rPr>
                <w:rFonts w:cs="Traditional Arabic" w:hint="cs"/>
                <w:sz w:val="16"/>
                <w:szCs w:val="24"/>
                <w:rtl/>
              </w:rPr>
              <w:t>1599</w:t>
            </w:r>
          </w:p>
        </w:tc>
        <w:tc>
          <w:tcPr>
            <w:tcW w:w="1545" w:type="dxa"/>
            <w:shd w:val="clear" w:color="auto" w:fill="auto"/>
            <w:vAlign w:val="bottom"/>
          </w:tcPr>
          <w:p w:rsidR="003B4DAE" w:rsidRPr="003B4DAE" w:rsidRDefault="003B4DAE" w:rsidP="00414312">
            <w:pPr>
              <w:pStyle w:val="SingleTxt"/>
              <w:spacing w:before="40" w:after="80" w:line="240" w:lineRule="exact"/>
              <w:ind w:left="412" w:right="0"/>
              <w:rPr>
                <w:rFonts w:cs="Traditional Arabic" w:hint="cs"/>
                <w:sz w:val="16"/>
                <w:szCs w:val="24"/>
                <w:rtl/>
              </w:rPr>
            </w:pPr>
            <w:r w:rsidRPr="003B4DAE">
              <w:rPr>
                <w:rFonts w:cs="Traditional Arabic" w:hint="cs"/>
                <w:sz w:val="16"/>
                <w:szCs w:val="24"/>
                <w:rtl/>
              </w:rPr>
              <w:t>87.1</w:t>
            </w:r>
          </w:p>
        </w:tc>
        <w:tc>
          <w:tcPr>
            <w:tcW w:w="1854" w:type="dxa"/>
            <w:shd w:val="clear" w:color="auto" w:fill="auto"/>
            <w:vAlign w:val="bottom"/>
          </w:tcPr>
          <w:p w:rsidR="003B4DAE" w:rsidRPr="003B4DAE" w:rsidRDefault="003B4DAE" w:rsidP="00414312">
            <w:pPr>
              <w:pStyle w:val="SingleTxt"/>
              <w:spacing w:before="40" w:after="80" w:line="240" w:lineRule="exact"/>
              <w:ind w:left="412" w:right="0"/>
              <w:rPr>
                <w:rFonts w:cs="Traditional Arabic" w:hint="cs"/>
                <w:sz w:val="16"/>
                <w:szCs w:val="24"/>
                <w:rtl/>
              </w:rPr>
            </w:pPr>
            <w:r w:rsidRPr="003B4DAE">
              <w:rPr>
                <w:rFonts w:cs="Traditional Arabic" w:hint="cs"/>
                <w:sz w:val="16"/>
                <w:szCs w:val="24"/>
                <w:rtl/>
              </w:rPr>
              <w:t>68.4</w:t>
            </w:r>
          </w:p>
        </w:tc>
        <w:tc>
          <w:tcPr>
            <w:tcW w:w="721" w:type="dxa"/>
            <w:shd w:val="clear" w:color="auto" w:fill="auto"/>
            <w:vAlign w:val="bottom"/>
          </w:tcPr>
          <w:p w:rsidR="003B4DAE" w:rsidRPr="003B4DAE" w:rsidRDefault="003B4DAE" w:rsidP="00D35951">
            <w:pPr>
              <w:pStyle w:val="SingleTxt"/>
              <w:spacing w:before="40" w:after="80" w:line="240" w:lineRule="exact"/>
              <w:ind w:left="0" w:right="0"/>
              <w:rPr>
                <w:rFonts w:cs="Traditional Arabic" w:hint="cs"/>
                <w:sz w:val="16"/>
                <w:szCs w:val="24"/>
                <w:rtl/>
              </w:rPr>
            </w:pPr>
            <w:r w:rsidRPr="003B4DAE">
              <w:rPr>
                <w:rFonts w:cs="Traditional Arabic" w:hint="cs"/>
                <w:sz w:val="16"/>
                <w:szCs w:val="24"/>
                <w:rtl/>
              </w:rPr>
              <w:t>416</w:t>
            </w:r>
          </w:p>
        </w:tc>
      </w:tr>
      <w:tr w:rsidR="003B4DAE" w:rsidRPr="00D35951">
        <w:trPr>
          <w:cantSplit/>
          <w:jc w:val="center"/>
        </w:trPr>
        <w:tc>
          <w:tcPr>
            <w:tcW w:w="1507" w:type="dxa"/>
            <w:shd w:val="clear" w:color="auto" w:fill="auto"/>
            <w:vAlign w:val="bottom"/>
          </w:tcPr>
          <w:p w:rsidR="003B4DAE" w:rsidRPr="003B4DAE" w:rsidRDefault="003B4DAE" w:rsidP="00414312">
            <w:pPr>
              <w:pStyle w:val="SingleTxt"/>
              <w:spacing w:before="40" w:after="80" w:line="240" w:lineRule="exact"/>
              <w:ind w:left="185" w:right="144"/>
              <w:rPr>
                <w:rFonts w:cs="Traditional Arabic" w:hint="cs"/>
                <w:sz w:val="16"/>
                <w:szCs w:val="24"/>
                <w:rtl/>
              </w:rPr>
            </w:pPr>
            <w:r w:rsidRPr="003B4DAE">
              <w:rPr>
                <w:rFonts w:cs="Traditional Arabic" w:hint="cs"/>
                <w:sz w:val="16"/>
                <w:szCs w:val="24"/>
                <w:rtl/>
              </w:rPr>
              <w:t>توماسينا</w:t>
            </w:r>
          </w:p>
        </w:tc>
        <w:tc>
          <w:tcPr>
            <w:tcW w:w="1545" w:type="dxa"/>
            <w:shd w:val="clear" w:color="auto" w:fill="auto"/>
            <w:vAlign w:val="bottom"/>
          </w:tcPr>
          <w:p w:rsidR="003B4DAE" w:rsidRPr="003B4DAE" w:rsidRDefault="003B4DAE" w:rsidP="00414312">
            <w:pPr>
              <w:pStyle w:val="SingleTxt"/>
              <w:spacing w:before="40" w:after="80" w:line="240" w:lineRule="exact"/>
              <w:ind w:left="412" w:right="0"/>
              <w:rPr>
                <w:rFonts w:cs="Traditional Arabic" w:hint="cs"/>
                <w:sz w:val="16"/>
                <w:szCs w:val="24"/>
                <w:rtl/>
              </w:rPr>
            </w:pPr>
            <w:r w:rsidRPr="003B4DAE">
              <w:rPr>
                <w:rFonts w:cs="Traditional Arabic" w:hint="cs"/>
                <w:sz w:val="16"/>
                <w:szCs w:val="24"/>
                <w:rtl/>
              </w:rPr>
              <w:t>72.8</w:t>
            </w:r>
          </w:p>
        </w:tc>
        <w:tc>
          <w:tcPr>
            <w:tcW w:w="1854" w:type="dxa"/>
            <w:shd w:val="clear" w:color="auto" w:fill="auto"/>
            <w:vAlign w:val="bottom"/>
          </w:tcPr>
          <w:p w:rsidR="003B4DAE" w:rsidRPr="003B4DAE" w:rsidRDefault="003B4DAE" w:rsidP="00414312">
            <w:pPr>
              <w:pStyle w:val="SingleTxt"/>
              <w:spacing w:before="40" w:after="80" w:line="240" w:lineRule="exact"/>
              <w:ind w:left="412" w:right="0"/>
              <w:rPr>
                <w:rFonts w:cs="Traditional Arabic" w:hint="cs"/>
                <w:sz w:val="16"/>
                <w:szCs w:val="24"/>
                <w:rtl/>
              </w:rPr>
            </w:pPr>
            <w:r w:rsidRPr="003B4DAE">
              <w:rPr>
                <w:rFonts w:cs="Traditional Arabic" w:hint="cs"/>
                <w:sz w:val="16"/>
                <w:szCs w:val="24"/>
                <w:rtl/>
              </w:rPr>
              <w:t>62.2</w:t>
            </w:r>
          </w:p>
        </w:tc>
        <w:tc>
          <w:tcPr>
            <w:tcW w:w="824" w:type="dxa"/>
            <w:gridSpan w:val="2"/>
            <w:shd w:val="clear" w:color="auto" w:fill="auto"/>
            <w:vAlign w:val="bottom"/>
          </w:tcPr>
          <w:p w:rsidR="003B4DAE" w:rsidRPr="003B4DAE" w:rsidRDefault="003B4DAE" w:rsidP="00D35951">
            <w:pPr>
              <w:pStyle w:val="SingleTxt"/>
              <w:spacing w:before="40" w:after="80" w:line="240" w:lineRule="exact"/>
              <w:ind w:left="0" w:right="0"/>
              <w:rPr>
                <w:rFonts w:cs="Traditional Arabic" w:hint="cs"/>
                <w:sz w:val="16"/>
                <w:szCs w:val="24"/>
                <w:rtl/>
              </w:rPr>
            </w:pPr>
            <w:r w:rsidRPr="003B4DAE">
              <w:rPr>
                <w:rFonts w:cs="Traditional Arabic" w:hint="cs"/>
                <w:sz w:val="16"/>
                <w:szCs w:val="24"/>
                <w:rtl/>
              </w:rPr>
              <w:t>1196</w:t>
            </w:r>
          </w:p>
        </w:tc>
        <w:tc>
          <w:tcPr>
            <w:tcW w:w="1545" w:type="dxa"/>
            <w:shd w:val="clear" w:color="auto" w:fill="auto"/>
            <w:vAlign w:val="bottom"/>
          </w:tcPr>
          <w:p w:rsidR="003B4DAE" w:rsidRPr="003B4DAE" w:rsidRDefault="003B4DAE" w:rsidP="00414312">
            <w:pPr>
              <w:pStyle w:val="SingleTxt"/>
              <w:spacing w:before="40" w:after="80" w:line="240" w:lineRule="exact"/>
              <w:ind w:left="412" w:right="0"/>
              <w:rPr>
                <w:rFonts w:cs="Traditional Arabic" w:hint="cs"/>
                <w:sz w:val="16"/>
                <w:szCs w:val="24"/>
                <w:rtl/>
              </w:rPr>
            </w:pPr>
            <w:r w:rsidRPr="003B4DAE">
              <w:rPr>
                <w:rFonts w:cs="Traditional Arabic" w:hint="cs"/>
                <w:sz w:val="16"/>
                <w:szCs w:val="24"/>
                <w:rtl/>
              </w:rPr>
              <w:t>81.0</w:t>
            </w:r>
          </w:p>
        </w:tc>
        <w:tc>
          <w:tcPr>
            <w:tcW w:w="1854" w:type="dxa"/>
            <w:shd w:val="clear" w:color="auto" w:fill="auto"/>
            <w:vAlign w:val="bottom"/>
          </w:tcPr>
          <w:p w:rsidR="003B4DAE" w:rsidRPr="003B4DAE" w:rsidRDefault="003B4DAE" w:rsidP="00414312">
            <w:pPr>
              <w:pStyle w:val="SingleTxt"/>
              <w:spacing w:before="40" w:after="80" w:line="240" w:lineRule="exact"/>
              <w:ind w:left="412" w:right="0"/>
              <w:rPr>
                <w:rFonts w:cs="Traditional Arabic" w:hint="cs"/>
                <w:sz w:val="16"/>
                <w:szCs w:val="24"/>
                <w:rtl/>
              </w:rPr>
            </w:pPr>
            <w:r w:rsidRPr="003B4DAE">
              <w:rPr>
                <w:rFonts w:cs="Traditional Arabic" w:hint="cs"/>
                <w:sz w:val="16"/>
                <w:szCs w:val="24"/>
                <w:rtl/>
              </w:rPr>
              <w:t>73.8</w:t>
            </w:r>
          </w:p>
        </w:tc>
        <w:tc>
          <w:tcPr>
            <w:tcW w:w="721" w:type="dxa"/>
            <w:shd w:val="clear" w:color="auto" w:fill="auto"/>
            <w:vAlign w:val="bottom"/>
          </w:tcPr>
          <w:p w:rsidR="003B4DAE" w:rsidRPr="003B4DAE" w:rsidRDefault="003B4DAE" w:rsidP="00D35951">
            <w:pPr>
              <w:pStyle w:val="SingleTxt"/>
              <w:spacing w:before="40" w:after="80" w:line="240" w:lineRule="exact"/>
              <w:ind w:left="0" w:right="0"/>
              <w:rPr>
                <w:rFonts w:cs="Traditional Arabic" w:hint="cs"/>
                <w:sz w:val="16"/>
                <w:szCs w:val="24"/>
                <w:rtl/>
              </w:rPr>
            </w:pPr>
            <w:r w:rsidRPr="003B4DAE">
              <w:rPr>
                <w:rFonts w:cs="Traditional Arabic" w:hint="cs"/>
                <w:sz w:val="16"/>
                <w:szCs w:val="24"/>
                <w:rtl/>
              </w:rPr>
              <w:t>380</w:t>
            </w:r>
          </w:p>
        </w:tc>
      </w:tr>
      <w:tr w:rsidR="003B4DAE" w:rsidRPr="00D35951">
        <w:trPr>
          <w:cantSplit/>
          <w:jc w:val="center"/>
        </w:trPr>
        <w:tc>
          <w:tcPr>
            <w:tcW w:w="1507" w:type="dxa"/>
            <w:shd w:val="clear" w:color="auto" w:fill="auto"/>
            <w:vAlign w:val="bottom"/>
          </w:tcPr>
          <w:p w:rsidR="003B4DAE" w:rsidRPr="003B4DAE" w:rsidRDefault="003B4DAE" w:rsidP="00414312">
            <w:pPr>
              <w:pStyle w:val="SingleTxt"/>
              <w:spacing w:before="40" w:after="80" w:line="240" w:lineRule="exact"/>
              <w:ind w:left="185" w:right="144"/>
              <w:rPr>
                <w:rFonts w:cs="Traditional Arabic" w:hint="cs"/>
                <w:sz w:val="16"/>
                <w:szCs w:val="24"/>
                <w:rtl/>
              </w:rPr>
            </w:pPr>
            <w:r w:rsidRPr="003B4DAE">
              <w:rPr>
                <w:rFonts w:cs="Traditional Arabic" w:hint="cs"/>
                <w:sz w:val="16"/>
                <w:szCs w:val="24"/>
                <w:rtl/>
              </w:rPr>
              <w:t>ماهاجانغا</w:t>
            </w:r>
          </w:p>
        </w:tc>
        <w:tc>
          <w:tcPr>
            <w:tcW w:w="1545" w:type="dxa"/>
            <w:shd w:val="clear" w:color="auto" w:fill="auto"/>
            <w:vAlign w:val="bottom"/>
          </w:tcPr>
          <w:p w:rsidR="003B4DAE" w:rsidRPr="003B4DAE" w:rsidRDefault="003B4DAE" w:rsidP="00414312">
            <w:pPr>
              <w:pStyle w:val="SingleTxt"/>
              <w:spacing w:before="40" w:after="80" w:line="240" w:lineRule="exact"/>
              <w:ind w:left="412" w:right="0"/>
              <w:rPr>
                <w:rFonts w:cs="Traditional Arabic" w:hint="cs"/>
                <w:sz w:val="16"/>
                <w:szCs w:val="24"/>
                <w:rtl/>
              </w:rPr>
            </w:pPr>
            <w:r w:rsidRPr="003B4DAE">
              <w:rPr>
                <w:rFonts w:cs="Traditional Arabic" w:hint="cs"/>
                <w:sz w:val="16"/>
                <w:szCs w:val="24"/>
                <w:rtl/>
              </w:rPr>
              <w:t>74.9</w:t>
            </w:r>
          </w:p>
        </w:tc>
        <w:tc>
          <w:tcPr>
            <w:tcW w:w="1854" w:type="dxa"/>
            <w:shd w:val="clear" w:color="auto" w:fill="auto"/>
            <w:vAlign w:val="bottom"/>
          </w:tcPr>
          <w:p w:rsidR="003B4DAE" w:rsidRPr="003B4DAE" w:rsidRDefault="003B4DAE" w:rsidP="00414312">
            <w:pPr>
              <w:pStyle w:val="SingleTxt"/>
              <w:spacing w:before="40" w:after="80" w:line="240" w:lineRule="exact"/>
              <w:ind w:left="412" w:right="0"/>
              <w:rPr>
                <w:rFonts w:cs="Traditional Arabic" w:hint="cs"/>
                <w:sz w:val="16"/>
                <w:szCs w:val="24"/>
                <w:rtl/>
              </w:rPr>
            </w:pPr>
            <w:r w:rsidRPr="003B4DAE">
              <w:rPr>
                <w:rFonts w:cs="Traditional Arabic" w:hint="cs"/>
                <w:sz w:val="16"/>
                <w:szCs w:val="24"/>
                <w:rtl/>
              </w:rPr>
              <w:t>57.8</w:t>
            </w:r>
          </w:p>
        </w:tc>
        <w:tc>
          <w:tcPr>
            <w:tcW w:w="824" w:type="dxa"/>
            <w:gridSpan w:val="2"/>
            <w:shd w:val="clear" w:color="auto" w:fill="auto"/>
            <w:vAlign w:val="bottom"/>
          </w:tcPr>
          <w:p w:rsidR="003B4DAE" w:rsidRPr="003B4DAE" w:rsidRDefault="003B4DAE" w:rsidP="00D35951">
            <w:pPr>
              <w:pStyle w:val="SingleTxt"/>
              <w:spacing w:before="40" w:after="80" w:line="240" w:lineRule="exact"/>
              <w:ind w:left="0" w:right="0"/>
              <w:rPr>
                <w:rFonts w:cs="Traditional Arabic" w:hint="cs"/>
                <w:sz w:val="16"/>
                <w:szCs w:val="24"/>
                <w:rtl/>
              </w:rPr>
            </w:pPr>
            <w:r w:rsidRPr="003B4DAE">
              <w:rPr>
                <w:rFonts w:cs="Traditional Arabic" w:hint="cs"/>
                <w:sz w:val="16"/>
                <w:szCs w:val="24"/>
                <w:rtl/>
              </w:rPr>
              <w:t>987</w:t>
            </w:r>
          </w:p>
        </w:tc>
        <w:tc>
          <w:tcPr>
            <w:tcW w:w="1545" w:type="dxa"/>
            <w:shd w:val="clear" w:color="auto" w:fill="auto"/>
            <w:vAlign w:val="bottom"/>
          </w:tcPr>
          <w:p w:rsidR="003B4DAE" w:rsidRPr="003B4DAE" w:rsidRDefault="003B4DAE" w:rsidP="00414312">
            <w:pPr>
              <w:pStyle w:val="SingleTxt"/>
              <w:spacing w:before="40" w:after="80" w:line="240" w:lineRule="exact"/>
              <w:ind w:left="412" w:right="0"/>
              <w:rPr>
                <w:rFonts w:cs="Traditional Arabic" w:hint="cs"/>
                <w:sz w:val="16"/>
                <w:szCs w:val="24"/>
                <w:rtl/>
              </w:rPr>
            </w:pPr>
            <w:r w:rsidRPr="003B4DAE">
              <w:rPr>
                <w:rFonts w:cs="Traditional Arabic" w:hint="cs"/>
                <w:sz w:val="16"/>
                <w:szCs w:val="24"/>
                <w:rtl/>
              </w:rPr>
              <w:t>92.8</w:t>
            </w:r>
          </w:p>
        </w:tc>
        <w:tc>
          <w:tcPr>
            <w:tcW w:w="1854" w:type="dxa"/>
            <w:shd w:val="clear" w:color="auto" w:fill="auto"/>
            <w:vAlign w:val="bottom"/>
          </w:tcPr>
          <w:p w:rsidR="003B4DAE" w:rsidRPr="003B4DAE" w:rsidRDefault="003B4DAE" w:rsidP="00414312">
            <w:pPr>
              <w:pStyle w:val="SingleTxt"/>
              <w:spacing w:before="40" w:after="80" w:line="240" w:lineRule="exact"/>
              <w:ind w:left="412" w:right="0"/>
              <w:rPr>
                <w:rFonts w:cs="Traditional Arabic" w:hint="cs"/>
                <w:sz w:val="16"/>
                <w:szCs w:val="24"/>
                <w:rtl/>
              </w:rPr>
            </w:pPr>
            <w:r w:rsidRPr="003B4DAE">
              <w:rPr>
                <w:rFonts w:cs="Traditional Arabic" w:hint="cs"/>
                <w:sz w:val="16"/>
                <w:szCs w:val="24"/>
                <w:rtl/>
              </w:rPr>
              <w:t>73.3</w:t>
            </w:r>
          </w:p>
        </w:tc>
        <w:tc>
          <w:tcPr>
            <w:tcW w:w="721" w:type="dxa"/>
            <w:shd w:val="clear" w:color="auto" w:fill="auto"/>
            <w:vAlign w:val="bottom"/>
          </w:tcPr>
          <w:p w:rsidR="003B4DAE" w:rsidRPr="003B4DAE" w:rsidRDefault="003B4DAE" w:rsidP="00D35951">
            <w:pPr>
              <w:pStyle w:val="SingleTxt"/>
              <w:spacing w:before="40" w:after="80" w:line="240" w:lineRule="exact"/>
              <w:ind w:left="0" w:right="0"/>
              <w:rPr>
                <w:rFonts w:cs="Traditional Arabic" w:hint="cs"/>
                <w:sz w:val="16"/>
                <w:szCs w:val="24"/>
                <w:rtl/>
              </w:rPr>
            </w:pPr>
            <w:r w:rsidRPr="003B4DAE">
              <w:rPr>
                <w:rFonts w:cs="Traditional Arabic" w:hint="cs"/>
                <w:sz w:val="16"/>
                <w:szCs w:val="24"/>
                <w:rtl/>
              </w:rPr>
              <w:t>276</w:t>
            </w:r>
          </w:p>
        </w:tc>
      </w:tr>
      <w:tr w:rsidR="003B4DAE" w:rsidRPr="00D35951">
        <w:trPr>
          <w:cantSplit/>
          <w:jc w:val="center"/>
        </w:trPr>
        <w:tc>
          <w:tcPr>
            <w:tcW w:w="1507" w:type="dxa"/>
            <w:shd w:val="clear" w:color="auto" w:fill="auto"/>
            <w:vAlign w:val="bottom"/>
          </w:tcPr>
          <w:p w:rsidR="003B4DAE" w:rsidRPr="003B4DAE" w:rsidRDefault="003B4DAE" w:rsidP="00414312">
            <w:pPr>
              <w:pStyle w:val="SingleTxt"/>
              <w:spacing w:before="40" w:after="80" w:line="240" w:lineRule="exact"/>
              <w:ind w:left="185" w:right="144"/>
              <w:rPr>
                <w:rFonts w:cs="Traditional Arabic" w:hint="cs"/>
                <w:sz w:val="16"/>
                <w:szCs w:val="24"/>
                <w:rtl/>
              </w:rPr>
            </w:pPr>
            <w:r w:rsidRPr="003B4DAE">
              <w:rPr>
                <w:rFonts w:cs="Traditional Arabic" w:hint="cs"/>
                <w:sz w:val="16"/>
                <w:szCs w:val="24"/>
                <w:rtl/>
              </w:rPr>
              <w:t>توليارا</w:t>
            </w:r>
          </w:p>
        </w:tc>
        <w:tc>
          <w:tcPr>
            <w:tcW w:w="1545" w:type="dxa"/>
            <w:shd w:val="clear" w:color="auto" w:fill="auto"/>
            <w:vAlign w:val="bottom"/>
          </w:tcPr>
          <w:p w:rsidR="003B4DAE" w:rsidRPr="003B4DAE" w:rsidRDefault="003B4DAE" w:rsidP="00414312">
            <w:pPr>
              <w:pStyle w:val="SingleTxt"/>
              <w:spacing w:before="40" w:after="80" w:line="240" w:lineRule="exact"/>
              <w:ind w:left="412" w:right="0"/>
              <w:rPr>
                <w:rFonts w:cs="Traditional Arabic" w:hint="cs"/>
                <w:sz w:val="16"/>
                <w:szCs w:val="24"/>
                <w:rtl/>
              </w:rPr>
            </w:pPr>
            <w:r w:rsidRPr="003B4DAE">
              <w:rPr>
                <w:rFonts w:cs="Traditional Arabic" w:hint="cs"/>
                <w:sz w:val="16"/>
                <w:szCs w:val="24"/>
                <w:rtl/>
              </w:rPr>
              <w:t>75.2</w:t>
            </w:r>
          </w:p>
        </w:tc>
        <w:tc>
          <w:tcPr>
            <w:tcW w:w="1854" w:type="dxa"/>
            <w:shd w:val="clear" w:color="auto" w:fill="auto"/>
            <w:vAlign w:val="bottom"/>
          </w:tcPr>
          <w:p w:rsidR="003B4DAE" w:rsidRPr="003B4DAE" w:rsidRDefault="003B4DAE" w:rsidP="00414312">
            <w:pPr>
              <w:pStyle w:val="SingleTxt"/>
              <w:spacing w:before="40" w:after="80" w:line="240" w:lineRule="exact"/>
              <w:ind w:left="412" w:right="0"/>
              <w:rPr>
                <w:rFonts w:cs="Traditional Arabic" w:hint="cs"/>
                <w:sz w:val="16"/>
                <w:szCs w:val="24"/>
                <w:rtl/>
              </w:rPr>
            </w:pPr>
            <w:r w:rsidRPr="003B4DAE">
              <w:rPr>
                <w:rFonts w:cs="Traditional Arabic" w:hint="cs"/>
                <w:sz w:val="16"/>
                <w:szCs w:val="24"/>
                <w:rtl/>
              </w:rPr>
              <w:t>49.8</w:t>
            </w:r>
          </w:p>
        </w:tc>
        <w:tc>
          <w:tcPr>
            <w:tcW w:w="824" w:type="dxa"/>
            <w:gridSpan w:val="2"/>
            <w:shd w:val="clear" w:color="auto" w:fill="auto"/>
            <w:vAlign w:val="bottom"/>
          </w:tcPr>
          <w:p w:rsidR="003B4DAE" w:rsidRPr="003B4DAE" w:rsidRDefault="003B4DAE" w:rsidP="00D35951">
            <w:pPr>
              <w:pStyle w:val="SingleTxt"/>
              <w:spacing w:before="40" w:after="80" w:line="240" w:lineRule="exact"/>
              <w:ind w:left="0" w:right="0"/>
              <w:rPr>
                <w:rFonts w:cs="Traditional Arabic" w:hint="cs"/>
                <w:sz w:val="16"/>
                <w:szCs w:val="24"/>
                <w:rtl/>
              </w:rPr>
            </w:pPr>
            <w:r w:rsidRPr="003B4DAE">
              <w:rPr>
                <w:rFonts w:cs="Traditional Arabic" w:hint="cs"/>
                <w:sz w:val="16"/>
                <w:szCs w:val="24"/>
                <w:rtl/>
              </w:rPr>
              <w:t>957</w:t>
            </w:r>
          </w:p>
        </w:tc>
        <w:tc>
          <w:tcPr>
            <w:tcW w:w="1545" w:type="dxa"/>
            <w:shd w:val="clear" w:color="auto" w:fill="auto"/>
            <w:vAlign w:val="bottom"/>
          </w:tcPr>
          <w:p w:rsidR="003B4DAE" w:rsidRPr="003B4DAE" w:rsidRDefault="003B4DAE" w:rsidP="00414312">
            <w:pPr>
              <w:pStyle w:val="SingleTxt"/>
              <w:spacing w:before="40" w:after="80" w:line="240" w:lineRule="exact"/>
              <w:ind w:left="412" w:right="0"/>
              <w:rPr>
                <w:rFonts w:cs="Traditional Arabic" w:hint="cs"/>
                <w:sz w:val="16"/>
                <w:szCs w:val="24"/>
                <w:rtl/>
              </w:rPr>
            </w:pPr>
            <w:r w:rsidRPr="003B4DAE">
              <w:rPr>
                <w:rFonts w:cs="Traditional Arabic" w:hint="cs"/>
                <w:sz w:val="16"/>
                <w:szCs w:val="24"/>
                <w:rtl/>
              </w:rPr>
              <w:t>65.1</w:t>
            </w:r>
          </w:p>
        </w:tc>
        <w:tc>
          <w:tcPr>
            <w:tcW w:w="1854" w:type="dxa"/>
            <w:shd w:val="clear" w:color="auto" w:fill="auto"/>
            <w:vAlign w:val="bottom"/>
          </w:tcPr>
          <w:p w:rsidR="003B4DAE" w:rsidRPr="003B4DAE" w:rsidRDefault="003B4DAE" w:rsidP="00414312">
            <w:pPr>
              <w:pStyle w:val="SingleTxt"/>
              <w:spacing w:before="40" w:after="80" w:line="240" w:lineRule="exact"/>
              <w:ind w:left="412" w:right="0"/>
              <w:rPr>
                <w:rFonts w:cs="Traditional Arabic" w:hint="cs"/>
                <w:sz w:val="16"/>
                <w:szCs w:val="24"/>
                <w:rtl/>
              </w:rPr>
            </w:pPr>
            <w:r w:rsidRPr="003B4DAE">
              <w:rPr>
                <w:rFonts w:cs="Traditional Arabic" w:hint="cs"/>
                <w:sz w:val="16"/>
                <w:szCs w:val="24"/>
                <w:rtl/>
              </w:rPr>
              <w:t>48.7</w:t>
            </w:r>
          </w:p>
        </w:tc>
        <w:tc>
          <w:tcPr>
            <w:tcW w:w="721" w:type="dxa"/>
            <w:shd w:val="clear" w:color="auto" w:fill="auto"/>
            <w:vAlign w:val="bottom"/>
          </w:tcPr>
          <w:p w:rsidR="003B4DAE" w:rsidRPr="003B4DAE" w:rsidRDefault="003B4DAE" w:rsidP="00D35951">
            <w:pPr>
              <w:pStyle w:val="SingleTxt"/>
              <w:spacing w:before="40" w:after="80" w:line="240" w:lineRule="exact"/>
              <w:ind w:left="0" w:right="0"/>
              <w:rPr>
                <w:rFonts w:cs="Traditional Arabic" w:hint="cs"/>
                <w:sz w:val="16"/>
                <w:szCs w:val="24"/>
                <w:rtl/>
              </w:rPr>
            </w:pPr>
            <w:r w:rsidRPr="003B4DAE">
              <w:rPr>
                <w:rFonts w:cs="Traditional Arabic" w:hint="cs"/>
                <w:sz w:val="16"/>
                <w:szCs w:val="24"/>
                <w:rtl/>
              </w:rPr>
              <w:t>261</w:t>
            </w:r>
          </w:p>
        </w:tc>
      </w:tr>
      <w:tr w:rsidR="003B4DAE" w:rsidRPr="00D35951">
        <w:trPr>
          <w:cantSplit/>
          <w:jc w:val="center"/>
        </w:trPr>
        <w:tc>
          <w:tcPr>
            <w:tcW w:w="1507" w:type="dxa"/>
            <w:shd w:val="clear" w:color="auto" w:fill="auto"/>
            <w:vAlign w:val="bottom"/>
          </w:tcPr>
          <w:p w:rsidR="003B4DAE" w:rsidRPr="003B4DAE" w:rsidRDefault="003B4DAE" w:rsidP="00414312">
            <w:pPr>
              <w:pStyle w:val="SingleTxt"/>
              <w:spacing w:before="40" w:after="80" w:line="240" w:lineRule="exact"/>
              <w:ind w:left="185" w:right="144"/>
              <w:rPr>
                <w:rFonts w:cs="Traditional Arabic" w:hint="cs"/>
                <w:sz w:val="16"/>
                <w:szCs w:val="24"/>
                <w:rtl/>
              </w:rPr>
            </w:pPr>
            <w:r w:rsidRPr="003B4DAE">
              <w:rPr>
                <w:rFonts w:cs="Traditional Arabic" w:hint="cs"/>
                <w:sz w:val="16"/>
                <w:szCs w:val="24"/>
                <w:rtl/>
              </w:rPr>
              <w:t>انتسيرانانا</w:t>
            </w:r>
          </w:p>
        </w:tc>
        <w:tc>
          <w:tcPr>
            <w:tcW w:w="1545" w:type="dxa"/>
            <w:shd w:val="clear" w:color="auto" w:fill="auto"/>
            <w:vAlign w:val="bottom"/>
          </w:tcPr>
          <w:p w:rsidR="003B4DAE" w:rsidRPr="003B4DAE" w:rsidRDefault="003B4DAE" w:rsidP="00414312">
            <w:pPr>
              <w:pStyle w:val="SingleTxt"/>
              <w:spacing w:before="40" w:after="80" w:line="240" w:lineRule="exact"/>
              <w:ind w:left="412" w:right="0"/>
              <w:rPr>
                <w:rFonts w:cs="Traditional Arabic" w:hint="cs"/>
                <w:sz w:val="16"/>
                <w:szCs w:val="24"/>
                <w:rtl/>
              </w:rPr>
            </w:pPr>
            <w:r w:rsidRPr="003B4DAE">
              <w:rPr>
                <w:rFonts w:cs="Traditional Arabic" w:hint="cs"/>
                <w:sz w:val="16"/>
                <w:szCs w:val="24"/>
                <w:rtl/>
              </w:rPr>
              <w:t>80.3</w:t>
            </w:r>
          </w:p>
        </w:tc>
        <w:tc>
          <w:tcPr>
            <w:tcW w:w="1854" w:type="dxa"/>
            <w:shd w:val="clear" w:color="auto" w:fill="auto"/>
            <w:vAlign w:val="bottom"/>
          </w:tcPr>
          <w:p w:rsidR="003B4DAE" w:rsidRPr="003B4DAE" w:rsidRDefault="003B4DAE" w:rsidP="00414312">
            <w:pPr>
              <w:pStyle w:val="SingleTxt"/>
              <w:spacing w:before="40" w:after="80" w:line="240" w:lineRule="exact"/>
              <w:ind w:left="412" w:right="0"/>
              <w:rPr>
                <w:rFonts w:cs="Traditional Arabic" w:hint="cs"/>
                <w:sz w:val="16"/>
                <w:szCs w:val="24"/>
                <w:rtl/>
              </w:rPr>
            </w:pPr>
            <w:r w:rsidRPr="003B4DAE">
              <w:rPr>
                <w:rFonts w:cs="Traditional Arabic" w:hint="cs"/>
                <w:sz w:val="16"/>
                <w:szCs w:val="24"/>
                <w:rtl/>
              </w:rPr>
              <w:t>67.3</w:t>
            </w:r>
          </w:p>
        </w:tc>
        <w:tc>
          <w:tcPr>
            <w:tcW w:w="824" w:type="dxa"/>
            <w:gridSpan w:val="2"/>
            <w:shd w:val="clear" w:color="auto" w:fill="auto"/>
            <w:vAlign w:val="bottom"/>
          </w:tcPr>
          <w:p w:rsidR="003B4DAE" w:rsidRPr="003B4DAE" w:rsidRDefault="003B4DAE" w:rsidP="00D35951">
            <w:pPr>
              <w:pStyle w:val="SingleTxt"/>
              <w:spacing w:before="40" w:after="80" w:line="240" w:lineRule="exact"/>
              <w:ind w:left="0" w:right="0"/>
              <w:rPr>
                <w:rFonts w:cs="Traditional Arabic" w:hint="cs"/>
                <w:sz w:val="16"/>
                <w:szCs w:val="24"/>
                <w:rtl/>
              </w:rPr>
            </w:pPr>
            <w:r w:rsidRPr="003B4DAE">
              <w:rPr>
                <w:rFonts w:cs="Traditional Arabic" w:hint="cs"/>
                <w:sz w:val="16"/>
                <w:szCs w:val="24"/>
                <w:rtl/>
              </w:rPr>
              <w:t>539</w:t>
            </w:r>
          </w:p>
        </w:tc>
        <w:tc>
          <w:tcPr>
            <w:tcW w:w="1545" w:type="dxa"/>
            <w:shd w:val="clear" w:color="auto" w:fill="auto"/>
            <w:vAlign w:val="bottom"/>
          </w:tcPr>
          <w:p w:rsidR="003B4DAE" w:rsidRPr="003B4DAE" w:rsidRDefault="003B4DAE" w:rsidP="00414312">
            <w:pPr>
              <w:pStyle w:val="SingleTxt"/>
              <w:spacing w:before="40" w:after="80" w:line="240" w:lineRule="exact"/>
              <w:ind w:left="412" w:right="0"/>
              <w:rPr>
                <w:rFonts w:cs="Traditional Arabic" w:hint="cs"/>
                <w:sz w:val="16"/>
                <w:szCs w:val="24"/>
                <w:rtl/>
              </w:rPr>
            </w:pPr>
            <w:r w:rsidRPr="003B4DAE">
              <w:rPr>
                <w:rFonts w:cs="Traditional Arabic" w:hint="cs"/>
                <w:sz w:val="16"/>
                <w:szCs w:val="24"/>
                <w:rtl/>
              </w:rPr>
              <w:t>91.4</w:t>
            </w:r>
          </w:p>
        </w:tc>
        <w:tc>
          <w:tcPr>
            <w:tcW w:w="1854" w:type="dxa"/>
            <w:shd w:val="clear" w:color="auto" w:fill="auto"/>
            <w:vAlign w:val="bottom"/>
          </w:tcPr>
          <w:p w:rsidR="003B4DAE" w:rsidRPr="003B4DAE" w:rsidRDefault="003B4DAE" w:rsidP="00414312">
            <w:pPr>
              <w:pStyle w:val="SingleTxt"/>
              <w:spacing w:before="40" w:after="80" w:line="240" w:lineRule="exact"/>
              <w:ind w:left="412" w:right="0"/>
              <w:rPr>
                <w:rFonts w:cs="Traditional Arabic" w:hint="cs"/>
                <w:sz w:val="16"/>
                <w:szCs w:val="24"/>
                <w:rtl/>
              </w:rPr>
            </w:pPr>
            <w:r w:rsidRPr="003B4DAE">
              <w:rPr>
                <w:rFonts w:cs="Traditional Arabic" w:hint="cs"/>
                <w:sz w:val="16"/>
                <w:szCs w:val="24"/>
                <w:rtl/>
              </w:rPr>
              <w:t>80.3</w:t>
            </w:r>
          </w:p>
        </w:tc>
        <w:tc>
          <w:tcPr>
            <w:tcW w:w="721" w:type="dxa"/>
            <w:shd w:val="clear" w:color="auto" w:fill="auto"/>
            <w:vAlign w:val="bottom"/>
          </w:tcPr>
          <w:p w:rsidR="003B4DAE" w:rsidRPr="003B4DAE" w:rsidRDefault="003B4DAE" w:rsidP="00D35951">
            <w:pPr>
              <w:pStyle w:val="SingleTxt"/>
              <w:spacing w:before="40" w:after="80" w:line="240" w:lineRule="exact"/>
              <w:ind w:left="0" w:right="0"/>
              <w:rPr>
                <w:rFonts w:cs="Traditional Arabic" w:hint="cs"/>
                <w:sz w:val="16"/>
                <w:szCs w:val="24"/>
                <w:rtl/>
              </w:rPr>
            </w:pPr>
            <w:r w:rsidRPr="003B4DAE">
              <w:rPr>
                <w:rFonts w:cs="Traditional Arabic" w:hint="cs"/>
                <w:sz w:val="16"/>
                <w:szCs w:val="24"/>
                <w:rtl/>
              </w:rPr>
              <w:t>183</w:t>
            </w:r>
          </w:p>
        </w:tc>
      </w:tr>
      <w:tr w:rsidR="00414312" w:rsidRPr="003B4DAE">
        <w:trPr>
          <w:cantSplit/>
          <w:jc w:val="center"/>
        </w:trPr>
        <w:tc>
          <w:tcPr>
            <w:tcW w:w="1507" w:type="dxa"/>
            <w:shd w:val="clear" w:color="auto" w:fill="auto"/>
            <w:vAlign w:val="bottom"/>
          </w:tcPr>
          <w:p w:rsidR="00414312" w:rsidRPr="003B4DAE" w:rsidRDefault="00414312" w:rsidP="00414312">
            <w:pPr>
              <w:pStyle w:val="SingleTxt"/>
              <w:spacing w:before="40" w:after="80" w:line="240" w:lineRule="exact"/>
              <w:ind w:left="0" w:right="144"/>
              <w:rPr>
                <w:rFonts w:cs="Traditional Arabic" w:hint="cs"/>
                <w:sz w:val="16"/>
                <w:szCs w:val="24"/>
                <w:rtl/>
              </w:rPr>
            </w:pPr>
            <w:r>
              <w:rPr>
                <w:rFonts w:cs="Traditional Arabic" w:hint="cs"/>
                <w:b/>
                <w:bCs/>
                <w:sz w:val="16"/>
                <w:szCs w:val="24"/>
                <w:rtl/>
              </w:rPr>
              <w:t>مستوى التعليم</w:t>
            </w:r>
          </w:p>
        </w:tc>
        <w:tc>
          <w:tcPr>
            <w:tcW w:w="1545" w:type="dxa"/>
            <w:shd w:val="clear" w:color="auto" w:fill="auto"/>
            <w:vAlign w:val="bottom"/>
          </w:tcPr>
          <w:p w:rsidR="00414312" w:rsidRPr="003B4DAE" w:rsidRDefault="00414312" w:rsidP="00414312">
            <w:pPr>
              <w:pStyle w:val="SingleTxt"/>
              <w:spacing w:before="40" w:after="80" w:line="240" w:lineRule="exact"/>
              <w:ind w:left="412" w:right="0"/>
              <w:rPr>
                <w:rFonts w:cs="Traditional Arabic" w:hint="cs"/>
                <w:sz w:val="16"/>
                <w:szCs w:val="24"/>
                <w:rtl/>
              </w:rPr>
            </w:pPr>
          </w:p>
        </w:tc>
        <w:tc>
          <w:tcPr>
            <w:tcW w:w="1854" w:type="dxa"/>
            <w:shd w:val="clear" w:color="auto" w:fill="auto"/>
            <w:vAlign w:val="bottom"/>
          </w:tcPr>
          <w:p w:rsidR="00414312" w:rsidRPr="003B4DAE" w:rsidRDefault="00414312" w:rsidP="00414312">
            <w:pPr>
              <w:pStyle w:val="SingleTxt"/>
              <w:spacing w:before="40" w:after="80" w:line="240" w:lineRule="exact"/>
              <w:ind w:left="412" w:right="0"/>
              <w:rPr>
                <w:rFonts w:cs="Traditional Arabic" w:hint="cs"/>
                <w:sz w:val="16"/>
                <w:szCs w:val="24"/>
                <w:rtl/>
              </w:rPr>
            </w:pPr>
          </w:p>
        </w:tc>
        <w:tc>
          <w:tcPr>
            <w:tcW w:w="824" w:type="dxa"/>
            <w:gridSpan w:val="2"/>
            <w:shd w:val="clear" w:color="auto" w:fill="auto"/>
            <w:vAlign w:val="bottom"/>
          </w:tcPr>
          <w:p w:rsidR="00414312" w:rsidRPr="003B4DAE" w:rsidRDefault="00414312" w:rsidP="00414312">
            <w:pPr>
              <w:pStyle w:val="SingleTxt"/>
              <w:spacing w:before="40" w:after="80" w:line="240" w:lineRule="exact"/>
              <w:ind w:left="0" w:right="0"/>
              <w:rPr>
                <w:rFonts w:cs="Traditional Arabic" w:hint="cs"/>
                <w:sz w:val="16"/>
                <w:szCs w:val="24"/>
                <w:rtl/>
              </w:rPr>
            </w:pPr>
          </w:p>
        </w:tc>
        <w:tc>
          <w:tcPr>
            <w:tcW w:w="1545" w:type="dxa"/>
            <w:shd w:val="clear" w:color="auto" w:fill="auto"/>
            <w:vAlign w:val="bottom"/>
          </w:tcPr>
          <w:p w:rsidR="00414312" w:rsidRPr="003B4DAE" w:rsidRDefault="00414312" w:rsidP="00414312">
            <w:pPr>
              <w:pStyle w:val="SingleTxt"/>
              <w:spacing w:before="40" w:after="80" w:line="240" w:lineRule="exact"/>
              <w:ind w:left="412" w:right="0"/>
              <w:rPr>
                <w:rFonts w:cs="Traditional Arabic" w:hint="cs"/>
                <w:sz w:val="16"/>
                <w:szCs w:val="24"/>
                <w:rtl/>
              </w:rPr>
            </w:pPr>
          </w:p>
        </w:tc>
        <w:tc>
          <w:tcPr>
            <w:tcW w:w="1854" w:type="dxa"/>
            <w:shd w:val="clear" w:color="auto" w:fill="auto"/>
            <w:vAlign w:val="bottom"/>
          </w:tcPr>
          <w:p w:rsidR="00414312" w:rsidRPr="003B4DAE" w:rsidRDefault="00414312" w:rsidP="00414312">
            <w:pPr>
              <w:pStyle w:val="SingleTxt"/>
              <w:spacing w:before="40" w:after="80" w:line="240" w:lineRule="exact"/>
              <w:ind w:left="412" w:right="0"/>
              <w:rPr>
                <w:rFonts w:cs="Traditional Arabic" w:hint="cs"/>
                <w:sz w:val="16"/>
                <w:szCs w:val="24"/>
                <w:rtl/>
              </w:rPr>
            </w:pPr>
          </w:p>
        </w:tc>
        <w:tc>
          <w:tcPr>
            <w:tcW w:w="721" w:type="dxa"/>
            <w:shd w:val="clear" w:color="auto" w:fill="auto"/>
            <w:vAlign w:val="bottom"/>
          </w:tcPr>
          <w:p w:rsidR="00414312" w:rsidRPr="003B4DAE" w:rsidRDefault="00414312" w:rsidP="00414312">
            <w:pPr>
              <w:pStyle w:val="SingleTxt"/>
              <w:spacing w:before="40" w:after="80" w:line="240" w:lineRule="exact"/>
              <w:ind w:left="0" w:right="0"/>
              <w:rPr>
                <w:rFonts w:cs="Traditional Arabic" w:hint="cs"/>
                <w:sz w:val="16"/>
                <w:szCs w:val="24"/>
                <w:rtl/>
              </w:rPr>
            </w:pPr>
          </w:p>
        </w:tc>
      </w:tr>
      <w:tr w:rsidR="003B4DAE" w:rsidRPr="00D35951">
        <w:trPr>
          <w:cantSplit/>
          <w:jc w:val="center"/>
        </w:trPr>
        <w:tc>
          <w:tcPr>
            <w:tcW w:w="1507" w:type="dxa"/>
            <w:shd w:val="clear" w:color="auto" w:fill="auto"/>
            <w:vAlign w:val="bottom"/>
          </w:tcPr>
          <w:p w:rsidR="003B4DAE" w:rsidRPr="003B4DAE" w:rsidRDefault="003B4DAE" w:rsidP="00414312">
            <w:pPr>
              <w:pStyle w:val="SingleTxt"/>
              <w:spacing w:before="40" w:after="80" w:line="240" w:lineRule="exact"/>
              <w:ind w:left="185" w:right="144"/>
              <w:rPr>
                <w:rFonts w:cs="Traditional Arabic" w:hint="cs"/>
                <w:sz w:val="16"/>
                <w:szCs w:val="24"/>
                <w:rtl/>
              </w:rPr>
            </w:pPr>
            <w:r w:rsidRPr="003B4DAE">
              <w:rPr>
                <w:rFonts w:cs="Traditional Arabic" w:hint="cs"/>
                <w:sz w:val="16"/>
                <w:szCs w:val="24"/>
                <w:rtl/>
              </w:rPr>
              <w:t>لا تعليم</w:t>
            </w:r>
          </w:p>
        </w:tc>
        <w:tc>
          <w:tcPr>
            <w:tcW w:w="1545" w:type="dxa"/>
            <w:shd w:val="clear" w:color="auto" w:fill="auto"/>
            <w:vAlign w:val="bottom"/>
          </w:tcPr>
          <w:p w:rsidR="003B4DAE" w:rsidRPr="003B4DAE" w:rsidRDefault="003B4DAE" w:rsidP="00414312">
            <w:pPr>
              <w:pStyle w:val="SingleTxt"/>
              <w:spacing w:before="40" w:after="80" w:line="240" w:lineRule="exact"/>
              <w:ind w:left="412" w:right="0"/>
              <w:rPr>
                <w:rFonts w:cs="Traditional Arabic" w:hint="cs"/>
                <w:sz w:val="16"/>
                <w:szCs w:val="24"/>
                <w:rtl/>
              </w:rPr>
            </w:pPr>
            <w:r w:rsidRPr="003B4DAE">
              <w:rPr>
                <w:rFonts w:cs="Traditional Arabic" w:hint="cs"/>
                <w:sz w:val="16"/>
                <w:szCs w:val="24"/>
                <w:rtl/>
              </w:rPr>
              <w:t>50.2</w:t>
            </w:r>
          </w:p>
        </w:tc>
        <w:tc>
          <w:tcPr>
            <w:tcW w:w="1854" w:type="dxa"/>
            <w:shd w:val="clear" w:color="auto" w:fill="auto"/>
            <w:vAlign w:val="bottom"/>
          </w:tcPr>
          <w:p w:rsidR="003B4DAE" w:rsidRPr="003B4DAE" w:rsidRDefault="003B4DAE" w:rsidP="00414312">
            <w:pPr>
              <w:pStyle w:val="SingleTxt"/>
              <w:spacing w:before="40" w:after="80" w:line="240" w:lineRule="exact"/>
              <w:ind w:left="412" w:right="0"/>
              <w:rPr>
                <w:rFonts w:cs="Traditional Arabic" w:hint="cs"/>
                <w:sz w:val="16"/>
                <w:szCs w:val="24"/>
                <w:rtl/>
              </w:rPr>
            </w:pPr>
            <w:r w:rsidRPr="003B4DAE">
              <w:rPr>
                <w:rFonts w:cs="Traditional Arabic" w:hint="cs"/>
                <w:sz w:val="16"/>
                <w:szCs w:val="24"/>
                <w:rtl/>
              </w:rPr>
              <w:t>27.5</w:t>
            </w:r>
          </w:p>
        </w:tc>
        <w:tc>
          <w:tcPr>
            <w:tcW w:w="824" w:type="dxa"/>
            <w:gridSpan w:val="2"/>
            <w:shd w:val="clear" w:color="auto" w:fill="auto"/>
            <w:vAlign w:val="bottom"/>
          </w:tcPr>
          <w:p w:rsidR="003B4DAE" w:rsidRPr="003B4DAE" w:rsidRDefault="003B4DAE" w:rsidP="00D35951">
            <w:pPr>
              <w:pStyle w:val="SingleTxt"/>
              <w:spacing w:before="40" w:after="80" w:line="240" w:lineRule="exact"/>
              <w:ind w:left="0" w:right="0"/>
              <w:rPr>
                <w:rFonts w:cs="Traditional Arabic" w:hint="cs"/>
                <w:sz w:val="16"/>
                <w:szCs w:val="24"/>
                <w:rtl/>
              </w:rPr>
            </w:pPr>
            <w:r w:rsidRPr="003B4DAE">
              <w:rPr>
                <w:rFonts w:cs="Traditional Arabic" w:hint="cs"/>
                <w:sz w:val="16"/>
                <w:szCs w:val="24"/>
                <w:rtl/>
              </w:rPr>
              <w:t>1741</w:t>
            </w:r>
          </w:p>
        </w:tc>
        <w:tc>
          <w:tcPr>
            <w:tcW w:w="1545" w:type="dxa"/>
            <w:shd w:val="clear" w:color="auto" w:fill="auto"/>
            <w:vAlign w:val="bottom"/>
          </w:tcPr>
          <w:p w:rsidR="003B4DAE" w:rsidRPr="003B4DAE" w:rsidRDefault="003B4DAE" w:rsidP="00414312">
            <w:pPr>
              <w:pStyle w:val="SingleTxt"/>
              <w:spacing w:before="40" w:after="80" w:line="240" w:lineRule="exact"/>
              <w:ind w:left="412" w:right="0"/>
              <w:rPr>
                <w:rFonts w:cs="Traditional Arabic" w:hint="cs"/>
                <w:sz w:val="16"/>
                <w:szCs w:val="24"/>
                <w:rtl/>
              </w:rPr>
            </w:pPr>
            <w:r w:rsidRPr="003B4DAE">
              <w:rPr>
                <w:rFonts w:cs="Traditional Arabic" w:hint="cs"/>
                <w:sz w:val="16"/>
                <w:szCs w:val="24"/>
                <w:rtl/>
              </w:rPr>
              <w:t>66.8</w:t>
            </w:r>
          </w:p>
        </w:tc>
        <w:tc>
          <w:tcPr>
            <w:tcW w:w="1854" w:type="dxa"/>
            <w:shd w:val="clear" w:color="auto" w:fill="auto"/>
            <w:vAlign w:val="bottom"/>
          </w:tcPr>
          <w:p w:rsidR="003B4DAE" w:rsidRPr="003B4DAE" w:rsidRDefault="003B4DAE" w:rsidP="00414312">
            <w:pPr>
              <w:pStyle w:val="SingleTxt"/>
              <w:spacing w:before="40" w:after="80" w:line="240" w:lineRule="exact"/>
              <w:ind w:left="412" w:right="0"/>
              <w:rPr>
                <w:rFonts w:cs="Traditional Arabic" w:hint="cs"/>
                <w:sz w:val="16"/>
                <w:szCs w:val="24"/>
                <w:rtl/>
              </w:rPr>
            </w:pPr>
            <w:r w:rsidRPr="003B4DAE">
              <w:rPr>
                <w:rFonts w:cs="Traditional Arabic" w:hint="cs"/>
                <w:sz w:val="16"/>
                <w:szCs w:val="24"/>
                <w:rtl/>
              </w:rPr>
              <w:t>40.5</w:t>
            </w:r>
          </w:p>
        </w:tc>
        <w:tc>
          <w:tcPr>
            <w:tcW w:w="721" w:type="dxa"/>
            <w:shd w:val="clear" w:color="auto" w:fill="auto"/>
            <w:vAlign w:val="bottom"/>
          </w:tcPr>
          <w:p w:rsidR="003B4DAE" w:rsidRPr="003B4DAE" w:rsidRDefault="003B4DAE" w:rsidP="00D35951">
            <w:pPr>
              <w:pStyle w:val="SingleTxt"/>
              <w:spacing w:before="40" w:after="80" w:line="240" w:lineRule="exact"/>
              <w:ind w:left="0" w:right="0"/>
              <w:rPr>
                <w:rFonts w:cs="Traditional Arabic" w:hint="cs"/>
                <w:sz w:val="16"/>
                <w:szCs w:val="24"/>
                <w:rtl/>
              </w:rPr>
            </w:pPr>
            <w:r w:rsidRPr="003B4DAE">
              <w:rPr>
                <w:rFonts w:cs="Traditional Arabic" w:hint="cs"/>
                <w:sz w:val="16"/>
                <w:szCs w:val="24"/>
                <w:rtl/>
              </w:rPr>
              <w:t>363</w:t>
            </w:r>
          </w:p>
        </w:tc>
      </w:tr>
      <w:tr w:rsidR="003B4DAE" w:rsidRPr="00D35951">
        <w:trPr>
          <w:cantSplit/>
          <w:jc w:val="center"/>
        </w:trPr>
        <w:tc>
          <w:tcPr>
            <w:tcW w:w="1507" w:type="dxa"/>
            <w:shd w:val="clear" w:color="auto" w:fill="auto"/>
            <w:vAlign w:val="bottom"/>
          </w:tcPr>
          <w:p w:rsidR="003B4DAE" w:rsidRPr="003B4DAE" w:rsidRDefault="003B4DAE" w:rsidP="00414312">
            <w:pPr>
              <w:pStyle w:val="SingleTxt"/>
              <w:spacing w:before="40" w:after="80" w:line="240" w:lineRule="exact"/>
              <w:ind w:left="185" w:right="144"/>
              <w:rPr>
                <w:rFonts w:cs="Traditional Arabic" w:hint="cs"/>
                <w:sz w:val="16"/>
                <w:szCs w:val="24"/>
                <w:rtl/>
              </w:rPr>
            </w:pPr>
            <w:r w:rsidRPr="003B4DAE">
              <w:rPr>
                <w:rFonts w:cs="Traditional Arabic" w:hint="cs"/>
                <w:sz w:val="16"/>
                <w:szCs w:val="24"/>
                <w:rtl/>
              </w:rPr>
              <w:t>تعليم ابتدائي/محو الأمية</w:t>
            </w:r>
          </w:p>
        </w:tc>
        <w:tc>
          <w:tcPr>
            <w:tcW w:w="1545" w:type="dxa"/>
            <w:shd w:val="clear" w:color="auto" w:fill="auto"/>
            <w:vAlign w:val="bottom"/>
          </w:tcPr>
          <w:p w:rsidR="003B4DAE" w:rsidRPr="003B4DAE" w:rsidRDefault="003B4DAE" w:rsidP="00414312">
            <w:pPr>
              <w:pStyle w:val="SingleTxt"/>
              <w:spacing w:before="40" w:after="80" w:line="240" w:lineRule="exact"/>
              <w:ind w:left="412" w:right="0"/>
              <w:rPr>
                <w:rFonts w:cs="Traditional Arabic" w:hint="cs"/>
                <w:sz w:val="16"/>
                <w:szCs w:val="24"/>
                <w:rtl/>
              </w:rPr>
            </w:pPr>
            <w:r w:rsidRPr="003B4DAE">
              <w:rPr>
                <w:rFonts w:cs="Traditional Arabic" w:hint="cs"/>
                <w:sz w:val="16"/>
                <w:szCs w:val="24"/>
                <w:rtl/>
              </w:rPr>
              <w:t>79.6</w:t>
            </w:r>
          </w:p>
        </w:tc>
        <w:tc>
          <w:tcPr>
            <w:tcW w:w="1854" w:type="dxa"/>
            <w:shd w:val="clear" w:color="auto" w:fill="auto"/>
            <w:vAlign w:val="bottom"/>
          </w:tcPr>
          <w:p w:rsidR="003B4DAE" w:rsidRPr="003B4DAE" w:rsidRDefault="003B4DAE" w:rsidP="00414312">
            <w:pPr>
              <w:pStyle w:val="SingleTxt"/>
              <w:spacing w:before="40" w:after="80" w:line="240" w:lineRule="exact"/>
              <w:ind w:left="412" w:right="0"/>
              <w:rPr>
                <w:rFonts w:cs="Traditional Arabic" w:hint="cs"/>
                <w:sz w:val="16"/>
                <w:szCs w:val="24"/>
                <w:rtl/>
              </w:rPr>
            </w:pPr>
            <w:r w:rsidRPr="003B4DAE">
              <w:rPr>
                <w:rFonts w:cs="Traditional Arabic" w:hint="cs"/>
                <w:sz w:val="16"/>
                <w:szCs w:val="24"/>
                <w:rtl/>
              </w:rPr>
              <w:t>61.5</w:t>
            </w:r>
          </w:p>
        </w:tc>
        <w:tc>
          <w:tcPr>
            <w:tcW w:w="824" w:type="dxa"/>
            <w:gridSpan w:val="2"/>
            <w:shd w:val="clear" w:color="auto" w:fill="auto"/>
            <w:vAlign w:val="bottom"/>
          </w:tcPr>
          <w:p w:rsidR="003B4DAE" w:rsidRPr="003B4DAE" w:rsidRDefault="003B4DAE" w:rsidP="00D35951">
            <w:pPr>
              <w:pStyle w:val="SingleTxt"/>
              <w:spacing w:before="40" w:after="80" w:line="240" w:lineRule="exact"/>
              <w:ind w:left="0" w:right="0"/>
              <w:rPr>
                <w:rFonts w:cs="Traditional Arabic" w:hint="cs"/>
                <w:sz w:val="16"/>
                <w:szCs w:val="24"/>
                <w:rtl/>
              </w:rPr>
            </w:pPr>
            <w:r w:rsidRPr="003B4DAE">
              <w:rPr>
                <w:rFonts w:cs="Traditional Arabic" w:hint="cs"/>
                <w:sz w:val="16"/>
                <w:szCs w:val="24"/>
                <w:rtl/>
              </w:rPr>
              <w:t>3757</w:t>
            </w:r>
          </w:p>
        </w:tc>
        <w:tc>
          <w:tcPr>
            <w:tcW w:w="1545" w:type="dxa"/>
            <w:shd w:val="clear" w:color="auto" w:fill="auto"/>
            <w:vAlign w:val="bottom"/>
          </w:tcPr>
          <w:p w:rsidR="003B4DAE" w:rsidRPr="003B4DAE" w:rsidRDefault="003B4DAE" w:rsidP="00414312">
            <w:pPr>
              <w:pStyle w:val="SingleTxt"/>
              <w:spacing w:before="40" w:after="80" w:line="240" w:lineRule="exact"/>
              <w:ind w:left="412" w:right="0"/>
              <w:rPr>
                <w:rFonts w:cs="Traditional Arabic" w:hint="cs"/>
                <w:sz w:val="16"/>
                <w:szCs w:val="24"/>
                <w:rtl/>
              </w:rPr>
            </w:pPr>
            <w:r w:rsidRPr="003B4DAE">
              <w:rPr>
                <w:rFonts w:cs="Traditional Arabic" w:hint="cs"/>
                <w:sz w:val="16"/>
                <w:szCs w:val="24"/>
                <w:rtl/>
              </w:rPr>
              <w:t>86.4</w:t>
            </w:r>
          </w:p>
        </w:tc>
        <w:tc>
          <w:tcPr>
            <w:tcW w:w="1854" w:type="dxa"/>
            <w:shd w:val="clear" w:color="auto" w:fill="auto"/>
            <w:vAlign w:val="bottom"/>
          </w:tcPr>
          <w:p w:rsidR="003B4DAE" w:rsidRPr="003B4DAE" w:rsidRDefault="003B4DAE" w:rsidP="00414312">
            <w:pPr>
              <w:pStyle w:val="SingleTxt"/>
              <w:spacing w:before="40" w:after="80" w:line="240" w:lineRule="exact"/>
              <w:ind w:left="412" w:right="0"/>
              <w:rPr>
                <w:rFonts w:cs="Traditional Arabic" w:hint="cs"/>
                <w:sz w:val="16"/>
                <w:szCs w:val="24"/>
                <w:rtl/>
              </w:rPr>
            </w:pPr>
            <w:r w:rsidRPr="003B4DAE">
              <w:rPr>
                <w:rFonts w:cs="Traditional Arabic" w:hint="cs"/>
                <w:sz w:val="16"/>
                <w:szCs w:val="24"/>
                <w:rtl/>
              </w:rPr>
              <w:t>73.3</w:t>
            </w:r>
          </w:p>
        </w:tc>
        <w:tc>
          <w:tcPr>
            <w:tcW w:w="721" w:type="dxa"/>
            <w:shd w:val="clear" w:color="auto" w:fill="auto"/>
            <w:vAlign w:val="bottom"/>
          </w:tcPr>
          <w:p w:rsidR="003B4DAE" w:rsidRPr="003B4DAE" w:rsidRDefault="003B4DAE" w:rsidP="00D35951">
            <w:pPr>
              <w:pStyle w:val="SingleTxt"/>
              <w:spacing w:before="40" w:after="80" w:line="240" w:lineRule="exact"/>
              <w:ind w:left="0" w:right="0"/>
              <w:rPr>
                <w:rFonts w:cs="Traditional Arabic" w:hint="cs"/>
                <w:sz w:val="16"/>
                <w:szCs w:val="24"/>
                <w:rtl/>
              </w:rPr>
            </w:pPr>
            <w:r w:rsidRPr="003B4DAE">
              <w:rPr>
                <w:rFonts w:cs="Traditional Arabic" w:hint="cs"/>
                <w:sz w:val="16"/>
                <w:szCs w:val="24"/>
                <w:rtl/>
              </w:rPr>
              <w:t>1088</w:t>
            </w:r>
          </w:p>
        </w:tc>
      </w:tr>
      <w:tr w:rsidR="003B4DAE" w:rsidRPr="00D35951">
        <w:trPr>
          <w:cantSplit/>
          <w:jc w:val="center"/>
        </w:trPr>
        <w:tc>
          <w:tcPr>
            <w:tcW w:w="1507" w:type="dxa"/>
            <w:tcBorders>
              <w:bottom w:val="single" w:sz="4" w:space="0" w:color="auto"/>
            </w:tcBorders>
            <w:shd w:val="clear" w:color="auto" w:fill="auto"/>
            <w:vAlign w:val="bottom"/>
          </w:tcPr>
          <w:p w:rsidR="003B4DAE" w:rsidRPr="003B4DAE" w:rsidRDefault="003B4DAE" w:rsidP="00414312">
            <w:pPr>
              <w:pStyle w:val="SingleTxt"/>
              <w:spacing w:before="40" w:after="80" w:line="240" w:lineRule="exact"/>
              <w:ind w:left="185" w:right="144"/>
              <w:rPr>
                <w:rFonts w:cs="Traditional Arabic" w:hint="cs"/>
                <w:sz w:val="16"/>
                <w:szCs w:val="24"/>
                <w:rtl/>
              </w:rPr>
            </w:pPr>
            <w:r w:rsidRPr="003B4DAE">
              <w:rPr>
                <w:rFonts w:cs="Traditional Arabic" w:hint="cs"/>
                <w:sz w:val="16"/>
                <w:szCs w:val="24"/>
                <w:rtl/>
              </w:rPr>
              <w:t>تعليم ثانوي أو مستوى أعلى</w:t>
            </w:r>
          </w:p>
        </w:tc>
        <w:tc>
          <w:tcPr>
            <w:tcW w:w="1545" w:type="dxa"/>
            <w:tcBorders>
              <w:bottom w:val="single" w:sz="4" w:space="0" w:color="auto"/>
            </w:tcBorders>
            <w:shd w:val="clear" w:color="auto" w:fill="auto"/>
            <w:vAlign w:val="bottom"/>
          </w:tcPr>
          <w:p w:rsidR="003B4DAE" w:rsidRPr="003B4DAE" w:rsidRDefault="003B4DAE" w:rsidP="00414312">
            <w:pPr>
              <w:pStyle w:val="SingleTxt"/>
              <w:spacing w:before="40" w:after="80" w:line="240" w:lineRule="exact"/>
              <w:ind w:left="412" w:right="0"/>
              <w:rPr>
                <w:rFonts w:cs="Traditional Arabic" w:hint="cs"/>
                <w:sz w:val="16"/>
                <w:szCs w:val="24"/>
                <w:rtl/>
              </w:rPr>
            </w:pPr>
            <w:r w:rsidRPr="003B4DAE">
              <w:rPr>
                <w:rFonts w:cs="Traditional Arabic" w:hint="cs"/>
                <w:sz w:val="16"/>
                <w:szCs w:val="24"/>
                <w:rtl/>
              </w:rPr>
              <w:t>98.7</w:t>
            </w:r>
          </w:p>
        </w:tc>
        <w:tc>
          <w:tcPr>
            <w:tcW w:w="1854" w:type="dxa"/>
            <w:tcBorders>
              <w:bottom w:val="single" w:sz="4" w:space="0" w:color="auto"/>
            </w:tcBorders>
            <w:shd w:val="clear" w:color="auto" w:fill="auto"/>
            <w:vAlign w:val="bottom"/>
          </w:tcPr>
          <w:p w:rsidR="003B4DAE" w:rsidRPr="003B4DAE" w:rsidRDefault="003B4DAE" w:rsidP="00414312">
            <w:pPr>
              <w:pStyle w:val="SingleTxt"/>
              <w:spacing w:before="40" w:after="80" w:line="240" w:lineRule="exact"/>
              <w:ind w:left="412" w:right="0"/>
              <w:rPr>
                <w:rFonts w:cs="Traditional Arabic" w:hint="cs"/>
                <w:sz w:val="16"/>
                <w:szCs w:val="24"/>
                <w:rtl/>
              </w:rPr>
            </w:pPr>
            <w:r w:rsidRPr="003B4DAE">
              <w:rPr>
                <w:rFonts w:cs="Traditional Arabic" w:hint="cs"/>
                <w:sz w:val="16"/>
                <w:szCs w:val="24"/>
                <w:rtl/>
              </w:rPr>
              <w:t>95.0</w:t>
            </w:r>
          </w:p>
        </w:tc>
        <w:tc>
          <w:tcPr>
            <w:tcW w:w="824" w:type="dxa"/>
            <w:gridSpan w:val="2"/>
            <w:tcBorders>
              <w:bottom w:val="single" w:sz="4" w:space="0" w:color="auto"/>
            </w:tcBorders>
            <w:shd w:val="clear" w:color="auto" w:fill="auto"/>
            <w:vAlign w:val="bottom"/>
          </w:tcPr>
          <w:p w:rsidR="003B4DAE" w:rsidRPr="003B4DAE" w:rsidRDefault="003B4DAE" w:rsidP="00D35951">
            <w:pPr>
              <w:pStyle w:val="SingleTxt"/>
              <w:spacing w:before="40" w:after="80" w:line="240" w:lineRule="exact"/>
              <w:ind w:left="0" w:right="0"/>
              <w:rPr>
                <w:rFonts w:cs="Traditional Arabic" w:hint="cs"/>
                <w:sz w:val="16"/>
                <w:szCs w:val="24"/>
                <w:rtl/>
              </w:rPr>
            </w:pPr>
            <w:r w:rsidRPr="003B4DAE">
              <w:rPr>
                <w:rFonts w:cs="Traditional Arabic" w:hint="cs"/>
                <w:sz w:val="16"/>
                <w:szCs w:val="24"/>
                <w:rtl/>
              </w:rPr>
              <w:t>2451</w:t>
            </w:r>
          </w:p>
        </w:tc>
        <w:tc>
          <w:tcPr>
            <w:tcW w:w="1545" w:type="dxa"/>
            <w:tcBorders>
              <w:bottom w:val="single" w:sz="4" w:space="0" w:color="auto"/>
            </w:tcBorders>
            <w:shd w:val="clear" w:color="auto" w:fill="auto"/>
            <w:vAlign w:val="bottom"/>
          </w:tcPr>
          <w:p w:rsidR="003B4DAE" w:rsidRPr="003B4DAE" w:rsidRDefault="003B4DAE" w:rsidP="00414312">
            <w:pPr>
              <w:pStyle w:val="SingleTxt"/>
              <w:spacing w:before="40" w:after="80" w:line="240" w:lineRule="exact"/>
              <w:ind w:left="412" w:right="0"/>
              <w:rPr>
                <w:rFonts w:cs="Traditional Arabic" w:hint="cs"/>
                <w:sz w:val="16"/>
                <w:szCs w:val="24"/>
                <w:rtl/>
              </w:rPr>
            </w:pPr>
            <w:r w:rsidRPr="003B4DAE">
              <w:rPr>
                <w:rFonts w:cs="Traditional Arabic" w:hint="cs"/>
                <w:sz w:val="16"/>
                <w:szCs w:val="24"/>
                <w:rtl/>
              </w:rPr>
              <w:t>99.6</w:t>
            </w:r>
          </w:p>
        </w:tc>
        <w:tc>
          <w:tcPr>
            <w:tcW w:w="1854" w:type="dxa"/>
            <w:tcBorders>
              <w:bottom w:val="single" w:sz="4" w:space="0" w:color="auto"/>
            </w:tcBorders>
            <w:shd w:val="clear" w:color="auto" w:fill="auto"/>
            <w:vAlign w:val="bottom"/>
          </w:tcPr>
          <w:p w:rsidR="003B4DAE" w:rsidRPr="003B4DAE" w:rsidRDefault="003B4DAE" w:rsidP="00414312">
            <w:pPr>
              <w:pStyle w:val="SingleTxt"/>
              <w:spacing w:before="40" w:after="80" w:line="240" w:lineRule="exact"/>
              <w:ind w:left="412" w:right="0"/>
              <w:rPr>
                <w:rFonts w:cs="Traditional Arabic" w:hint="cs"/>
                <w:sz w:val="16"/>
                <w:szCs w:val="24"/>
                <w:rtl/>
              </w:rPr>
            </w:pPr>
            <w:r w:rsidRPr="003B4DAE">
              <w:rPr>
                <w:rFonts w:cs="Traditional Arabic" w:hint="cs"/>
                <w:sz w:val="16"/>
                <w:szCs w:val="24"/>
                <w:rtl/>
              </w:rPr>
              <w:t>98.0</w:t>
            </w:r>
          </w:p>
        </w:tc>
        <w:tc>
          <w:tcPr>
            <w:tcW w:w="721" w:type="dxa"/>
            <w:tcBorders>
              <w:bottom w:val="single" w:sz="4" w:space="0" w:color="auto"/>
            </w:tcBorders>
            <w:shd w:val="clear" w:color="auto" w:fill="auto"/>
            <w:vAlign w:val="bottom"/>
          </w:tcPr>
          <w:p w:rsidR="003B4DAE" w:rsidRPr="003B4DAE" w:rsidRDefault="003B4DAE" w:rsidP="00D35951">
            <w:pPr>
              <w:pStyle w:val="SingleTxt"/>
              <w:spacing w:before="40" w:after="80" w:line="240" w:lineRule="exact"/>
              <w:ind w:left="0" w:right="0"/>
              <w:rPr>
                <w:rFonts w:cs="Traditional Arabic" w:hint="cs"/>
                <w:sz w:val="16"/>
                <w:szCs w:val="24"/>
                <w:rtl/>
              </w:rPr>
            </w:pPr>
            <w:r w:rsidRPr="003B4DAE">
              <w:rPr>
                <w:rFonts w:cs="Traditional Arabic" w:hint="cs"/>
                <w:sz w:val="16"/>
                <w:szCs w:val="24"/>
                <w:rtl/>
              </w:rPr>
              <w:t>765</w:t>
            </w:r>
          </w:p>
        </w:tc>
      </w:tr>
      <w:tr w:rsidR="003B4DAE" w:rsidRPr="00414312">
        <w:trPr>
          <w:cantSplit/>
          <w:jc w:val="center"/>
        </w:trPr>
        <w:tc>
          <w:tcPr>
            <w:tcW w:w="1507" w:type="dxa"/>
            <w:tcBorders>
              <w:top w:val="single" w:sz="4" w:space="0" w:color="auto"/>
              <w:bottom w:val="single" w:sz="12" w:space="0" w:color="auto"/>
            </w:tcBorders>
            <w:shd w:val="clear" w:color="auto" w:fill="auto"/>
            <w:vAlign w:val="bottom"/>
          </w:tcPr>
          <w:p w:rsidR="003B4DAE" w:rsidRPr="00414312" w:rsidRDefault="003B4DAE" w:rsidP="00414312">
            <w:pPr>
              <w:pStyle w:val="SingleTxt"/>
              <w:spacing w:before="40" w:after="80" w:line="240" w:lineRule="exact"/>
              <w:ind w:left="0" w:right="144"/>
              <w:rPr>
                <w:rFonts w:cs="Traditional Arabic" w:hint="cs"/>
                <w:b/>
                <w:bCs/>
                <w:sz w:val="16"/>
                <w:szCs w:val="24"/>
                <w:rtl/>
              </w:rPr>
            </w:pPr>
            <w:r w:rsidRPr="00414312">
              <w:rPr>
                <w:rFonts w:cs="Traditional Arabic" w:hint="cs"/>
                <w:b/>
                <w:bCs/>
                <w:sz w:val="16"/>
                <w:szCs w:val="24"/>
                <w:rtl/>
              </w:rPr>
              <w:t>المجموع</w:t>
            </w:r>
          </w:p>
        </w:tc>
        <w:tc>
          <w:tcPr>
            <w:tcW w:w="1545" w:type="dxa"/>
            <w:tcBorders>
              <w:top w:val="single" w:sz="4" w:space="0" w:color="auto"/>
              <w:bottom w:val="single" w:sz="12" w:space="0" w:color="auto"/>
            </w:tcBorders>
            <w:shd w:val="clear" w:color="auto" w:fill="auto"/>
            <w:vAlign w:val="bottom"/>
          </w:tcPr>
          <w:p w:rsidR="003B4DAE" w:rsidRPr="00414312" w:rsidRDefault="003B4DAE" w:rsidP="00414312">
            <w:pPr>
              <w:pStyle w:val="SingleTxt"/>
              <w:spacing w:before="40" w:after="80" w:line="240" w:lineRule="exact"/>
              <w:ind w:left="412" w:right="0"/>
              <w:rPr>
                <w:rFonts w:cs="Traditional Arabic" w:hint="cs"/>
                <w:b/>
                <w:bCs/>
                <w:sz w:val="16"/>
                <w:szCs w:val="24"/>
                <w:rtl/>
              </w:rPr>
            </w:pPr>
            <w:r w:rsidRPr="00414312">
              <w:rPr>
                <w:rFonts w:cs="Traditional Arabic" w:hint="cs"/>
                <w:b/>
                <w:bCs/>
                <w:sz w:val="16"/>
                <w:szCs w:val="24"/>
                <w:rtl/>
              </w:rPr>
              <w:t>79.0</w:t>
            </w:r>
          </w:p>
        </w:tc>
        <w:tc>
          <w:tcPr>
            <w:tcW w:w="1854" w:type="dxa"/>
            <w:tcBorders>
              <w:top w:val="single" w:sz="4" w:space="0" w:color="auto"/>
              <w:bottom w:val="single" w:sz="12" w:space="0" w:color="auto"/>
            </w:tcBorders>
            <w:shd w:val="clear" w:color="auto" w:fill="auto"/>
            <w:vAlign w:val="bottom"/>
          </w:tcPr>
          <w:p w:rsidR="003B4DAE" w:rsidRPr="00414312" w:rsidRDefault="003B4DAE" w:rsidP="00414312">
            <w:pPr>
              <w:pStyle w:val="SingleTxt"/>
              <w:spacing w:before="40" w:after="80" w:line="240" w:lineRule="exact"/>
              <w:ind w:left="412" w:right="0"/>
              <w:rPr>
                <w:rFonts w:cs="Traditional Arabic" w:hint="cs"/>
                <w:b/>
                <w:bCs/>
                <w:sz w:val="16"/>
                <w:szCs w:val="24"/>
                <w:rtl/>
              </w:rPr>
            </w:pPr>
            <w:r w:rsidRPr="00414312">
              <w:rPr>
                <w:rFonts w:cs="Traditional Arabic" w:hint="cs"/>
                <w:b/>
                <w:bCs/>
                <w:sz w:val="16"/>
                <w:szCs w:val="24"/>
                <w:rtl/>
              </w:rPr>
              <w:t>64.4</w:t>
            </w:r>
          </w:p>
        </w:tc>
        <w:tc>
          <w:tcPr>
            <w:tcW w:w="824" w:type="dxa"/>
            <w:gridSpan w:val="2"/>
            <w:tcBorders>
              <w:top w:val="single" w:sz="4" w:space="0" w:color="auto"/>
              <w:bottom w:val="single" w:sz="12" w:space="0" w:color="auto"/>
            </w:tcBorders>
            <w:shd w:val="clear" w:color="auto" w:fill="auto"/>
            <w:vAlign w:val="bottom"/>
          </w:tcPr>
          <w:p w:rsidR="003B4DAE" w:rsidRPr="00414312" w:rsidRDefault="003B4DAE" w:rsidP="00D35951">
            <w:pPr>
              <w:pStyle w:val="SingleTxt"/>
              <w:spacing w:before="40" w:after="80" w:line="240" w:lineRule="exact"/>
              <w:ind w:left="0" w:right="0"/>
              <w:rPr>
                <w:rFonts w:cs="Traditional Arabic" w:hint="cs"/>
                <w:b/>
                <w:bCs/>
                <w:sz w:val="16"/>
                <w:szCs w:val="24"/>
                <w:rtl/>
              </w:rPr>
            </w:pPr>
            <w:r w:rsidRPr="00414312">
              <w:rPr>
                <w:rFonts w:cs="Traditional Arabic" w:hint="cs"/>
                <w:b/>
                <w:bCs/>
                <w:sz w:val="16"/>
                <w:szCs w:val="24"/>
                <w:rtl/>
              </w:rPr>
              <w:t>7949</w:t>
            </w:r>
          </w:p>
        </w:tc>
        <w:tc>
          <w:tcPr>
            <w:tcW w:w="1545" w:type="dxa"/>
            <w:tcBorders>
              <w:top w:val="single" w:sz="4" w:space="0" w:color="auto"/>
              <w:bottom w:val="single" w:sz="12" w:space="0" w:color="auto"/>
            </w:tcBorders>
            <w:shd w:val="clear" w:color="auto" w:fill="auto"/>
            <w:vAlign w:val="bottom"/>
          </w:tcPr>
          <w:p w:rsidR="003B4DAE" w:rsidRPr="00414312" w:rsidRDefault="003B4DAE" w:rsidP="00414312">
            <w:pPr>
              <w:pStyle w:val="SingleTxt"/>
              <w:spacing w:before="40" w:after="80" w:line="240" w:lineRule="exact"/>
              <w:ind w:left="412" w:right="0"/>
              <w:rPr>
                <w:rFonts w:cs="Traditional Arabic" w:hint="cs"/>
                <w:b/>
                <w:bCs/>
                <w:sz w:val="16"/>
                <w:szCs w:val="24"/>
                <w:rtl/>
              </w:rPr>
            </w:pPr>
            <w:r w:rsidRPr="00414312">
              <w:rPr>
                <w:rFonts w:cs="Traditional Arabic" w:hint="cs"/>
                <w:b/>
                <w:bCs/>
                <w:sz w:val="16"/>
                <w:szCs w:val="24"/>
                <w:rtl/>
              </w:rPr>
              <w:t>87.7</w:t>
            </w:r>
          </w:p>
        </w:tc>
        <w:tc>
          <w:tcPr>
            <w:tcW w:w="1854" w:type="dxa"/>
            <w:tcBorders>
              <w:top w:val="single" w:sz="4" w:space="0" w:color="auto"/>
              <w:bottom w:val="single" w:sz="12" w:space="0" w:color="auto"/>
            </w:tcBorders>
            <w:shd w:val="clear" w:color="auto" w:fill="auto"/>
            <w:vAlign w:val="bottom"/>
          </w:tcPr>
          <w:p w:rsidR="003B4DAE" w:rsidRPr="00414312" w:rsidRDefault="003B4DAE" w:rsidP="00414312">
            <w:pPr>
              <w:pStyle w:val="SingleTxt"/>
              <w:spacing w:before="40" w:after="80" w:line="240" w:lineRule="exact"/>
              <w:ind w:left="412" w:right="0"/>
              <w:rPr>
                <w:rFonts w:cs="Traditional Arabic" w:hint="cs"/>
                <w:b/>
                <w:bCs/>
                <w:sz w:val="16"/>
                <w:szCs w:val="24"/>
                <w:rtl/>
              </w:rPr>
            </w:pPr>
            <w:r w:rsidRPr="00414312">
              <w:rPr>
                <w:rFonts w:cs="Traditional Arabic" w:hint="cs"/>
                <w:b/>
                <w:bCs/>
                <w:sz w:val="16"/>
                <w:szCs w:val="24"/>
                <w:rtl/>
              </w:rPr>
              <w:t>76.4</w:t>
            </w:r>
          </w:p>
        </w:tc>
        <w:tc>
          <w:tcPr>
            <w:tcW w:w="721" w:type="dxa"/>
            <w:tcBorders>
              <w:top w:val="single" w:sz="4" w:space="0" w:color="auto"/>
              <w:bottom w:val="single" w:sz="12" w:space="0" w:color="auto"/>
            </w:tcBorders>
            <w:shd w:val="clear" w:color="auto" w:fill="auto"/>
            <w:vAlign w:val="bottom"/>
          </w:tcPr>
          <w:p w:rsidR="003B4DAE" w:rsidRPr="00414312" w:rsidRDefault="003B4DAE" w:rsidP="00D35951">
            <w:pPr>
              <w:pStyle w:val="SingleTxt"/>
              <w:spacing w:before="40" w:after="80" w:line="240" w:lineRule="exact"/>
              <w:ind w:left="0" w:right="0"/>
              <w:rPr>
                <w:rFonts w:cs="Traditional Arabic" w:hint="cs"/>
                <w:b/>
                <w:bCs/>
                <w:sz w:val="16"/>
                <w:szCs w:val="24"/>
                <w:rtl/>
              </w:rPr>
            </w:pPr>
            <w:r w:rsidRPr="00414312">
              <w:rPr>
                <w:rFonts w:cs="Traditional Arabic" w:hint="cs"/>
                <w:b/>
                <w:bCs/>
                <w:sz w:val="16"/>
                <w:szCs w:val="24"/>
                <w:rtl/>
              </w:rPr>
              <w:t>2216</w:t>
            </w:r>
          </w:p>
        </w:tc>
      </w:tr>
    </w:tbl>
    <w:p w:rsidR="00DA6060" w:rsidRPr="00DA6060" w:rsidRDefault="00DA6060" w:rsidP="00DA6060">
      <w:pPr>
        <w:pStyle w:val="SingleTxt"/>
        <w:spacing w:after="0" w:line="120" w:lineRule="exact"/>
        <w:rPr>
          <w:rFonts w:hint="cs"/>
          <w:b/>
          <w:bCs/>
          <w:sz w:val="10"/>
          <w:rtl/>
        </w:rPr>
      </w:pPr>
    </w:p>
    <w:p w:rsidR="00382E75" w:rsidRPr="00557198" w:rsidRDefault="00382E75" w:rsidP="00382E75">
      <w:pPr>
        <w:pStyle w:val="FootnoteText"/>
        <w:tabs>
          <w:tab w:val="clear" w:pos="418"/>
          <w:tab w:val="right" w:pos="662"/>
          <w:tab w:val="left" w:pos="763"/>
          <w:tab w:val="left" w:pos="1210"/>
          <w:tab w:val="left" w:pos="1685"/>
          <w:tab w:val="left" w:pos="2174"/>
          <w:tab w:val="left" w:pos="2650"/>
        </w:tabs>
        <w:spacing w:after="80"/>
        <w:ind w:left="763" w:right="0" w:hanging="763"/>
        <w:rPr>
          <w:rFonts w:hint="cs"/>
          <w:rtl/>
        </w:rPr>
      </w:pPr>
      <w:r>
        <w:rPr>
          <w:rFonts w:hint="cs"/>
          <w:rtl/>
        </w:rPr>
        <w:tab/>
      </w:r>
      <w:r w:rsidRPr="00382E75">
        <w:rPr>
          <w:rFonts w:hint="cs"/>
          <w:i/>
          <w:iCs/>
          <w:rtl/>
        </w:rPr>
        <w:t>المصدر</w:t>
      </w:r>
      <w:r>
        <w:rPr>
          <w:rFonts w:hint="cs"/>
          <w:rtl/>
        </w:rPr>
        <w:t>:</w:t>
      </w:r>
      <w:r>
        <w:rPr>
          <w:rFonts w:hint="cs"/>
          <w:rtl/>
        </w:rPr>
        <w:tab/>
      </w:r>
      <w:r w:rsidRPr="00557198">
        <w:rPr>
          <w:rFonts w:hint="cs"/>
          <w:rtl/>
        </w:rPr>
        <w:t>وزارة الصحة</w:t>
      </w:r>
      <w:r>
        <w:rPr>
          <w:rFonts w:hint="cs"/>
          <w:rtl/>
        </w:rPr>
        <w:t>، تخطيط الأسرة والحماية الاجتماعية. تحقيق الصحة الديمغرافية 2003-2004.</w:t>
      </w:r>
    </w:p>
    <w:p w:rsidR="00382E75" w:rsidRPr="00382E75" w:rsidRDefault="00382E75" w:rsidP="00382E75">
      <w:pPr>
        <w:pStyle w:val="SingleTxt"/>
        <w:spacing w:after="0" w:line="120" w:lineRule="exact"/>
        <w:rPr>
          <w:rFonts w:hint="cs"/>
          <w:b/>
          <w:bCs/>
          <w:sz w:val="10"/>
          <w:rtl/>
        </w:rPr>
      </w:pPr>
    </w:p>
    <w:p w:rsidR="00DA6060" w:rsidRPr="00DA6060" w:rsidRDefault="00DA6060" w:rsidP="00DA6060">
      <w:pPr>
        <w:pStyle w:val="SingleTxt"/>
        <w:spacing w:after="0" w:line="120" w:lineRule="exact"/>
        <w:rPr>
          <w:rFonts w:hint="cs"/>
          <w:b/>
          <w:bCs/>
          <w:sz w:val="10"/>
          <w:rtl/>
        </w:rPr>
      </w:pPr>
    </w:p>
    <w:p w:rsidR="00BA462B" w:rsidRDefault="00C35CB1" w:rsidP="00C35CB1">
      <w:pPr>
        <w:pStyle w:val="SingleTxt"/>
        <w:rPr>
          <w:rFonts w:hint="cs"/>
          <w:b/>
          <w:bCs/>
          <w:rtl/>
        </w:rPr>
      </w:pPr>
      <w:r w:rsidRPr="00C35CB1">
        <w:rPr>
          <w:rFonts w:hint="cs"/>
          <w:b/>
          <w:bCs/>
          <w:rtl/>
        </w:rPr>
        <w:t xml:space="preserve">المشاركة في الحياة السياسية </w:t>
      </w:r>
      <w:r w:rsidR="00D666E0">
        <w:rPr>
          <w:rFonts w:hint="cs"/>
          <w:b/>
          <w:bCs/>
          <w:rtl/>
        </w:rPr>
        <w:t>و</w:t>
      </w:r>
      <w:r w:rsidRPr="00C35CB1">
        <w:rPr>
          <w:rFonts w:hint="cs"/>
          <w:b/>
          <w:bCs/>
          <w:rtl/>
        </w:rPr>
        <w:t xml:space="preserve">الحياة العامة </w:t>
      </w:r>
      <w:r w:rsidR="00D666E0">
        <w:rPr>
          <w:rFonts w:hint="cs"/>
          <w:b/>
          <w:bCs/>
          <w:rtl/>
        </w:rPr>
        <w:t>و</w:t>
      </w:r>
      <w:r w:rsidRPr="00C35CB1">
        <w:rPr>
          <w:rFonts w:hint="cs"/>
          <w:b/>
          <w:bCs/>
          <w:rtl/>
        </w:rPr>
        <w:t>في عمليات اتخاذ القرار</w:t>
      </w:r>
    </w:p>
    <w:p w:rsidR="00BA462B" w:rsidRDefault="00C35CB1" w:rsidP="00C35CB1">
      <w:pPr>
        <w:pStyle w:val="SingleTxt"/>
        <w:rPr>
          <w:rFonts w:hint="cs"/>
          <w:rtl/>
        </w:rPr>
      </w:pPr>
      <w:r w:rsidRPr="00C35CB1">
        <w:rPr>
          <w:rFonts w:hint="cs"/>
          <w:rtl/>
        </w:rPr>
        <w:t>24</w:t>
      </w:r>
      <w:r w:rsidR="00D666E0">
        <w:rPr>
          <w:rFonts w:hint="cs"/>
          <w:rtl/>
        </w:rPr>
        <w:t xml:space="preserve"> -</w:t>
      </w:r>
      <w:r w:rsidR="00D666E0">
        <w:rPr>
          <w:rFonts w:hint="cs"/>
          <w:rtl/>
        </w:rPr>
        <w:tab/>
      </w:r>
      <w:r w:rsidRPr="00C35CB1">
        <w:rPr>
          <w:rFonts w:hint="cs"/>
          <w:rtl/>
        </w:rPr>
        <w:t>بغية إعلام النساء بحقوقهن في المشاركة في الحياة العامة، نظمت الدولة سلسلة من حلقات العمل لتدريب النساء في ميدان القيادة</w:t>
      </w:r>
      <w:r w:rsidR="0015762F">
        <w:rPr>
          <w:rFonts w:hint="cs"/>
          <w:rtl/>
        </w:rPr>
        <w:t>،</w:t>
      </w:r>
      <w:r w:rsidRPr="00C35CB1">
        <w:rPr>
          <w:rFonts w:hint="cs"/>
          <w:rtl/>
        </w:rPr>
        <w:t xml:space="preserve"> بمن فيهن رئيسات البلديات </w:t>
      </w:r>
      <w:r w:rsidR="00D666E0">
        <w:rPr>
          <w:rFonts w:hint="cs"/>
          <w:rtl/>
        </w:rPr>
        <w:t>و</w:t>
      </w:r>
      <w:r w:rsidR="00E71DD0">
        <w:rPr>
          <w:rFonts w:hint="cs"/>
          <w:rtl/>
        </w:rPr>
        <w:t>رئيسات</w:t>
      </w:r>
      <w:r w:rsidR="00E71DD0">
        <w:rPr>
          <w:rFonts w:hint="eastAsia"/>
          <w:rtl/>
        </w:rPr>
        <w:t> </w:t>
      </w:r>
      <w:r w:rsidRPr="00C35CB1">
        <w:rPr>
          <w:rFonts w:hint="cs"/>
          <w:rtl/>
        </w:rPr>
        <w:t xml:space="preserve">الأحياء. </w:t>
      </w:r>
    </w:p>
    <w:p w:rsidR="00C35CB1" w:rsidRPr="00C35CB1" w:rsidRDefault="00C35CB1" w:rsidP="0015762F">
      <w:pPr>
        <w:pStyle w:val="SingleTxt"/>
        <w:rPr>
          <w:rFonts w:hint="cs"/>
          <w:rtl/>
        </w:rPr>
      </w:pPr>
      <w:r w:rsidRPr="00C35CB1">
        <w:rPr>
          <w:rFonts w:hint="cs"/>
          <w:rtl/>
        </w:rPr>
        <w:t>25</w:t>
      </w:r>
      <w:r w:rsidR="00D666E0">
        <w:rPr>
          <w:rFonts w:hint="cs"/>
          <w:rtl/>
        </w:rPr>
        <w:t xml:space="preserve"> -</w:t>
      </w:r>
      <w:r w:rsidR="00D666E0">
        <w:rPr>
          <w:rFonts w:hint="cs"/>
          <w:rtl/>
        </w:rPr>
        <w:tab/>
      </w:r>
      <w:r w:rsidRPr="00C35CB1">
        <w:rPr>
          <w:rFonts w:hint="cs"/>
          <w:rtl/>
        </w:rPr>
        <w:t xml:space="preserve">لا يوجد تمييز في مجال حصول النساء على مناصب في القطاع العام، </w:t>
      </w:r>
      <w:r w:rsidR="00D666E0">
        <w:rPr>
          <w:rFonts w:hint="cs"/>
          <w:rtl/>
        </w:rPr>
        <w:t>و</w:t>
      </w:r>
      <w:r w:rsidRPr="00C35CB1">
        <w:rPr>
          <w:rFonts w:hint="cs"/>
          <w:rtl/>
        </w:rPr>
        <w:t xml:space="preserve">يتبين من النتائج المسجّلة لمختلف الامتحانات التنافسية لدخول الخدمة المدنية أن معدل نجاح المرشحات مرتفع. </w:t>
      </w:r>
      <w:r w:rsidR="00D666E0">
        <w:rPr>
          <w:rFonts w:hint="cs"/>
          <w:rtl/>
        </w:rPr>
        <w:t>و</w:t>
      </w:r>
      <w:r w:rsidRPr="00C35CB1">
        <w:rPr>
          <w:rFonts w:hint="cs"/>
          <w:rtl/>
        </w:rPr>
        <w:t xml:space="preserve">بالتالي، فإن عدم وجود حصة مخصصة للنساء مبرّر في هذا الميدان. </w:t>
      </w:r>
      <w:r w:rsidR="00D666E0">
        <w:rPr>
          <w:rFonts w:hint="cs"/>
          <w:rtl/>
        </w:rPr>
        <w:t>و</w:t>
      </w:r>
      <w:r w:rsidRPr="00C35CB1">
        <w:rPr>
          <w:rFonts w:hint="cs"/>
          <w:rtl/>
        </w:rPr>
        <w:t>لم</w:t>
      </w:r>
      <w:r w:rsidR="00DA6060">
        <w:rPr>
          <w:rFonts w:hint="cs"/>
          <w:rtl/>
        </w:rPr>
        <w:t> </w:t>
      </w:r>
      <w:r w:rsidRPr="00C35CB1">
        <w:rPr>
          <w:rFonts w:hint="cs"/>
          <w:rtl/>
        </w:rPr>
        <w:t xml:space="preserve">ينفك عدد النساء اللاتي يشغلن مناصب تحمل المسؤولية يزداد منذ ما لا يقل عن عقد كامل </w:t>
      </w:r>
      <w:r w:rsidR="00DA6060">
        <w:rPr>
          <w:rFonts w:hint="cs"/>
          <w:rtl/>
        </w:rPr>
        <w:t>-</w:t>
      </w:r>
      <w:r w:rsidRPr="00C35CB1">
        <w:rPr>
          <w:rFonts w:hint="cs"/>
          <w:rtl/>
        </w:rPr>
        <w:t xml:space="preserve"> رئيسات إقليم، مديرات عامة، وزيرات.</w:t>
      </w:r>
    </w:p>
    <w:p w:rsidR="00BA462B" w:rsidRDefault="00414312" w:rsidP="00C35CB1">
      <w:pPr>
        <w:pStyle w:val="SingleTxt"/>
        <w:rPr>
          <w:rFonts w:hint="cs"/>
          <w:rtl/>
        </w:rPr>
      </w:pPr>
      <w:r>
        <w:rPr>
          <w:rFonts w:hint="cs"/>
          <w:rtl/>
        </w:rPr>
        <w:tab/>
      </w:r>
      <w:r w:rsidR="00D666E0">
        <w:rPr>
          <w:rFonts w:hint="cs"/>
          <w:rtl/>
        </w:rPr>
        <w:t>و</w:t>
      </w:r>
      <w:r w:rsidR="00C35CB1" w:rsidRPr="00C35CB1">
        <w:rPr>
          <w:rFonts w:hint="cs"/>
          <w:rtl/>
        </w:rPr>
        <w:t xml:space="preserve">في الوقت الحاضر ترأس امرأتان وزارتين رئيسيتين هما وزارتا العدل </w:t>
      </w:r>
      <w:r w:rsidR="00D666E0">
        <w:rPr>
          <w:rFonts w:hint="cs"/>
          <w:rtl/>
        </w:rPr>
        <w:t>و</w:t>
      </w:r>
      <w:r w:rsidR="00C35CB1" w:rsidRPr="00C35CB1">
        <w:rPr>
          <w:rFonts w:hint="cs"/>
          <w:rtl/>
        </w:rPr>
        <w:t>الدفاع</w:t>
      </w:r>
      <w:r w:rsidR="0015762F">
        <w:rPr>
          <w:rFonts w:hint="cs"/>
          <w:rtl/>
        </w:rPr>
        <w:t>.</w:t>
      </w:r>
      <w:r w:rsidR="00C35CB1" w:rsidRPr="00C35CB1">
        <w:rPr>
          <w:rFonts w:hint="cs"/>
          <w:rtl/>
        </w:rPr>
        <w:t xml:space="preserve"> </w:t>
      </w:r>
    </w:p>
    <w:p w:rsidR="00BA462B" w:rsidRDefault="00C35CB1" w:rsidP="00765A56">
      <w:pPr>
        <w:pStyle w:val="SingleTxt"/>
        <w:rPr>
          <w:rFonts w:hint="cs"/>
          <w:rtl/>
        </w:rPr>
      </w:pPr>
      <w:r w:rsidRPr="00C35CB1">
        <w:rPr>
          <w:rFonts w:hint="cs"/>
          <w:rtl/>
        </w:rPr>
        <w:t>26</w:t>
      </w:r>
      <w:r w:rsidR="00D666E0">
        <w:rPr>
          <w:rFonts w:hint="cs"/>
          <w:rtl/>
        </w:rPr>
        <w:t xml:space="preserve"> -</w:t>
      </w:r>
      <w:r w:rsidR="00D666E0">
        <w:rPr>
          <w:rFonts w:hint="cs"/>
          <w:rtl/>
        </w:rPr>
        <w:tab/>
        <w:t>و</w:t>
      </w:r>
      <w:r w:rsidRPr="00C35CB1">
        <w:rPr>
          <w:rFonts w:hint="cs"/>
          <w:rtl/>
        </w:rPr>
        <w:t>في الانتخابات الرئاسية الأخيرة</w:t>
      </w:r>
      <w:r w:rsidR="00765A56">
        <w:rPr>
          <w:rFonts w:hint="cs"/>
          <w:rtl/>
        </w:rPr>
        <w:t xml:space="preserve"> </w:t>
      </w:r>
      <w:r w:rsidRPr="00C35CB1">
        <w:rPr>
          <w:rFonts w:hint="cs"/>
          <w:rtl/>
        </w:rPr>
        <w:t xml:space="preserve">تضمّنت قائمة المرشحين امرأتين. </w:t>
      </w:r>
      <w:r w:rsidR="00D666E0">
        <w:rPr>
          <w:rFonts w:hint="cs"/>
          <w:rtl/>
        </w:rPr>
        <w:t>و</w:t>
      </w:r>
      <w:r w:rsidRPr="00C35CB1">
        <w:rPr>
          <w:rFonts w:hint="cs"/>
          <w:rtl/>
        </w:rPr>
        <w:t>يتبيّن من هذا</w:t>
      </w:r>
      <w:r w:rsidR="00765A56">
        <w:rPr>
          <w:rFonts w:hint="cs"/>
          <w:rtl/>
        </w:rPr>
        <w:t xml:space="preserve"> </w:t>
      </w:r>
      <w:r w:rsidRPr="00C35CB1">
        <w:rPr>
          <w:rFonts w:hint="cs"/>
          <w:rtl/>
        </w:rPr>
        <w:t>عزم المرأة على بلوغ أعلى مستوى في ممارسة الوظيفة الانتخابية.</w:t>
      </w:r>
    </w:p>
    <w:p w:rsidR="00BA462B" w:rsidRDefault="003039EF" w:rsidP="00C35CB1">
      <w:pPr>
        <w:pStyle w:val="SingleTxt"/>
        <w:rPr>
          <w:rFonts w:hint="cs"/>
          <w:rtl/>
        </w:rPr>
      </w:pPr>
      <w:r>
        <w:rPr>
          <w:rFonts w:hint="cs"/>
          <w:rtl/>
        </w:rPr>
        <w:tab/>
      </w:r>
      <w:r w:rsidR="00D666E0">
        <w:rPr>
          <w:rFonts w:hint="cs"/>
          <w:rtl/>
        </w:rPr>
        <w:t>و</w:t>
      </w:r>
      <w:r w:rsidR="00C35CB1" w:rsidRPr="00C35CB1">
        <w:rPr>
          <w:rFonts w:hint="cs"/>
          <w:rtl/>
        </w:rPr>
        <w:t>قد نتج الهبوط في عدد البرلمانيات عن اتباع أسلوب الانتخابات العامة. بيد أنه تم مقابل ذلك انتخاب عدد كبير من النساء على صعيد البلديات.</w:t>
      </w:r>
    </w:p>
    <w:p w:rsidR="00BA462B" w:rsidRDefault="00C35CB1" w:rsidP="00DA6060">
      <w:pPr>
        <w:pStyle w:val="SingleTxt"/>
        <w:rPr>
          <w:rFonts w:hint="cs"/>
          <w:rtl/>
        </w:rPr>
      </w:pPr>
      <w:r w:rsidRPr="00C35CB1">
        <w:rPr>
          <w:rFonts w:hint="cs"/>
          <w:rtl/>
        </w:rPr>
        <w:t>27</w:t>
      </w:r>
      <w:r w:rsidR="00D666E0">
        <w:rPr>
          <w:rFonts w:hint="cs"/>
          <w:rtl/>
        </w:rPr>
        <w:t xml:space="preserve"> -</w:t>
      </w:r>
      <w:r w:rsidR="00D666E0">
        <w:rPr>
          <w:rFonts w:hint="cs"/>
          <w:rtl/>
        </w:rPr>
        <w:tab/>
        <w:t>و</w:t>
      </w:r>
      <w:r w:rsidRPr="00C35CB1">
        <w:rPr>
          <w:rFonts w:hint="cs"/>
          <w:rtl/>
        </w:rPr>
        <w:t xml:space="preserve">صدّقت مدغشقر في عام 2005 على اتفاقية مناهضة التعذيب </w:t>
      </w:r>
      <w:r w:rsidR="00D666E0">
        <w:rPr>
          <w:rFonts w:hint="cs"/>
          <w:rtl/>
        </w:rPr>
        <w:t>و</w:t>
      </w:r>
      <w:r w:rsidRPr="00C35CB1">
        <w:rPr>
          <w:rFonts w:hint="cs"/>
          <w:rtl/>
        </w:rPr>
        <w:t xml:space="preserve">غيره من العقوبات القاسية </w:t>
      </w:r>
      <w:r w:rsidR="00D666E0">
        <w:rPr>
          <w:rFonts w:hint="cs"/>
          <w:rtl/>
        </w:rPr>
        <w:t>و</w:t>
      </w:r>
      <w:r w:rsidRPr="00C35CB1">
        <w:rPr>
          <w:rFonts w:hint="cs"/>
          <w:rtl/>
        </w:rPr>
        <w:t>اللا</w:t>
      </w:r>
      <w:r w:rsidR="00DA6060">
        <w:rPr>
          <w:rFonts w:hint="cs"/>
          <w:rtl/>
        </w:rPr>
        <w:t>إ</w:t>
      </w:r>
      <w:r w:rsidRPr="00C35CB1">
        <w:rPr>
          <w:rFonts w:hint="cs"/>
          <w:rtl/>
        </w:rPr>
        <w:t>نسانية</w:t>
      </w:r>
      <w:r w:rsidR="00765A56">
        <w:rPr>
          <w:rFonts w:hint="cs"/>
          <w:rtl/>
        </w:rPr>
        <w:t xml:space="preserve"> </w:t>
      </w:r>
      <w:r w:rsidR="00D666E0">
        <w:rPr>
          <w:rFonts w:hint="cs"/>
          <w:rtl/>
        </w:rPr>
        <w:t>و</w:t>
      </w:r>
      <w:r w:rsidRPr="00C35CB1">
        <w:rPr>
          <w:rFonts w:hint="cs"/>
          <w:rtl/>
        </w:rPr>
        <w:t xml:space="preserve">المهينة. </w:t>
      </w:r>
      <w:r w:rsidR="00D666E0">
        <w:rPr>
          <w:rFonts w:hint="cs"/>
          <w:rtl/>
        </w:rPr>
        <w:t>و</w:t>
      </w:r>
      <w:r w:rsidRPr="00C35CB1">
        <w:rPr>
          <w:rFonts w:hint="cs"/>
          <w:rtl/>
        </w:rPr>
        <w:t>تم مؤخرا اعتماد قانون إدراج أحكام تلك الاتفاقية في القانون الوطني</w:t>
      </w:r>
      <w:r w:rsidR="000A5EC7">
        <w:rPr>
          <w:rFonts w:hint="cs"/>
          <w:rtl/>
        </w:rPr>
        <w:t>،</w:t>
      </w:r>
      <w:r w:rsidRPr="00C35CB1">
        <w:rPr>
          <w:rFonts w:hint="cs"/>
          <w:rtl/>
        </w:rPr>
        <w:t xml:space="preserve"> وذلك عند انعقاد الدورة البرلمانية لشهر أيار</w:t>
      </w:r>
      <w:r w:rsidR="00BB6B48">
        <w:rPr>
          <w:rFonts w:hint="cs"/>
          <w:rtl/>
        </w:rPr>
        <w:t>/</w:t>
      </w:r>
      <w:r w:rsidRPr="00C35CB1">
        <w:rPr>
          <w:rFonts w:hint="cs"/>
          <w:rtl/>
        </w:rPr>
        <w:t>مايو 2008</w:t>
      </w:r>
      <w:r w:rsidR="0015762F">
        <w:rPr>
          <w:rFonts w:hint="cs"/>
          <w:rtl/>
        </w:rPr>
        <w:t>.</w:t>
      </w:r>
      <w:r w:rsidRPr="00C35CB1">
        <w:rPr>
          <w:rFonts w:hint="cs"/>
          <w:rtl/>
        </w:rPr>
        <w:t xml:space="preserve"> </w:t>
      </w:r>
      <w:r w:rsidR="00D666E0">
        <w:rPr>
          <w:rFonts w:hint="cs"/>
          <w:rtl/>
        </w:rPr>
        <w:t>و</w:t>
      </w:r>
      <w:r w:rsidRPr="00C35CB1">
        <w:rPr>
          <w:rFonts w:hint="cs"/>
          <w:rtl/>
        </w:rPr>
        <w:t>على كل حال، فإنه لم</w:t>
      </w:r>
      <w:r w:rsidR="00DA6060">
        <w:rPr>
          <w:rFonts w:hint="cs"/>
          <w:rtl/>
        </w:rPr>
        <w:t> </w:t>
      </w:r>
      <w:r w:rsidRPr="00C35CB1">
        <w:rPr>
          <w:rFonts w:hint="cs"/>
          <w:rtl/>
        </w:rPr>
        <w:t>يصدر عن أي سجين إدعاء بشأن أي تعذيب أو عقوبات أو معاملات أخرى قاسية أو لا</w:t>
      </w:r>
      <w:r w:rsidR="00DA6060">
        <w:rPr>
          <w:rFonts w:hint="cs"/>
          <w:rtl/>
        </w:rPr>
        <w:t> إ</w:t>
      </w:r>
      <w:r w:rsidRPr="00C35CB1">
        <w:rPr>
          <w:rFonts w:hint="cs"/>
          <w:rtl/>
        </w:rPr>
        <w:t xml:space="preserve">نسانية أو مهينة. إن تنفيذ القانون الجديد المناهض للتعذيب </w:t>
      </w:r>
      <w:r w:rsidR="00D666E0">
        <w:rPr>
          <w:rFonts w:hint="cs"/>
          <w:rtl/>
        </w:rPr>
        <w:t>و</w:t>
      </w:r>
      <w:r w:rsidRPr="00C35CB1">
        <w:rPr>
          <w:rFonts w:hint="cs"/>
          <w:rtl/>
        </w:rPr>
        <w:t xml:space="preserve">العقوبات </w:t>
      </w:r>
      <w:r w:rsidR="00D666E0">
        <w:rPr>
          <w:rFonts w:hint="cs"/>
          <w:rtl/>
        </w:rPr>
        <w:t>و</w:t>
      </w:r>
      <w:r w:rsidRPr="00C35CB1">
        <w:rPr>
          <w:rFonts w:hint="cs"/>
          <w:rtl/>
        </w:rPr>
        <w:t xml:space="preserve">المعاملات الأخرى القاسية </w:t>
      </w:r>
      <w:r w:rsidR="00D666E0">
        <w:rPr>
          <w:rFonts w:hint="cs"/>
          <w:rtl/>
        </w:rPr>
        <w:t>و</w:t>
      </w:r>
      <w:r w:rsidRPr="00C35CB1">
        <w:rPr>
          <w:rFonts w:hint="cs"/>
          <w:rtl/>
        </w:rPr>
        <w:t>اللا</w:t>
      </w:r>
      <w:r w:rsidR="00DA6060">
        <w:rPr>
          <w:rFonts w:hint="cs"/>
          <w:rtl/>
        </w:rPr>
        <w:t>إ</w:t>
      </w:r>
      <w:r w:rsidRPr="00C35CB1">
        <w:rPr>
          <w:rFonts w:hint="cs"/>
          <w:rtl/>
        </w:rPr>
        <w:t xml:space="preserve">نسانية </w:t>
      </w:r>
      <w:r w:rsidR="00D666E0">
        <w:rPr>
          <w:rFonts w:hint="cs"/>
          <w:rtl/>
        </w:rPr>
        <w:t>و</w:t>
      </w:r>
      <w:r w:rsidRPr="00C35CB1">
        <w:rPr>
          <w:rFonts w:hint="cs"/>
          <w:rtl/>
        </w:rPr>
        <w:t xml:space="preserve">المهينة، </w:t>
      </w:r>
      <w:r w:rsidR="00D666E0">
        <w:rPr>
          <w:rFonts w:hint="cs"/>
          <w:rtl/>
        </w:rPr>
        <w:t>و</w:t>
      </w:r>
      <w:r w:rsidRPr="00C35CB1">
        <w:rPr>
          <w:rFonts w:hint="cs"/>
          <w:rtl/>
        </w:rPr>
        <w:t>إقامة لجنة م</w:t>
      </w:r>
      <w:r w:rsidR="00E71DD0">
        <w:rPr>
          <w:rFonts w:hint="cs"/>
          <w:rtl/>
        </w:rPr>
        <w:t>راقبة السجون، بموجب المرسوم رقم</w:t>
      </w:r>
      <w:r w:rsidR="00E71DD0">
        <w:rPr>
          <w:rFonts w:hint="eastAsia"/>
          <w:rtl/>
        </w:rPr>
        <w:t> </w:t>
      </w:r>
      <w:r w:rsidRPr="00C35CB1">
        <w:rPr>
          <w:rFonts w:hint="cs"/>
          <w:rtl/>
        </w:rPr>
        <w:t xml:space="preserve">015 </w:t>
      </w:r>
      <w:r w:rsidR="00B63C07">
        <w:rPr>
          <w:rtl/>
        </w:rPr>
        <w:t>-</w:t>
      </w:r>
      <w:r w:rsidRPr="00C35CB1">
        <w:rPr>
          <w:rFonts w:hint="cs"/>
          <w:rtl/>
        </w:rPr>
        <w:t xml:space="preserve"> 2006 المؤرخ 17 كانون الثاني</w:t>
      </w:r>
      <w:r w:rsidR="00BB6B48">
        <w:rPr>
          <w:rFonts w:hint="cs"/>
          <w:rtl/>
        </w:rPr>
        <w:t>/</w:t>
      </w:r>
      <w:r w:rsidRPr="00C35CB1">
        <w:rPr>
          <w:rFonts w:hint="cs"/>
          <w:rtl/>
        </w:rPr>
        <w:t xml:space="preserve">يناير 2006 تدبيران يرميان إلى منع </w:t>
      </w:r>
      <w:r w:rsidR="00D666E0">
        <w:rPr>
          <w:rFonts w:hint="cs"/>
          <w:rtl/>
        </w:rPr>
        <w:t>و</w:t>
      </w:r>
      <w:r w:rsidRPr="00C35CB1">
        <w:rPr>
          <w:rFonts w:hint="cs"/>
          <w:rtl/>
        </w:rPr>
        <w:t xml:space="preserve">معاقبة أعمال التعذيب أو العقوبات أو المعاملات الأخرى القاسية </w:t>
      </w:r>
      <w:r w:rsidR="00D666E0">
        <w:rPr>
          <w:rFonts w:hint="cs"/>
          <w:rtl/>
        </w:rPr>
        <w:t>و</w:t>
      </w:r>
      <w:r w:rsidRPr="00C35CB1">
        <w:rPr>
          <w:rFonts w:hint="cs"/>
          <w:rtl/>
        </w:rPr>
        <w:t>اللا</w:t>
      </w:r>
      <w:r w:rsidR="00DA6060">
        <w:rPr>
          <w:rFonts w:hint="cs"/>
          <w:rtl/>
        </w:rPr>
        <w:t>إ</w:t>
      </w:r>
      <w:r w:rsidRPr="00C35CB1">
        <w:rPr>
          <w:rFonts w:hint="cs"/>
          <w:rtl/>
        </w:rPr>
        <w:t xml:space="preserve">نسانية </w:t>
      </w:r>
      <w:r w:rsidR="00D666E0">
        <w:rPr>
          <w:rFonts w:hint="cs"/>
          <w:rtl/>
        </w:rPr>
        <w:t>و</w:t>
      </w:r>
      <w:r w:rsidRPr="00C35CB1">
        <w:rPr>
          <w:rFonts w:hint="cs"/>
          <w:rtl/>
        </w:rPr>
        <w:t>المهينة.</w:t>
      </w:r>
    </w:p>
    <w:p w:rsidR="00BA462B" w:rsidRDefault="00C35CB1" w:rsidP="00A2393F">
      <w:pPr>
        <w:pStyle w:val="SingleTxt"/>
        <w:rPr>
          <w:rFonts w:hint="cs"/>
          <w:rtl/>
        </w:rPr>
      </w:pPr>
      <w:r w:rsidRPr="00C35CB1">
        <w:rPr>
          <w:rFonts w:hint="cs"/>
          <w:rtl/>
        </w:rPr>
        <w:t>28</w:t>
      </w:r>
      <w:r w:rsidR="00D666E0">
        <w:rPr>
          <w:rFonts w:hint="cs"/>
          <w:rtl/>
        </w:rPr>
        <w:t xml:space="preserve"> -</w:t>
      </w:r>
      <w:r w:rsidR="00D666E0">
        <w:rPr>
          <w:rFonts w:hint="cs"/>
          <w:rtl/>
        </w:rPr>
        <w:tab/>
        <w:t>و</w:t>
      </w:r>
      <w:r w:rsidRPr="00C35CB1">
        <w:rPr>
          <w:rFonts w:hint="cs"/>
          <w:rtl/>
        </w:rPr>
        <w:t>أمام ندرة السوابق القضائية التي تشير إلى اتفاقية القضاء على جميع أشكال التمييز ضد المرأة، تعتزم الدولة الملغاشية قبل كل شيء تنفيذ برنامج مدرج في المشروع</w:t>
      </w:r>
      <w:r w:rsidR="00BB6B48">
        <w:rPr>
          <w:rFonts w:hint="cs"/>
          <w:rtl/>
        </w:rPr>
        <w:t xml:space="preserve"> ”</w:t>
      </w:r>
      <w:r w:rsidRPr="00C35CB1">
        <w:rPr>
          <w:rFonts w:hint="cs"/>
          <w:rtl/>
        </w:rPr>
        <w:t xml:space="preserve">دعم </w:t>
      </w:r>
      <w:r w:rsidR="00DA6060">
        <w:rPr>
          <w:rFonts w:hint="cs"/>
          <w:rtl/>
        </w:rPr>
        <w:t>النهوض بحقوق الإ</w:t>
      </w:r>
      <w:r w:rsidRPr="00C35CB1">
        <w:rPr>
          <w:rFonts w:hint="cs"/>
          <w:rtl/>
        </w:rPr>
        <w:t xml:space="preserve">نسان </w:t>
      </w:r>
      <w:r w:rsidR="00D666E0">
        <w:rPr>
          <w:rFonts w:hint="cs"/>
          <w:rtl/>
        </w:rPr>
        <w:t>و</w:t>
      </w:r>
      <w:r w:rsidRPr="00C35CB1">
        <w:rPr>
          <w:rFonts w:hint="cs"/>
          <w:rtl/>
        </w:rPr>
        <w:t>حمايتها</w:t>
      </w:r>
      <w:r w:rsidR="00BB6B48">
        <w:rPr>
          <w:rFonts w:hint="eastAsia"/>
          <w:rtl/>
        </w:rPr>
        <w:t>“</w:t>
      </w:r>
      <w:r w:rsidRPr="00C35CB1">
        <w:rPr>
          <w:rFonts w:hint="cs"/>
          <w:rtl/>
        </w:rPr>
        <w:t xml:space="preserve"> ال</w:t>
      </w:r>
      <w:r w:rsidR="00DA6060">
        <w:rPr>
          <w:rFonts w:hint="cs"/>
          <w:rtl/>
        </w:rPr>
        <w:t>ممول من برنامج الأمم المتحدة الإ</w:t>
      </w:r>
      <w:r w:rsidRPr="00C35CB1">
        <w:rPr>
          <w:rFonts w:hint="cs"/>
          <w:rtl/>
        </w:rPr>
        <w:t xml:space="preserve">نمائي </w:t>
      </w:r>
      <w:r w:rsidR="00D666E0">
        <w:rPr>
          <w:rFonts w:hint="cs"/>
          <w:rtl/>
        </w:rPr>
        <w:t>و</w:t>
      </w:r>
      <w:r w:rsidRPr="00C35CB1">
        <w:rPr>
          <w:rFonts w:hint="cs"/>
          <w:rtl/>
        </w:rPr>
        <w:t>الذي تمتد فترة تنفيذه من 2008 إلى 2011</w:t>
      </w:r>
      <w:r w:rsidR="0015762F">
        <w:rPr>
          <w:rFonts w:hint="cs"/>
          <w:rtl/>
        </w:rPr>
        <w:t>.</w:t>
      </w:r>
      <w:r w:rsidR="00A2393F">
        <w:rPr>
          <w:rFonts w:hint="cs"/>
          <w:rtl/>
        </w:rPr>
        <w:t xml:space="preserve"> </w:t>
      </w:r>
      <w:r w:rsidR="00D666E0">
        <w:rPr>
          <w:rFonts w:hint="cs"/>
          <w:rtl/>
        </w:rPr>
        <w:t>و</w:t>
      </w:r>
      <w:r w:rsidRPr="00C35CB1">
        <w:rPr>
          <w:rFonts w:hint="cs"/>
          <w:rtl/>
        </w:rPr>
        <w:t>يهدف هذا المشروع، في جملة أمور أخرى، إلى ن</w:t>
      </w:r>
      <w:r w:rsidR="00DA6060">
        <w:rPr>
          <w:rFonts w:hint="cs"/>
          <w:rtl/>
        </w:rPr>
        <w:t>شر المعاهدات المتعلّقة بحقوق الإنسان بما </w:t>
      </w:r>
      <w:r w:rsidRPr="00C35CB1">
        <w:rPr>
          <w:rFonts w:hint="cs"/>
          <w:rtl/>
        </w:rPr>
        <w:t xml:space="preserve">فيها اتفاقية القضاء على جميع أشكال التمييز ضد المرأة. والغرض هو كفالة أن تكون المواطنات على علم بحقوقهن </w:t>
      </w:r>
      <w:r w:rsidR="00D666E0">
        <w:rPr>
          <w:rFonts w:hint="cs"/>
          <w:rtl/>
        </w:rPr>
        <w:t>و</w:t>
      </w:r>
      <w:r w:rsidRPr="00C35CB1">
        <w:rPr>
          <w:rFonts w:hint="cs"/>
          <w:rtl/>
        </w:rPr>
        <w:t xml:space="preserve">أن يتسنى لهن الاحتجاج بها لدى المحاكم. </w:t>
      </w:r>
      <w:r w:rsidR="00D666E0">
        <w:rPr>
          <w:rFonts w:hint="cs"/>
          <w:rtl/>
        </w:rPr>
        <w:t>و</w:t>
      </w:r>
      <w:r w:rsidRPr="00C35CB1">
        <w:rPr>
          <w:rFonts w:hint="cs"/>
          <w:rtl/>
        </w:rPr>
        <w:t>في نفس الوقت، يجب أن تكون المحاكم قادرة على تطبيق أحكام الاتفاقية في حالة انتهاك الحقوق التي تحميها تلك الأحكام.</w:t>
      </w:r>
    </w:p>
    <w:p w:rsidR="00BA462B" w:rsidRDefault="00414312" w:rsidP="00C35CB1">
      <w:pPr>
        <w:pStyle w:val="SingleTxt"/>
        <w:rPr>
          <w:rFonts w:hint="cs"/>
          <w:rtl/>
        </w:rPr>
      </w:pPr>
      <w:r>
        <w:rPr>
          <w:rFonts w:hint="cs"/>
          <w:rtl/>
        </w:rPr>
        <w:tab/>
      </w:r>
      <w:r w:rsidR="00D666E0">
        <w:rPr>
          <w:rFonts w:hint="cs"/>
          <w:rtl/>
        </w:rPr>
        <w:t>و</w:t>
      </w:r>
      <w:r w:rsidR="00C35CB1" w:rsidRPr="00C35CB1">
        <w:rPr>
          <w:rFonts w:hint="cs"/>
          <w:rtl/>
        </w:rPr>
        <w:t>نظرا لكون التظلم لدى اللجنة المعنيّة بالقضاء على التمييز ضد المرأة، المنصوص عليه في بروتوكول الاتفاقية الاختياري، يقتضي أن يتم مسبقا استنفاد سبل الطعن الداخلية، فمن الهام أن يتم أولا اتخاذ التدابير الملائمة لكفالة التطبيق الفعال لإجراءات التظلّم الوطنية على الصعيد الوطني</w:t>
      </w:r>
      <w:r w:rsidR="0015762F">
        <w:rPr>
          <w:rFonts w:hint="cs"/>
          <w:rtl/>
        </w:rPr>
        <w:t>.</w:t>
      </w:r>
    </w:p>
    <w:p w:rsidR="00C35CB1" w:rsidRDefault="00414312" w:rsidP="00C35CB1">
      <w:pPr>
        <w:pStyle w:val="SingleTxt"/>
        <w:rPr>
          <w:rFonts w:hint="cs"/>
          <w:rtl/>
        </w:rPr>
      </w:pPr>
      <w:r>
        <w:rPr>
          <w:rFonts w:hint="cs"/>
          <w:rtl/>
        </w:rPr>
        <w:tab/>
      </w:r>
      <w:r w:rsidR="00D666E0">
        <w:rPr>
          <w:rFonts w:hint="cs"/>
          <w:rtl/>
        </w:rPr>
        <w:t>و</w:t>
      </w:r>
      <w:r w:rsidR="00C35CB1" w:rsidRPr="00C35CB1">
        <w:rPr>
          <w:rFonts w:hint="cs"/>
          <w:rtl/>
        </w:rPr>
        <w:t xml:space="preserve">هكذا فإن مدغشقر تعتزم التصديق على البروتوكول الاختياري لاتفاقية القضاء على جميع أشكال التمييز ضد المرأة </w:t>
      </w:r>
      <w:r w:rsidR="00D666E0">
        <w:rPr>
          <w:rFonts w:hint="cs"/>
          <w:rtl/>
        </w:rPr>
        <w:t>و</w:t>
      </w:r>
      <w:r w:rsidR="00C35CB1" w:rsidRPr="00C35CB1">
        <w:rPr>
          <w:rFonts w:hint="cs"/>
          <w:rtl/>
        </w:rPr>
        <w:t xml:space="preserve">ستستهل العملية المتصلة بذلك بعد نشر تلك الاتفاقية على نطاق واسع </w:t>
      </w:r>
      <w:r w:rsidR="00D666E0">
        <w:rPr>
          <w:rFonts w:hint="cs"/>
          <w:rtl/>
        </w:rPr>
        <w:t>و</w:t>
      </w:r>
      <w:r w:rsidR="00C35CB1" w:rsidRPr="00C35CB1">
        <w:rPr>
          <w:rFonts w:hint="cs"/>
          <w:rtl/>
        </w:rPr>
        <w:t>جعل تطبيقها مناسبا على مستوى المحاكم الوطنية من خلال زيادة عدد قرارات المحاكم المتصلة بها.</w:t>
      </w:r>
    </w:p>
    <w:p w:rsidR="00DA6060" w:rsidRPr="00DA6060" w:rsidRDefault="00DA6060" w:rsidP="00DA6060">
      <w:pPr>
        <w:pStyle w:val="SingleTxt"/>
        <w:spacing w:after="0" w:line="240" w:lineRule="auto"/>
        <w:rPr>
          <w:rFonts w:hint="cs"/>
          <w:rtl/>
        </w:rPr>
      </w:pPr>
      <w:r>
        <w:rPr>
          <w:rFonts w:hint="cs"/>
          <w:noProof/>
          <w:w w:val="100"/>
          <w:rtl/>
        </w:rPr>
        <w:pict>
          <v:line id="_x0000_s1028" style="position:absolute;left:0;text-align:left;z-index:2" from="206.6pt,24pt" to="278.6pt,24pt" strokeweight=".25pt">
            <w10:wrap anchorx="page"/>
          </v:line>
        </w:pict>
      </w:r>
    </w:p>
    <w:sectPr w:rsidR="00DA6060" w:rsidRPr="00DA6060" w:rsidSect="00C4601D">
      <w:endnotePr>
        <w:numFmt w:val="decimal"/>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08-09T22:21:00Z" w:initials="Start">
    <w:p w:rsidR="00002AFD" w:rsidRDefault="00002AFD">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NO&gt;&gt;N0843289A&lt;&lt;ODS JOB NO</w:t>
      </w:r>
      <w:r>
        <w:rPr>
          <w:rtl/>
        </w:rPr>
        <w:t>&gt;&gt;</w:t>
      </w:r>
    </w:p>
    <w:p w:rsidR="00002AFD" w:rsidRDefault="00002AFD">
      <w:pPr>
        <w:pStyle w:val="CommentText"/>
        <w:rPr>
          <w:rtl/>
        </w:rPr>
      </w:pPr>
      <w:r>
        <w:rPr>
          <w:rtl/>
        </w:rPr>
        <w:t>&lt;&lt;</w:t>
      </w:r>
      <w:r>
        <w:t>ODS DOC SYMBOL1&gt;&gt;CEDAW/C/MDG/Q/5/Add.1&lt;&lt;ODS DOC SYMBOL1</w:t>
      </w:r>
      <w:r>
        <w:rPr>
          <w:rtl/>
        </w:rPr>
        <w:t>&gt;&gt;</w:t>
      </w:r>
    </w:p>
    <w:p w:rsidR="00002AFD" w:rsidRDefault="00002AFD">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771" w:rsidRDefault="00ED4771">
      <w:r>
        <w:separator/>
      </w:r>
    </w:p>
  </w:endnote>
  <w:endnote w:type="continuationSeparator" w:id="0">
    <w:p w:rsidR="00ED4771" w:rsidRDefault="00ED4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002AFD">
      <w:tblPrEx>
        <w:tblCellMar>
          <w:top w:w="0" w:type="dxa"/>
          <w:bottom w:w="0" w:type="dxa"/>
        </w:tblCellMar>
      </w:tblPrEx>
      <w:tc>
        <w:tcPr>
          <w:tcW w:w="5033" w:type="dxa"/>
          <w:shd w:val="clear" w:color="auto" w:fill="auto"/>
        </w:tcPr>
        <w:p w:rsidR="00002AFD" w:rsidRPr="00C4601D" w:rsidRDefault="00002AFD" w:rsidP="00C4601D">
          <w:pPr>
            <w:pStyle w:val="Footer"/>
            <w:jc w:val="right"/>
            <w:rPr>
              <w:w w:val="103"/>
            </w:rPr>
          </w:pPr>
          <w:r>
            <w:rPr>
              <w:w w:val="103"/>
            </w:rPr>
            <w:fldChar w:fldCharType="begin"/>
          </w:r>
          <w:r>
            <w:rPr>
              <w:w w:val="103"/>
            </w:rPr>
            <w:instrText xml:space="preserve"> PAGE  \* MERGEFORMAT </w:instrText>
          </w:r>
          <w:r>
            <w:rPr>
              <w:w w:val="103"/>
            </w:rPr>
            <w:fldChar w:fldCharType="separate"/>
          </w:r>
          <w:r w:rsidR="00F14100">
            <w:rPr>
              <w:w w:val="103"/>
            </w:rPr>
            <w:t>26</w:t>
          </w:r>
          <w:r>
            <w:rPr>
              <w:w w:val="103"/>
            </w:rPr>
            <w:fldChar w:fldCharType="end"/>
          </w:r>
        </w:p>
      </w:tc>
      <w:tc>
        <w:tcPr>
          <w:tcW w:w="5033" w:type="dxa"/>
          <w:shd w:val="clear" w:color="auto" w:fill="auto"/>
        </w:tcPr>
        <w:p w:rsidR="00002AFD" w:rsidRPr="00C4601D" w:rsidRDefault="00002AFD" w:rsidP="00C4601D">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08-43289</w:t>
          </w:r>
          <w:r>
            <w:rPr>
              <w:b w:val="0"/>
              <w:w w:val="103"/>
            </w:rPr>
            <w:fldChar w:fldCharType="end"/>
          </w:r>
        </w:p>
      </w:tc>
    </w:tr>
  </w:tbl>
  <w:p w:rsidR="00002AFD" w:rsidRPr="00C4601D" w:rsidRDefault="00002AFD" w:rsidP="00C460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002AFD">
      <w:tblPrEx>
        <w:tblCellMar>
          <w:top w:w="0" w:type="dxa"/>
          <w:bottom w:w="0" w:type="dxa"/>
        </w:tblCellMar>
      </w:tblPrEx>
      <w:tc>
        <w:tcPr>
          <w:tcW w:w="5033" w:type="dxa"/>
          <w:shd w:val="clear" w:color="auto" w:fill="auto"/>
        </w:tcPr>
        <w:p w:rsidR="00002AFD" w:rsidRPr="00C4601D" w:rsidRDefault="00002AFD" w:rsidP="00C4601D">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08-43289</w:t>
          </w:r>
          <w:r>
            <w:rPr>
              <w:b w:val="0"/>
              <w:w w:val="103"/>
            </w:rPr>
            <w:fldChar w:fldCharType="end"/>
          </w:r>
        </w:p>
      </w:tc>
      <w:tc>
        <w:tcPr>
          <w:tcW w:w="5033" w:type="dxa"/>
          <w:shd w:val="clear" w:color="auto" w:fill="auto"/>
        </w:tcPr>
        <w:p w:rsidR="00002AFD" w:rsidRPr="00C4601D" w:rsidRDefault="00002AFD" w:rsidP="00C4601D">
          <w:pPr>
            <w:pStyle w:val="Footer"/>
            <w:rPr>
              <w:w w:val="103"/>
            </w:rPr>
          </w:pPr>
          <w:r>
            <w:rPr>
              <w:w w:val="103"/>
            </w:rPr>
            <w:fldChar w:fldCharType="begin"/>
          </w:r>
          <w:r>
            <w:rPr>
              <w:w w:val="103"/>
            </w:rPr>
            <w:instrText xml:space="preserve"> PAGE  \* MERGEFORMAT </w:instrText>
          </w:r>
          <w:r>
            <w:rPr>
              <w:w w:val="103"/>
            </w:rPr>
            <w:fldChar w:fldCharType="separate"/>
          </w:r>
          <w:r w:rsidR="00F14100">
            <w:rPr>
              <w:w w:val="103"/>
            </w:rPr>
            <w:t>15</w:t>
          </w:r>
          <w:r>
            <w:rPr>
              <w:w w:val="103"/>
            </w:rPr>
            <w:fldChar w:fldCharType="end"/>
          </w:r>
        </w:p>
      </w:tc>
    </w:tr>
  </w:tbl>
  <w:p w:rsidR="00002AFD" w:rsidRPr="00C4601D" w:rsidRDefault="00002AFD" w:rsidP="00C460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AFD" w:rsidRDefault="00002AFD">
    <w:pPr>
      <w:pStyle w:val="Footer"/>
    </w:pPr>
  </w:p>
  <w:p w:rsidR="00002AFD" w:rsidRDefault="00002AFD" w:rsidP="00E71DD0">
    <w:pPr>
      <w:pStyle w:val="Footer"/>
      <w:jc w:val="right"/>
      <w:rPr>
        <w:rFonts w:cs="Times New Roman"/>
        <w:b w:val="0"/>
        <w:w w:val="103"/>
        <w:sz w:val="20"/>
      </w:rPr>
    </w:pPr>
    <w:r>
      <w:rPr>
        <w:rFonts w:cs="Times New Roman"/>
        <w:b w:val="0"/>
        <w:w w:val="103"/>
        <w:sz w:val="20"/>
      </w:rPr>
      <w:t xml:space="preserve">120808    120808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08-43289 (A)</w:t>
    </w:r>
    <w:r>
      <w:rPr>
        <w:rFonts w:cs="Times New Roman"/>
        <w:b w:val="0"/>
        <w:w w:val="103"/>
        <w:sz w:val="20"/>
      </w:rPr>
      <w:fldChar w:fldCharType="end"/>
    </w:r>
  </w:p>
  <w:p w:rsidR="00002AFD" w:rsidRPr="00C4601D" w:rsidRDefault="00002AFD" w:rsidP="00C4601D">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*0843289*</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771" w:rsidRPr="00467A3E" w:rsidRDefault="00ED4771" w:rsidP="00467A3E">
      <w:pPr>
        <w:pStyle w:val="Footer"/>
        <w:bidi/>
        <w:spacing w:after="80"/>
        <w:ind w:left="792"/>
        <w:rPr>
          <w:sz w:val="16"/>
        </w:rPr>
      </w:pPr>
      <w:r w:rsidRPr="00467A3E">
        <w:rPr>
          <w:sz w:val="16"/>
          <w:rtl/>
        </w:rPr>
        <w:t>__________</w:t>
      </w:r>
    </w:p>
  </w:footnote>
  <w:footnote w:type="continuationSeparator" w:id="0">
    <w:p w:rsidR="00ED4771" w:rsidRPr="00467A3E" w:rsidRDefault="00ED4771" w:rsidP="00467A3E">
      <w:pPr>
        <w:pStyle w:val="Footer"/>
        <w:spacing w:after="80"/>
        <w:ind w:left="792"/>
        <w:rPr>
          <w:sz w:val="16"/>
        </w:rPr>
      </w:pPr>
      <w:r w:rsidRPr="00467A3E">
        <w:rPr>
          <w:sz w:val="16"/>
        </w:rPr>
        <w:t>__________</w:t>
      </w:r>
    </w:p>
  </w:footnote>
  <w:footnote w:id="1">
    <w:p w:rsidR="00002AFD" w:rsidRPr="00467A3E" w:rsidRDefault="00002AFD" w:rsidP="00467A3E">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467A3E">
        <w:rPr>
          <w:w w:val="103"/>
          <w:rtl/>
        </w:rPr>
        <w:t>(</w:t>
      </w:r>
      <w:r w:rsidRPr="00467A3E">
        <w:rPr>
          <w:rStyle w:val="FootnoteReference"/>
          <w:spacing w:val="0"/>
          <w:w w:val="103"/>
          <w:vertAlign w:val="baseline"/>
          <w:rtl/>
        </w:rPr>
        <w:footnoteRef/>
      </w:r>
      <w:r w:rsidRPr="00467A3E">
        <w:rPr>
          <w:w w:val="103"/>
          <w:rtl/>
        </w:rPr>
        <w:t>)</w:t>
      </w:r>
      <w:r w:rsidRPr="00467A3E">
        <w:rPr>
          <w:w w:val="103"/>
          <w:rtl/>
        </w:rPr>
        <w:tab/>
      </w:r>
      <w:r w:rsidRPr="00C35CB1">
        <w:rPr>
          <w:rFonts w:hint="cs"/>
          <w:rtl/>
        </w:rPr>
        <w:t>شريط معنون</w:t>
      </w:r>
      <w:r>
        <w:rPr>
          <w:rFonts w:hint="cs"/>
          <w:rtl/>
        </w:rPr>
        <w:t xml:space="preserve"> ”</w:t>
      </w:r>
      <w:r w:rsidRPr="00C35CB1">
        <w:rPr>
          <w:rFonts w:hint="cs"/>
          <w:rtl/>
        </w:rPr>
        <w:t>آينا</w:t>
      </w:r>
      <w:r>
        <w:rPr>
          <w:rFonts w:hint="cs"/>
          <w:rtl/>
        </w:rPr>
        <w:t>“</w:t>
      </w:r>
      <w:r w:rsidRPr="00C35CB1">
        <w:rPr>
          <w:rFonts w:hint="cs"/>
          <w:rtl/>
        </w:rPr>
        <w:t>.</w:t>
      </w:r>
    </w:p>
  </w:footnote>
  <w:footnote w:id="2">
    <w:p w:rsidR="00002AFD" w:rsidRPr="00467A3E" w:rsidRDefault="00002AFD" w:rsidP="00467A3E">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467A3E">
        <w:rPr>
          <w:w w:val="103"/>
          <w:rtl/>
        </w:rPr>
        <w:t>(</w:t>
      </w:r>
      <w:r w:rsidRPr="00467A3E">
        <w:rPr>
          <w:rStyle w:val="FootnoteReference"/>
          <w:spacing w:val="0"/>
          <w:w w:val="103"/>
          <w:vertAlign w:val="baseline"/>
          <w:rtl/>
        </w:rPr>
        <w:footnoteRef/>
      </w:r>
      <w:r w:rsidRPr="00467A3E">
        <w:rPr>
          <w:w w:val="103"/>
          <w:rtl/>
        </w:rPr>
        <w:t>)</w:t>
      </w:r>
      <w:r w:rsidRPr="00467A3E">
        <w:rPr>
          <w:w w:val="103"/>
          <w:rtl/>
        </w:rPr>
        <w:tab/>
      </w:r>
      <w:r w:rsidRPr="00C35CB1">
        <w:rPr>
          <w:rFonts w:hint="cs"/>
          <w:rtl/>
        </w:rPr>
        <w:t>بثّت الشريط محطة</w:t>
      </w:r>
      <w:r>
        <w:rPr>
          <w:rFonts w:hint="cs"/>
          <w:rtl/>
        </w:rPr>
        <w:t xml:space="preserve"> ”</w:t>
      </w:r>
      <w:r w:rsidRPr="00C35CB1">
        <w:rPr>
          <w:rFonts w:hint="cs"/>
          <w:rtl/>
        </w:rPr>
        <w:t>التلفزيون الملغاشي</w:t>
      </w:r>
      <w:r>
        <w:rPr>
          <w:rFonts w:hint="eastAsia"/>
          <w:rtl/>
        </w:rPr>
        <w:t>“</w:t>
      </w:r>
      <w:r w:rsidRPr="00C35CB1">
        <w:rPr>
          <w:rFonts w:hint="cs"/>
          <w:rtl/>
        </w:rPr>
        <w:t xml:space="preserve"> و</w:t>
      </w:r>
      <w:r>
        <w:rPr>
          <w:rFonts w:hint="cs"/>
          <w:rtl/>
        </w:rPr>
        <w:t xml:space="preserve"> ”</w:t>
      </w:r>
      <w:r w:rsidRPr="00C35CB1">
        <w:rPr>
          <w:rFonts w:hint="cs"/>
          <w:rtl/>
        </w:rPr>
        <w:t>من</w:t>
      </w:r>
      <w:r>
        <w:rPr>
          <w:rFonts w:hint="cs"/>
          <w:rtl/>
        </w:rPr>
        <w:t>ظ</w:t>
      </w:r>
      <w:r w:rsidRPr="00C35CB1">
        <w:rPr>
          <w:rFonts w:hint="cs"/>
          <w:rtl/>
        </w:rPr>
        <w:t>ومة البث الملغاشية</w:t>
      </w:r>
      <w:r>
        <w:rPr>
          <w:rFonts w:hint="eastAsia"/>
          <w:rtl/>
        </w:rPr>
        <w:t>“</w:t>
      </w:r>
      <w:r>
        <w:rPr>
          <w:rFonts w:hint="cs"/>
          <w:rtl/>
        </w:rPr>
        <w:t xml:space="preserve"> اللتان تغطيان الإ</w:t>
      </w:r>
      <w:r w:rsidRPr="00C35CB1">
        <w:rPr>
          <w:rFonts w:hint="cs"/>
          <w:rtl/>
        </w:rPr>
        <w:t>قليم الوطني بأسره، و</w:t>
      </w:r>
      <w:r>
        <w:rPr>
          <w:rFonts w:hint="cs"/>
          <w:rtl/>
        </w:rPr>
        <w:t> ”</w:t>
      </w:r>
      <w:r w:rsidRPr="00C35CB1">
        <w:rPr>
          <w:rFonts w:hint="cs"/>
          <w:rtl/>
        </w:rPr>
        <w:t xml:space="preserve">فيفا </w:t>
      </w:r>
      <w:r>
        <w:rPr>
          <w:rFonts w:hint="cs"/>
          <w:rtl/>
        </w:rPr>
        <w:t>-</w:t>
      </w:r>
      <w:r w:rsidRPr="00C35CB1">
        <w:rPr>
          <w:rFonts w:hint="cs"/>
          <w:rtl/>
        </w:rPr>
        <w:t xml:space="preserve"> تي في</w:t>
      </w:r>
      <w:r>
        <w:rPr>
          <w:rFonts w:hint="eastAsia"/>
          <w:rtl/>
        </w:rPr>
        <w:t>“</w:t>
      </w:r>
      <w:r w:rsidRPr="00C35CB1">
        <w:rPr>
          <w:rFonts w:hint="cs"/>
          <w:rtl/>
        </w:rPr>
        <w:t xml:space="preserve"> و</w:t>
      </w:r>
      <w:r>
        <w:rPr>
          <w:rFonts w:hint="cs"/>
          <w:rtl/>
        </w:rPr>
        <w:t xml:space="preserve"> ”</w:t>
      </w:r>
      <w:r w:rsidRPr="00C35CB1">
        <w:rPr>
          <w:rFonts w:hint="cs"/>
          <w:rtl/>
        </w:rPr>
        <w:t>تلفزي</w:t>
      </w:r>
      <w:r>
        <w:rPr>
          <w:rFonts w:hint="cs"/>
          <w:rtl/>
        </w:rPr>
        <w:t>و</w:t>
      </w:r>
      <w:r w:rsidRPr="00C35CB1">
        <w:rPr>
          <w:rFonts w:hint="cs"/>
          <w:rtl/>
        </w:rPr>
        <w:t>ن أوقيانوسيا</w:t>
      </w:r>
      <w:r>
        <w:rPr>
          <w:rFonts w:hint="eastAsia"/>
          <w:rtl/>
        </w:rPr>
        <w:t>“</w:t>
      </w:r>
      <w:r w:rsidRPr="00C35CB1">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96"/>
      <w:gridCol w:w="4954"/>
    </w:tblGrid>
    <w:tr w:rsidR="00002AFD">
      <w:tblPrEx>
        <w:tblCellMar>
          <w:top w:w="0" w:type="dxa"/>
          <w:bottom w:w="0" w:type="dxa"/>
        </w:tblCellMar>
      </w:tblPrEx>
      <w:trPr>
        <w:trHeight w:hRule="exact" w:val="864"/>
        <w:jc w:val="center"/>
      </w:trPr>
      <w:tc>
        <w:tcPr>
          <w:tcW w:w="5033" w:type="dxa"/>
          <w:shd w:val="clear" w:color="auto" w:fill="auto"/>
          <w:vAlign w:val="bottom"/>
        </w:tcPr>
        <w:p w:rsidR="00002AFD" w:rsidRDefault="00002AFD" w:rsidP="00C4601D">
          <w:pPr>
            <w:pStyle w:val="Header"/>
            <w:bidi/>
            <w:jc w:val="right"/>
          </w:pPr>
        </w:p>
      </w:tc>
      <w:tc>
        <w:tcPr>
          <w:tcW w:w="5033" w:type="dxa"/>
          <w:shd w:val="clear" w:color="auto" w:fill="auto"/>
          <w:vAlign w:val="bottom"/>
        </w:tcPr>
        <w:p w:rsidR="00002AFD" w:rsidRPr="00C4601D" w:rsidRDefault="00002AFD" w:rsidP="00C4601D">
          <w:pPr>
            <w:pStyle w:val="Header"/>
            <w:spacing w:after="80"/>
            <w:jc w:val="right"/>
            <w:rPr>
              <w:rFonts w:hint="cs"/>
              <w:w w:val="103"/>
              <w:rtl/>
            </w:rPr>
          </w:pPr>
          <w:r>
            <w:rPr>
              <w:w w:val="103"/>
            </w:rPr>
            <w:fldChar w:fldCharType="begin"/>
          </w:r>
          <w:r>
            <w:rPr>
              <w:w w:val="103"/>
            </w:rPr>
            <w:instrText xml:space="preserve"> DOCVARIABLE sss1  \* MERGEFORMAT </w:instrText>
          </w:r>
          <w:r>
            <w:rPr>
              <w:w w:val="103"/>
            </w:rPr>
            <w:fldChar w:fldCharType="separate"/>
          </w:r>
          <w:r>
            <w:rPr>
              <w:w w:val="103"/>
            </w:rPr>
            <w:t>CEDAW/C/MDG/Q/5/Add.1</w:t>
          </w:r>
          <w:r>
            <w:rPr>
              <w:w w:val="103"/>
            </w:rPr>
            <w:fldChar w:fldCharType="end"/>
          </w:r>
        </w:p>
      </w:tc>
    </w:tr>
  </w:tbl>
  <w:p w:rsidR="00002AFD" w:rsidRPr="00C4601D" w:rsidRDefault="00002AFD" w:rsidP="00C460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54"/>
      <w:gridCol w:w="4896"/>
    </w:tblGrid>
    <w:tr w:rsidR="00002AFD">
      <w:tblPrEx>
        <w:tblCellMar>
          <w:top w:w="0" w:type="dxa"/>
          <w:bottom w:w="0" w:type="dxa"/>
        </w:tblCellMar>
      </w:tblPrEx>
      <w:trPr>
        <w:trHeight w:hRule="exact" w:val="864"/>
        <w:jc w:val="center"/>
      </w:trPr>
      <w:tc>
        <w:tcPr>
          <w:tcW w:w="5033" w:type="dxa"/>
          <w:shd w:val="clear" w:color="auto" w:fill="auto"/>
          <w:vAlign w:val="bottom"/>
        </w:tcPr>
        <w:p w:rsidR="00002AFD" w:rsidRPr="00C4601D" w:rsidRDefault="00002AFD" w:rsidP="00C4601D">
          <w:pPr>
            <w:pStyle w:val="Header"/>
            <w:spacing w:after="80"/>
            <w:rPr>
              <w:rFonts w:hint="cs"/>
              <w:w w:val="103"/>
              <w:rtl/>
            </w:rPr>
          </w:pPr>
          <w:r>
            <w:rPr>
              <w:w w:val="103"/>
            </w:rPr>
            <w:fldChar w:fldCharType="begin"/>
          </w:r>
          <w:r>
            <w:rPr>
              <w:w w:val="103"/>
            </w:rPr>
            <w:instrText xml:space="preserve"> DOCVARIABLE sss1  \* MERGEFORMAT </w:instrText>
          </w:r>
          <w:r>
            <w:rPr>
              <w:w w:val="103"/>
            </w:rPr>
            <w:fldChar w:fldCharType="separate"/>
          </w:r>
          <w:r>
            <w:rPr>
              <w:w w:val="103"/>
            </w:rPr>
            <w:t>CEDAW/C/MDG/Q/5/Add.1</w:t>
          </w:r>
          <w:r>
            <w:rPr>
              <w:w w:val="103"/>
            </w:rPr>
            <w:fldChar w:fldCharType="end"/>
          </w:r>
        </w:p>
      </w:tc>
      <w:tc>
        <w:tcPr>
          <w:tcW w:w="5033" w:type="dxa"/>
          <w:shd w:val="clear" w:color="auto" w:fill="auto"/>
          <w:vAlign w:val="bottom"/>
        </w:tcPr>
        <w:p w:rsidR="00002AFD" w:rsidRDefault="00002AFD" w:rsidP="00C4601D">
          <w:pPr>
            <w:pStyle w:val="Header"/>
          </w:pPr>
        </w:p>
      </w:tc>
    </w:tr>
  </w:tbl>
  <w:p w:rsidR="00002AFD" w:rsidRPr="00C4601D" w:rsidRDefault="00002AFD" w:rsidP="00C460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002AFD">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002AFD" w:rsidRDefault="00002AFD" w:rsidP="00C4601D">
          <w:pPr>
            <w:pStyle w:val="Header"/>
            <w:spacing w:after="120"/>
          </w:pPr>
        </w:p>
      </w:tc>
      <w:tc>
        <w:tcPr>
          <w:tcW w:w="1786" w:type="dxa"/>
          <w:tcBorders>
            <w:bottom w:val="single" w:sz="4" w:space="0" w:color="auto"/>
          </w:tcBorders>
          <w:shd w:val="clear" w:color="auto" w:fill="auto"/>
          <w:vAlign w:val="bottom"/>
        </w:tcPr>
        <w:p w:rsidR="00002AFD" w:rsidRPr="00C4601D" w:rsidRDefault="00002AFD" w:rsidP="00C4601D">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002AFD" w:rsidRDefault="00002AFD" w:rsidP="00C4601D">
          <w:pPr>
            <w:pStyle w:val="Header"/>
            <w:spacing w:after="120"/>
          </w:pPr>
        </w:p>
      </w:tc>
      <w:tc>
        <w:tcPr>
          <w:tcW w:w="6523" w:type="dxa"/>
          <w:gridSpan w:val="3"/>
          <w:tcBorders>
            <w:bottom w:val="single" w:sz="4" w:space="0" w:color="auto"/>
          </w:tcBorders>
          <w:shd w:val="clear" w:color="auto" w:fill="auto"/>
          <w:vAlign w:val="bottom"/>
        </w:tcPr>
        <w:p w:rsidR="00002AFD" w:rsidRPr="00C4601D" w:rsidRDefault="00002AFD" w:rsidP="00C4601D">
          <w:pPr>
            <w:spacing w:line="380" w:lineRule="exact"/>
            <w:jc w:val="right"/>
          </w:pPr>
          <w:r>
            <w:rPr>
              <w:sz w:val="40"/>
            </w:rPr>
            <w:t>CEDAW</w:t>
          </w:r>
          <w:r>
            <w:t>/C/MDG/Q/5/Add.1</w:t>
          </w:r>
        </w:p>
      </w:tc>
    </w:tr>
    <w:tr w:rsidR="00002AFD" w:rsidRPr="00C4601D">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002AFD" w:rsidRDefault="00002AFD" w:rsidP="00C4601D">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02AFD" w:rsidRPr="00C4601D" w:rsidRDefault="00002AFD" w:rsidP="00C4601D">
          <w:pPr>
            <w:pStyle w:val="Header"/>
            <w:spacing w:before="109"/>
            <w:jc w:val="right"/>
          </w:pPr>
        </w:p>
      </w:tc>
      <w:tc>
        <w:tcPr>
          <w:tcW w:w="5227" w:type="dxa"/>
          <w:gridSpan w:val="3"/>
          <w:tcBorders>
            <w:top w:val="single" w:sz="4" w:space="0" w:color="auto"/>
            <w:bottom w:val="single" w:sz="12" w:space="0" w:color="auto"/>
          </w:tcBorders>
          <w:shd w:val="clear" w:color="auto" w:fill="auto"/>
        </w:tcPr>
        <w:p w:rsidR="00002AFD" w:rsidRPr="00C4601D" w:rsidRDefault="00002AFD" w:rsidP="00C4601D">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002AFD" w:rsidRPr="00C4601D" w:rsidRDefault="00002AFD" w:rsidP="00C4601D">
          <w:pPr>
            <w:pStyle w:val="Header"/>
            <w:spacing w:before="109"/>
          </w:pPr>
        </w:p>
      </w:tc>
      <w:tc>
        <w:tcPr>
          <w:tcW w:w="3100" w:type="dxa"/>
          <w:gridSpan w:val="2"/>
          <w:tcBorders>
            <w:top w:val="single" w:sz="4" w:space="0" w:color="auto"/>
            <w:bottom w:val="single" w:sz="12" w:space="0" w:color="auto"/>
          </w:tcBorders>
          <w:shd w:val="clear" w:color="auto" w:fill="auto"/>
        </w:tcPr>
        <w:p w:rsidR="00002AFD" w:rsidRDefault="00002AFD" w:rsidP="00C4601D">
          <w:pPr>
            <w:bidi w:val="0"/>
            <w:spacing w:before="240" w:line="240" w:lineRule="exact"/>
          </w:pPr>
          <w:r>
            <w:t>Distr.: General</w:t>
          </w:r>
        </w:p>
        <w:p w:rsidR="00002AFD" w:rsidRDefault="00002AFD" w:rsidP="00C4601D">
          <w:pPr>
            <w:bidi w:val="0"/>
            <w:spacing w:line="240" w:lineRule="exact"/>
            <w:jc w:val="left"/>
          </w:pPr>
          <w:r>
            <w:t>22 July 2008</w:t>
          </w:r>
        </w:p>
        <w:p w:rsidR="00002AFD" w:rsidRDefault="00002AFD" w:rsidP="00C4601D">
          <w:pPr>
            <w:bidi w:val="0"/>
            <w:spacing w:line="240" w:lineRule="exact"/>
            <w:jc w:val="left"/>
          </w:pPr>
          <w:r>
            <w:t>Arabic</w:t>
          </w:r>
        </w:p>
        <w:p w:rsidR="00002AFD" w:rsidRPr="00C4601D" w:rsidRDefault="00002AFD" w:rsidP="00C4601D">
          <w:pPr>
            <w:bidi w:val="0"/>
            <w:spacing w:line="240" w:lineRule="exact"/>
            <w:jc w:val="left"/>
          </w:pPr>
          <w:r>
            <w:t>Original: French</w:t>
          </w:r>
        </w:p>
      </w:tc>
    </w:tr>
  </w:tbl>
  <w:p w:rsidR="00002AFD" w:rsidRPr="00C4601D" w:rsidRDefault="00002AFD" w:rsidP="00C4601D">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0105"/>
    <w:multiLevelType w:val="hybridMultilevel"/>
    <w:tmpl w:val="A3C2F9BA"/>
    <w:lvl w:ilvl="0" w:tplc="0409000F">
      <w:start w:val="1"/>
      <w:numFmt w:val="decimal"/>
      <w:lvlText w:val="%1."/>
      <w:lvlJc w:val="left"/>
      <w:pPr>
        <w:tabs>
          <w:tab w:val="num" w:pos="2132"/>
        </w:tabs>
        <w:ind w:left="2132" w:hanging="360"/>
      </w:pPr>
      <w:rPr>
        <w:rFonts w:hint="default"/>
        <w:color w:val="auto"/>
      </w:rPr>
    </w:lvl>
    <w:lvl w:ilvl="1" w:tplc="040C000F">
      <w:start w:val="1"/>
      <w:numFmt w:val="decimal"/>
      <w:lvlText w:val="%2."/>
      <w:lvlJc w:val="left"/>
      <w:pPr>
        <w:tabs>
          <w:tab w:val="num" w:pos="2146"/>
        </w:tabs>
        <w:ind w:left="2146" w:hanging="360"/>
      </w:pPr>
      <w:rPr>
        <w:rFonts w:hint="default"/>
        <w:color w:val="auto"/>
      </w:rPr>
    </w:lvl>
    <w:lvl w:ilvl="2" w:tplc="040C0005">
      <w:start w:val="1"/>
      <w:numFmt w:val="bullet"/>
      <w:lvlText w:val=""/>
      <w:lvlJc w:val="left"/>
      <w:pPr>
        <w:tabs>
          <w:tab w:val="num" w:pos="2866"/>
        </w:tabs>
        <w:ind w:left="2866" w:hanging="360"/>
      </w:pPr>
      <w:rPr>
        <w:rFonts w:ascii="Wingdings" w:hAnsi="Wingdings" w:hint="default"/>
      </w:rPr>
    </w:lvl>
    <w:lvl w:ilvl="3" w:tplc="040C0001" w:tentative="1">
      <w:start w:val="1"/>
      <w:numFmt w:val="bullet"/>
      <w:lvlText w:val=""/>
      <w:lvlJc w:val="left"/>
      <w:pPr>
        <w:tabs>
          <w:tab w:val="num" w:pos="3586"/>
        </w:tabs>
        <w:ind w:left="3586" w:hanging="360"/>
      </w:pPr>
      <w:rPr>
        <w:rFonts w:ascii="Symbol" w:hAnsi="Symbol" w:hint="default"/>
      </w:rPr>
    </w:lvl>
    <w:lvl w:ilvl="4" w:tplc="040C0003">
      <w:start w:val="1"/>
      <w:numFmt w:val="bullet"/>
      <w:lvlText w:val="o"/>
      <w:lvlJc w:val="left"/>
      <w:pPr>
        <w:tabs>
          <w:tab w:val="num" w:pos="1980"/>
        </w:tabs>
        <w:ind w:left="1980" w:hanging="360"/>
      </w:pPr>
      <w:rPr>
        <w:rFonts w:ascii="Courier New" w:hAnsi="Courier New" w:cs="Courier New" w:hint="default"/>
        <w:color w:val="auto"/>
      </w:rPr>
    </w:lvl>
    <w:lvl w:ilvl="5" w:tplc="040C0005" w:tentative="1">
      <w:start w:val="1"/>
      <w:numFmt w:val="bullet"/>
      <w:lvlText w:val=""/>
      <w:lvlJc w:val="left"/>
      <w:pPr>
        <w:tabs>
          <w:tab w:val="num" w:pos="5026"/>
        </w:tabs>
        <w:ind w:left="5026" w:hanging="360"/>
      </w:pPr>
      <w:rPr>
        <w:rFonts w:ascii="Wingdings" w:hAnsi="Wingdings" w:hint="default"/>
      </w:rPr>
    </w:lvl>
    <w:lvl w:ilvl="6" w:tplc="040C0001" w:tentative="1">
      <w:start w:val="1"/>
      <w:numFmt w:val="bullet"/>
      <w:lvlText w:val=""/>
      <w:lvlJc w:val="left"/>
      <w:pPr>
        <w:tabs>
          <w:tab w:val="num" w:pos="5746"/>
        </w:tabs>
        <w:ind w:left="5746" w:hanging="360"/>
      </w:pPr>
      <w:rPr>
        <w:rFonts w:ascii="Symbol" w:hAnsi="Symbol" w:hint="default"/>
      </w:rPr>
    </w:lvl>
    <w:lvl w:ilvl="7" w:tplc="040C0003" w:tentative="1">
      <w:start w:val="1"/>
      <w:numFmt w:val="bullet"/>
      <w:lvlText w:val="o"/>
      <w:lvlJc w:val="left"/>
      <w:pPr>
        <w:tabs>
          <w:tab w:val="num" w:pos="6466"/>
        </w:tabs>
        <w:ind w:left="6466" w:hanging="360"/>
      </w:pPr>
      <w:rPr>
        <w:rFonts w:ascii="Courier New" w:hAnsi="Courier New" w:cs="Courier New" w:hint="default"/>
      </w:rPr>
    </w:lvl>
    <w:lvl w:ilvl="8" w:tplc="040C0005" w:tentative="1">
      <w:start w:val="1"/>
      <w:numFmt w:val="bullet"/>
      <w:lvlText w:val=""/>
      <w:lvlJc w:val="left"/>
      <w:pPr>
        <w:tabs>
          <w:tab w:val="num" w:pos="7186"/>
        </w:tabs>
        <w:ind w:left="7186" w:hanging="360"/>
      </w:pPr>
      <w:rPr>
        <w:rFonts w:ascii="Wingdings" w:hAnsi="Wingdings" w:hint="default"/>
      </w:rPr>
    </w:lvl>
  </w:abstractNum>
  <w:abstractNum w:abstractNumId="1">
    <w:nsid w:val="0DF9327A"/>
    <w:multiLevelType w:val="hybridMultilevel"/>
    <w:tmpl w:val="50C4CAC2"/>
    <w:lvl w:ilvl="0" w:tplc="0409000F">
      <w:start w:val="1"/>
      <w:numFmt w:val="decimal"/>
      <w:lvlText w:val="%1."/>
      <w:lvlJc w:val="left"/>
      <w:pPr>
        <w:tabs>
          <w:tab w:val="num" w:pos="1426"/>
        </w:tabs>
        <w:ind w:left="1426" w:hanging="360"/>
      </w:pPr>
      <w:rPr>
        <w:rFont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05445A"/>
    <w:multiLevelType w:val="multilevel"/>
    <w:tmpl w:val="8506A610"/>
    <w:lvl w:ilvl="0">
      <w:start w:val="1"/>
      <w:numFmt w:val="bullet"/>
      <w:lvlText w:val=""/>
      <w:lvlJc w:val="left"/>
      <w:pPr>
        <w:tabs>
          <w:tab w:val="num" w:pos="1630"/>
        </w:tabs>
        <w:ind w:left="1630" w:hanging="360"/>
      </w:pPr>
      <w:rPr>
        <w:rFonts w:ascii="Symbol" w:hAnsi="Symbol" w:hint="default"/>
        <w:color w:val="auto"/>
      </w:rPr>
    </w:lvl>
    <w:lvl w:ilvl="1">
      <w:start w:val="1"/>
      <w:numFmt w:val="bullet"/>
      <w:lvlText w:val="o"/>
      <w:lvlJc w:val="left"/>
      <w:pPr>
        <w:tabs>
          <w:tab w:val="num" w:pos="1644"/>
        </w:tabs>
        <w:ind w:left="1644" w:hanging="360"/>
      </w:pPr>
      <w:rPr>
        <w:rFonts w:ascii="Courier New" w:hAnsi="Courier New" w:cs="Courier New" w:hint="default"/>
      </w:rPr>
    </w:lvl>
    <w:lvl w:ilvl="2">
      <w:start w:val="1"/>
      <w:numFmt w:val="bullet"/>
      <w:lvlText w:val=""/>
      <w:lvlJc w:val="left"/>
      <w:pPr>
        <w:tabs>
          <w:tab w:val="num" w:pos="2364"/>
        </w:tabs>
        <w:ind w:left="2364" w:hanging="360"/>
      </w:pPr>
      <w:rPr>
        <w:rFonts w:ascii="Wingdings" w:hAnsi="Wingdings" w:hint="default"/>
      </w:rPr>
    </w:lvl>
    <w:lvl w:ilvl="3">
      <w:start w:val="1"/>
      <w:numFmt w:val="bullet"/>
      <w:lvlText w:val=""/>
      <w:lvlJc w:val="left"/>
      <w:pPr>
        <w:tabs>
          <w:tab w:val="num" w:pos="3084"/>
        </w:tabs>
        <w:ind w:left="3084" w:hanging="360"/>
      </w:pPr>
      <w:rPr>
        <w:rFonts w:ascii="Symbol" w:hAnsi="Symbol" w:hint="default"/>
      </w:rPr>
    </w:lvl>
    <w:lvl w:ilvl="4">
      <w:start w:val="1"/>
      <w:numFmt w:val="bullet"/>
      <w:lvlText w:val="o"/>
      <w:lvlJc w:val="left"/>
      <w:pPr>
        <w:tabs>
          <w:tab w:val="num" w:pos="3804"/>
        </w:tabs>
        <w:ind w:left="3804" w:hanging="360"/>
      </w:pPr>
      <w:rPr>
        <w:rFonts w:ascii="Courier New" w:hAnsi="Courier New" w:cs="Courier New" w:hint="default"/>
      </w:rPr>
    </w:lvl>
    <w:lvl w:ilvl="5">
      <w:start w:val="1"/>
      <w:numFmt w:val="bullet"/>
      <w:lvlText w:val=""/>
      <w:lvlJc w:val="left"/>
      <w:pPr>
        <w:tabs>
          <w:tab w:val="num" w:pos="4524"/>
        </w:tabs>
        <w:ind w:left="4524" w:hanging="360"/>
      </w:pPr>
      <w:rPr>
        <w:rFonts w:ascii="Wingdings" w:hAnsi="Wingdings" w:hint="default"/>
      </w:rPr>
    </w:lvl>
    <w:lvl w:ilvl="6">
      <w:start w:val="1"/>
      <w:numFmt w:val="bullet"/>
      <w:lvlText w:val=""/>
      <w:lvlJc w:val="left"/>
      <w:pPr>
        <w:tabs>
          <w:tab w:val="num" w:pos="5244"/>
        </w:tabs>
        <w:ind w:left="5244" w:hanging="360"/>
      </w:pPr>
      <w:rPr>
        <w:rFonts w:ascii="Symbol" w:hAnsi="Symbol" w:hint="default"/>
      </w:rPr>
    </w:lvl>
    <w:lvl w:ilvl="7">
      <w:start w:val="1"/>
      <w:numFmt w:val="bullet"/>
      <w:lvlText w:val="o"/>
      <w:lvlJc w:val="left"/>
      <w:pPr>
        <w:tabs>
          <w:tab w:val="num" w:pos="5964"/>
        </w:tabs>
        <w:ind w:left="5964" w:hanging="360"/>
      </w:pPr>
      <w:rPr>
        <w:rFonts w:ascii="Courier New" w:hAnsi="Courier New" w:cs="Courier New" w:hint="default"/>
      </w:rPr>
    </w:lvl>
    <w:lvl w:ilvl="8">
      <w:start w:val="1"/>
      <w:numFmt w:val="bullet"/>
      <w:lvlText w:val=""/>
      <w:lvlJc w:val="left"/>
      <w:pPr>
        <w:tabs>
          <w:tab w:val="num" w:pos="6684"/>
        </w:tabs>
        <w:ind w:left="6684" w:hanging="360"/>
      </w:pPr>
      <w:rPr>
        <w:rFonts w:ascii="Wingdings" w:hAnsi="Wingdings" w:hint="default"/>
      </w:rPr>
    </w:lvl>
  </w:abstractNum>
  <w:abstractNum w:abstractNumId="3">
    <w:nsid w:val="1A7B1D78"/>
    <w:multiLevelType w:val="hybridMultilevel"/>
    <w:tmpl w:val="B2DC4BC8"/>
    <w:lvl w:ilvl="0" w:tplc="8D0CB058">
      <w:start w:val="1"/>
      <w:numFmt w:val="decimal"/>
      <w:lvlText w:val="(%1)"/>
      <w:lvlJc w:val="left"/>
      <w:pPr>
        <w:tabs>
          <w:tab w:val="num" w:pos="720"/>
        </w:tabs>
        <w:ind w:left="720" w:hanging="360"/>
      </w:pPr>
      <w:rPr>
        <w:rFonts w:hint="default"/>
        <w:vertAlign w:val="superscrip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23800B65"/>
    <w:multiLevelType w:val="hybridMultilevel"/>
    <w:tmpl w:val="8506A610"/>
    <w:lvl w:ilvl="0" w:tplc="3BDA8396">
      <w:start w:val="1"/>
      <w:numFmt w:val="bullet"/>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374"/>
        </w:tabs>
        <w:ind w:left="374" w:hanging="360"/>
      </w:pPr>
      <w:rPr>
        <w:rFonts w:ascii="Courier New" w:hAnsi="Courier New" w:cs="Courier New" w:hint="default"/>
      </w:rPr>
    </w:lvl>
    <w:lvl w:ilvl="2" w:tplc="040C0005" w:tentative="1">
      <w:start w:val="1"/>
      <w:numFmt w:val="bullet"/>
      <w:lvlText w:val=""/>
      <w:lvlJc w:val="left"/>
      <w:pPr>
        <w:tabs>
          <w:tab w:val="num" w:pos="1094"/>
        </w:tabs>
        <w:ind w:left="1094" w:hanging="360"/>
      </w:pPr>
      <w:rPr>
        <w:rFonts w:ascii="Wingdings" w:hAnsi="Wingdings" w:hint="default"/>
      </w:rPr>
    </w:lvl>
    <w:lvl w:ilvl="3" w:tplc="040C0001" w:tentative="1">
      <w:start w:val="1"/>
      <w:numFmt w:val="bullet"/>
      <w:lvlText w:val=""/>
      <w:lvlJc w:val="left"/>
      <w:pPr>
        <w:tabs>
          <w:tab w:val="num" w:pos="1814"/>
        </w:tabs>
        <w:ind w:left="1814" w:hanging="360"/>
      </w:pPr>
      <w:rPr>
        <w:rFonts w:ascii="Symbol" w:hAnsi="Symbol" w:hint="default"/>
      </w:rPr>
    </w:lvl>
    <w:lvl w:ilvl="4" w:tplc="040C0003" w:tentative="1">
      <w:start w:val="1"/>
      <w:numFmt w:val="bullet"/>
      <w:lvlText w:val="o"/>
      <w:lvlJc w:val="left"/>
      <w:pPr>
        <w:tabs>
          <w:tab w:val="num" w:pos="2534"/>
        </w:tabs>
        <w:ind w:left="2534" w:hanging="360"/>
      </w:pPr>
      <w:rPr>
        <w:rFonts w:ascii="Courier New" w:hAnsi="Courier New" w:cs="Courier New" w:hint="default"/>
      </w:rPr>
    </w:lvl>
    <w:lvl w:ilvl="5" w:tplc="040C0005" w:tentative="1">
      <w:start w:val="1"/>
      <w:numFmt w:val="bullet"/>
      <w:lvlText w:val=""/>
      <w:lvlJc w:val="left"/>
      <w:pPr>
        <w:tabs>
          <w:tab w:val="num" w:pos="3254"/>
        </w:tabs>
        <w:ind w:left="3254" w:hanging="360"/>
      </w:pPr>
      <w:rPr>
        <w:rFonts w:ascii="Wingdings" w:hAnsi="Wingdings" w:hint="default"/>
      </w:rPr>
    </w:lvl>
    <w:lvl w:ilvl="6" w:tplc="040C0001" w:tentative="1">
      <w:start w:val="1"/>
      <w:numFmt w:val="bullet"/>
      <w:lvlText w:val=""/>
      <w:lvlJc w:val="left"/>
      <w:pPr>
        <w:tabs>
          <w:tab w:val="num" w:pos="3974"/>
        </w:tabs>
        <w:ind w:left="3974" w:hanging="360"/>
      </w:pPr>
      <w:rPr>
        <w:rFonts w:ascii="Symbol" w:hAnsi="Symbol" w:hint="default"/>
      </w:rPr>
    </w:lvl>
    <w:lvl w:ilvl="7" w:tplc="040C0003" w:tentative="1">
      <w:start w:val="1"/>
      <w:numFmt w:val="bullet"/>
      <w:lvlText w:val="o"/>
      <w:lvlJc w:val="left"/>
      <w:pPr>
        <w:tabs>
          <w:tab w:val="num" w:pos="4694"/>
        </w:tabs>
        <w:ind w:left="4694" w:hanging="360"/>
      </w:pPr>
      <w:rPr>
        <w:rFonts w:ascii="Courier New" w:hAnsi="Courier New" w:cs="Courier New" w:hint="default"/>
      </w:rPr>
    </w:lvl>
    <w:lvl w:ilvl="8" w:tplc="040C0005" w:tentative="1">
      <w:start w:val="1"/>
      <w:numFmt w:val="bullet"/>
      <w:lvlText w:val=""/>
      <w:lvlJc w:val="left"/>
      <w:pPr>
        <w:tabs>
          <w:tab w:val="num" w:pos="5414"/>
        </w:tabs>
        <w:ind w:left="5414" w:hanging="360"/>
      </w:pPr>
      <w:rPr>
        <w:rFonts w:ascii="Wingdings" w:hAnsi="Wingdings" w:hint="default"/>
      </w:rPr>
    </w:lvl>
  </w:abstractNum>
  <w:abstractNum w:abstractNumId="5">
    <w:nsid w:val="26106270"/>
    <w:multiLevelType w:val="multilevel"/>
    <w:tmpl w:val="AFBEA13A"/>
    <w:lvl w:ilvl="0">
      <w:start w:val="1"/>
      <w:numFmt w:val="bullet"/>
      <w:lvlText w:val=""/>
      <w:lvlJc w:val="left"/>
      <w:pPr>
        <w:tabs>
          <w:tab w:val="num" w:pos="2132"/>
        </w:tabs>
        <w:ind w:left="2132" w:hanging="360"/>
      </w:pPr>
      <w:rPr>
        <w:rFonts w:ascii="Symbol" w:hAnsi="Symbol" w:hint="default"/>
        <w:color w:val="auto"/>
      </w:rPr>
    </w:lvl>
    <w:lvl w:ilvl="1">
      <w:start w:val="1"/>
      <w:numFmt w:val="decimal"/>
      <w:lvlText w:val="%2."/>
      <w:lvlJc w:val="left"/>
      <w:pPr>
        <w:tabs>
          <w:tab w:val="num" w:pos="2146"/>
        </w:tabs>
        <w:ind w:left="2146" w:hanging="360"/>
      </w:pPr>
      <w:rPr>
        <w:rFonts w:hint="default"/>
        <w:color w:val="auto"/>
      </w:rPr>
    </w:lvl>
    <w:lvl w:ilvl="2">
      <w:start w:val="1"/>
      <w:numFmt w:val="bullet"/>
      <w:lvlText w:val=""/>
      <w:lvlJc w:val="left"/>
      <w:pPr>
        <w:tabs>
          <w:tab w:val="num" w:pos="2866"/>
        </w:tabs>
        <w:ind w:left="2866" w:hanging="360"/>
      </w:pPr>
      <w:rPr>
        <w:rFonts w:ascii="Wingdings" w:hAnsi="Wingdings" w:hint="default"/>
      </w:rPr>
    </w:lvl>
    <w:lvl w:ilvl="3">
      <w:start w:val="1"/>
      <w:numFmt w:val="bullet"/>
      <w:lvlText w:val=""/>
      <w:lvlJc w:val="left"/>
      <w:pPr>
        <w:tabs>
          <w:tab w:val="num" w:pos="3586"/>
        </w:tabs>
        <w:ind w:left="3586" w:hanging="360"/>
      </w:pPr>
      <w:rPr>
        <w:rFonts w:ascii="Symbol" w:hAnsi="Symbol" w:hint="default"/>
      </w:rPr>
    </w:lvl>
    <w:lvl w:ilvl="4">
      <w:start w:val="1"/>
      <w:numFmt w:val="bullet"/>
      <w:lvlText w:val="o"/>
      <w:lvlJc w:val="left"/>
      <w:pPr>
        <w:tabs>
          <w:tab w:val="num" w:pos="1980"/>
        </w:tabs>
        <w:ind w:left="1980" w:hanging="360"/>
      </w:pPr>
      <w:rPr>
        <w:rFonts w:ascii="Courier New" w:hAnsi="Courier New" w:cs="Courier New" w:hint="default"/>
        <w:color w:val="auto"/>
      </w:rPr>
    </w:lvl>
    <w:lvl w:ilvl="5">
      <w:start w:val="1"/>
      <w:numFmt w:val="bullet"/>
      <w:lvlText w:val=""/>
      <w:lvlJc w:val="left"/>
      <w:pPr>
        <w:tabs>
          <w:tab w:val="num" w:pos="5026"/>
        </w:tabs>
        <w:ind w:left="5026" w:hanging="360"/>
      </w:pPr>
      <w:rPr>
        <w:rFonts w:ascii="Wingdings" w:hAnsi="Wingdings" w:hint="default"/>
      </w:rPr>
    </w:lvl>
    <w:lvl w:ilvl="6">
      <w:start w:val="1"/>
      <w:numFmt w:val="bullet"/>
      <w:lvlText w:val=""/>
      <w:lvlJc w:val="left"/>
      <w:pPr>
        <w:tabs>
          <w:tab w:val="num" w:pos="5746"/>
        </w:tabs>
        <w:ind w:left="5746" w:hanging="360"/>
      </w:pPr>
      <w:rPr>
        <w:rFonts w:ascii="Symbol" w:hAnsi="Symbol" w:hint="default"/>
      </w:rPr>
    </w:lvl>
    <w:lvl w:ilvl="7">
      <w:start w:val="1"/>
      <w:numFmt w:val="bullet"/>
      <w:lvlText w:val="o"/>
      <w:lvlJc w:val="left"/>
      <w:pPr>
        <w:tabs>
          <w:tab w:val="num" w:pos="6466"/>
        </w:tabs>
        <w:ind w:left="6466" w:hanging="360"/>
      </w:pPr>
      <w:rPr>
        <w:rFonts w:ascii="Courier New" w:hAnsi="Courier New" w:cs="Courier New" w:hint="default"/>
      </w:rPr>
    </w:lvl>
    <w:lvl w:ilvl="8">
      <w:start w:val="1"/>
      <w:numFmt w:val="bullet"/>
      <w:lvlText w:val=""/>
      <w:lvlJc w:val="left"/>
      <w:pPr>
        <w:tabs>
          <w:tab w:val="num" w:pos="7186"/>
        </w:tabs>
        <w:ind w:left="7186" w:hanging="360"/>
      </w:pPr>
      <w:rPr>
        <w:rFonts w:ascii="Wingdings" w:hAnsi="Wingdings" w:hint="default"/>
      </w:rPr>
    </w:lvl>
  </w:abstractNum>
  <w:abstractNum w:abstractNumId="6">
    <w:nsid w:val="28A874EE"/>
    <w:multiLevelType w:val="hybridMultilevel"/>
    <w:tmpl w:val="20E8EBE6"/>
    <w:lvl w:ilvl="0" w:tplc="3BDA8396">
      <w:start w:val="1"/>
      <w:numFmt w:val="bullet"/>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374"/>
        </w:tabs>
        <w:ind w:left="374" w:hanging="360"/>
      </w:pPr>
      <w:rPr>
        <w:rFonts w:ascii="Courier New" w:hAnsi="Courier New" w:cs="Courier New" w:hint="default"/>
      </w:rPr>
    </w:lvl>
    <w:lvl w:ilvl="2" w:tplc="040C0005" w:tentative="1">
      <w:start w:val="1"/>
      <w:numFmt w:val="bullet"/>
      <w:lvlText w:val=""/>
      <w:lvlJc w:val="left"/>
      <w:pPr>
        <w:tabs>
          <w:tab w:val="num" w:pos="1094"/>
        </w:tabs>
        <w:ind w:left="1094" w:hanging="360"/>
      </w:pPr>
      <w:rPr>
        <w:rFonts w:ascii="Wingdings" w:hAnsi="Wingdings" w:hint="default"/>
      </w:rPr>
    </w:lvl>
    <w:lvl w:ilvl="3" w:tplc="040C0001" w:tentative="1">
      <w:start w:val="1"/>
      <w:numFmt w:val="bullet"/>
      <w:lvlText w:val=""/>
      <w:lvlJc w:val="left"/>
      <w:pPr>
        <w:tabs>
          <w:tab w:val="num" w:pos="1814"/>
        </w:tabs>
        <w:ind w:left="1814" w:hanging="360"/>
      </w:pPr>
      <w:rPr>
        <w:rFonts w:ascii="Symbol" w:hAnsi="Symbol" w:hint="default"/>
      </w:rPr>
    </w:lvl>
    <w:lvl w:ilvl="4" w:tplc="040C0003" w:tentative="1">
      <w:start w:val="1"/>
      <w:numFmt w:val="bullet"/>
      <w:lvlText w:val="o"/>
      <w:lvlJc w:val="left"/>
      <w:pPr>
        <w:tabs>
          <w:tab w:val="num" w:pos="2534"/>
        </w:tabs>
        <w:ind w:left="2534" w:hanging="360"/>
      </w:pPr>
      <w:rPr>
        <w:rFonts w:ascii="Courier New" w:hAnsi="Courier New" w:cs="Courier New" w:hint="default"/>
      </w:rPr>
    </w:lvl>
    <w:lvl w:ilvl="5" w:tplc="040C0005" w:tentative="1">
      <w:start w:val="1"/>
      <w:numFmt w:val="bullet"/>
      <w:lvlText w:val=""/>
      <w:lvlJc w:val="left"/>
      <w:pPr>
        <w:tabs>
          <w:tab w:val="num" w:pos="3254"/>
        </w:tabs>
        <w:ind w:left="3254" w:hanging="360"/>
      </w:pPr>
      <w:rPr>
        <w:rFonts w:ascii="Wingdings" w:hAnsi="Wingdings" w:hint="default"/>
      </w:rPr>
    </w:lvl>
    <w:lvl w:ilvl="6" w:tplc="040C0001" w:tentative="1">
      <w:start w:val="1"/>
      <w:numFmt w:val="bullet"/>
      <w:lvlText w:val=""/>
      <w:lvlJc w:val="left"/>
      <w:pPr>
        <w:tabs>
          <w:tab w:val="num" w:pos="3974"/>
        </w:tabs>
        <w:ind w:left="3974" w:hanging="360"/>
      </w:pPr>
      <w:rPr>
        <w:rFonts w:ascii="Symbol" w:hAnsi="Symbol" w:hint="default"/>
      </w:rPr>
    </w:lvl>
    <w:lvl w:ilvl="7" w:tplc="040C0003" w:tentative="1">
      <w:start w:val="1"/>
      <w:numFmt w:val="bullet"/>
      <w:lvlText w:val="o"/>
      <w:lvlJc w:val="left"/>
      <w:pPr>
        <w:tabs>
          <w:tab w:val="num" w:pos="4694"/>
        </w:tabs>
        <w:ind w:left="4694" w:hanging="360"/>
      </w:pPr>
      <w:rPr>
        <w:rFonts w:ascii="Courier New" w:hAnsi="Courier New" w:cs="Courier New" w:hint="default"/>
      </w:rPr>
    </w:lvl>
    <w:lvl w:ilvl="8" w:tplc="040C0005" w:tentative="1">
      <w:start w:val="1"/>
      <w:numFmt w:val="bullet"/>
      <w:lvlText w:val=""/>
      <w:lvlJc w:val="left"/>
      <w:pPr>
        <w:tabs>
          <w:tab w:val="num" w:pos="5414"/>
        </w:tabs>
        <w:ind w:left="5414" w:hanging="360"/>
      </w:pPr>
      <w:rPr>
        <w:rFonts w:ascii="Wingdings" w:hAnsi="Wingdings" w:hint="default"/>
      </w:rPr>
    </w:lvl>
  </w:abstractNum>
  <w:abstractNum w:abstractNumId="7">
    <w:nsid w:val="2ED15580"/>
    <w:multiLevelType w:val="hybridMultilevel"/>
    <w:tmpl w:val="9CCAA25C"/>
    <w:lvl w:ilvl="0" w:tplc="040C0003">
      <w:start w:val="1"/>
      <w:numFmt w:val="bullet"/>
      <w:lvlText w:val="o"/>
      <w:lvlJc w:val="left"/>
      <w:pPr>
        <w:tabs>
          <w:tab w:val="num" w:pos="2132"/>
        </w:tabs>
        <w:ind w:left="2132" w:hanging="360"/>
      </w:pPr>
      <w:rPr>
        <w:rFonts w:ascii="Courier New" w:hAnsi="Courier New" w:cs="Courier New" w:hint="default"/>
        <w:color w:val="auto"/>
      </w:rPr>
    </w:lvl>
    <w:lvl w:ilvl="1" w:tplc="040C000F">
      <w:start w:val="1"/>
      <w:numFmt w:val="decimal"/>
      <w:lvlText w:val="%2."/>
      <w:lvlJc w:val="left"/>
      <w:pPr>
        <w:tabs>
          <w:tab w:val="num" w:pos="2146"/>
        </w:tabs>
        <w:ind w:left="2146" w:hanging="360"/>
      </w:pPr>
      <w:rPr>
        <w:rFonts w:hint="default"/>
        <w:color w:val="auto"/>
      </w:rPr>
    </w:lvl>
    <w:lvl w:ilvl="2" w:tplc="040C0005">
      <w:start w:val="1"/>
      <w:numFmt w:val="bullet"/>
      <w:lvlText w:val=""/>
      <w:lvlJc w:val="left"/>
      <w:pPr>
        <w:tabs>
          <w:tab w:val="num" w:pos="2866"/>
        </w:tabs>
        <w:ind w:left="2866" w:hanging="360"/>
      </w:pPr>
      <w:rPr>
        <w:rFonts w:ascii="Wingdings" w:hAnsi="Wingdings" w:hint="default"/>
      </w:rPr>
    </w:lvl>
    <w:lvl w:ilvl="3" w:tplc="040C0001" w:tentative="1">
      <w:start w:val="1"/>
      <w:numFmt w:val="bullet"/>
      <w:lvlText w:val=""/>
      <w:lvlJc w:val="left"/>
      <w:pPr>
        <w:tabs>
          <w:tab w:val="num" w:pos="3586"/>
        </w:tabs>
        <w:ind w:left="3586" w:hanging="360"/>
      </w:pPr>
      <w:rPr>
        <w:rFonts w:ascii="Symbol" w:hAnsi="Symbol" w:hint="default"/>
      </w:rPr>
    </w:lvl>
    <w:lvl w:ilvl="4" w:tplc="040C0003">
      <w:start w:val="1"/>
      <w:numFmt w:val="bullet"/>
      <w:lvlText w:val="o"/>
      <w:lvlJc w:val="left"/>
      <w:pPr>
        <w:tabs>
          <w:tab w:val="num" w:pos="1980"/>
        </w:tabs>
        <w:ind w:left="1980" w:hanging="360"/>
      </w:pPr>
      <w:rPr>
        <w:rFonts w:ascii="Courier New" w:hAnsi="Courier New" w:cs="Courier New" w:hint="default"/>
        <w:color w:val="auto"/>
      </w:rPr>
    </w:lvl>
    <w:lvl w:ilvl="5" w:tplc="040C0005" w:tentative="1">
      <w:start w:val="1"/>
      <w:numFmt w:val="bullet"/>
      <w:lvlText w:val=""/>
      <w:lvlJc w:val="left"/>
      <w:pPr>
        <w:tabs>
          <w:tab w:val="num" w:pos="5026"/>
        </w:tabs>
        <w:ind w:left="5026" w:hanging="360"/>
      </w:pPr>
      <w:rPr>
        <w:rFonts w:ascii="Wingdings" w:hAnsi="Wingdings" w:hint="default"/>
      </w:rPr>
    </w:lvl>
    <w:lvl w:ilvl="6" w:tplc="040C0001" w:tentative="1">
      <w:start w:val="1"/>
      <w:numFmt w:val="bullet"/>
      <w:lvlText w:val=""/>
      <w:lvlJc w:val="left"/>
      <w:pPr>
        <w:tabs>
          <w:tab w:val="num" w:pos="5746"/>
        </w:tabs>
        <w:ind w:left="5746" w:hanging="360"/>
      </w:pPr>
      <w:rPr>
        <w:rFonts w:ascii="Symbol" w:hAnsi="Symbol" w:hint="default"/>
      </w:rPr>
    </w:lvl>
    <w:lvl w:ilvl="7" w:tplc="040C0003" w:tentative="1">
      <w:start w:val="1"/>
      <w:numFmt w:val="bullet"/>
      <w:lvlText w:val="o"/>
      <w:lvlJc w:val="left"/>
      <w:pPr>
        <w:tabs>
          <w:tab w:val="num" w:pos="6466"/>
        </w:tabs>
        <w:ind w:left="6466" w:hanging="360"/>
      </w:pPr>
      <w:rPr>
        <w:rFonts w:ascii="Courier New" w:hAnsi="Courier New" w:cs="Courier New" w:hint="default"/>
      </w:rPr>
    </w:lvl>
    <w:lvl w:ilvl="8" w:tplc="040C0005" w:tentative="1">
      <w:start w:val="1"/>
      <w:numFmt w:val="bullet"/>
      <w:lvlText w:val=""/>
      <w:lvlJc w:val="left"/>
      <w:pPr>
        <w:tabs>
          <w:tab w:val="num" w:pos="7186"/>
        </w:tabs>
        <w:ind w:left="7186" w:hanging="360"/>
      </w:pPr>
      <w:rPr>
        <w:rFonts w:ascii="Wingdings" w:hAnsi="Wingdings" w:hint="default"/>
      </w:rPr>
    </w:lvl>
  </w:abstractNum>
  <w:abstractNum w:abstractNumId="8">
    <w:nsid w:val="309D2342"/>
    <w:multiLevelType w:val="multilevel"/>
    <w:tmpl w:val="3E26C25C"/>
    <w:lvl w:ilvl="0">
      <w:start w:val="1"/>
      <w:numFmt w:val="bullet"/>
      <w:lvlText w:val=""/>
      <w:lvlJc w:val="left"/>
      <w:pPr>
        <w:tabs>
          <w:tab w:val="num" w:pos="2132"/>
        </w:tabs>
        <w:ind w:left="2132" w:hanging="360"/>
      </w:pPr>
      <w:rPr>
        <w:rFonts w:ascii="Symbol" w:hAnsi="Symbol" w:hint="default"/>
        <w:color w:val="auto"/>
      </w:rPr>
    </w:lvl>
    <w:lvl w:ilvl="1">
      <w:start w:val="1"/>
      <w:numFmt w:val="decimal"/>
      <w:lvlText w:val="%2."/>
      <w:lvlJc w:val="left"/>
      <w:pPr>
        <w:tabs>
          <w:tab w:val="num" w:pos="2146"/>
        </w:tabs>
        <w:ind w:left="2146" w:hanging="360"/>
      </w:pPr>
      <w:rPr>
        <w:rFonts w:hint="default"/>
        <w:color w:val="auto"/>
      </w:rPr>
    </w:lvl>
    <w:lvl w:ilvl="2">
      <w:start w:val="1"/>
      <w:numFmt w:val="bullet"/>
      <w:lvlText w:val=""/>
      <w:lvlJc w:val="left"/>
      <w:pPr>
        <w:tabs>
          <w:tab w:val="num" w:pos="2866"/>
        </w:tabs>
        <w:ind w:left="2866" w:hanging="360"/>
      </w:pPr>
      <w:rPr>
        <w:rFonts w:ascii="Wingdings" w:hAnsi="Wingdings" w:hint="default"/>
      </w:rPr>
    </w:lvl>
    <w:lvl w:ilvl="3">
      <w:start w:val="1"/>
      <w:numFmt w:val="bullet"/>
      <w:lvlText w:val=""/>
      <w:lvlJc w:val="left"/>
      <w:pPr>
        <w:tabs>
          <w:tab w:val="num" w:pos="3586"/>
        </w:tabs>
        <w:ind w:left="3586" w:hanging="360"/>
      </w:pPr>
      <w:rPr>
        <w:rFonts w:ascii="Symbol" w:hAnsi="Symbol" w:hint="default"/>
      </w:rPr>
    </w:lvl>
    <w:lvl w:ilvl="4">
      <w:start w:val="1"/>
      <w:numFmt w:val="bullet"/>
      <w:lvlText w:val="o"/>
      <w:lvlJc w:val="left"/>
      <w:pPr>
        <w:tabs>
          <w:tab w:val="num" w:pos="2160"/>
        </w:tabs>
        <w:ind w:left="2160" w:hanging="360"/>
      </w:pPr>
      <w:rPr>
        <w:rFonts w:ascii="Courier New" w:hAnsi="Courier New" w:cs="Courier New" w:hint="default"/>
        <w:color w:val="auto"/>
      </w:rPr>
    </w:lvl>
    <w:lvl w:ilvl="5">
      <w:start w:val="1"/>
      <w:numFmt w:val="bullet"/>
      <w:lvlText w:val=""/>
      <w:lvlJc w:val="left"/>
      <w:pPr>
        <w:tabs>
          <w:tab w:val="num" w:pos="5026"/>
        </w:tabs>
        <w:ind w:left="5026" w:hanging="360"/>
      </w:pPr>
      <w:rPr>
        <w:rFonts w:ascii="Wingdings" w:hAnsi="Wingdings" w:hint="default"/>
      </w:rPr>
    </w:lvl>
    <w:lvl w:ilvl="6">
      <w:start w:val="1"/>
      <w:numFmt w:val="bullet"/>
      <w:lvlText w:val=""/>
      <w:lvlJc w:val="left"/>
      <w:pPr>
        <w:tabs>
          <w:tab w:val="num" w:pos="5746"/>
        </w:tabs>
        <w:ind w:left="5746" w:hanging="360"/>
      </w:pPr>
      <w:rPr>
        <w:rFonts w:ascii="Symbol" w:hAnsi="Symbol" w:hint="default"/>
      </w:rPr>
    </w:lvl>
    <w:lvl w:ilvl="7">
      <w:start w:val="1"/>
      <w:numFmt w:val="bullet"/>
      <w:lvlText w:val="o"/>
      <w:lvlJc w:val="left"/>
      <w:pPr>
        <w:tabs>
          <w:tab w:val="num" w:pos="6466"/>
        </w:tabs>
        <w:ind w:left="6466" w:hanging="360"/>
      </w:pPr>
      <w:rPr>
        <w:rFonts w:ascii="Courier New" w:hAnsi="Courier New" w:cs="Courier New" w:hint="default"/>
      </w:rPr>
    </w:lvl>
    <w:lvl w:ilvl="8">
      <w:start w:val="1"/>
      <w:numFmt w:val="bullet"/>
      <w:lvlText w:val=""/>
      <w:lvlJc w:val="left"/>
      <w:pPr>
        <w:tabs>
          <w:tab w:val="num" w:pos="7186"/>
        </w:tabs>
        <w:ind w:left="7186" w:hanging="360"/>
      </w:pPr>
      <w:rPr>
        <w:rFonts w:ascii="Wingdings" w:hAnsi="Wingdings" w:hint="default"/>
      </w:rPr>
    </w:lvl>
  </w:abstractNum>
  <w:abstractNum w:abstractNumId="9">
    <w:nsid w:val="30F44F69"/>
    <w:multiLevelType w:val="multilevel"/>
    <w:tmpl w:val="10168CA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374"/>
        </w:tabs>
        <w:ind w:left="374" w:hanging="360"/>
      </w:pPr>
      <w:rPr>
        <w:rFonts w:ascii="Courier New" w:hAnsi="Courier New" w:cs="Courier New" w:hint="default"/>
      </w:rPr>
    </w:lvl>
    <w:lvl w:ilvl="2">
      <w:start w:val="1"/>
      <w:numFmt w:val="bullet"/>
      <w:lvlText w:val=""/>
      <w:lvlJc w:val="left"/>
      <w:pPr>
        <w:tabs>
          <w:tab w:val="num" w:pos="1094"/>
        </w:tabs>
        <w:ind w:left="1094" w:hanging="360"/>
      </w:pPr>
      <w:rPr>
        <w:rFonts w:ascii="Wingdings" w:hAnsi="Wingdings" w:hint="default"/>
      </w:rPr>
    </w:lvl>
    <w:lvl w:ilvl="3">
      <w:start w:val="1"/>
      <w:numFmt w:val="bullet"/>
      <w:lvlText w:val=""/>
      <w:lvlJc w:val="left"/>
      <w:pPr>
        <w:tabs>
          <w:tab w:val="num" w:pos="1814"/>
        </w:tabs>
        <w:ind w:left="1814" w:hanging="360"/>
      </w:pPr>
      <w:rPr>
        <w:rFonts w:ascii="Symbol" w:hAnsi="Symbol" w:hint="default"/>
      </w:rPr>
    </w:lvl>
    <w:lvl w:ilvl="4">
      <w:start w:val="1"/>
      <w:numFmt w:val="bullet"/>
      <w:lvlText w:val="o"/>
      <w:lvlJc w:val="left"/>
      <w:pPr>
        <w:tabs>
          <w:tab w:val="num" w:pos="2534"/>
        </w:tabs>
        <w:ind w:left="2534" w:hanging="360"/>
      </w:pPr>
      <w:rPr>
        <w:rFonts w:ascii="Courier New" w:hAnsi="Courier New" w:cs="Courier New" w:hint="default"/>
      </w:rPr>
    </w:lvl>
    <w:lvl w:ilvl="5">
      <w:start w:val="1"/>
      <w:numFmt w:val="bullet"/>
      <w:lvlText w:val=""/>
      <w:lvlJc w:val="left"/>
      <w:pPr>
        <w:tabs>
          <w:tab w:val="num" w:pos="3254"/>
        </w:tabs>
        <w:ind w:left="3254" w:hanging="360"/>
      </w:pPr>
      <w:rPr>
        <w:rFonts w:ascii="Wingdings" w:hAnsi="Wingdings" w:hint="default"/>
      </w:rPr>
    </w:lvl>
    <w:lvl w:ilvl="6">
      <w:start w:val="1"/>
      <w:numFmt w:val="bullet"/>
      <w:lvlText w:val=""/>
      <w:lvlJc w:val="left"/>
      <w:pPr>
        <w:tabs>
          <w:tab w:val="num" w:pos="3974"/>
        </w:tabs>
        <w:ind w:left="3974" w:hanging="360"/>
      </w:pPr>
      <w:rPr>
        <w:rFonts w:ascii="Symbol" w:hAnsi="Symbol" w:hint="default"/>
      </w:rPr>
    </w:lvl>
    <w:lvl w:ilvl="7">
      <w:start w:val="1"/>
      <w:numFmt w:val="bullet"/>
      <w:lvlText w:val="o"/>
      <w:lvlJc w:val="left"/>
      <w:pPr>
        <w:tabs>
          <w:tab w:val="num" w:pos="4694"/>
        </w:tabs>
        <w:ind w:left="4694" w:hanging="360"/>
      </w:pPr>
      <w:rPr>
        <w:rFonts w:ascii="Courier New" w:hAnsi="Courier New" w:cs="Courier New" w:hint="default"/>
      </w:rPr>
    </w:lvl>
    <w:lvl w:ilvl="8">
      <w:start w:val="1"/>
      <w:numFmt w:val="bullet"/>
      <w:lvlText w:val=""/>
      <w:lvlJc w:val="left"/>
      <w:pPr>
        <w:tabs>
          <w:tab w:val="num" w:pos="5414"/>
        </w:tabs>
        <w:ind w:left="5414" w:hanging="360"/>
      </w:pPr>
      <w:rPr>
        <w:rFonts w:ascii="Wingdings" w:hAnsi="Wingdings" w:hint="default"/>
      </w:rPr>
    </w:lvl>
  </w:abstractNum>
  <w:abstractNum w:abstractNumId="10">
    <w:nsid w:val="3B26568B"/>
    <w:multiLevelType w:val="hybridMultilevel"/>
    <w:tmpl w:val="D4C2AC8A"/>
    <w:lvl w:ilvl="0" w:tplc="0409000F">
      <w:start w:val="1"/>
      <w:numFmt w:val="decimal"/>
      <w:lvlText w:val="%1."/>
      <w:lvlJc w:val="left"/>
      <w:pPr>
        <w:tabs>
          <w:tab w:val="num" w:pos="360"/>
        </w:tabs>
        <w:ind w:left="360" w:hanging="360"/>
      </w:pPr>
      <w:rPr>
        <w:rFonts w:hint="default"/>
        <w:color w:val="auto"/>
      </w:rPr>
    </w:lvl>
    <w:lvl w:ilvl="1" w:tplc="040C0003" w:tentative="1">
      <w:start w:val="1"/>
      <w:numFmt w:val="bullet"/>
      <w:lvlText w:val="o"/>
      <w:lvlJc w:val="left"/>
      <w:pPr>
        <w:tabs>
          <w:tab w:val="num" w:pos="374"/>
        </w:tabs>
        <w:ind w:left="374" w:hanging="360"/>
      </w:pPr>
      <w:rPr>
        <w:rFonts w:ascii="Courier New" w:hAnsi="Courier New" w:cs="Courier New" w:hint="default"/>
      </w:rPr>
    </w:lvl>
    <w:lvl w:ilvl="2" w:tplc="040C0005" w:tentative="1">
      <w:start w:val="1"/>
      <w:numFmt w:val="bullet"/>
      <w:lvlText w:val=""/>
      <w:lvlJc w:val="left"/>
      <w:pPr>
        <w:tabs>
          <w:tab w:val="num" w:pos="1094"/>
        </w:tabs>
        <w:ind w:left="1094" w:hanging="360"/>
      </w:pPr>
      <w:rPr>
        <w:rFonts w:ascii="Wingdings" w:hAnsi="Wingdings" w:hint="default"/>
      </w:rPr>
    </w:lvl>
    <w:lvl w:ilvl="3" w:tplc="040C0001" w:tentative="1">
      <w:start w:val="1"/>
      <w:numFmt w:val="bullet"/>
      <w:lvlText w:val=""/>
      <w:lvlJc w:val="left"/>
      <w:pPr>
        <w:tabs>
          <w:tab w:val="num" w:pos="1814"/>
        </w:tabs>
        <w:ind w:left="1814" w:hanging="360"/>
      </w:pPr>
      <w:rPr>
        <w:rFonts w:ascii="Symbol" w:hAnsi="Symbol" w:hint="default"/>
      </w:rPr>
    </w:lvl>
    <w:lvl w:ilvl="4" w:tplc="040C0003" w:tentative="1">
      <w:start w:val="1"/>
      <w:numFmt w:val="bullet"/>
      <w:lvlText w:val="o"/>
      <w:lvlJc w:val="left"/>
      <w:pPr>
        <w:tabs>
          <w:tab w:val="num" w:pos="2534"/>
        </w:tabs>
        <w:ind w:left="2534" w:hanging="360"/>
      </w:pPr>
      <w:rPr>
        <w:rFonts w:ascii="Courier New" w:hAnsi="Courier New" w:cs="Courier New" w:hint="default"/>
      </w:rPr>
    </w:lvl>
    <w:lvl w:ilvl="5" w:tplc="040C0005" w:tentative="1">
      <w:start w:val="1"/>
      <w:numFmt w:val="bullet"/>
      <w:lvlText w:val=""/>
      <w:lvlJc w:val="left"/>
      <w:pPr>
        <w:tabs>
          <w:tab w:val="num" w:pos="3254"/>
        </w:tabs>
        <w:ind w:left="3254" w:hanging="360"/>
      </w:pPr>
      <w:rPr>
        <w:rFonts w:ascii="Wingdings" w:hAnsi="Wingdings" w:hint="default"/>
      </w:rPr>
    </w:lvl>
    <w:lvl w:ilvl="6" w:tplc="040C0001" w:tentative="1">
      <w:start w:val="1"/>
      <w:numFmt w:val="bullet"/>
      <w:lvlText w:val=""/>
      <w:lvlJc w:val="left"/>
      <w:pPr>
        <w:tabs>
          <w:tab w:val="num" w:pos="3974"/>
        </w:tabs>
        <w:ind w:left="3974" w:hanging="360"/>
      </w:pPr>
      <w:rPr>
        <w:rFonts w:ascii="Symbol" w:hAnsi="Symbol" w:hint="default"/>
      </w:rPr>
    </w:lvl>
    <w:lvl w:ilvl="7" w:tplc="040C0003" w:tentative="1">
      <w:start w:val="1"/>
      <w:numFmt w:val="bullet"/>
      <w:lvlText w:val="o"/>
      <w:lvlJc w:val="left"/>
      <w:pPr>
        <w:tabs>
          <w:tab w:val="num" w:pos="4694"/>
        </w:tabs>
        <w:ind w:left="4694" w:hanging="360"/>
      </w:pPr>
      <w:rPr>
        <w:rFonts w:ascii="Courier New" w:hAnsi="Courier New" w:cs="Courier New" w:hint="default"/>
      </w:rPr>
    </w:lvl>
    <w:lvl w:ilvl="8" w:tplc="040C0005" w:tentative="1">
      <w:start w:val="1"/>
      <w:numFmt w:val="bullet"/>
      <w:lvlText w:val=""/>
      <w:lvlJc w:val="left"/>
      <w:pPr>
        <w:tabs>
          <w:tab w:val="num" w:pos="5414"/>
        </w:tabs>
        <w:ind w:left="5414" w:hanging="360"/>
      </w:pPr>
      <w:rPr>
        <w:rFonts w:ascii="Wingdings" w:hAnsi="Wingdings" w:hint="default"/>
      </w:rPr>
    </w:lvl>
  </w:abstractNum>
  <w:abstractNum w:abstractNumId="11">
    <w:nsid w:val="41192094"/>
    <w:multiLevelType w:val="hybridMultilevel"/>
    <w:tmpl w:val="CA584140"/>
    <w:lvl w:ilvl="0" w:tplc="C18CA8D6">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2">
    <w:nsid w:val="42447F59"/>
    <w:multiLevelType w:val="hybridMultilevel"/>
    <w:tmpl w:val="9B44E692"/>
    <w:lvl w:ilvl="0" w:tplc="19040CA6">
      <w:start w:val="20"/>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427C532B"/>
    <w:multiLevelType w:val="hybridMultilevel"/>
    <w:tmpl w:val="A5D21992"/>
    <w:lvl w:ilvl="0" w:tplc="040C000F">
      <w:start w:val="1"/>
      <w:numFmt w:val="decimal"/>
      <w:lvlText w:val="%1."/>
      <w:lvlJc w:val="left"/>
      <w:pPr>
        <w:tabs>
          <w:tab w:val="num" w:pos="360"/>
        </w:tabs>
        <w:ind w:left="360" w:hanging="360"/>
      </w:pPr>
      <w:rPr>
        <w:rFont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4">
    <w:nsid w:val="42BE357C"/>
    <w:multiLevelType w:val="hybridMultilevel"/>
    <w:tmpl w:val="10168CAE"/>
    <w:lvl w:ilvl="0" w:tplc="3BDA8396">
      <w:start w:val="1"/>
      <w:numFmt w:val="bullet"/>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374"/>
        </w:tabs>
        <w:ind w:left="374" w:hanging="360"/>
      </w:pPr>
      <w:rPr>
        <w:rFonts w:ascii="Courier New" w:hAnsi="Courier New" w:cs="Courier New" w:hint="default"/>
      </w:rPr>
    </w:lvl>
    <w:lvl w:ilvl="2" w:tplc="040C0005" w:tentative="1">
      <w:start w:val="1"/>
      <w:numFmt w:val="bullet"/>
      <w:lvlText w:val=""/>
      <w:lvlJc w:val="left"/>
      <w:pPr>
        <w:tabs>
          <w:tab w:val="num" w:pos="1094"/>
        </w:tabs>
        <w:ind w:left="1094" w:hanging="360"/>
      </w:pPr>
      <w:rPr>
        <w:rFonts w:ascii="Wingdings" w:hAnsi="Wingdings" w:hint="default"/>
      </w:rPr>
    </w:lvl>
    <w:lvl w:ilvl="3" w:tplc="040C0001" w:tentative="1">
      <w:start w:val="1"/>
      <w:numFmt w:val="bullet"/>
      <w:lvlText w:val=""/>
      <w:lvlJc w:val="left"/>
      <w:pPr>
        <w:tabs>
          <w:tab w:val="num" w:pos="1814"/>
        </w:tabs>
        <w:ind w:left="1814" w:hanging="360"/>
      </w:pPr>
      <w:rPr>
        <w:rFonts w:ascii="Symbol" w:hAnsi="Symbol" w:hint="default"/>
      </w:rPr>
    </w:lvl>
    <w:lvl w:ilvl="4" w:tplc="040C0003" w:tentative="1">
      <w:start w:val="1"/>
      <w:numFmt w:val="bullet"/>
      <w:lvlText w:val="o"/>
      <w:lvlJc w:val="left"/>
      <w:pPr>
        <w:tabs>
          <w:tab w:val="num" w:pos="2534"/>
        </w:tabs>
        <w:ind w:left="2534" w:hanging="360"/>
      </w:pPr>
      <w:rPr>
        <w:rFonts w:ascii="Courier New" w:hAnsi="Courier New" w:cs="Courier New" w:hint="default"/>
      </w:rPr>
    </w:lvl>
    <w:lvl w:ilvl="5" w:tplc="040C0005" w:tentative="1">
      <w:start w:val="1"/>
      <w:numFmt w:val="bullet"/>
      <w:lvlText w:val=""/>
      <w:lvlJc w:val="left"/>
      <w:pPr>
        <w:tabs>
          <w:tab w:val="num" w:pos="3254"/>
        </w:tabs>
        <w:ind w:left="3254" w:hanging="360"/>
      </w:pPr>
      <w:rPr>
        <w:rFonts w:ascii="Wingdings" w:hAnsi="Wingdings" w:hint="default"/>
      </w:rPr>
    </w:lvl>
    <w:lvl w:ilvl="6" w:tplc="040C0001" w:tentative="1">
      <w:start w:val="1"/>
      <w:numFmt w:val="bullet"/>
      <w:lvlText w:val=""/>
      <w:lvlJc w:val="left"/>
      <w:pPr>
        <w:tabs>
          <w:tab w:val="num" w:pos="3974"/>
        </w:tabs>
        <w:ind w:left="3974" w:hanging="360"/>
      </w:pPr>
      <w:rPr>
        <w:rFonts w:ascii="Symbol" w:hAnsi="Symbol" w:hint="default"/>
      </w:rPr>
    </w:lvl>
    <w:lvl w:ilvl="7" w:tplc="040C0003" w:tentative="1">
      <w:start w:val="1"/>
      <w:numFmt w:val="bullet"/>
      <w:lvlText w:val="o"/>
      <w:lvlJc w:val="left"/>
      <w:pPr>
        <w:tabs>
          <w:tab w:val="num" w:pos="4694"/>
        </w:tabs>
        <w:ind w:left="4694" w:hanging="360"/>
      </w:pPr>
      <w:rPr>
        <w:rFonts w:ascii="Courier New" w:hAnsi="Courier New" w:cs="Courier New" w:hint="default"/>
      </w:rPr>
    </w:lvl>
    <w:lvl w:ilvl="8" w:tplc="040C0005" w:tentative="1">
      <w:start w:val="1"/>
      <w:numFmt w:val="bullet"/>
      <w:lvlText w:val=""/>
      <w:lvlJc w:val="left"/>
      <w:pPr>
        <w:tabs>
          <w:tab w:val="num" w:pos="5414"/>
        </w:tabs>
        <w:ind w:left="5414" w:hanging="360"/>
      </w:pPr>
      <w:rPr>
        <w:rFonts w:ascii="Wingdings" w:hAnsi="Wingdings" w:hint="default"/>
      </w:rPr>
    </w:lvl>
  </w:abstractNum>
  <w:abstractNum w:abstractNumId="15">
    <w:nsid w:val="487878F0"/>
    <w:multiLevelType w:val="multilevel"/>
    <w:tmpl w:val="B2DC4BC8"/>
    <w:lvl w:ilvl="0">
      <w:start w:val="1"/>
      <w:numFmt w:val="decimal"/>
      <w:lvlText w:val="(%1)"/>
      <w:lvlJc w:val="left"/>
      <w:pPr>
        <w:tabs>
          <w:tab w:val="num" w:pos="720"/>
        </w:tabs>
        <w:ind w:left="720" w:hanging="360"/>
      </w:pPr>
      <w:rPr>
        <w:rFonts w:hint="default"/>
        <w:vertAlign w:val="superscrip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BE84D00"/>
    <w:multiLevelType w:val="multilevel"/>
    <w:tmpl w:val="10168CA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374"/>
        </w:tabs>
        <w:ind w:left="374" w:hanging="360"/>
      </w:pPr>
      <w:rPr>
        <w:rFonts w:ascii="Courier New" w:hAnsi="Courier New" w:cs="Courier New" w:hint="default"/>
      </w:rPr>
    </w:lvl>
    <w:lvl w:ilvl="2">
      <w:start w:val="1"/>
      <w:numFmt w:val="bullet"/>
      <w:lvlText w:val=""/>
      <w:lvlJc w:val="left"/>
      <w:pPr>
        <w:tabs>
          <w:tab w:val="num" w:pos="1094"/>
        </w:tabs>
        <w:ind w:left="1094" w:hanging="360"/>
      </w:pPr>
      <w:rPr>
        <w:rFonts w:ascii="Wingdings" w:hAnsi="Wingdings" w:hint="default"/>
      </w:rPr>
    </w:lvl>
    <w:lvl w:ilvl="3">
      <w:start w:val="1"/>
      <w:numFmt w:val="bullet"/>
      <w:lvlText w:val=""/>
      <w:lvlJc w:val="left"/>
      <w:pPr>
        <w:tabs>
          <w:tab w:val="num" w:pos="1814"/>
        </w:tabs>
        <w:ind w:left="1814" w:hanging="360"/>
      </w:pPr>
      <w:rPr>
        <w:rFonts w:ascii="Symbol" w:hAnsi="Symbol" w:hint="default"/>
      </w:rPr>
    </w:lvl>
    <w:lvl w:ilvl="4">
      <w:start w:val="1"/>
      <w:numFmt w:val="bullet"/>
      <w:lvlText w:val="o"/>
      <w:lvlJc w:val="left"/>
      <w:pPr>
        <w:tabs>
          <w:tab w:val="num" w:pos="2534"/>
        </w:tabs>
        <w:ind w:left="2534" w:hanging="360"/>
      </w:pPr>
      <w:rPr>
        <w:rFonts w:ascii="Courier New" w:hAnsi="Courier New" w:cs="Courier New" w:hint="default"/>
      </w:rPr>
    </w:lvl>
    <w:lvl w:ilvl="5">
      <w:start w:val="1"/>
      <w:numFmt w:val="bullet"/>
      <w:lvlText w:val=""/>
      <w:lvlJc w:val="left"/>
      <w:pPr>
        <w:tabs>
          <w:tab w:val="num" w:pos="3254"/>
        </w:tabs>
        <w:ind w:left="3254" w:hanging="360"/>
      </w:pPr>
      <w:rPr>
        <w:rFonts w:ascii="Wingdings" w:hAnsi="Wingdings" w:hint="default"/>
      </w:rPr>
    </w:lvl>
    <w:lvl w:ilvl="6">
      <w:start w:val="1"/>
      <w:numFmt w:val="bullet"/>
      <w:lvlText w:val=""/>
      <w:lvlJc w:val="left"/>
      <w:pPr>
        <w:tabs>
          <w:tab w:val="num" w:pos="3974"/>
        </w:tabs>
        <w:ind w:left="3974" w:hanging="360"/>
      </w:pPr>
      <w:rPr>
        <w:rFonts w:ascii="Symbol" w:hAnsi="Symbol" w:hint="default"/>
      </w:rPr>
    </w:lvl>
    <w:lvl w:ilvl="7">
      <w:start w:val="1"/>
      <w:numFmt w:val="bullet"/>
      <w:lvlText w:val="o"/>
      <w:lvlJc w:val="left"/>
      <w:pPr>
        <w:tabs>
          <w:tab w:val="num" w:pos="4694"/>
        </w:tabs>
        <w:ind w:left="4694" w:hanging="360"/>
      </w:pPr>
      <w:rPr>
        <w:rFonts w:ascii="Courier New" w:hAnsi="Courier New" w:cs="Courier New" w:hint="default"/>
      </w:rPr>
    </w:lvl>
    <w:lvl w:ilvl="8">
      <w:start w:val="1"/>
      <w:numFmt w:val="bullet"/>
      <w:lvlText w:val=""/>
      <w:lvlJc w:val="left"/>
      <w:pPr>
        <w:tabs>
          <w:tab w:val="num" w:pos="5414"/>
        </w:tabs>
        <w:ind w:left="5414" w:hanging="360"/>
      </w:pPr>
      <w:rPr>
        <w:rFonts w:ascii="Wingdings" w:hAnsi="Wingdings" w:hint="default"/>
      </w:rPr>
    </w:lvl>
  </w:abstractNum>
  <w:abstractNum w:abstractNumId="17">
    <w:nsid w:val="50825611"/>
    <w:multiLevelType w:val="hybridMultilevel"/>
    <w:tmpl w:val="0B88AF38"/>
    <w:lvl w:ilvl="0" w:tplc="040C0005">
      <w:start w:val="1"/>
      <w:numFmt w:val="bullet"/>
      <w:lvlText w:val=""/>
      <w:lvlJc w:val="left"/>
      <w:pPr>
        <w:tabs>
          <w:tab w:val="num" w:pos="2208"/>
        </w:tabs>
        <w:ind w:left="2208" w:hanging="360"/>
      </w:pPr>
      <w:rPr>
        <w:rFonts w:ascii="Wingdings" w:hAnsi="Wingdings" w:hint="default"/>
      </w:rPr>
    </w:lvl>
    <w:lvl w:ilvl="1" w:tplc="040C0003" w:tentative="1">
      <w:start w:val="1"/>
      <w:numFmt w:val="bullet"/>
      <w:lvlText w:val="o"/>
      <w:lvlJc w:val="left"/>
      <w:pPr>
        <w:tabs>
          <w:tab w:val="num" w:pos="2928"/>
        </w:tabs>
        <w:ind w:left="2928" w:hanging="360"/>
      </w:pPr>
      <w:rPr>
        <w:rFonts w:ascii="Courier New" w:hAnsi="Courier New" w:cs="Courier New" w:hint="default"/>
      </w:rPr>
    </w:lvl>
    <w:lvl w:ilvl="2" w:tplc="040C0005" w:tentative="1">
      <w:start w:val="1"/>
      <w:numFmt w:val="bullet"/>
      <w:lvlText w:val=""/>
      <w:lvlJc w:val="left"/>
      <w:pPr>
        <w:tabs>
          <w:tab w:val="num" w:pos="3648"/>
        </w:tabs>
        <w:ind w:left="3648" w:hanging="360"/>
      </w:pPr>
      <w:rPr>
        <w:rFonts w:ascii="Wingdings" w:hAnsi="Wingdings" w:hint="default"/>
      </w:rPr>
    </w:lvl>
    <w:lvl w:ilvl="3" w:tplc="040C0001" w:tentative="1">
      <w:start w:val="1"/>
      <w:numFmt w:val="bullet"/>
      <w:lvlText w:val=""/>
      <w:lvlJc w:val="left"/>
      <w:pPr>
        <w:tabs>
          <w:tab w:val="num" w:pos="4368"/>
        </w:tabs>
        <w:ind w:left="4368" w:hanging="360"/>
      </w:pPr>
      <w:rPr>
        <w:rFonts w:ascii="Symbol" w:hAnsi="Symbol" w:hint="default"/>
      </w:rPr>
    </w:lvl>
    <w:lvl w:ilvl="4" w:tplc="040C0003" w:tentative="1">
      <w:start w:val="1"/>
      <w:numFmt w:val="bullet"/>
      <w:lvlText w:val="o"/>
      <w:lvlJc w:val="left"/>
      <w:pPr>
        <w:tabs>
          <w:tab w:val="num" w:pos="5088"/>
        </w:tabs>
        <w:ind w:left="5088" w:hanging="360"/>
      </w:pPr>
      <w:rPr>
        <w:rFonts w:ascii="Courier New" w:hAnsi="Courier New" w:cs="Courier New" w:hint="default"/>
      </w:rPr>
    </w:lvl>
    <w:lvl w:ilvl="5" w:tplc="040C0005" w:tentative="1">
      <w:start w:val="1"/>
      <w:numFmt w:val="bullet"/>
      <w:lvlText w:val=""/>
      <w:lvlJc w:val="left"/>
      <w:pPr>
        <w:tabs>
          <w:tab w:val="num" w:pos="5808"/>
        </w:tabs>
        <w:ind w:left="5808" w:hanging="360"/>
      </w:pPr>
      <w:rPr>
        <w:rFonts w:ascii="Wingdings" w:hAnsi="Wingdings" w:hint="default"/>
      </w:rPr>
    </w:lvl>
    <w:lvl w:ilvl="6" w:tplc="040C0001" w:tentative="1">
      <w:start w:val="1"/>
      <w:numFmt w:val="bullet"/>
      <w:lvlText w:val=""/>
      <w:lvlJc w:val="left"/>
      <w:pPr>
        <w:tabs>
          <w:tab w:val="num" w:pos="6528"/>
        </w:tabs>
        <w:ind w:left="6528" w:hanging="360"/>
      </w:pPr>
      <w:rPr>
        <w:rFonts w:ascii="Symbol" w:hAnsi="Symbol" w:hint="default"/>
      </w:rPr>
    </w:lvl>
    <w:lvl w:ilvl="7" w:tplc="040C0003" w:tentative="1">
      <w:start w:val="1"/>
      <w:numFmt w:val="bullet"/>
      <w:lvlText w:val="o"/>
      <w:lvlJc w:val="left"/>
      <w:pPr>
        <w:tabs>
          <w:tab w:val="num" w:pos="7248"/>
        </w:tabs>
        <w:ind w:left="7248" w:hanging="360"/>
      </w:pPr>
      <w:rPr>
        <w:rFonts w:ascii="Courier New" w:hAnsi="Courier New" w:cs="Courier New" w:hint="default"/>
      </w:rPr>
    </w:lvl>
    <w:lvl w:ilvl="8" w:tplc="040C0005" w:tentative="1">
      <w:start w:val="1"/>
      <w:numFmt w:val="bullet"/>
      <w:lvlText w:val=""/>
      <w:lvlJc w:val="left"/>
      <w:pPr>
        <w:tabs>
          <w:tab w:val="num" w:pos="7968"/>
        </w:tabs>
        <w:ind w:left="7968" w:hanging="360"/>
      </w:pPr>
      <w:rPr>
        <w:rFonts w:ascii="Wingdings" w:hAnsi="Wingdings" w:hint="default"/>
      </w:rPr>
    </w:lvl>
  </w:abstractNum>
  <w:abstractNum w:abstractNumId="18">
    <w:nsid w:val="57DD7EF3"/>
    <w:multiLevelType w:val="hybridMultilevel"/>
    <w:tmpl w:val="0BF40648"/>
    <w:lvl w:ilvl="0" w:tplc="3BDA8396">
      <w:start w:val="1"/>
      <w:numFmt w:val="bullet"/>
      <w:lvlText w:val=""/>
      <w:lvlJc w:val="left"/>
      <w:pPr>
        <w:tabs>
          <w:tab w:val="num" w:pos="1426"/>
        </w:tabs>
        <w:ind w:left="1426"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13A4956"/>
    <w:multiLevelType w:val="multilevel"/>
    <w:tmpl w:val="85C8B89A"/>
    <w:lvl w:ilvl="0">
      <w:start w:val="1"/>
      <w:numFmt w:val="bullet"/>
      <w:lvlText w:val=""/>
      <w:lvlJc w:val="left"/>
      <w:pPr>
        <w:tabs>
          <w:tab w:val="num" w:pos="2132"/>
        </w:tabs>
        <w:ind w:left="2132" w:hanging="360"/>
      </w:pPr>
      <w:rPr>
        <w:rFonts w:ascii="Symbol" w:hAnsi="Symbol" w:hint="default"/>
        <w:color w:val="auto"/>
      </w:rPr>
    </w:lvl>
    <w:lvl w:ilvl="1">
      <w:start w:val="1"/>
      <w:numFmt w:val="decimal"/>
      <w:lvlText w:val="%2."/>
      <w:lvlJc w:val="left"/>
      <w:pPr>
        <w:tabs>
          <w:tab w:val="num" w:pos="2146"/>
        </w:tabs>
        <w:ind w:left="2146" w:hanging="360"/>
      </w:pPr>
      <w:rPr>
        <w:rFonts w:hint="default"/>
        <w:color w:val="auto"/>
      </w:rPr>
    </w:lvl>
    <w:lvl w:ilvl="2">
      <w:start w:val="1"/>
      <w:numFmt w:val="bullet"/>
      <w:lvlText w:val=""/>
      <w:lvlJc w:val="left"/>
      <w:pPr>
        <w:tabs>
          <w:tab w:val="num" w:pos="2866"/>
        </w:tabs>
        <w:ind w:left="2866" w:hanging="360"/>
      </w:pPr>
      <w:rPr>
        <w:rFonts w:ascii="Wingdings" w:hAnsi="Wingdings" w:hint="default"/>
      </w:rPr>
    </w:lvl>
    <w:lvl w:ilvl="3">
      <w:start w:val="1"/>
      <w:numFmt w:val="bullet"/>
      <w:lvlText w:val=""/>
      <w:lvlJc w:val="left"/>
      <w:pPr>
        <w:tabs>
          <w:tab w:val="num" w:pos="3586"/>
        </w:tabs>
        <w:ind w:left="3586" w:hanging="360"/>
      </w:pPr>
      <w:rPr>
        <w:rFonts w:ascii="Symbol" w:hAnsi="Symbol" w:hint="default"/>
      </w:rPr>
    </w:lvl>
    <w:lvl w:ilvl="4">
      <w:start w:val="1"/>
      <w:numFmt w:val="bullet"/>
      <w:lvlText w:val="o"/>
      <w:lvlJc w:val="left"/>
      <w:pPr>
        <w:tabs>
          <w:tab w:val="num" w:pos="4306"/>
        </w:tabs>
        <w:ind w:left="4306" w:hanging="360"/>
      </w:pPr>
      <w:rPr>
        <w:rFonts w:ascii="Courier New" w:hAnsi="Courier New" w:cs="Courier New" w:hint="default"/>
        <w:color w:val="auto"/>
      </w:rPr>
    </w:lvl>
    <w:lvl w:ilvl="5">
      <w:start w:val="1"/>
      <w:numFmt w:val="bullet"/>
      <w:lvlText w:val=""/>
      <w:lvlJc w:val="left"/>
      <w:pPr>
        <w:tabs>
          <w:tab w:val="num" w:pos="5026"/>
        </w:tabs>
        <w:ind w:left="5026" w:hanging="360"/>
      </w:pPr>
      <w:rPr>
        <w:rFonts w:ascii="Wingdings" w:hAnsi="Wingdings" w:hint="default"/>
      </w:rPr>
    </w:lvl>
    <w:lvl w:ilvl="6">
      <w:start w:val="1"/>
      <w:numFmt w:val="bullet"/>
      <w:lvlText w:val=""/>
      <w:lvlJc w:val="left"/>
      <w:pPr>
        <w:tabs>
          <w:tab w:val="num" w:pos="5746"/>
        </w:tabs>
        <w:ind w:left="5746" w:hanging="360"/>
      </w:pPr>
      <w:rPr>
        <w:rFonts w:ascii="Symbol" w:hAnsi="Symbol" w:hint="default"/>
      </w:rPr>
    </w:lvl>
    <w:lvl w:ilvl="7">
      <w:start w:val="1"/>
      <w:numFmt w:val="bullet"/>
      <w:lvlText w:val="o"/>
      <w:lvlJc w:val="left"/>
      <w:pPr>
        <w:tabs>
          <w:tab w:val="num" w:pos="6466"/>
        </w:tabs>
        <w:ind w:left="6466" w:hanging="360"/>
      </w:pPr>
      <w:rPr>
        <w:rFonts w:ascii="Courier New" w:hAnsi="Courier New" w:cs="Courier New" w:hint="default"/>
      </w:rPr>
    </w:lvl>
    <w:lvl w:ilvl="8">
      <w:start w:val="1"/>
      <w:numFmt w:val="bullet"/>
      <w:lvlText w:val=""/>
      <w:lvlJc w:val="left"/>
      <w:pPr>
        <w:tabs>
          <w:tab w:val="num" w:pos="7186"/>
        </w:tabs>
        <w:ind w:left="7186" w:hanging="360"/>
      </w:pPr>
      <w:rPr>
        <w:rFonts w:ascii="Wingdings" w:hAnsi="Wingdings" w:hint="default"/>
      </w:rPr>
    </w:lvl>
  </w:abstractNum>
  <w:abstractNum w:abstractNumId="20">
    <w:nsid w:val="65DC7F41"/>
    <w:multiLevelType w:val="hybridMultilevel"/>
    <w:tmpl w:val="8A9C1658"/>
    <w:lvl w:ilvl="0" w:tplc="040C0005">
      <w:start w:val="1"/>
      <w:numFmt w:val="bullet"/>
      <w:lvlText w:val=""/>
      <w:lvlJc w:val="left"/>
      <w:pPr>
        <w:tabs>
          <w:tab w:val="num" w:pos="1848"/>
        </w:tabs>
        <w:ind w:left="1848" w:hanging="360"/>
      </w:pPr>
      <w:rPr>
        <w:rFonts w:ascii="Wingdings" w:hAnsi="Wingdings" w:hint="default"/>
      </w:rPr>
    </w:lvl>
    <w:lvl w:ilvl="1" w:tplc="040C0003" w:tentative="1">
      <w:start w:val="1"/>
      <w:numFmt w:val="bullet"/>
      <w:lvlText w:val="o"/>
      <w:lvlJc w:val="left"/>
      <w:pPr>
        <w:tabs>
          <w:tab w:val="num" w:pos="2568"/>
        </w:tabs>
        <w:ind w:left="2568" w:hanging="360"/>
      </w:pPr>
      <w:rPr>
        <w:rFonts w:ascii="Courier New" w:hAnsi="Courier New" w:cs="Courier New" w:hint="default"/>
      </w:rPr>
    </w:lvl>
    <w:lvl w:ilvl="2" w:tplc="040C0005" w:tentative="1">
      <w:start w:val="1"/>
      <w:numFmt w:val="bullet"/>
      <w:lvlText w:val=""/>
      <w:lvlJc w:val="left"/>
      <w:pPr>
        <w:tabs>
          <w:tab w:val="num" w:pos="3288"/>
        </w:tabs>
        <w:ind w:left="3288" w:hanging="360"/>
      </w:pPr>
      <w:rPr>
        <w:rFonts w:ascii="Wingdings" w:hAnsi="Wingdings" w:hint="default"/>
      </w:rPr>
    </w:lvl>
    <w:lvl w:ilvl="3" w:tplc="040C0001" w:tentative="1">
      <w:start w:val="1"/>
      <w:numFmt w:val="bullet"/>
      <w:lvlText w:val=""/>
      <w:lvlJc w:val="left"/>
      <w:pPr>
        <w:tabs>
          <w:tab w:val="num" w:pos="4008"/>
        </w:tabs>
        <w:ind w:left="4008" w:hanging="360"/>
      </w:pPr>
      <w:rPr>
        <w:rFonts w:ascii="Symbol" w:hAnsi="Symbol" w:hint="default"/>
      </w:rPr>
    </w:lvl>
    <w:lvl w:ilvl="4" w:tplc="040C0003" w:tentative="1">
      <w:start w:val="1"/>
      <w:numFmt w:val="bullet"/>
      <w:lvlText w:val="o"/>
      <w:lvlJc w:val="left"/>
      <w:pPr>
        <w:tabs>
          <w:tab w:val="num" w:pos="4728"/>
        </w:tabs>
        <w:ind w:left="4728" w:hanging="360"/>
      </w:pPr>
      <w:rPr>
        <w:rFonts w:ascii="Courier New" w:hAnsi="Courier New" w:cs="Courier New" w:hint="default"/>
      </w:rPr>
    </w:lvl>
    <w:lvl w:ilvl="5" w:tplc="040C0005" w:tentative="1">
      <w:start w:val="1"/>
      <w:numFmt w:val="bullet"/>
      <w:lvlText w:val=""/>
      <w:lvlJc w:val="left"/>
      <w:pPr>
        <w:tabs>
          <w:tab w:val="num" w:pos="5448"/>
        </w:tabs>
        <w:ind w:left="5448" w:hanging="360"/>
      </w:pPr>
      <w:rPr>
        <w:rFonts w:ascii="Wingdings" w:hAnsi="Wingdings" w:hint="default"/>
      </w:rPr>
    </w:lvl>
    <w:lvl w:ilvl="6" w:tplc="040C0001" w:tentative="1">
      <w:start w:val="1"/>
      <w:numFmt w:val="bullet"/>
      <w:lvlText w:val=""/>
      <w:lvlJc w:val="left"/>
      <w:pPr>
        <w:tabs>
          <w:tab w:val="num" w:pos="6168"/>
        </w:tabs>
        <w:ind w:left="6168" w:hanging="360"/>
      </w:pPr>
      <w:rPr>
        <w:rFonts w:ascii="Symbol" w:hAnsi="Symbol" w:hint="default"/>
      </w:rPr>
    </w:lvl>
    <w:lvl w:ilvl="7" w:tplc="040C0003" w:tentative="1">
      <w:start w:val="1"/>
      <w:numFmt w:val="bullet"/>
      <w:lvlText w:val="o"/>
      <w:lvlJc w:val="left"/>
      <w:pPr>
        <w:tabs>
          <w:tab w:val="num" w:pos="6888"/>
        </w:tabs>
        <w:ind w:left="6888" w:hanging="360"/>
      </w:pPr>
      <w:rPr>
        <w:rFonts w:ascii="Courier New" w:hAnsi="Courier New" w:cs="Courier New" w:hint="default"/>
      </w:rPr>
    </w:lvl>
    <w:lvl w:ilvl="8" w:tplc="040C0005" w:tentative="1">
      <w:start w:val="1"/>
      <w:numFmt w:val="bullet"/>
      <w:lvlText w:val=""/>
      <w:lvlJc w:val="left"/>
      <w:pPr>
        <w:tabs>
          <w:tab w:val="num" w:pos="7608"/>
        </w:tabs>
        <w:ind w:left="7608" w:hanging="360"/>
      </w:pPr>
      <w:rPr>
        <w:rFonts w:ascii="Wingdings" w:hAnsi="Wingdings" w:hint="default"/>
      </w:rPr>
    </w:lvl>
  </w:abstractNum>
  <w:num w:numId="1">
    <w:abstractNumId w:val="11"/>
  </w:num>
  <w:num w:numId="2">
    <w:abstractNumId w:val="20"/>
  </w:num>
  <w:num w:numId="3">
    <w:abstractNumId w:val="17"/>
  </w:num>
  <w:num w:numId="4">
    <w:abstractNumId w:val="13"/>
  </w:num>
  <w:num w:numId="5">
    <w:abstractNumId w:val="18"/>
  </w:num>
  <w:num w:numId="6">
    <w:abstractNumId w:val="12"/>
  </w:num>
  <w:num w:numId="7">
    <w:abstractNumId w:val="3"/>
  </w:num>
  <w:num w:numId="8">
    <w:abstractNumId w:val="15"/>
  </w:num>
  <w:num w:numId="9">
    <w:abstractNumId w:val="0"/>
  </w:num>
  <w:num w:numId="10">
    <w:abstractNumId w:val="19"/>
  </w:num>
  <w:num w:numId="11">
    <w:abstractNumId w:val="8"/>
  </w:num>
  <w:num w:numId="12">
    <w:abstractNumId w:val="5"/>
  </w:num>
  <w:num w:numId="13">
    <w:abstractNumId w:val="7"/>
  </w:num>
  <w:num w:numId="14">
    <w:abstractNumId w:val="14"/>
  </w:num>
  <w:num w:numId="15">
    <w:abstractNumId w:val="4"/>
  </w:num>
  <w:num w:numId="16">
    <w:abstractNumId w:val="2"/>
  </w:num>
  <w:num w:numId="17">
    <w:abstractNumId w:val="16"/>
  </w:num>
  <w:num w:numId="18">
    <w:abstractNumId w:val="9"/>
  </w:num>
  <w:num w:numId="19">
    <w:abstractNumId w:val="6"/>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43289*"/>
    <w:docVar w:name="CreationDt" w:val="8/9/2008 10:21 PM"/>
    <w:docVar w:name="DocCategory" w:val="Doc"/>
    <w:docVar w:name="DocType" w:val="Final"/>
    <w:docVar w:name="FooterJN" w:val="08-43289"/>
    <w:docVar w:name="jobn" w:val="08-43289 (A)"/>
    <w:docVar w:name="jobnDT" w:val="08-43289 (A)   090808"/>
    <w:docVar w:name="jobnDTDT" w:val="08-43289 (A)   090808   090808"/>
    <w:docVar w:name="JobNo" w:val="0843289A"/>
    <w:docVar w:name="OandT" w:val=" "/>
    <w:docVar w:name="sss1" w:val="CEDAW/C/MDG/Q/5/Add.1"/>
    <w:docVar w:name="sss2" w:val="-"/>
    <w:docVar w:name="Symbol1" w:val="CEDAW/C/MDG/Q/5/Add.1"/>
    <w:docVar w:name="Symbol2" w:val="-"/>
  </w:docVars>
  <w:rsids>
    <w:rsidRoot w:val="00407C0E"/>
    <w:rsid w:val="00002AFD"/>
    <w:rsid w:val="000170D3"/>
    <w:rsid w:val="00042425"/>
    <w:rsid w:val="000516B0"/>
    <w:rsid w:val="00057523"/>
    <w:rsid w:val="0006648F"/>
    <w:rsid w:val="00087310"/>
    <w:rsid w:val="0009732C"/>
    <w:rsid w:val="000A5EC7"/>
    <w:rsid w:val="000C4EED"/>
    <w:rsid w:val="000D2CEC"/>
    <w:rsid w:val="000F5CDE"/>
    <w:rsid w:val="00101EE8"/>
    <w:rsid w:val="00113349"/>
    <w:rsid w:val="00130380"/>
    <w:rsid w:val="001519A9"/>
    <w:rsid w:val="001569BB"/>
    <w:rsid w:val="0015762F"/>
    <w:rsid w:val="001737F8"/>
    <w:rsid w:val="001775EA"/>
    <w:rsid w:val="0018030C"/>
    <w:rsid w:val="00187870"/>
    <w:rsid w:val="001A6124"/>
    <w:rsid w:val="001B2BBC"/>
    <w:rsid w:val="001E0E2A"/>
    <w:rsid w:val="001E5A5A"/>
    <w:rsid w:val="001E5A7A"/>
    <w:rsid w:val="001F6786"/>
    <w:rsid w:val="002416C5"/>
    <w:rsid w:val="0025002E"/>
    <w:rsid w:val="00266F59"/>
    <w:rsid w:val="00272B6C"/>
    <w:rsid w:val="0027623A"/>
    <w:rsid w:val="00281C01"/>
    <w:rsid w:val="00283E2C"/>
    <w:rsid w:val="00290F2F"/>
    <w:rsid w:val="002937DA"/>
    <w:rsid w:val="002A09C6"/>
    <w:rsid w:val="002C2AF2"/>
    <w:rsid w:val="002C4E1B"/>
    <w:rsid w:val="002D16EE"/>
    <w:rsid w:val="002E1490"/>
    <w:rsid w:val="003039EF"/>
    <w:rsid w:val="00312162"/>
    <w:rsid w:val="003501D5"/>
    <w:rsid w:val="00371AC4"/>
    <w:rsid w:val="00382E75"/>
    <w:rsid w:val="00383CA8"/>
    <w:rsid w:val="003A65ED"/>
    <w:rsid w:val="003B4DAE"/>
    <w:rsid w:val="003D4612"/>
    <w:rsid w:val="003F4B8C"/>
    <w:rsid w:val="00401BDF"/>
    <w:rsid w:val="00407C0E"/>
    <w:rsid w:val="00411BBD"/>
    <w:rsid w:val="00414312"/>
    <w:rsid w:val="00415922"/>
    <w:rsid w:val="00416A5F"/>
    <w:rsid w:val="00423BD7"/>
    <w:rsid w:val="0042757D"/>
    <w:rsid w:val="00437C14"/>
    <w:rsid w:val="004527C9"/>
    <w:rsid w:val="00453069"/>
    <w:rsid w:val="00467A3E"/>
    <w:rsid w:val="00483F5B"/>
    <w:rsid w:val="00490874"/>
    <w:rsid w:val="00494EE2"/>
    <w:rsid w:val="00496E83"/>
    <w:rsid w:val="004A18A2"/>
    <w:rsid w:val="004A2886"/>
    <w:rsid w:val="004B14A0"/>
    <w:rsid w:val="004C0C3C"/>
    <w:rsid w:val="004D1B0C"/>
    <w:rsid w:val="004F0D2B"/>
    <w:rsid w:val="004F1402"/>
    <w:rsid w:val="0050659B"/>
    <w:rsid w:val="00521CAC"/>
    <w:rsid w:val="00524A2E"/>
    <w:rsid w:val="005279DE"/>
    <w:rsid w:val="00534772"/>
    <w:rsid w:val="00537FCD"/>
    <w:rsid w:val="00545F76"/>
    <w:rsid w:val="005463EB"/>
    <w:rsid w:val="005545BB"/>
    <w:rsid w:val="00556882"/>
    <w:rsid w:val="00557198"/>
    <w:rsid w:val="00561E43"/>
    <w:rsid w:val="0057078E"/>
    <w:rsid w:val="005715A2"/>
    <w:rsid w:val="00572C57"/>
    <w:rsid w:val="005838F5"/>
    <w:rsid w:val="00591B45"/>
    <w:rsid w:val="005A0F73"/>
    <w:rsid w:val="005A2EA3"/>
    <w:rsid w:val="005C2ECE"/>
    <w:rsid w:val="006007BD"/>
    <w:rsid w:val="006145D0"/>
    <w:rsid w:val="00616E82"/>
    <w:rsid w:val="006218A3"/>
    <w:rsid w:val="006564CE"/>
    <w:rsid w:val="00663F64"/>
    <w:rsid w:val="006769A6"/>
    <w:rsid w:val="00696B7A"/>
    <w:rsid w:val="006A1238"/>
    <w:rsid w:val="006A1E4E"/>
    <w:rsid w:val="006A5296"/>
    <w:rsid w:val="006C38EE"/>
    <w:rsid w:val="007001B9"/>
    <w:rsid w:val="00700F06"/>
    <w:rsid w:val="0071531E"/>
    <w:rsid w:val="0071645B"/>
    <w:rsid w:val="00716E9D"/>
    <w:rsid w:val="00747B9E"/>
    <w:rsid w:val="007524BE"/>
    <w:rsid w:val="007525FA"/>
    <w:rsid w:val="007656A1"/>
    <w:rsid w:val="00765A56"/>
    <w:rsid w:val="00770CF8"/>
    <w:rsid w:val="00774FF0"/>
    <w:rsid w:val="0079046D"/>
    <w:rsid w:val="007940BD"/>
    <w:rsid w:val="0079753A"/>
    <w:rsid w:val="007A6DD9"/>
    <w:rsid w:val="007B5624"/>
    <w:rsid w:val="007D60E0"/>
    <w:rsid w:val="007D6B8D"/>
    <w:rsid w:val="007E32B9"/>
    <w:rsid w:val="0081284F"/>
    <w:rsid w:val="00814843"/>
    <w:rsid w:val="008170DE"/>
    <w:rsid w:val="00821F23"/>
    <w:rsid w:val="00827B6A"/>
    <w:rsid w:val="00830E32"/>
    <w:rsid w:val="0084238F"/>
    <w:rsid w:val="00845A14"/>
    <w:rsid w:val="00873A11"/>
    <w:rsid w:val="00873AF9"/>
    <w:rsid w:val="008A3FCA"/>
    <w:rsid w:val="008A7EE3"/>
    <w:rsid w:val="008D1C04"/>
    <w:rsid w:val="008F04A0"/>
    <w:rsid w:val="008F64A7"/>
    <w:rsid w:val="0090012B"/>
    <w:rsid w:val="0090351F"/>
    <w:rsid w:val="009328EE"/>
    <w:rsid w:val="00964FA8"/>
    <w:rsid w:val="00970BAD"/>
    <w:rsid w:val="009768D1"/>
    <w:rsid w:val="009829B7"/>
    <w:rsid w:val="009927C0"/>
    <w:rsid w:val="009961E6"/>
    <w:rsid w:val="009B6C65"/>
    <w:rsid w:val="009C0017"/>
    <w:rsid w:val="009C15F4"/>
    <w:rsid w:val="009D62A3"/>
    <w:rsid w:val="009E2A1F"/>
    <w:rsid w:val="009E2FD8"/>
    <w:rsid w:val="00A1268A"/>
    <w:rsid w:val="00A2393F"/>
    <w:rsid w:val="00A37C4B"/>
    <w:rsid w:val="00A6198B"/>
    <w:rsid w:val="00A66F66"/>
    <w:rsid w:val="00A71AE5"/>
    <w:rsid w:val="00A77F16"/>
    <w:rsid w:val="00AA1E16"/>
    <w:rsid w:val="00AC002C"/>
    <w:rsid w:val="00AC6CDD"/>
    <w:rsid w:val="00AD38D0"/>
    <w:rsid w:val="00AE108C"/>
    <w:rsid w:val="00AF1A53"/>
    <w:rsid w:val="00AF7AC7"/>
    <w:rsid w:val="00B05ADC"/>
    <w:rsid w:val="00B272BE"/>
    <w:rsid w:val="00B63C07"/>
    <w:rsid w:val="00B80FA6"/>
    <w:rsid w:val="00B81EF3"/>
    <w:rsid w:val="00B9542C"/>
    <w:rsid w:val="00B95560"/>
    <w:rsid w:val="00BA462B"/>
    <w:rsid w:val="00BA7FAB"/>
    <w:rsid w:val="00BB6B48"/>
    <w:rsid w:val="00BC2F4C"/>
    <w:rsid w:val="00BC4A05"/>
    <w:rsid w:val="00BC567D"/>
    <w:rsid w:val="00BF0B15"/>
    <w:rsid w:val="00C12CBB"/>
    <w:rsid w:val="00C25A2D"/>
    <w:rsid w:val="00C260F8"/>
    <w:rsid w:val="00C35CB1"/>
    <w:rsid w:val="00C43FBE"/>
    <w:rsid w:val="00C449C6"/>
    <w:rsid w:val="00C4601D"/>
    <w:rsid w:val="00C564B0"/>
    <w:rsid w:val="00C6283F"/>
    <w:rsid w:val="00C71487"/>
    <w:rsid w:val="00C814A5"/>
    <w:rsid w:val="00C855F6"/>
    <w:rsid w:val="00C96573"/>
    <w:rsid w:val="00CD0BB8"/>
    <w:rsid w:val="00CD3849"/>
    <w:rsid w:val="00CF4F36"/>
    <w:rsid w:val="00CF7384"/>
    <w:rsid w:val="00D2343D"/>
    <w:rsid w:val="00D30EAE"/>
    <w:rsid w:val="00D318F1"/>
    <w:rsid w:val="00D35951"/>
    <w:rsid w:val="00D40B0E"/>
    <w:rsid w:val="00D44FE0"/>
    <w:rsid w:val="00D66413"/>
    <w:rsid w:val="00D666E0"/>
    <w:rsid w:val="00DA6060"/>
    <w:rsid w:val="00DA66B7"/>
    <w:rsid w:val="00DB0865"/>
    <w:rsid w:val="00DE02D4"/>
    <w:rsid w:val="00DE5433"/>
    <w:rsid w:val="00DE68A7"/>
    <w:rsid w:val="00DF5F38"/>
    <w:rsid w:val="00E23336"/>
    <w:rsid w:val="00E31661"/>
    <w:rsid w:val="00E32B52"/>
    <w:rsid w:val="00E4143D"/>
    <w:rsid w:val="00E47EB8"/>
    <w:rsid w:val="00E704FD"/>
    <w:rsid w:val="00E71DD0"/>
    <w:rsid w:val="00E750E1"/>
    <w:rsid w:val="00E9114A"/>
    <w:rsid w:val="00EA489C"/>
    <w:rsid w:val="00EB0CA7"/>
    <w:rsid w:val="00EB4992"/>
    <w:rsid w:val="00ED4771"/>
    <w:rsid w:val="00EF2E52"/>
    <w:rsid w:val="00EF654E"/>
    <w:rsid w:val="00F031FB"/>
    <w:rsid w:val="00F14100"/>
    <w:rsid w:val="00F23585"/>
    <w:rsid w:val="00F32E4A"/>
    <w:rsid w:val="00F36D8C"/>
    <w:rsid w:val="00F93545"/>
    <w:rsid w:val="00F96FBA"/>
    <w:rsid w:val="00FB4E06"/>
    <w:rsid w:val="00FC3483"/>
    <w:rsid w:val="00FC4D68"/>
    <w:rsid w:val="00FC4DAD"/>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zh-CN"/>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SingleTxt"/>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Normal"/>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C4601D"/>
    <w:rPr>
      <w:szCs w:val="20"/>
    </w:rPr>
  </w:style>
  <w:style w:type="paragraph" w:styleId="CommentSubject">
    <w:name w:val="annotation subject"/>
    <w:basedOn w:val="CommentText"/>
    <w:next w:val="CommentText"/>
    <w:semiHidden/>
    <w:rsid w:val="00C4601D"/>
    <w:rPr>
      <w:b/>
      <w:bCs/>
    </w:rPr>
  </w:style>
  <w:style w:type="table" w:styleId="TableGrid">
    <w:name w:val="Table Grid"/>
    <w:basedOn w:val="TableNormal"/>
    <w:rsid w:val="00C35CB1"/>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35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1</Pages>
  <Words>6599</Words>
  <Characters>33657</Characters>
  <Application>Microsoft Office Word</Application>
  <DocSecurity>4</DocSecurity>
  <Lines>1463</Lines>
  <Paragraphs>1059</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39197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Wagdy Rizk</dc:creator>
  <cp:keywords/>
  <dc:description/>
  <cp:lastModifiedBy>SARKIS</cp:lastModifiedBy>
  <cp:revision>9</cp:revision>
  <cp:lastPrinted>2008-08-12T13:39:00Z</cp:lastPrinted>
  <dcterms:created xsi:type="dcterms:W3CDTF">2008-08-12T13:21:00Z</dcterms:created>
  <dcterms:modified xsi:type="dcterms:W3CDTF">2008-08-12T13:42:00Z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0843289</vt:lpwstr>
  </property>
  <property fmtid="{D5CDD505-2E9C-101B-9397-08002B2CF9AE}" pid="3" name="Symbol1">
    <vt:lpwstr>CEDAW/C/MDG/Q/5/Add.1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هدى</vt:lpwstr>
  </property>
</Properties>
</file>